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64C5" w14:textId="5BBD2848" w:rsidR="00433044" w:rsidRPr="00D22E2D" w:rsidRDefault="00E20983" w:rsidP="00D22E2D">
      <w:pPr>
        <w:pStyle w:val="1-MainHeading"/>
      </w:pPr>
      <w:bookmarkStart w:id="0" w:name="_Toc206432625"/>
      <w:bookmarkStart w:id="1" w:name="_Toc209004693"/>
      <w:r>
        <w:t>6.06</w:t>
      </w:r>
      <w:r w:rsidR="00163F66" w:rsidRPr="00D74203">
        <w:tab/>
      </w:r>
      <w:r w:rsidR="002E2326" w:rsidRPr="00D74203">
        <w:t>PEMBROLIZUMAB</w:t>
      </w:r>
      <w:r w:rsidR="00163F66" w:rsidRPr="00D74203">
        <w:t>,</w:t>
      </w:r>
      <w:r w:rsidR="00163F66" w:rsidRPr="00D74203">
        <w:br/>
      </w:r>
      <w:r w:rsidR="002E2326" w:rsidRPr="00D74203">
        <w:t>Solution concentrate for I.V. infusion</w:t>
      </w:r>
      <w:r w:rsidR="00163F66" w:rsidRPr="00D74203">
        <w:t>,</w:t>
      </w:r>
      <w:r w:rsidR="00163F66" w:rsidRPr="00D74203">
        <w:br/>
      </w:r>
      <w:r w:rsidR="002E2326" w:rsidRPr="00D74203">
        <w:t>100 mg in 4 mL</w:t>
      </w:r>
      <w:r w:rsidR="00163F66" w:rsidRPr="00D74203">
        <w:t>,</w:t>
      </w:r>
      <w:r w:rsidR="00163F66" w:rsidRPr="00D74203">
        <w:br/>
      </w:r>
      <w:r w:rsidR="002E2326" w:rsidRPr="00D74203">
        <w:t>Keytruda</w:t>
      </w:r>
      <w:r w:rsidR="00B60939" w:rsidRPr="00D74203">
        <w:rPr>
          <w:vertAlign w:val="superscript"/>
        </w:rPr>
        <w:t>®</w:t>
      </w:r>
      <w:r w:rsidR="004A6040" w:rsidRPr="00D74203">
        <w:t>,</w:t>
      </w:r>
      <w:r w:rsidR="004A6040" w:rsidRPr="00D74203">
        <w:br/>
      </w:r>
      <w:r w:rsidR="002E2326" w:rsidRPr="00D74203">
        <w:t>MERCK SHARP &amp; DOHME (AUSTRALIA) PTY LTD</w:t>
      </w:r>
      <w:r w:rsidR="00B60939" w:rsidRPr="00D74203">
        <w:t>.</w:t>
      </w:r>
      <w:bookmarkEnd w:id="0"/>
      <w:bookmarkEnd w:id="1"/>
      <w:r w:rsidR="00F73E08" w:rsidRPr="00D74203">
        <w:t xml:space="preserve"> </w:t>
      </w:r>
    </w:p>
    <w:p w14:paraId="11C00795" w14:textId="3DFB6D23" w:rsidR="00B50DB8" w:rsidRPr="00D74203" w:rsidRDefault="00B50DB8" w:rsidP="004A6040">
      <w:pPr>
        <w:pStyle w:val="2-SectionHeading"/>
      </w:pPr>
      <w:bookmarkStart w:id="2" w:name="_Toc206432627"/>
      <w:bookmarkStart w:id="3" w:name="_Toc209004695"/>
      <w:r w:rsidRPr="00D74203">
        <w:t xml:space="preserve">Purpose of </w:t>
      </w:r>
      <w:r w:rsidR="00CD7193" w:rsidRPr="00D74203">
        <w:t>s</w:t>
      </w:r>
      <w:r w:rsidR="00BB3A45" w:rsidRPr="00D74203">
        <w:t>ubmission</w:t>
      </w:r>
      <w:bookmarkEnd w:id="2"/>
      <w:bookmarkEnd w:id="3"/>
    </w:p>
    <w:p w14:paraId="2B6D2DF7" w14:textId="5031BCF6" w:rsidR="005F3809" w:rsidRPr="00D74203" w:rsidRDefault="005F3809" w:rsidP="005F3809">
      <w:pPr>
        <w:pStyle w:val="3-BodyText"/>
      </w:pPr>
      <w:bookmarkStart w:id="4" w:name="_Toc22897644"/>
      <w:r w:rsidRPr="00D74203">
        <w:t>The Category 2 submission requested a Section 100 (Efficient Funding of Chemotherapy [EFC] Program)</w:t>
      </w:r>
      <w:r w:rsidR="000250EC">
        <w:t xml:space="preserve"> Authority Required (STREAMLINED)</w:t>
      </w:r>
      <w:r w:rsidRPr="00D74203">
        <w:t xml:space="preserve"> listing for pembrolizumab for the </w:t>
      </w:r>
      <w:r w:rsidR="00ED2DDC" w:rsidRPr="00477630">
        <w:rPr>
          <w:iCs/>
        </w:rPr>
        <w:t>perioperative</w:t>
      </w:r>
      <w:r w:rsidR="00ED2DDC">
        <w:t xml:space="preserve"> </w:t>
      </w:r>
      <w:r w:rsidRPr="00D74203">
        <w:t>treatment of patients with resectable locally advanced head and neck squamous cell carcinoma (LA HNSCC)</w:t>
      </w:r>
      <w:r w:rsidR="00A86638">
        <w:t xml:space="preserve">. </w:t>
      </w:r>
      <w:r w:rsidR="00201376" w:rsidRPr="00477630">
        <w:rPr>
          <w:iCs/>
        </w:rPr>
        <w:t>The proposed use</w:t>
      </w:r>
      <w:r w:rsidR="00ED2DDC" w:rsidRPr="00477630">
        <w:rPr>
          <w:iCs/>
        </w:rPr>
        <w:t xml:space="preserve"> </w:t>
      </w:r>
      <w:r w:rsidR="00201376" w:rsidRPr="00477630">
        <w:rPr>
          <w:iCs/>
        </w:rPr>
        <w:t xml:space="preserve">includes neoadjuvant treatment (prior to </w:t>
      </w:r>
      <w:r w:rsidR="0013081F" w:rsidRPr="00477630">
        <w:rPr>
          <w:iCs/>
        </w:rPr>
        <w:t>surg</w:t>
      </w:r>
      <w:r w:rsidR="004E71BD" w:rsidRPr="00477630">
        <w:rPr>
          <w:iCs/>
        </w:rPr>
        <w:t>ical resection</w:t>
      </w:r>
      <w:r w:rsidR="00201376" w:rsidRPr="00477630">
        <w:rPr>
          <w:iCs/>
        </w:rPr>
        <w:t>), followed by</w:t>
      </w:r>
      <w:r w:rsidR="00201376">
        <w:t xml:space="preserve"> </w:t>
      </w:r>
      <w:r w:rsidRPr="00D74203">
        <w:t>adjuvant treatment (</w:t>
      </w:r>
      <w:r w:rsidR="004E71BD" w:rsidRPr="00477630">
        <w:rPr>
          <w:iCs/>
        </w:rPr>
        <w:t>after</w:t>
      </w:r>
      <w:r w:rsidR="004E71BD" w:rsidRPr="00D74203">
        <w:t xml:space="preserve"> </w:t>
      </w:r>
      <w:r w:rsidR="004E71BD" w:rsidRPr="00477630">
        <w:rPr>
          <w:iCs/>
        </w:rPr>
        <w:t>surgical resection</w:t>
      </w:r>
      <w:r w:rsidRPr="00D74203">
        <w:t>) in combination with radiotherapy</w:t>
      </w:r>
      <w:r w:rsidR="00B61465">
        <w:t>,</w:t>
      </w:r>
      <w:r w:rsidRPr="00D74203">
        <w:t xml:space="preserve"> with or without chemotherapy, and </w:t>
      </w:r>
      <w:r w:rsidR="0074314B" w:rsidRPr="00477630">
        <w:rPr>
          <w:iCs/>
        </w:rPr>
        <w:t>subsequently as monotherapy</w:t>
      </w:r>
      <w:r w:rsidR="00961C5E">
        <w:t xml:space="preserve"> (</w:t>
      </w:r>
      <w:proofErr w:type="spellStart"/>
      <w:r w:rsidR="00961C5E">
        <w:t>PEM+SoC</w:t>
      </w:r>
      <w:proofErr w:type="spellEnd"/>
      <w:r w:rsidR="00961C5E">
        <w:t>)</w:t>
      </w:r>
      <w:r w:rsidRPr="00D74203">
        <w:t xml:space="preserve">. </w:t>
      </w:r>
    </w:p>
    <w:p w14:paraId="168928B6" w14:textId="6734DD5F" w:rsidR="005F3809" w:rsidRPr="00D74203" w:rsidRDefault="005F3809" w:rsidP="005F3809">
      <w:pPr>
        <w:pStyle w:val="3-BodyText"/>
      </w:pPr>
      <w:r w:rsidRPr="00D74203">
        <w:t xml:space="preserve">Listing was requested </w:t>
      </w:r>
      <w:r w:rsidR="00B61465" w:rsidRPr="00D74203">
        <w:t>based on</w:t>
      </w:r>
      <w:r w:rsidRPr="00D74203">
        <w:t xml:space="preserve"> a cost-effectiveness analysis versus standard of care (SoC) </w:t>
      </w:r>
      <w:r w:rsidR="009F7115">
        <w:t xml:space="preserve">comprising </w:t>
      </w:r>
      <w:r w:rsidRPr="00D74203">
        <w:t xml:space="preserve">adjuvant radiotherapy with or without chemotherapy. </w:t>
      </w:r>
    </w:p>
    <w:p w14:paraId="34E5A9BC" w14:textId="092C93BB" w:rsidR="005F3809" w:rsidRPr="00D74203" w:rsidRDefault="005F3809" w:rsidP="00D041CF">
      <w:pPr>
        <w:pStyle w:val="3-BodyText"/>
      </w:pPr>
      <w:r w:rsidRPr="00D74203">
        <w:t xml:space="preserve">A summary of the key components of the clinical issue addressed by the submission is presented in </w:t>
      </w:r>
      <w:r w:rsidRPr="00D74203">
        <w:fldChar w:fldCharType="begin"/>
      </w:r>
      <w:r w:rsidRPr="00D74203">
        <w:instrText xml:space="preserve"> REF _Ref205465314 \h </w:instrText>
      </w:r>
      <w:r w:rsidRPr="00D74203">
        <w:fldChar w:fldCharType="separate"/>
      </w:r>
      <w:r w:rsidR="0084087D" w:rsidRPr="00D74203">
        <w:t xml:space="preserve">Table </w:t>
      </w:r>
      <w:r w:rsidR="0084087D">
        <w:rPr>
          <w:noProof/>
        </w:rPr>
        <w:t>1</w:t>
      </w:r>
      <w:r w:rsidRPr="00D74203">
        <w:fldChar w:fldCharType="end"/>
      </w:r>
      <w:r w:rsidRPr="00D74203">
        <w:t>.</w:t>
      </w:r>
    </w:p>
    <w:p w14:paraId="69AD66F0" w14:textId="6FD51777" w:rsidR="005F3809" w:rsidRPr="00D74203" w:rsidRDefault="005F3809" w:rsidP="005F3809">
      <w:pPr>
        <w:pStyle w:val="TableFigureHeading"/>
        <w:rPr>
          <w:rStyle w:val="CommentReference"/>
          <w:b/>
          <w:szCs w:val="24"/>
        </w:rPr>
      </w:pPr>
      <w:bookmarkStart w:id="5" w:name="_Ref205465314"/>
      <w:r w:rsidRPr="00D74203">
        <w:t xml:space="preserve">Table </w:t>
      </w:r>
      <w:r w:rsidR="00972E86">
        <w:fldChar w:fldCharType="begin"/>
      </w:r>
      <w:r w:rsidR="00972E86">
        <w:instrText xml:space="preserve"> SEQ Table \* ARABIC </w:instrText>
      </w:r>
      <w:r w:rsidR="00972E86">
        <w:fldChar w:fldCharType="separate"/>
      </w:r>
      <w:r w:rsidR="0084087D">
        <w:rPr>
          <w:noProof/>
        </w:rPr>
        <w:t>1</w:t>
      </w:r>
      <w:r w:rsidR="00972E86">
        <w:rPr>
          <w:noProof/>
        </w:rPr>
        <w:fldChar w:fldCharType="end"/>
      </w:r>
      <w:bookmarkEnd w:id="5"/>
      <w:r w:rsidRPr="00D74203">
        <w:t>:</w:t>
      </w:r>
      <w:r w:rsidRPr="00D74203">
        <w:rPr>
          <w:rStyle w:val="CommentReference"/>
          <w:b/>
          <w:szCs w:val="24"/>
        </w:rPr>
        <w:t xml:space="preserve"> Key components of the clinical issue addressed by the submission </w:t>
      </w:r>
      <w:r w:rsidR="006E50CE">
        <w:rPr>
          <w:rStyle w:val="CommentReference"/>
          <w:b/>
          <w:szCs w:val="24"/>
        </w:rPr>
        <w:t>(as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Pr>
      <w:tblGrid>
        <w:gridCol w:w="1666"/>
        <w:gridCol w:w="7351"/>
      </w:tblGrid>
      <w:tr w:rsidR="005F3809" w:rsidRPr="00D74203" w14:paraId="1B6B1FEE" w14:textId="77777777">
        <w:trPr>
          <w:cantSplit/>
          <w:tblHeader/>
        </w:trPr>
        <w:tc>
          <w:tcPr>
            <w:tcW w:w="924" w:type="pct"/>
          </w:tcPr>
          <w:p w14:paraId="3C52F6A1" w14:textId="77777777" w:rsidR="005F3809" w:rsidRPr="00D74203" w:rsidRDefault="005F3809">
            <w:pPr>
              <w:pStyle w:val="In-tableHeading"/>
              <w:rPr>
                <w:szCs w:val="20"/>
                <w:lang w:val="en-AU"/>
              </w:rPr>
            </w:pPr>
            <w:r w:rsidRPr="00D74203">
              <w:rPr>
                <w:lang w:val="en-AU"/>
              </w:rPr>
              <w:t>Component</w:t>
            </w:r>
          </w:p>
        </w:tc>
        <w:tc>
          <w:tcPr>
            <w:tcW w:w="4076" w:type="pct"/>
          </w:tcPr>
          <w:p w14:paraId="55CC587A" w14:textId="77777777" w:rsidR="005F3809" w:rsidRPr="00D74203" w:rsidRDefault="005F3809">
            <w:pPr>
              <w:pStyle w:val="In-tableHeading"/>
              <w:rPr>
                <w:lang w:val="en-AU"/>
              </w:rPr>
            </w:pPr>
            <w:r w:rsidRPr="00D74203">
              <w:rPr>
                <w:lang w:val="en-AU"/>
              </w:rPr>
              <w:t>Description</w:t>
            </w:r>
          </w:p>
        </w:tc>
      </w:tr>
      <w:tr w:rsidR="005F3809" w:rsidRPr="00D74203" w14:paraId="0573E62B" w14:textId="77777777">
        <w:trPr>
          <w:cantSplit/>
        </w:trPr>
        <w:tc>
          <w:tcPr>
            <w:tcW w:w="924" w:type="pct"/>
          </w:tcPr>
          <w:p w14:paraId="77B4BE9B" w14:textId="77777777" w:rsidR="005F3809" w:rsidRPr="00D74203" w:rsidRDefault="005F3809">
            <w:pPr>
              <w:pStyle w:val="TableText0"/>
            </w:pPr>
            <w:r w:rsidRPr="00D74203">
              <w:t>Population</w:t>
            </w:r>
          </w:p>
        </w:tc>
        <w:tc>
          <w:tcPr>
            <w:tcW w:w="4076" w:type="pct"/>
          </w:tcPr>
          <w:p w14:paraId="6C0135A5" w14:textId="77777777" w:rsidR="005F3809" w:rsidRPr="00D74203" w:rsidRDefault="005F3809">
            <w:pPr>
              <w:pStyle w:val="TableText0"/>
              <w:rPr>
                <w:szCs w:val="20"/>
              </w:rPr>
            </w:pPr>
            <w:r w:rsidRPr="00D74203">
              <w:t xml:space="preserve">Resectable locally advanced head and neck squamous cell carcinoma </w:t>
            </w:r>
          </w:p>
        </w:tc>
      </w:tr>
      <w:tr w:rsidR="005F3809" w:rsidRPr="00D74203" w14:paraId="1BF3BC71" w14:textId="77777777">
        <w:trPr>
          <w:cantSplit/>
        </w:trPr>
        <w:tc>
          <w:tcPr>
            <w:tcW w:w="924" w:type="pct"/>
          </w:tcPr>
          <w:p w14:paraId="4A51B066" w14:textId="77777777" w:rsidR="005F3809" w:rsidRPr="00D74203" w:rsidRDefault="005F3809">
            <w:pPr>
              <w:pStyle w:val="TableText0"/>
            </w:pPr>
            <w:r w:rsidRPr="00D74203">
              <w:t>Intervention</w:t>
            </w:r>
          </w:p>
        </w:tc>
        <w:tc>
          <w:tcPr>
            <w:tcW w:w="4076" w:type="pct"/>
          </w:tcPr>
          <w:p w14:paraId="3AE91C69" w14:textId="73DBBDDB" w:rsidR="005F3809" w:rsidRPr="00D74203" w:rsidRDefault="005F3809">
            <w:pPr>
              <w:pStyle w:val="TableText0"/>
            </w:pPr>
            <w:r w:rsidRPr="00D74203">
              <w:t xml:space="preserve">2 cycles of 200 mg pembrolizumab IV Q3W (or </w:t>
            </w:r>
            <w:proofErr w:type="spellStart"/>
            <w:r w:rsidRPr="00D74203">
              <w:t>equivalent</w:t>
            </w:r>
            <w:r w:rsidR="00B42360">
              <w:rPr>
                <w:vertAlign w:val="superscript"/>
              </w:rPr>
              <w:t>a</w:t>
            </w:r>
            <w:proofErr w:type="spellEnd"/>
            <w:r w:rsidRPr="00D74203">
              <w:t xml:space="preserve">) prior to surgical resection followed by 3 cycles of 200 mg pembrolizumab IV Q3W (or </w:t>
            </w:r>
            <w:proofErr w:type="spellStart"/>
            <w:r w:rsidRPr="00D74203">
              <w:t>equivalent</w:t>
            </w:r>
            <w:r w:rsidR="00B42360">
              <w:rPr>
                <w:vertAlign w:val="superscript"/>
              </w:rPr>
              <w:t>a</w:t>
            </w:r>
            <w:proofErr w:type="spellEnd"/>
            <w:r w:rsidRPr="00D74203">
              <w:t>) in combination with SoC, followed by 12 cycles of 200</w:t>
            </w:r>
            <w:r w:rsidR="0002655A">
              <w:t xml:space="preserve"> </w:t>
            </w:r>
            <w:r w:rsidRPr="00D74203">
              <w:t xml:space="preserve">mg pembrolizumab IV Q3W (or </w:t>
            </w:r>
            <w:proofErr w:type="spellStart"/>
            <w:r w:rsidRPr="00D74203">
              <w:t>equivalent</w:t>
            </w:r>
            <w:r w:rsidR="00B42360">
              <w:rPr>
                <w:vertAlign w:val="superscript"/>
              </w:rPr>
              <w:t>a</w:t>
            </w:r>
            <w:proofErr w:type="spellEnd"/>
            <w:r w:rsidRPr="00D74203">
              <w:t xml:space="preserve">) </w:t>
            </w:r>
          </w:p>
        </w:tc>
      </w:tr>
      <w:tr w:rsidR="005F3809" w:rsidRPr="00D74203" w14:paraId="1021B698" w14:textId="77777777">
        <w:trPr>
          <w:cantSplit/>
        </w:trPr>
        <w:tc>
          <w:tcPr>
            <w:tcW w:w="924" w:type="pct"/>
          </w:tcPr>
          <w:p w14:paraId="7090FBC9" w14:textId="77777777" w:rsidR="005F3809" w:rsidRPr="00D74203" w:rsidRDefault="005F3809">
            <w:pPr>
              <w:pStyle w:val="TableText0"/>
            </w:pPr>
            <w:r w:rsidRPr="00D74203">
              <w:t>Comparator</w:t>
            </w:r>
          </w:p>
        </w:tc>
        <w:tc>
          <w:tcPr>
            <w:tcW w:w="4076" w:type="pct"/>
          </w:tcPr>
          <w:p w14:paraId="05184BD4" w14:textId="77777777" w:rsidR="005F3809" w:rsidRPr="00D74203" w:rsidRDefault="005F3809">
            <w:pPr>
              <w:pStyle w:val="TableText0"/>
            </w:pPr>
            <w:r w:rsidRPr="00D74203">
              <w:t>SoC (radiotherapy +/- chemotherapy administered in the adjuvant setting)</w:t>
            </w:r>
          </w:p>
        </w:tc>
      </w:tr>
      <w:tr w:rsidR="005F3809" w:rsidRPr="00D74203" w14:paraId="0BE79603" w14:textId="77777777">
        <w:trPr>
          <w:cantSplit/>
        </w:trPr>
        <w:tc>
          <w:tcPr>
            <w:tcW w:w="924" w:type="pct"/>
          </w:tcPr>
          <w:p w14:paraId="7866AFFE" w14:textId="77777777" w:rsidR="005F3809" w:rsidRPr="00D74203" w:rsidRDefault="005F3809">
            <w:pPr>
              <w:pStyle w:val="TableText0"/>
            </w:pPr>
            <w:r w:rsidRPr="00D74203">
              <w:t>Outcomes</w:t>
            </w:r>
          </w:p>
        </w:tc>
        <w:tc>
          <w:tcPr>
            <w:tcW w:w="4076" w:type="pct"/>
          </w:tcPr>
          <w:p w14:paraId="167AAE1E" w14:textId="77777777" w:rsidR="005F3809" w:rsidRPr="00D74203" w:rsidRDefault="005F3809">
            <w:pPr>
              <w:pStyle w:val="TableText0"/>
            </w:pPr>
            <w:r w:rsidRPr="00D74203">
              <w:t>Primary outcomes: EFS per RECIST 1.1 as assessed by BICR</w:t>
            </w:r>
          </w:p>
          <w:p w14:paraId="7B767EB3" w14:textId="26E6ED20" w:rsidR="005F3809" w:rsidRPr="00D74203" w:rsidRDefault="005F3809">
            <w:pPr>
              <w:pStyle w:val="TableText0"/>
              <w:rPr>
                <w:rFonts w:eastAsia="Times New Roman" w:cs="Arial"/>
                <w:bCs w:val="0"/>
                <w:snapToGrid w:val="0"/>
                <w:color w:val="0066FF"/>
                <w:szCs w:val="20"/>
              </w:rPr>
            </w:pPr>
            <w:r w:rsidRPr="00D74203">
              <w:t xml:space="preserve">Secondary outcomes: OS, </w:t>
            </w:r>
            <w:proofErr w:type="spellStart"/>
            <w:r w:rsidRPr="00D74203">
              <w:t>mPR</w:t>
            </w:r>
            <w:proofErr w:type="spellEnd"/>
            <w:r w:rsidRPr="00D74203">
              <w:t xml:space="preserve"> and </w:t>
            </w:r>
            <w:proofErr w:type="spellStart"/>
            <w:r w:rsidRPr="00D74203">
              <w:t>pCR</w:t>
            </w:r>
            <w:proofErr w:type="spellEnd"/>
            <w:r w:rsidRPr="00D74203">
              <w:t xml:space="preserve"> by BIPR, HRQoL, and AE</w:t>
            </w:r>
            <w:r w:rsidR="00966CF1" w:rsidRPr="00D74203">
              <w:t>s</w:t>
            </w:r>
            <w:r w:rsidRPr="00D74203">
              <w:t xml:space="preserve"> </w:t>
            </w:r>
          </w:p>
        </w:tc>
      </w:tr>
      <w:tr w:rsidR="005F3809" w:rsidRPr="00D74203" w14:paraId="0338D90A" w14:textId="77777777">
        <w:trPr>
          <w:cantSplit/>
          <w:trHeight w:val="169"/>
        </w:trPr>
        <w:tc>
          <w:tcPr>
            <w:tcW w:w="924" w:type="pct"/>
          </w:tcPr>
          <w:p w14:paraId="4E72A3AA" w14:textId="77777777" w:rsidR="005F3809" w:rsidRPr="00D74203" w:rsidRDefault="005F3809">
            <w:pPr>
              <w:pStyle w:val="TableText0"/>
            </w:pPr>
            <w:r w:rsidRPr="00D74203">
              <w:t>Clinical claim</w:t>
            </w:r>
          </w:p>
        </w:tc>
        <w:tc>
          <w:tcPr>
            <w:tcW w:w="4076" w:type="pct"/>
          </w:tcPr>
          <w:p w14:paraId="1EFDA1E7" w14:textId="4A58DE18" w:rsidR="005F3809" w:rsidRPr="00D74203" w:rsidRDefault="005F3809">
            <w:pPr>
              <w:pStyle w:val="TableText0"/>
              <w:rPr>
                <w:rFonts w:eastAsia="Times New Roman" w:cs="Arial"/>
                <w:bCs w:val="0"/>
                <w:snapToGrid w:val="0"/>
                <w:color w:val="0066FF"/>
                <w:szCs w:val="20"/>
              </w:rPr>
            </w:pPr>
            <w:r w:rsidRPr="00D74203">
              <w:t xml:space="preserve">In resectable locally advanced head and neck squamous cell carcinoma, </w:t>
            </w:r>
            <w:proofErr w:type="spellStart"/>
            <w:r w:rsidR="007962F9">
              <w:t>PEM</w:t>
            </w:r>
            <w:r w:rsidRPr="00D74203">
              <w:t>+SoC</w:t>
            </w:r>
            <w:proofErr w:type="spellEnd"/>
            <w:r w:rsidRPr="00D74203">
              <w:t xml:space="preserve"> is superior with respect to efficacy and has an inferior but manageable safety profile when compared to SoC alone.</w:t>
            </w:r>
          </w:p>
        </w:tc>
      </w:tr>
    </w:tbl>
    <w:p w14:paraId="69F67894" w14:textId="77777777" w:rsidR="00D014AF" w:rsidRPr="00677261" w:rsidRDefault="00D466E0" w:rsidP="00677261">
      <w:pPr>
        <w:pStyle w:val="TableFigureFooter"/>
      </w:pPr>
      <w:r w:rsidRPr="00677261">
        <w:t>Source: Table 1.1-1, p6 of the submission.</w:t>
      </w:r>
    </w:p>
    <w:p w14:paraId="36EAF800" w14:textId="6F7B9D2D" w:rsidR="005F3809" w:rsidRPr="00677261" w:rsidRDefault="005F3809" w:rsidP="00677261">
      <w:pPr>
        <w:pStyle w:val="TableFigureFooter"/>
      </w:pPr>
      <w:r w:rsidRPr="00677261">
        <w:t>AE</w:t>
      </w:r>
      <w:r w:rsidR="00966CF1" w:rsidRPr="00677261">
        <w:t>s</w:t>
      </w:r>
      <w:r w:rsidRPr="00677261">
        <w:t xml:space="preserve"> = adverse event</w:t>
      </w:r>
      <w:r w:rsidR="009F7115" w:rsidRPr="00677261">
        <w:t>s</w:t>
      </w:r>
      <w:r w:rsidRPr="00677261">
        <w:t xml:space="preserve">; BICR = blinded independent central review; BIPR = blinded independent pathologist review; EFS = event-free survival; HRQoL = health-related quality of life; IV = intravenous; </w:t>
      </w:r>
      <w:proofErr w:type="spellStart"/>
      <w:r w:rsidR="00593EEA" w:rsidRPr="00677261">
        <w:t>mPR</w:t>
      </w:r>
      <w:proofErr w:type="spellEnd"/>
      <w:r w:rsidR="00593EEA" w:rsidRPr="00677261">
        <w:t xml:space="preserve"> = major pathological response; </w:t>
      </w:r>
      <w:r w:rsidRPr="00677261">
        <w:t xml:space="preserve">OS = overall survival; </w:t>
      </w:r>
      <w:proofErr w:type="spellStart"/>
      <w:r w:rsidR="003710A1" w:rsidRPr="00677261">
        <w:t>pCR</w:t>
      </w:r>
      <w:proofErr w:type="spellEnd"/>
      <w:r w:rsidR="003710A1" w:rsidRPr="00677261">
        <w:t xml:space="preserve"> = pathological complete response; </w:t>
      </w:r>
      <w:r w:rsidR="007962F9" w:rsidRPr="00677261">
        <w:t xml:space="preserve">PEM = pembrolizumab; </w:t>
      </w:r>
      <w:r w:rsidRPr="00677261">
        <w:t xml:space="preserve">Q3W = every 3 weeks; </w:t>
      </w:r>
      <w:r w:rsidR="00B42360" w:rsidRPr="00677261">
        <w:t xml:space="preserve">Q6W = every 6 weeks; </w:t>
      </w:r>
      <w:r w:rsidRPr="00677261">
        <w:t xml:space="preserve">RECIST = </w:t>
      </w:r>
      <w:r w:rsidR="00593EEA" w:rsidRPr="00677261">
        <w:t>Response Evaluation Criteria in Solid Tumours</w:t>
      </w:r>
      <w:r w:rsidRPr="00677261">
        <w:t>; SoC = standard of care</w:t>
      </w:r>
    </w:p>
    <w:p w14:paraId="1458DEC0" w14:textId="3AC09B82" w:rsidR="00B42360" w:rsidRPr="00677261" w:rsidRDefault="00B42360" w:rsidP="00677261">
      <w:pPr>
        <w:pStyle w:val="TableFigureFooter"/>
      </w:pPr>
      <w:r w:rsidRPr="00677261">
        <w:rPr>
          <w:vertAlign w:val="superscript"/>
        </w:rPr>
        <w:t xml:space="preserve">a </w:t>
      </w:r>
      <w:r w:rsidRPr="00677261">
        <w:t>Refers to the pembrolizumab 400 mg Q6W regimen</w:t>
      </w:r>
    </w:p>
    <w:p w14:paraId="6F38E7A6" w14:textId="77777777" w:rsidR="005F3809" w:rsidRPr="00D74203" w:rsidRDefault="005F3809" w:rsidP="005F3809">
      <w:pPr>
        <w:pStyle w:val="2-SectionHeading"/>
      </w:pPr>
      <w:bookmarkStart w:id="6" w:name="_Toc206432628"/>
      <w:bookmarkStart w:id="7" w:name="_Toc209004696"/>
      <w:r w:rsidRPr="00D74203">
        <w:t>Background</w:t>
      </w:r>
      <w:bookmarkEnd w:id="6"/>
      <w:bookmarkEnd w:id="7"/>
    </w:p>
    <w:p w14:paraId="751BBF5E" w14:textId="77777777" w:rsidR="005F3809" w:rsidRPr="00D74203" w:rsidRDefault="005F3809" w:rsidP="005F3809">
      <w:pPr>
        <w:pStyle w:val="4-SubsectionHeading"/>
      </w:pPr>
      <w:bookmarkStart w:id="8" w:name="_Toc22897638"/>
      <w:bookmarkStart w:id="9" w:name="_Toc206432629"/>
      <w:bookmarkStart w:id="10" w:name="_Toc209004697"/>
      <w:r w:rsidRPr="00D74203">
        <w:t>Registration status</w:t>
      </w:r>
      <w:bookmarkEnd w:id="8"/>
      <w:bookmarkEnd w:id="9"/>
      <w:bookmarkEnd w:id="10"/>
    </w:p>
    <w:p w14:paraId="448960ED" w14:textId="3F7ED7BC" w:rsidR="005F3809" w:rsidRDefault="005F3809" w:rsidP="005F3809">
      <w:pPr>
        <w:pStyle w:val="3-BodyText"/>
      </w:pPr>
      <w:r w:rsidRPr="00D74203">
        <w:t xml:space="preserve">The submission was made under the TGA/PBAC Parallel Process. The proposed TGA indication </w:t>
      </w:r>
      <w:r w:rsidR="00B0472A">
        <w:t>was</w:t>
      </w:r>
      <w:r w:rsidRPr="00D74203">
        <w:t>:</w:t>
      </w:r>
    </w:p>
    <w:p w14:paraId="340A2A3B" w14:textId="40419FCF" w:rsidR="00FD015F" w:rsidRPr="00FD015F" w:rsidRDefault="00FD015F" w:rsidP="00FD015F">
      <w:pPr>
        <w:pStyle w:val="3-BodyText"/>
        <w:numPr>
          <w:ilvl w:val="0"/>
          <w:numId w:val="0"/>
        </w:numPr>
        <w:ind w:left="993"/>
      </w:pPr>
      <w:r w:rsidRPr="00FD015F">
        <w:lastRenderedPageBreak/>
        <w:t>For the treatment of patients with resectable</w:t>
      </w:r>
      <w:r>
        <w:t xml:space="preserve"> </w:t>
      </w:r>
      <w:r w:rsidRPr="00FD015F">
        <w:t>locally advanced HNSCC as neoadjuvant</w:t>
      </w:r>
      <w:r>
        <w:t xml:space="preserve"> </w:t>
      </w:r>
      <w:r w:rsidRPr="00FD015F">
        <w:t>treatment, continued as adjuvant treatment in</w:t>
      </w:r>
      <w:r>
        <w:t xml:space="preserve"> </w:t>
      </w:r>
      <w:r w:rsidRPr="00FD015F">
        <w:t>combination with radiotherapy (RT) with or without</w:t>
      </w:r>
      <w:r>
        <w:t xml:space="preserve"> </w:t>
      </w:r>
      <w:r w:rsidR="00A467C8">
        <w:t xml:space="preserve">platinum-containing chemotherapy </w:t>
      </w:r>
      <w:r w:rsidRPr="00FD015F">
        <w:t xml:space="preserve">and then as </w:t>
      </w:r>
      <w:r w:rsidR="008D0350">
        <w:t>monotherapy.</w:t>
      </w:r>
    </w:p>
    <w:p w14:paraId="60EBB8B8" w14:textId="4930B2F1" w:rsidR="00A425DA" w:rsidRDefault="005F3809" w:rsidP="00F36C92">
      <w:pPr>
        <w:pStyle w:val="3-BodyText"/>
      </w:pPr>
      <w:r w:rsidRPr="00F81AFB">
        <w:t xml:space="preserve">At the time of </w:t>
      </w:r>
      <w:r w:rsidR="00401675" w:rsidRPr="00824C31">
        <w:t>PBAC</w:t>
      </w:r>
      <w:r w:rsidR="00401675" w:rsidRPr="00F81AFB">
        <w:t xml:space="preserve"> </w:t>
      </w:r>
      <w:r w:rsidRPr="00F81AFB">
        <w:t xml:space="preserve">consideration, </w:t>
      </w:r>
      <w:r w:rsidR="009366A8" w:rsidRPr="00F81AFB">
        <w:t>the</w:t>
      </w:r>
      <w:r w:rsidR="00BB3AB5" w:rsidRPr="00F81AFB">
        <w:t xml:space="preserve"> Delegate’s Overview was available</w:t>
      </w:r>
      <w:r w:rsidRPr="00F81AFB">
        <w:t xml:space="preserve">. </w:t>
      </w:r>
      <w:r w:rsidR="00A425DA">
        <w:t xml:space="preserve">The TGA Delegate was inclined to approve pembrolizumab for </w:t>
      </w:r>
      <w:r w:rsidR="00F36C92">
        <w:t xml:space="preserve">the treatment of adult patients with resectable locally advanced HNSCC whose tumours express </w:t>
      </w:r>
      <w:r w:rsidR="000754A9" w:rsidRPr="00A01AE4">
        <w:t xml:space="preserve">programmed cell death ligand 1 </w:t>
      </w:r>
      <w:r w:rsidR="000754A9">
        <w:t>(</w:t>
      </w:r>
      <w:r w:rsidR="000754A9" w:rsidRPr="00824C31">
        <w:t>PD-L1</w:t>
      </w:r>
      <w:r w:rsidR="000754A9">
        <w:t>)</w:t>
      </w:r>
      <w:r w:rsidR="00F36C92">
        <w:t xml:space="preserve"> with a </w:t>
      </w:r>
      <w:r w:rsidR="000754A9" w:rsidRPr="006A6AD4">
        <w:t xml:space="preserve">combined positive score </w:t>
      </w:r>
      <w:r w:rsidR="000754A9">
        <w:t>(</w:t>
      </w:r>
      <w:r w:rsidR="00F36C92">
        <w:t>CPS</w:t>
      </w:r>
      <w:r w:rsidR="000754A9">
        <w:t>)</w:t>
      </w:r>
      <w:r w:rsidR="00F36C92">
        <w:t xml:space="preserve"> ≥1, as a single agent as neoadjuvant treatment, continued as adjuvant treatment in combination with radiotherapy (RT) with or without cisplatin and then as a single agent.</w:t>
      </w:r>
      <w:r w:rsidR="00771E0D">
        <w:t xml:space="preserve"> The Delegate requested ACM advice on whether the proposed indication should be limited to patients </w:t>
      </w:r>
      <w:r w:rsidR="006A6AD4">
        <w:t xml:space="preserve">whose tumours express </w:t>
      </w:r>
      <w:r w:rsidR="006A6AD4" w:rsidRPr="006A6AD4">
        <w:t>PD-L1 with a CPS</w:t>
      </w:r>
      <w:r w:rsidR="000754A9">
        <w:t xml:space="preserve"> </w:t>
      </w:r>
      <w:r w:rsidR="006A6AD4" w:rsidRPr="006A6AD4">
        <w:t>≥1</w:t>
      </w:r>
      <w:r w:rsidR="00C54684">
        <w:t xml:space="preserve"> </w:t>
      </w:r>
      <w:r w:rsidR="006A6AD4" w:rsidRPr="006A6AD4">
        <w:t>and</w:t>
      </w:r>
      <w:r w:rsidR="00C54684">
        <w:t xml:space="preserve"> whether cisplatin should be specified, rather than platinum-containing chemotherapy. </w:t>
      </w:r>
    </w:p>
    <w:p w14:paraId="02DA4E0E" w14:textId="2F66269F" w:rsidR="005F3809" w:rsidRPr="00A01AE4" w:rsidRDefault="00F36C92" w:rsidP="00824C31">
      <w:pPr>
        <w:pStyle w:val="3-BodyText"/>
      </w:pPr>
      <w:r>
        <w:t>T</w:t>
      </w:r>
      <w:r w:rsidR="00156038">
        <w:t xml:space="preserve">he Delegate </w:t>
      </w:r>
      <w:r w:rsidR="00F525C8">
        <w:t>proposed</w:t>
      </w:r>
      <w:r w:rsidR="00B67D86">
        <w:t xml:space="preserve"> to impose a condition of registration to provide the results of interim analysis 2 </w:t>
      </w:r>
      <w:r w:rsidR="00B24A98">
        <w:t>(IA</w:t>
      </w:r>
      <w:r w:rsidR="00C277E8">
        <w:t xml:space="preserve">2) </w:t>
      </w:r>
      <w:r w:rsidR="00B67D86">
        <w:t>and</w:t>
      </w:r>
      <w:r w:rsidR="007E456B">
        <w:t xml:space="preserve"> the</w:t>
      </w:r>
      <w:r w:rsidR="00B67D86">
        <w:t xml:space="preserve"> final analysis for </w:t>
      </w:r>
      <w:r w:rsidR="00A05E71">
        <w:t>KEYNOTE-689 (</w:t>
      </w:r>
      <w:r w:rsidR="00B67D86">
        <w:t>KN</w:t>
      </w:r>
      <w:r w:rsidR="00A05E71">
        <w:t>689)</w:t>
      </w:r>
      <w:r w:rsidR="00354E18">
        <w:t xml:space="preserve"> as a category 1 application when available.</w:t>
      </w:r>
    </w:p>
    <w:p w14:paraId="5D44E95C" w14:textId="77777777" w:rsidR="006E789C" w:rsidRPr="0098262F" w:rsidRDefault="006E789C" w:rsidP="006E789C">
      <w:pPr>
        <w:pStyle w:val="4-SubsectionHeading"/>
      </w:pPr>
      <w:bookmarkStart w:id="11" w:name="_Toc209004698"/>
      <w:r w:rsidRPr="536EB62C">
        <w:t>Previous PBAC consideration</w:t>
      </w:r>
      <w:bookmarkEnd w:id="11"/>
    </w:p>
    <w:p w14:paraId="78530C05" w14:textId="77777777" w:rsidR="00B82A32" w:rsidRDefault="006E789C" w:rsidP="00B82A32">
      <w:pPr>
        <w:pStyle w:val="3-BodyText"/>
        <w:numPr>
          <w:ilvl w:val="1"/>
          <w:numId w:val="1"/>
        </w:numPr>
      </w:pPr>
      <w:r w:rsidRPr="00450D70">
        <w:t>The PBAC has not previously considered pembrolizumab for the treatment</w:t>
      </w:r>
      <w:r w:rsidR="006D2024">
        <w:t xml:space="preserve"> of</w:t>
      </w:r>
      <w:r w:rsidRPr="00450D70">
        <w:t xml:space="preserve"> </w:t>
      </w:r>
      <w:r>
        <w:t>LA HNSCC</w:t>
      </w:r>
      <w:r w:rsidRPr="00450D70">
        <w:t xml:space="preserve">. However, </w:t>
      </w:r>
      <w:r>
        <w:t>at</w:t>
      </w:r>
      <w:r w:rsidRPr="00450D70">
        <w:t xml:space="preserve"> the </w:t>
      </w:r>
      <w:r w:rsidR="002272E2">
        <w:t>March</w:t>
      </w:r>
      <w:r w:rsidRPr="00450D70">
        <w:t xml:space="preserve"> 202</w:t>
      </w:r>
      <w:r w:rsidR="002272E2">
        <w:t>2</w:t>
      </w:r>
      <w:r w:rsidRPr="00450D70">
        <w:t xml:space="preserve"> PBAC meeting, the PBAC recommended the listing of pembrolizumab for the treatment of patients with </w:t>
      </w:r>
      <w:r w:rsidRPr="00D74203">
        <w:t>recurrent or metastatic HNSCC</w:t>
      </w:r>
      <w:r>
        <w:t>.</w:t>
      </w:r>
      <w:bookmarkStart w:id="12" w:name="_Hlk76375324"/>
    </w:p>
    <w:p w14:paraId="0BF13226" w14:textId="77777777" w:rsidR="005F3809" w:rsidRDefault="005F3809" w:rsidP="005F3809">
      <w:pPr>
        <w:pStyle w:val="2-SectionHeading"/>
      </w:pPr>
      <w:bookmarkStart w:id="13" w:name="_Toc107902078"/>
      <w:bookmarkStart w:id="14" w:name="_Toc206432630"/>
      <w:bookmarkStart w:id="15" w:name="_Toc209004699"/>
      <w:bookmarkEnd w:id="12"/>
      <w:bookmarkEnd w:id="13"/>
      <w:r w:rsidRPr="00D74203">
        <w:t>Requested listing</w:t>
      </w:r>
      <w:bookmarkEnd w:id="14"/>
      <w:bookmarkEnd w:id="15"/>
    </w:p>
    <w:p w14:paraId="280CDC59" w14:textId="77777777" w:rsidR="00EE4B37" w:rsidRPr="0095079C" w:rsidRDefault="00EE4B37" w:rsidP="00EE4B37">
      <w:pPr>
        <w:pStyle w:val="3-BodyText"/>
      </w:pPr>
      <w:r w:rsidRPr="0095079C">
        <w:t>Suggestions and additions proposed by the Secretariat are added in italics and suggested deletions are crossed out with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3095"/>
        <w:gridCol w:w="2429"/>
        <w:gridCol w:w="1702"/>
        <w:gridCol w:w="1791"/>
      </w:tblGrid>
      <w:tr w:rsidR="005F3809" w:rsidRPr="00D74203" w14:paraId="1D846694" w14:textId="77777777" w:rsidTr="75E3628F">
        <w:trPr>
          <w:cantSplit/>
          <w:trHeight w:val="20"/>
        </w:trPr>
        <w:tc>
          <w:tcPr>
            <w:tcW w:w="1716" w:type="pct"/>
            <w:vAlign w:val="center"/>
          </w:tcPr>
          <w:p w14:paraId="6F53202F" w14:textId="77777777" w:rsidR="005F3809" w:rsidRPr="00D74203" w:rsidRDefault="005F3809">
            <w:pPr>
              <w:pStyle w:val="In-tableHeading"/>
              <w:rPr>
                <w:lang w:val="en-AU"/>
              </w:rPr>
            </w:pPr>
            <w:bookmarkStart w:id="16" w:name="_Hlk104809082"/>
            <w:r w:rsidRPr="00D74203">
              <w:rPr>
                <w:lang w:val="en-AU"/>
              </w:rPr>
              <w:t>MEDICINAL PRODUCT</w:t>
            </w:r>
          </w:p>
          <w:p w14:paraId="6306AEDF" w14:textId="77777777" w:rsidR="005F3809" w:rsidRPr="00D74203" w:rsidRDefault="005F3809">
            <w:pPr>
              <w:pStyle w:val="In-tableHeading"/>
              <w:rPr>
                <w:lang w:val="en-AU"/>
              </w:rPr>
            </w:pPr>
            <w:r w:rsidRPr="00D74203">
              <w:rPr>
                <w:lang w:val="en-AU"/>
              </w:rPr>
              <w:t>Form</w:t>
            </w:r>
          </w:p>
        </w:tc>
        <w:tc>
          <w:tcPr>
            <w:tcW w:w="1347" w:type="pct"/>
            <w:vAlign w:val="center"/>
          </w:tcPr>
          <w:p w14:paraId="126F8E56" w14:textId="77777777" w:rsidR="005F3809" w:rsidRPr="00D74203" w:rsidRDefault="005F3809">
            <w:pPr>
              <w:pStyle w:val="In-tableHeading"/>
              <w:jc w:val="center"/>
              <w:rPr>
                <w:lang w:val="en-AU"/>
              </w:rPr>
            </w:pPr>
            <w:r w:rsidRPr="00D74203">
              <w:rPr>
                <w:lang w:val="en-AU"/>
              </w:rPr>
              <w:t>Dispensed Price Max Amt</w:t>
            </w:r>
          </w:p>
        </w:tc>
        <w:tc>
          <w:tcPr>
            <w:tcW w:w="944" w:type="pct"/>
            <w:vAlign w:val="center"/>
          </w:tcPr>
          <w:p w14:paraId="5CB42D3E" w14:textId="77777777" w:rsidR="005F3809" w:rsidRPr="00D74203" w:rsidRDefault="005F3809">
            <w:pPr>
              <w:pStyle w:val="In-tableHeading"/>
              <w:jc w:val="center"/>
              <w:rPr>
                <w:lang w:val="en-AU"/>
              </w:rPr>
            </w:pPr>
            <w:r w:rsidRPr="00D74203">
              <w:rPr>
                <w:lang w:val="en-AU"/>
              </w:rPr>
              <w:t>Max. Amount</w:t>
            </w:r>
          </w:p>
        </w:tc>
        <w:tc>
          <w:tcPr>
            <w:tcW w:w="993" w:type="pct"/>
            <w:vAlign w:val="center"/>
          </w:tcPr>
          <w:p w14:paraId="07387F9D" w14:textId="77777777" w:rsidR="005F3809" w:rsidRPr="00D74203" w:rsidRDefault="005F3809">
            <w:pPr>
              <w:pStyle w:val="In-tableHeading"/>
              <w:jc w:val="center"/>
              <w:rPr>
                <w:lang w:val="en-AU"/>
              </w:rPr>
            </w:pPr>
            <w:bookmarkStart w:id="17" w:name="_Int_ZGHAr1ik"/>
            <w:r w:rsidRPr="75E3628F">
              <w:rPr>
                <w:lang w:val="en-AU"/>
              </w:rPr>
              <w:t>№.of</w:t>
            </w:r>
            <w:bookmarkEnd w:id="17"/>
            <w:r w:rsidRPr="75E3628F">
              <w:rPr>
                <w:lang w:val="en-AU"/>
              </w:rPr>
              <w:t xml:space="preserve"> Rpts</w:t>
            </w:r>
          </w:p>
        </w:tc>
      </w:tr>
      <w:tr w:rsidR="005F3809" w:rsidRPr="00D74203" w14:paraId="1D3E5B46" w14:textId="77777777" w:rsidTr="75E3628F">
        <w:trPr>
          <w:cantSplit/>
          <w:trHeight w:val="20"/>
        </w:trPr>
        <w:tc>
          <w:tcPr>
            <w:tcW w:w="1716" w:type="pct"/>
            <w:vAlign w:val="center"/>
          </w:tcPr>
          <w:p w14:paraId="7B600C9C" w14:textId="77777777" w:rsidR="005F3809" w:rsidRPr="00EF6B1A" w:rsidRDefault="005F3809">
            <w:pPr>
              <w:pStyle w:val="TableFooter"/>
              <w:keepNext/>
              <w:keepLines/>
              <w:rPr>
                <w:strike/>
                <w:sz w:val="20"/>
                <w:szCs w:val="20"/>
              </w:rPr>
            </w:pPr>
            <w:r w:rsidRPr="00EF6B1A">
              <w:rPr>
                <w:strike/>
                <w:sz w:val="20"/>
                <w:szCs w:val="20"/>
              </w:rPr>
              <w:t xml:space="preserve">PEMBROLIZUMAB </w:t>
            </w:r>
          </w:p>
          <w:p w14:paraId="2ED0BC80" w14:textId="77777777" w:rsidR="005F3809" w:rsidRPr="00EF6B1A" w:rsidRDefault="005F3809">
            <w:pPr>
              <w:pStyle w:val="TableText0"/>
              <w:rPr>
                <w:strike/>
              </w:rPr>
            </w:pPr>
            <w:r w:rsidRPr="00EF6B1A">
              <w:rPr>
                <w:strike/>
                <w:szCs w:val="20"/>
              </w:rPr>
              <w:t>Solution concentration for I.V. infusion</w:t>
            </w:r>
          </w:p>
        </w:tc>
        <w:tc>
          <w:tcPr>
            <w:tcW w:w="1347" w:type="pct"/>
            <w:vAlign w:val="center"/>
          </w:tcPr>
          <w:p w14:paraId="18DC4FD9" w14:textId="77777777" w:rsidR="005F3809" w:rsidRPr="00EF6B1A" w:rsidRDefault="005F3809" w:rsidP="00337317">
            <w:pPr>
              <w:pStyle w:val="TableFooter"/>
              <w:keepNext/>
              <w:keepLines/>
              <w:jc w:val="center"/>
              <w:rPr>
                <w:bCs/>
                <w:strike/>
                <w:sz w:val="20"/>
                <w:szCs w:val="20"/>
              </w:rPr>
            </w:pPr>
            <w:r w:rsidRPr="00EF6B1A">
              <w:rPr>
                <w:bCs/>
                <w:strike/>
                <w:sz w:val="20"/>
                <w:szCs w:val="20"/>
                <w:u w:val="single"/>
              </w:rPr>
              <w:t>Published prices</w:t>
            </w:r>
            <w:r w:rsidRPr="00EF6B1A">
              <w:rPr>
                <w:bCs/>
                <w:strike/>
                <w:sz w:val="20"/>
                <w:szCs w:val="20"/>
              </w:rPr>
              <w:t>:</w:t>
            </w:r>
          </w:p>
          <w:p w14:paraId="56EFE709" w14:textId="77777777" w:rsidR="005F3809" w:rsidRPr="00EF6B1A" w:rsidRDefault="005F3809" w:rsidP="00337317">
            <w:pPr>
              <w:pStyle w:val="TableFooter"/>
              <w:keepNext/>
              <w:keepLines/>
              <w:jc w:val="center"/>
              <w:rPr>
                <w:bCs/>
                <w:strike/>
                <w:sz w:val="20"/>
                <w:szCs w:val="20"/>
              </w:rPr>
            </w:pPr>
            <w:r w:rsidRPr="00EF6B1A">
              <w:rPr>
                <w:bCs/>
                <w:strike/>
                <w:sz w:val="20"/>
                <w:szCs w:val="20"/>
              </w:rPr>
              <w:t>$7,738.73 (Public)</w:t>
            </w:r>
          </w:p>
          <w:p w14:paraId="4C7F2EBE" w14:textId="77777777" w:rsidR="005F3809" w:rsidRPr="00EF6B1A" w:rsidRDefault="005F3809" w:rsidP="00337317">
            <w:pPr>
              <w:pStyle w:val="TableFooter"/>
              <w:keepNext/>
              <w:keepLines/>
              <w:jc w:val="center"/>
              <w:rPr>
                <w:bCs/>
                <w:strike/>
                <w:sz w:val="20"/>
                <w:szCs w:val="20"/>
              </w:rPr>
            </w:pPr>
            <w:r w:rsidRPr="00EF6B1A">
              <w:rPr>
                <w:bCs/>
                <w:strike/>
                <w:sz w:val="20"/>
                <w:szCs w:val="20"/>
              </w:rPr>
              <w:t>$7,891.47 (Private)</w:t>
            </w:r>
          </w:p>
          <w:p w14:paraId="46310D22" w14:textId="77777777" w:rsidR="005F3809" w:rsidRPr="00EF6B1A" w:rsidRDefault="005F3809" w:rsidP="00337317">
            <w:pPr>
              <w:pStyle w:val="TableFooter"/>
              <w:keepNext/>
              <w:keepLines/>
              <w:jc w:val="center"/>
              <w:rPr>
                <w:bCs/>
                <w:strike/>
                <w:sz w:val="20"/>
                <w:szCs w:val="20"/>
              </w:rPr>
            </w:pPr>
            <w:r w:rsidRPr="00EF6B1A">
              <w:rPr>
                <w:bCs/>
                <w:strike/>
                <w:sz w:val="20"/>
                <w:szCs w:val="20"/>
                <w:u w:val="single"/>
              </w:rPr>
              <w:t>Effective prices</w:t>
            </w:r>
            <w:r w:rsidRPr="00EF6B1A">
              <w:rPr>
                <w:bCs/>
                <w:strike/>
                <w:sz w:val="20"/>
                <w:szCs w:val="20"/>
              </w:rPr>
              <w:t>:</w:t>
            </w:r>
          </w:p>
          <w:p w14:paraId="62D1B095" w14:textId="08DAA0E9" w:rsidR="005F3809" w:rsidRPr="00EF6B1A" w:rsidRDefault="005F3809" w:rsidP="00337317">
            <w:pPr>
              <w:pStyle w:val="TableFooter"/>
              <w:keepNext/>
              <w:keepLines/>
              <w:jc w:val="center"/>
              <w:rPr>
                <w:bCs/>
                <w:strike/>
                <w:sz w:val="20"/>
                <w:szCs w:val="20"/>
              </w:rPr>
            </w:pPr>
            <w:r w:rsidRPr="00EF6B1A">
              <w:rPr>
                <w:bCs/>
                <w:strike/>
                <w:sz w:val="20"/>
                <w:szCs w:val="20"/>
              </w:rPr>
              <w:t>$</w:t>
            </w:r>
            <w:r w:rsidR="00576021" w:rsidRPr="001758D2">
              <w:rPr>
                <w:bCs/>
                <w:strike/>
                <w:sz w:val="20"/>
                <w:szCs w:val="20"/>
                <w:highlight w:val="black"/>
              </w:rPr>
              <w:t>&amp;&amp;&amp;&amp;</w:t>
            </w:r>
            <w:r w:rsidRPr="00EF6B1A">
              <w:rPr>
                <w:bCs/>
                <w:strike/>
                <w:sz w:val="20"/>
                <w:szCs w:val="20"/>
              </w:rPr>
              <w:t xml:space="preserve"> (Public)</w:t>
            </w:r>
          </w:p>
          <w:p w14:paraId="21703F2A" w14:textId="4B511DA3" w:rsidR="005F3809" w:rsidRPr="00EF6B1A" w:rsidRDefault="005F3809" w:rsidP="00337317">
            <w:pPr>
              <w:pStyle w:val="TableText0"/>
              <w:jc w:val="center"/>
              <w:rPr>
                <w:strike/>
              </w:rPr>
            </w:pPr>
            <w:r w:rsidRPr="00EF6B1A">
              <w:rPr>
                <w:strike/>
                <w:szCs w:val="20"/>
              </w:rPr>
              <w:t>$</w:t>
            </w:r>
            <w:r w:rsidR="00576021" w:rsidRPr="001758D2">
              <w:rPr>
                <w:strike/>
                <w:szCs w:val="20"/>
                <w:highlight w:val="black"/>
              </w:rPr>
              <w:t>&amp;&amp;&amp;&amp;</w:t>
            </w:r>
            <w:r w:rsidRPr="00EF6B1A">
              <w:rPr>
                <w:strike/>
                <w:szCs w:val="20"/>
              </w:rPr>
              <w:t xml:space="preserve"> (Private)</w:t>
            </w:r>
          </w:p>
        </w:tc>
        <w:tc>
          <w:tcPr>
            <w:tcW w:w="944" w:type="pct"/>
            <w:vAlign w:val="center"/>
          </w:tcPr>
          <w:p w14:paraId="6A33EB79" w14:textId="77777777" w:rsidR="005F3809" w:rsidRPr="00EF6B1A" w:rsidRDefault="005F3809">
            <w:pPr>
              <w:pStyle w:val="TableText0"/>
              <w:jc w:val="center"/>
              <w:rPr>
                <w:strike/>
              </w:rPr>
            </w:pPr>
            <w:r w:rsidRPr="00EF6B1A">
              <w:rPr>
                <w:strike/>
                <w:szCs w:val="20"/>
              </w:rPr>
              <w:t>200 mg</w:t>
            </w:r>
          </w:p>
        </w:tc>
        <w:tc>
          <w:tcPr>
            <w:tcW w:w="993" w:type="pct"/>
            <w:vAlign w:val="center"/>
          </w:tcPr>
          <w:p w14:paraId="64DD6A28" w14:textId="77777777" w:rsidR="005F3809" w:rsidRPr="00EF6B1A" w:rsidRDefault="005F3809">
            <w:pPr>
              <w:pStyle w:val="TableText0"/>
              <w:jc w:val="center"/>
              <w:rPr>
                <w:strike/>
              </w:rPr>
            </w:pPr>
            <w:r w:rsidRPr="00EF6B1A">
              <w:rPr>
                <w:strike/>
                <w:szCs w:val="20"/>
              </w:rPr>
              <w:t>7</w:t>
            </w:r>
          </w:p>
        </w:tc>
      </w:tr>
      <w:tr w:rsidR="005F3809" w:rsidRPr="00D74203" w14:paraId="175AB5D7" w14:textId="77777777" w:rsidTr="75E3628F">
        <w:trPr>
          <w:cantSplit/>
          <w:trHeight w:val="20"/>
        </w:trPr>
        <w:tc>
          <w:tcPr>
            <w:tcW w:w="1716" w:type="pct"/>
            <w:vAlign w:val="center"/>
          </w:tcPr>
          <w:p w14:paraId="7C403EA1" w14:textId="77777777" w:rsidR="005F3809" w:rsidRPr="00D74203" w:rsidRDefault="005F3809">
            <w:pPr>
              <w:pStyle w:val="TableFooter"/>
              <w:keepNext/>
              <w:keepLines/>
              <w:rPr>
                <w:sz w:val="20"/>
                <w:szCs w:val="20"/>
              </w:rPr>
            </w:pPr>
            <w:r w:rsidRPr="00D74203">
              <w:rPr>
                <w:sz w:val="20"/>
                <w:szCs w:val="20"/>
              </w:rPr>
              <w:t>PEMBROLIZUMAB</w:t>
            </w:r>
          </w:p>
          <w:p w14:paraId="47AF9B27" w14:textId="77777777" w:rsidR="005F3809" w:rsidRPr="00D74203" w:rsidRDefault="005F3809">
            <w:pPr>
              <w:pStyle w:val="TableText0"/>
            </w:pPr>
            <w:r w:rsidRPr="00D74203">
              <w:rPr>
                <w:szCs w:val="20"/>
              </w:rPr>
              <w:t>Solution concentration for I.V. infusion</w:t>
            </w:r>
          </w:p>
        </w:tc>
        <w:tc>
          <w:tcPr>
            <w:tcW w:w="1347" w:type="pct"/>
            <w:vAlign w:val="center"/>
          </w:tcPr>
          <w:p w14:paraId="36DFF9F7" w14:textId="77777777" w:rsidR="005F3809" w:rsidRPr="00D74203" w:rsidRDefault="005F3809" w:rsidP="00337317">
            <w:pPr>
              <w:pStyle w:val="TableFooter"/>
              <w:keepNext/>
              <w:keepLines/>
              <w:jc w:val="center"/>
              <w:rPr>
                <w:bCs/>
                <w:sz w:val="20"/>
                <w:szCs w:val="20"/>
              </w:rPr>
            </w:pPr>
            <w:r w:rsidRPr="00D74203">
              <w:rPr>
                <w:bCs/>
                <w:sz w:val="20"/>
                <w:szCs w:val="20"/>
                <w:u w:val="single"/>
              </w:rPr>
              <w:t>Published prices</w:t>
            </w:r>
            <w:r w:rsidRPr="00D74203">
              <w:rPr>
                <w:bCs/>
                <w:sz w:val="20"/>
                <w:szCs w:val="20"/>
              </w:rPr>
              <w:t>:</w:t>
            </w:r>
          </w:p>
          <w:p w14:paraId="4985478E" w14:textId="77777777" w:rsidR="005F3809" w:rsidRPr="00D74203" w:rsidRDefault="005F3809" w:rsidP="00337317">
            <w:pPr>
              <w:pStyle w:val="TableFooter"/>
              <w:keepNext/>
              <w:keepLines/>
              <w:jc w:val="center"/>
              <w:rPr>
                <w:bCs/>
                <w:sz w:val="20"/>
                <w:szCs w:val="20"/>
              </w:rPr>
            </w:pPr>
            <w:r w:rsidRPr="00D74203">
              <w:rPr>
                <w:bCs/>
                <w:sz w:val="20"/>
                <w:szCs w:val="20"/>
              </w:rPr>
              <w:t>$15,386.23 (Public)</w:t>
            </w:r>
          </w:p>
          <w:p w14:paraId="1916EFB9" w14:textId="77777777" w:rsidR="005F3809" w:rsidRPr="00D74203" w:rsidRDefault="005F3809" w:rsidP="00337317">
            <w:pPr>
              <w:pStyle w:val="TableFooter"/>
              <w:keepNext/>
              <w:keepLines/>
              <w:jc w:val="center"/>
              <w:rPr>
                <w:bCs/>
                <w:sz w:val="20"/>
                <w:szCs w:val="20"/>
              </w:rPr>
            </w:pPr>
            <w:r w:rsidRPr="00D74203">
              <w:rPr>
                <w:bCs/>
                <w:sz w:val="20"/>
                <w:szCs w:val="20"/>
              </w:rPr>
              <w:t>$15,646.02 (Private)</w:t>
            </w:r>
          </w:p>
          <w:p w14:paraId="1FF75D95" w14:textId="77777777" w:rsidR="005F3809" w:rsidRPr="00D74203" w:rsidRDefault="005F3809" w:rsidP="00337317">
            <w:pPr>
              <w:pStyle w:val="TableFooter"/>
              <w:keepNext/>
              <w:keepLines/>
              <w:jc w:val="center"/>
              <w:rPr>
                <w:bCs/>
                <w:sz w:val="20"/>
                <w:szCs w:val="20"/>
              </w:rPr>
            </w:pPr>
            <w:r w:rsidRPr="00D74203">
              <w:rPr>
                <w:bCs/>
                <w:sz w:val="20"/>
                <w:szCs w:val="20"/>
                <w:u w:val="single"/>
              </w:rPr>
              <w:t>Effective prices</w:t>
            </w:r>
            <w:r w:rsidRPr="00D74203">
              <w:rPr>
                <w:bCs/>
                <w:sz w:val="20"/>
                <w:szCs w:val="20"/>
              </w:rPr>
              <w:t>:</w:t>
            </w:r>
          </w:p>
          <w:p w14:paraId="6FCDDAA4" w14:textId="2830FB47" w:rsidR="005F3809" w:rsidRPr="00D74203" w:rsidRDefault="005F3809" w:rsidP="00337317">
            <w:pPr>
              <w:pStyle w:val="TableFooter"/>
              <w:keepNext/>
              <w:keepLines/>
              <w:jc w:val="center"/>
              <w:rPr>
                <w:bCs/>
                <w:sz w:val="20"/>
                <w:szCs w:val="20"/>
              </w:rPr>
            </w:pPr>
            <w:r w:rsidRPr="00D74203">
              <w:rPr>
                <w:bCs/>
                <w:sz w:val="20"/>
                <w:szCs w:val="20"/>
              </w:rPr>
              <w:t>$</w:t>
            </w:r>
            <w:r w:rsidR="00576021" w:rsidRPr="001758D2">
              <w:rPr>
                <w:bCs/>
                <w:sz w:val="20"/>
                <w:szCs w:val="20"/>
                <w:highlight w:val="black"/>
              </w:rPr>
              <w:t>&amp;&amp;&amp;&amp;</w:t>
            </w:r>
            <w:r w:rsidRPr="00D74203">
              <w:rPr>
                <w:bCs/>
                <w:sz w:val="20"/>
                <w:szCs w:val="20"/>
              </w:rPr>
              <w:t xml:space="preserve"> (Public)</w:t>
            </w:r>
          </w:p>
          <w:p w14:paraId="4749CAA7" w14:textId="68A71210" w:rsidR="005F3809" w:rsidRPr="00D74203" w:rsidRDefault="005F3809" w:rsidP="00337317">
            <w:pPr>
              <w:pStyle w:val="TableText0"/>
              <w:jc w:val="center"/>
            </w:pPr>
            <w:r w:rsidRPr="00D74203">
              <w:rPr>
                <w:szCs w:val="20"/>
              </w:rPr>
              <w:t>$</w:t>
            </w:r>
            <w:r w:rsidR="00576021" w:rsidRPr="001758D2">
              <w:rPr>
                <w:szCs w:val="20"/>
                <w:highlight w:val="black"/>
              </w:rPr>
              <w:t>&amp;&amp;&amp;&amp;</w:t>
            </w:r>
            <w:r w:rsidRPr="00D74203">
              <w:rPr>
                <w:szCs w:val="20"/>
              </w:rPr>
              <w:t xml:space="preserve"> (Private)</w:t>
            </w:r>
          </w:p>
        </w:tc>
        <w:tc>
          <w:tcPr>
            <w:tcW w:w="944" w:type="pct"/>
            <w:vAlign w:val="center"/>
          </w:tcPr>
          <w:p w14:paraId="74F032EB" w14:textId="77777777" w:rsidR="005F3809" w:rsidRPr="00D74203" w:rsidRDefault="005F3809">
            <w:pPr>
              <w:pStyle w:val="TableText0"/>
              <w:jc w:val="center"/>
            </w:pPr>
            <w:r w:rsidRPr="00D74203">
              <w:rPr>
                <w:szCs w:val="20"/>
              </w:rPr>
              <w:t>400 mg</w:t>
            </w:r>
          </w:p>
        </w:tc>
        <w:tc>
          <w:tcPr>
            <w:tcW w:w="993" w:type="pct"/>
            <w:vAlign w:val="center"/>
          </w:tcPr>
          <w:p w14:paraId="3DDE61CC" w14:textId="1BEEBD19" w:rsidR="005F3809" w:rsidRPr="00EF6B1A" w:rsidRDefault="005F3809">
            <w:pPr>
              <w:pStyle w:val="TableText0"/>
              <w:jc w:val="center"/>
              <w:rPr>
                <w:strike/>
              </w:rPr>
            </w:pPr>
            <w:r w:rsidRPr="00EF6B1A">
              <w:rPr>
                <w:strike/>
                <w:szCs w:val="20"/>
              </w:rPr>
              <w:t>3</w:t>
            </w:r>
            <w:r w:rsidR="00EF6B1A" w:rsidRPr="00EF6B1A">
              <w:rPr>
                <w:i/>
                <w:iCs/>
                <w:szCs w:val="20"/>
              </w:rPr>
              <w:t xml:space="preserve"> 7</w:t>
            </w:r>
          </w:p>
        </w:tc>
      </w:tr>
      <w:tr w:rsidR="005F3809" w:rsidRPr="00D74203" w14:paraId="7E5ABFDB" w14:textId="77777777" w:rsidTr="75E3628F">
        <w:trPr>
          <w:cantSplit/>
          <w:trHeight w:val="20"/>
        </w:trPr>
        <w:tc>
          <w:tcPr>
            <w:tcW w:w="5000" w:type="pct"/>
            <w:gridSpan w:val="4"/>
            <w:vAlign w:val="center"/>
          </w:tcPr>
          <w:p w14:paraId="0DFEADB5" w14:textId="77777777" w:rsidR="005F3809" w:rsidRPr="00D74203" w:rsidRDefault="005F3809">
            <w:pPr>
              <w:pStyle w:val="TableText0"/>
              <w:rPr>
                <w:b/>
                <w:bCs w:val="0"/>
              </w:rPr>
            </w:pPr>
            <w:r w:rsidRPr="00D74203">
              <w:rPr>
                <w:b/>
                <w:bCs w:val="0"/>
              </w:rPr>
              <w:t xml:space="preserve">Available brands </w:t>
            </w:r>
          </w:p>
        </w:tc>
      </w:tr>
      <w:tr w:rsidR="005F3809" w:rsidRPr="00D74203" w14:paraId="3D3BC5F4" w14:textId="77777777" w:rsidTr="75E3628F">
        <w:trPr>
          <w:cantSplit/>
          <w:trHeight w:val="20"/>
        </w:trPr>
        <w:tc>
          <w:tcPr>
            <w:tcW w:w="5000" w:type="pct"/>
            <w:gridSpan w:val="4"/>
            <w:vAlign w:val="center"/>
          </w:tcPr>
          <w:p w14:paraId="7A7F4338" w14:textId="77777777" w:rsidR="005F3809" w:rsidRPr="00D74203" w:rsidRDefault="005F3809">
            <w:pPr>
              <w:pStyle w:val="TableText0"/>
            </w:pPr>
            <w:r w:rsidRPr="00D74203">
              <w:t>Keytruda</w:t>
            </w:r>
          </w:p>
          <w:p w14:paraId="7F42B58C" w14:textId="77777777" w:rsidR="005F3809" w:rsidRPr="00D74203" w:rsidRDefault="005F3809">
            <w:pPr>
              <w:pStyle w:val="TableText0"/>
            </w:pPr>
            <w:r w:rsidRPr="00D74203">
              <w:t>(pembrolizumab 100 mg in 4mL solution concentration for I.V. infusion, 1 vial)</w:t>
            </w:r>
          </w:p>
        </w:tc>
      </w:tr>
    </w:tbl>
    <w:p w14:paraId="5B0D775C" w14:textId="77777777" w:rsidR="00D014AF" w:rsidRPr="00677261" w:rsidRDefault="00D466E0" w:rsidP="00677261">
      <w:pPr>
        <w:pStyle w:val="TableFigureFooter"/>
      </w:pPr>
      <w:r w:rsidRPr="00677261">
        <w:t xml:space="preserve">Source: Table 1.4-1, p20 of the submission. </w:t>
      </w:r>
    </w:p>
    <w:p w14:paraId="7FD47EDF" w14:textId="77777777" w:rsidR="005F3809" w:rsidRPr="00677261" w:rsidRDefault="005F3809" w:rsidP="00053C8C">
      <w:pPr>
        <w:pStyle w:val="FooterTableFigure"/>
        <w:spacing w:after="0"/>
      </w:pPr>
      <w:r w:rsidRPr="00677261">
        <w:t>I.V. = intravenous</w:t>
      </w:r>
    </w:p>
    <w:p w14:paraId="16142C92" w14:textId="77777777" w:rsidR="005F3809" w:rsidRPr="00D74203" w:rsidRDefault="005F3809" w:rsidP="005F380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Caption w:val="Requested listing"/>
      </w:tblPr>
      <w:tblGrid>
        <w:gridCol w:w="9017"/>
      </w:tblGrid>
      <w:tr w:rsidR="005F3809" w:rsidRPr="00D74203" w14:paraId="512526FE" w14:textId="77777777" w:rsidTr="75E3628F">
        <w:trPr>
          <w:cantSplit/>
          <w:trHeight w:val="20"/>
        </w:trPr>
        <w:tc>
          <w:tcPr>
            <w:tcW w:w="5000" w:type="pct"/>
          </w:tcPr>
          <w:p w14:paraId="2A0306B5" w14:textId="77777777" w:rsidR="005F3809" w:rsidRPr="00D74203" w:rsidRDefault="005F3809" w:rsidP="00631C9F">
            <w:pPr>
              <w:pStyle w:val="TableText0"/>
            </w:pPr>
            <w:r w:rsidRPr="00D74203">
              <w:rPr>
                <w:b/>
              </w:rPr>
              <w:lastRenderedPageBreak/>
              <w:t xml:space="preserve">Category / Program: </w:t>
            </w:r>
            <w:r w:rsidRPr="00D74203">
              <w:t>Section 100 – Efficient Funding of Chemotherapy Public/Private hospitals</w:t>
            </w:r>
          </w:p>
        </w:tc>
      </w:tr>
      <w:tr w:rsidR="005F3809" w:rsidRPr="00D74203" w14:paraId="0A708C19" w14:textId="77777777" w:rsidTr="75E3628F">
        <w:trPr>
          <w:cantSplit/>
          <w:trHeight w:val="20"/>
        </w:trPr>
        <w:tc>
          <w:tcPr>
            <w:tcW w:w="5000" w:type="pct"/>
          </w:tcPr>
          <w:p w14:paraId="1955C4EE" w14:textId="77777777" w:rsidR="005F3809" w:rsidRPr="00D74203" w:rsidRDefault="005F3809" w:rsidP="00631C9F">
            <w:pPr>
              <w:pStyle w:val="TableText0"/>
              <w:rPr>
                <w:b/>
              </w:rPr>
            </w:pPr>
            <w:r w:rsidRPr="00D74203">
              <w:rPr>
                <w:b/>
              </w:rPr>
              <w:t xml:space="preserve">Prescriber type: </w:t>
            </w:r>
            <w:r w:rsidRPr="00D74203">
              <w:fldChar w:fldCharType="begin">
                <w:ffData>
                  <w:name w:val=""/>
                  <w:enabled/>
                  <w:calcOnExit w:val="0"/>
                  <w:checkBox>
                    <w:sizeAuto/>
                    <w:default w:val="1"/>
                  </w:checkBox>
                </w:ffData>
              </w:fldChar>
            </w:r>
            <w:r w:rsidRPr="00D74203">
              <w:instrText xml:space="preserve"> FORMCHECKBOX </w:instrText>
            </w:r>
            <w:r w:rsidRPr="00D74203">
              <w:fldChar w:fldCharType="separate"/>
            </w:r>
            <w:r w:rsidRPr="00D74203">
              <w:fldChar w:fldCharType="end"/>
            </w:r>
            <w:r w:rsidRPr="00D74203">
              <w:t>Medical Practitioners</w:t>
            </w:r>
          </w:p>
        </w:tc>
      </w:tr>
      <w:tr w:rsidR="005F3809" w:rsidRPr="00D74203" w14:paraId="03F3257A" w14:textId="77777777" w:rsidTr="75E3628F">
        <w:trPr>
          <w:cantSplit/>
          <w:trHeight w:val="20"/>
        </w:trPr>
        <w:tc>
          <w:tcPr>
            <w:tcW w:w="5000" w:type="pct"/>
          </w:tcPr>
          <w:p w14:paraId="1ABB3FF3" w14:textId="77777777" w:rsidR="005F3809" w:rsidRPr="00D74203" w:rsidRDefault="005F3809" w:rsidP="00631C9F">
            <w:pPr>
              <w:pStyle w:val="TableText0"/>
              <w:rPr>
                <w:b/>
              </w:rPr>
            </w:pPr>
            <w:r w:rsidRPr="00D74203">
              <w:rPr>
                <w:b/>
              </w:rPr>
              <w:t xml:space="preserve">Restriction type: </w:t>
            </w:r>
          </w:p>
          <w:p w14:paraId="1C910ED8" w14:textId="77777777" w:rsidR="005F3809" w:rsidRPr="00D74203" w:rsidRDefault="005F3809" w:rsidP="00631C9F">
            <w:pPr>
              <w:pStyle w:val="TableText0"/>
              <w:rPr>
                <w:rFonts w:eastAsia="Times New Roman"/>
              </w:rPr>
            </w:pPr>
            <w:r w:rsidRPr="00D74203">
              <w:fldChar w:fldCharType="begin">
                <w:ffData>
                  <w:name w:val=""/>
                  <w:enabled/>
                  <w:calcOnExit w:val="0"/>
                  <w:checkBox>
                    <w:sizeAuto/>
                    <w:default w:val="1"/>
                  </w:checkBox>
                </w:ffData>
              </w:fldChar>
            </w:r>
            <w:r w:rsidRPr="00D74203">
              <w:instrText xml:space="preserve"> FORMCHECKBOX </w:instrText>
            </w:r>
            <w:r w:rsidRPr="00D74203">
              <w:fldChar w:fldCharType="separate"/>
            </w:r>
            <w:r w:rsidRPr="00D74203">
              <w:fldChar w:fldCharType="end"/>
            </w:r>
            <w:r w:rsidRPr="00D74203">
              <w:rPr>
                <w:rFonts w:eastAsia="Times New Roman"/>
              </w:rPr>
              <w:t xml:space="preserve">Authority Required (STREAMLINED) </w:t>
            </w:r>
          </w:p>
        </w:tc>
      </w:tr>
      <w:tr w:rsidR="005F3809" w:rsidRPr="00D74203" w14:paraId="44B6ED7D" w14:textId="77777777" w:rsidTr="75E3628F">
        <w:trPr>
          <w:cantSplit/>
          <w:trHeight w:val="20"/>
        </w:trPr>
        <w:tc>
          <w:tcPr>
            <w:tcW w:w="5000" w:type="pct"/>
            <w:vAlign w:val="center"/>
          </w:tcPr>
          <w:p w14:paraId="21F164DB" w14:textId="77777777" w:rsidR="005F3809" w:rsidRPr="00D74203" w:rsidRDefault="005F3809" w:rsidP="00631C9F">
            <w:pPr>
              <w:pStyle w:val="TableText0"/>
              <w:rPr>
                <w:b/>
              </w:rPr>
            </w:pPr>
            <w:r w:rsidRPr="00D74203">
              <w:rPr>
                <w:b/>
              </w:rPr>
              <w:t xml:space="preserve">Severity: </w:t>
            </w:r>
            <w:r w:rsidRPr="00D74203">
              <w:rPr>
                <w:bCs w:val="0"/>
              </w:rPr>
              <w:t>Resectable locally advanced</w:t>
            </w:r>
          </w:p>
        </w:tc>
      </w:tr>
      <w:tr w:rsidR="005F3809" w:rsidRPr="00D74203" w14:paraId="7B6E8617" w14:textId="77777777" w:rsidTr="75E3628F">
        <w:trPr>
          <w:cantSplit/>
          <w:trHeight w:val="20"/>
        </w:trPr>
        <w:tc>
          <w:tcPr>
            <w:tcW w:w="5000" w:type="pct"/>
            <w:vAlign w:val="center"/>
          </w:tcPr>
          <w:p w14:paraId="38C1BCA3" w14:textId="77777777" w:rsidR="005F3809" w:rsidRPr="00D74203" w:rsidRDefault="005F3809" w:rsidP="75E3628F">
            <w:pPr>
              <w:pStyle w:val="TableText0"/>
              <w:rPr>
                <w:b/>
              </w:rPr>
            </w:pPr>
            <w:r w:rsidRPr="75E3628F">
              <w:rPr>
                <w:b/>
              </w:rPr>
              <w:t xml:space="preserve">Condition: </w:t>
            </w:r>
            <w:r>
              <w:t xml:space="preserve">Squamous cell carcinoma of the oral cavity, </w:t>
            </w:r>
            <w:bookmarkStart w:id="18" w:name="_Int_GrCZOq1n"/>
            <w:r>
              <w:t>pharynx</w:t>
            </w:r>
            <w:bookmarkEnd w:id="18"/>
            <w:r>
              <w:t xml:space="preserve"> or larynx</w:t>
            </w:r>
          </w:p>
        </w:tc>
      </w:tr>
      <w:tr w:rsidR="005F3809" w:rsidRPr="00D74203" w14:paraId="5A13C9DB" w14:textId="77777777" w:rsidTr="75E3628F">
        <w:trPr>
          <w:cantSplit/>
          <w:trHeight w:val="20"/>
        </w:trPr>
        <w:tc>
          <w:tcPr>
            <w:tcW w:w="5000" w:type="pct"/>
            <w:vAlign w:val="center"/>
            <w:hideMark/>
          </w:tcPr>
          <w:p w14:paraId="5A1B0821" w14:textId="77777777" w:rsidR="005F3809" w:rsidRPr="00D74203" w:rsidRDefault="005F3809" w:rsidP="00631C9F">
            <w:pPr>
              <w:pStyle w:val="TableText0"/>
            </w:pPr>
            <w:r w:rsidRPr="75E3628F">
              <w:rPr>
                <w:b/>
              </w:rPr>
              <w:t>Indication:</w:t>
            </w:r>
            <w:r>
              <w:t xml:space="preserve"> Resectable locally advanced squamous cell carcinoma of the oral cavity, </w:t>
            </w:r>
            <w:bookmarkStart w:id="19" w:name="_Int_J5fr5D4D"/>
            <w:r>
              <w:t>pharynx</w:t>
            </w:r>
            <w:bookmarkEnd w:id="19"/>
            <w:r>
              <w:t xml:space="preserve"> or larynx</w:t>
            </w:r>
          </w:p>
        </w:tc>
      </w:tr>
      <w:tr w:rsidR="005F3809" w:rsidRPr="00D74203" w14:paraId="0F19DE2F" w14:textId="77777777" w:rsidTr="75E3628F">
        <w:trPr>
          <w:cantSplit/>
          <w:trHeight w:val="20"/>
        </w:trPr>
        <w:tc>
          <w:tcPr>
            <w:tcW w:w="5000" w:type="pct"/>
            <w:vAlign w:val="center"/>
            <w:hideMark/>
          </w:tcPr>
          <w:p w14:paraId="4433B7AA" w14:textId="77777777" w:rsidR="005F3809" w:rsidRPr="00D74203" w:rsidRDefault="005F3809" w:rsidP="00631C9F">
            <w:pPr>
              <w:pStyle w:val="TableText0"/>
            </w:pPr>
            <w:r w:rsidRPr="00D74203">
              <w:rPr>
                <w:b/>
              </w:rPr>
              <w:t>Clinical criteria:</w:t>
            </w:r>
          </w:p>
        </w:tc>
      </w:tr>
      <w:tr w:rsidR="005F3809" w:rsidRPr="00D74203" w14:paraId="78FBC142" w14:textId="77777777" w:rsidTr="75E3628F">
        <w:trPr>
          <w:cantSplit/>
          <w:trHeight w:val="20"/>
        </w:trPr>
        <w:tc>
          <w:tcPr>
            <w:tcW w:w="5000" w:type="pct"/>
            <w:vAlign w:val="center"/>
            <w:hideMark/>
          </w:tcPr>
          <w:p w14:paraId="6E6D7A5A" w14:textId="77777777" w:rsidR="005F3809" w:rsidRPr="00D74203" w:rsidRDefault="005F3809" w:rsidP="00631C9F">
            <w:pPr>
              <w:pStyle w:val="TableText0"/>
            </w:pPr>
            <w:r>
              <w:t xml:space="preserve">Patient must have stage III-IVB squamous cell carcinoma of the oral cavity, </w:t>
            </w:r>
            <w:bookmarkStart w:id="20" w:name="_Int_TINwhrU2"/>
            <w:r>
              <w:t>pharynx</w:t>
            </w:r>
            <w:bookmarkEnd w:id="20"/>
            <w:r>
              <w:t xml:space="preserve"> or larynx</w:t>
            </w:r>
          </w:p>
        </w:tc>
      </w:tr>
      <w:tr w:rsidR="005F3809" w:rsidRPr="00D74203" w14:paraId="30D7654E" w14:textId="77777777" w:rsidTr="75E3628F">
        <w:trPr>
          <w:cantSplit/>
          <w:trHeight w:val="20"/>
        </w:trPr>
        <w:tc>
          <w:tcPr>
            <w:tcW w:w="5000" w:type="pct"/>
            <w:vAlign w:val="center"/>
            <w:hideMark/>
          </w:tcPr>
          <w:p w14:paraId="6D31F6D6" w14:textId="77777777" w:rsidR="005F3809" w:rsidRPr="00277B51" w:rsidRDefault="005F3809" w:rsidP="00631C9F">
            <w:pPr>
              <w:pStyle w:val="TableText0"/>
            </w:pPr>
            <w:r w:rsidRPr="00277B51">
              <w:rPr>
                <w:b/>
              </w:rPr>
              <w:t>AND</w:t>
            </w:r>
          </w:p>
        </w:tc>
      </w:tr>
      <w:tr w:rsidR="005F3809" w:rsidRPr="00D74203" w14:paraId="51233F47" w14:textId="77777777" w:rsidTr="75E3628F">
        <w:trPr>
          <w:cantSplit/>
          <w:trHeight w:val="20"/>
        </w:trPr>
        <w:tc>
          <w:tcPr>
            <w:tcW w:w="5000" w:type="pct"/>
            <w:vAlign w:val="center"/>
            <w:hideMark/>
          </w:tcPr>
          <w:p w14:paraId="52563B06" w14:textId="77777777" w:rsidR="005F3809" w:rsidRPr="00277B51" w:rsidRDefault="005F3809" w:rsidP="00631C9F">
            <w:pPr>
              <w:pStyle w:val="TableText0"/>
            </w:pPr>
            <w:r w:rsidRPr="00277B51">
              <w:rPr>
                <w:b/>
              </w:rPr>
              <w:t>Clinical criteria:</w:t>
            </w:r>
          </w:p>
        </w:tc>
      </w:tr>
      <w:tr w:rsidR="005F3809" w:rsidRPr="00D74203" w14:paraId="2B95EB13" w14:textId="77777777" w:rsidTr="75E3628F">
        <w:trPr>
          <w:cantSplit/>
          <w:trHeight w:val="20"/>
        </w:trPr>
        <w:tc>
          <w:tcPr>
            <w:tcW w:w="5000" w:type="pct"/>
            <w:vAlign w:val="center"/>
            <w:hideMark/>
          </w:tcPr>
          <w:p w14:paraId="503F686D" w14:textId="03E1C131" w:rsidR="005F3809" w:rsidRPr="00277B51" w:rsidRDefault="005F3809" w:rsidP="00631C9F">
            <w:pPr>
              <w:pStyle w:val="TableText0"/>
              <w:rPr>
                <w:color w:val="0066FF"/>
              </w:rPr>
            </w:pPr>
            <w:r w:rsidRPr="00277B51">
              <w:t>Patient must have tumour(s) that are resectable as assessed by the treating clinician</w:t>
            </w:r>
            <w:r w:rsidR="00FA1276" w:rsidRPr="00277B51">
              <w:t xml:space="preserve"> </w:t>
            </w:r>
          </w:p>
        </w:tc>
      </w:tr>
      <w:tr w:rsidR="005F3809" w:rsidRPr="00D74203" w14:paraId="7F6F43D9" w14:textId="77777777" w:rsidTr="75E3628F">
        <w:trPr>
          <w:cantSplit/>
          <w:trHeight w:val="20"/>
        </w:trPr>
        <w:tc>
          <w:tcPr>
            <w:tcW w:w="5000" w:type="pct"/>
            <w:vAlign w:val="center"/>
            <w:hideMark/>
          </w:tcPr>
          <w:p w14:paraId="31680AB3" w14:textId="2884DFE7" w:rsidR="005F3809" w:rsidRPr="00277B51" w:rsidRDefault="00FA1276" w:rsidP="00631C9F">
            <w:pPr>
              <w:pStyle w:val="TableText0"/>
              <w:rPr>
                <w:i/>
                <w:iCs/>
              </w:rPr>
            </w:pPr>
            <w:r w:rsidRPr="00277B51">
              <w:rPr>
                <w:b/>
                <w:bCs w:val="0"/>
                <w:i/>
                <w:iCs/>
              </w:rPr>
              <w:t>OR</w:t>
            </w:r>
          </w:p>
        </w:tc>
      </w:tr>
      <w:tr w:rsidR="00FA1276" w:rsidRPr="00D74203" w14:paraId="7EAE9CF6" w14:textId="77777777" w:rsidTr="75E3628F">
        <w:trPr>
          <w:cantSplit/>
          <w:trHeight w:val="20"/>
        </w:trPr>
        <w:tc>
          <w:tcPr>
            <w:tcW w:w="5000" w:type="pct"/>
            <w:vAlign w:val="center"/>
          </w:tcPr>
          <w:p w14:paraId="6C7C7C04" w14:textId="7692ACF2" w:rsidR="00FA1276" w:rsidRPr="00D74203" w:rsidRDefault="00CD3A41" w:rsidP="00631C9F">
            <w:pPr>
              <w:pStyle w:val="TableText0"/>
              <w:rPr>
                <w:b/>
              </w:rPr>
            </w:pPr>
            <w:r w:rsidRPr="00C3591D">
              <w:rPr>
                <w:i/>
                <w:iCs/>
                <w:szCs w:val="20"/>
              </w:rPr>
              <w:t>Patient must have undergone surgical resection</w:t>
            </w:r>
          </w:p>
        </w:tc>
      </w:tr>
      <w:tr w:rsidR="00FA1276" w:rsidRPr="00D74203" w14:paraId="7BFC3FCB" w14:textId="77777777" w:rsidTr="75E3628F">
        <w:trPr>
          <w:cantSplit/>
          <w:trHeight w:val="20"/>
        </w:trPr>
        <w:tc>
          <w:tcPr>
            <w:tcW w:w="5000" w:type="pct"/>
            <w:vAlign w:val="center"/>
          </w:tcPr>
          <w:p w14:paraId="30E27DAE" w14:textId="2D31E95A" w:rsidR="00FA1276" w:rsidRPr="00D74203" w:rsidRDefault="00FA1276" w:rsidP="00631C9F">
            <w:pPr>
              <w:pStyle w:val="TableText0"/>
              <w:rPr>
                <w:b/>
              </w:rPr>
            </w:pPr>
            <w:r w:rsidRPr="00D74203">
              <w:rPr>
                <w:b/>
              </w:rPr>
              <w:t>AND</w:t>
            </w:r>
          </w:p>
        </w:tc>
      </w:tr>
      <w:tr w:rsidR="005F3809" w:rsidRPr="00D74203" w14:paraId="6CA69153" w14:textId="77777777" w:rsidTr="75E3628F">
        <w:trPr>
          <w:cantSplit/>
          <w:trHeight w:val="20"/>
        </w:trPr>
        <w:tc>
          <w:tcPr>
            <w:tcW w:w="5000" w:type="pct"/>
            <w:vAlign w:val="center"/>
            <w:hideMark/>
          </w:tcPr>
          <w:p w14:paraId="6A8ADF54" w14:textId="77777777" w:rsidR="005F3809" w:rsidRPr="00D74203" w:rsidRDefault="005F3809" w:rsidP="00631C9F">
            <w:pPr>
              <w:pStyle w:val="TableText0"/>
            </w:pPr>
            <w:r w:rsidRPr="00D74203">
              <w:rPr>
                <w:b/>
              </w:rPr>
              <w:t>Clinical criteria:</w:t>
            </w:r>
          </w:p>
        </w:tc>
      </w:tr>
      <w:tr w:rsidR="005F3809" w:rsidRPr="00D74203" w14:paraId="2D99C2BD" w14:textId="77777777" w:rsidTr="75E3628F">
        <w:trPr>
          <w:cantSplit/>
          <w:trHeight w:val="20"/>
        </w:trPr>
        <w:tc>
          <w:tcPr>
            <w:tcW w:w="5000" w:type="pct"/>
            <w:vAlign w:val="center"/>
            <w:hideMark/>
          </w:tcPr>
          <w:p w14:paraId="4D220800" w14:textId="77777777" w:rsidR="005F3809" w:rsidRPr="00D74203" w:rsidRDefault="005F3809" w:rsidP="00631C9F">
            <w:pPr>
              <w:pStyle w:val="TableText0"/>
              <w:rPr>
                <w:color w:val="0066FF"/>
              </w:rPr>
            </w:pPr>
            <w:r w:rsidRPr="00D74203">
              <w:t>Patient must have a WHO performance status of 1 or less</w:t>
            </w:r>
          </w:p>
        </w:tc>
      </w:tr>
      <w:tr w:rsidR="005F3809" w:rsidRPr="00D74203" w14:paraId="255F705F" w14:textId="77777777" w:rsidTr="75E3628F">
        <w:trPr>
          <w:cantSplit/>
          <w:trHeight w:val="20"/>
        </w:trPr>
        <w:tc>
          <w:tcPr>
            <w:tcW w:w="5000" w:type="pct"/>
            <w:vAlign w:val="center"/>
            <w:hideMark/>
          </w:tcPr>
          <w:p w14:paraId="7ED0A539" w14:textId="77777777" w:rsidR="005F3809" w:rsidRPr="00D74203" w:rsidRDefault="005F3809" w:rsidP="00631C9F">
            <w:pPr>
              <w:pStyle w:val="TableText0"/>
            </w:pPr>
            <w:r w:rsidRPr="00D74203">
              <w:rPr>
                <w:b/>
              </w:rPr>
              <w:t>AND</w:t>
            </w:r>
          </w:p>
        </w:tc>
      </w:tr>
      <w:tr w:rsidR="005F3809" w:rsidRPr="00D74203" w14:paraId="55C60886" w14:textId="77777777" w:rsidTr="75E3628F">
        <w:trPr>
          <w:cantSplit/>
          <w:trHeight w:val="20"/>
        </w:trPr>
        <w:tc>
          <w:tcPr>
            <w:tcW w:w="5000" w:type="pct"/>
            <w:vAlign w:val="center"/>
            <w:hideMark/>
          </w:tcPr>
          <w:p w14:paraId="5966BF4E" w14:textId="77777777" w:rsidR="005F3809" w:rsidRPr="00D74203" w:rsidRDefault="005F3809" w:rsidP="00631C9F">
            <w:pPr>
              <w:pStyle w:val="TableText0"/>
            </w:pPr>
            <w:r w:rsidRPr="00D74203">
              <w:rPr>
                <w:b/>
              </w:rPr>
              <w:t>Clinical criteria:</w:t>
            </w:r>
          </w:p>
        </w:tc>
      </w:tr>
      <w:tr w:rsidR="005F3809" w:rsidRPr="00D74203" w14:paraId="5E4DF84C" w14:textId="77777777" w:rsidTr="75E3628F">
        <w:trPr>
          <w:cantSplit/>
          <w:trHeight w:val="20"/>
        </w:trPr>
        <w:tc>
          <w:tcPr>
            <w:tcW w:w="5000" w:type="pct"/>
            <w:vAlign w:val="center"/>
            <w:hideMark/>
          </w:tcPr>
          <w:p w14:paraId="2941D9D1" w14:textId="77777777" w:rsidR="005F3809" w:rsidRPr="00D74203" w:rsidRDefault="005F3809" w:rsidP="00631C9F">
            <w:pPr>
              <w:pStyle w:val="TableText0"/>
              <w:rPr>
                <w:color w:val="0066FF"/>
              </w:rPr>
            </w:pPr>
            <w:r w:rsidRPr="00D74203">
              <w:t>Patient must not have experienced disease recurrence or progression while being treated with this drug for this condition</w:t>
            </w:r>
          </w:p>
        </w:tc>
      </w:tr>
      <w:tr w:rsidR="005F3809" w:rsidRPr="00D74203" w14:paraId="30CB1D1F" w14:textId="77777777" w:rsidTr="75E3628F">
        <w:trPr>
          <w:cantSplit/>
          <w:trHeight w:val="20"/>
        </w:trPr>
        <w:tc>
          <w:tcPr>
            <w:tcW w:w="5000" w:type="pct"/>
            <w:vAlign w:val="center"/>
            <w:hideMark/>
          </w:tcPr>
          <w:p w14:paraId="703B5F7C" w14:textId="77777777" w:rsidR="005F3809" w:rsidRPr="00D74203" w:rsidRDefault="005F3809" w:rsidP="00631C9F">
            <w:pPr>
              <w:pStyle w:val="TableText0"/>
            </w:pPr>
            <w:r w:rsidRPr="00D74203">
              <w:rPr>
                <w:b/>
              </w:rPr>
              <w:t>AND</w:t>
            </w:r>
          </w:p>
        </w:tc>
      </w:tr>
      <w:tr w:rsidR="005F3809" w:rsidRPr="00D74203" w14:paraId="6DD2BA04" w14:textId="77777777" w:rsidTr="75E3628F">
        <w:trPr>
          <w:cantSplit/>
          <w:trHeight w:val="20"/>
        </w:trPr>
        <w:tc>
          <w:tcPr>
            <w:tcW w:w="5000" w:type="pct"/>
            <w:vAlign w:val="center"/>
            <w:hideMark/>
          </w:tcPr>
          <w:p w14:paraId="7B28F883" w14:textId="77777777" w:rsidR="005F3809" w:rsidRPr="00344587" w:rsidRDefault="005F3809" w:rsidP="00631C9F">
            <w:pPr>
              <w:pStyle w:val="TableText0"/>
              <w:rPr>
                <w:strike/>
              </w:rPr>
            </w:pPr>
            <w:r w:rsidRPr="00344587">
              <w:rPr>
                <w:b/>
                <w:strike/>
              </w:rPr>
              <w:t>Clinical criteria:</w:t>
            </w:r>
          </w:p>
        </w:tc>
      </w:tr>
      <w:tr w:rsidR="005F3809" w:rsidRPr="00D74203" w14:paraId="03C149C1" w14:textId="77777777" w:rsidTr="75E3628F">
        <w:trPr>
          <w:cantSplit/>
          <w:trHeight w:val="20"/>
        </w:trPr>
        <w:tc>
          <w:tcPr>
            <w:tcW w:w="5000" w:type="pct"/>
            <w:vAlign w:val="center"/>
            <w:hideMark/>
          </w:tcPr>
          <w:p w14:paraId="4837122E" w14:textId="77777777" w:rsidR="005F3809" w:rsidRPr="00344587" w:rsidRDefault="005F3809" w:rsidP="00631C9F">
            <w:pPr>
              <w:pStyle w:val="TableText0"/>
              <w:rPr>
                <w:strike/>
                <w:color w:val="0066FF"/>
              </w:rPr>
            </w:pPr>
            <w:r w:rsidRPr="75E3628F">
              <w:rPr>
                <w:strike/>
              </w:rPr>
              <w:t xml:space="preserve">Patient must not have received prior PBS subsidised treatment with a programmed cell death-1 (PD-1) inhibitor or a programmed cell death ligand-1 (PD-L1) inhibitor for squamous cell carcinoma of the oral cavity, </w:t>
            </w:r>
            <w:bookmarkStart w:id="21" w:name="_Int_QHt5GPzV"/>
            <w:r w:rsidRPr="75E3628F">
              <w:rPr>
                <w:strike/>
              </w:rPr>
              <w:t>pharynx</w:t>
            </w:r>
            <w:bookmarkEnd w:id="21"/>
            <w:r w:rsidRPr="75E3628F">
              <w:rPr>
                <w:strike/>
              </w:rPr>
              <w:t xml:space="preserve"> or larynx</w:t>
            </w:r>
          </w:p>
        </w:tc>
      </w:tr>
      <w:tr w:rsidR="005F3809" w:rsidRPr="00D74203" w14:paraId="41C03AD5" w14:textId="77777777" w:rsidTr="75E3628F">
        <w:trPr>
          <w:cantSplit/>
          <w:trHeight w:val="20"/>
        </w:trPr>
        <w:tc>
          <w:tcPr>
            <w:tcW w:w="5000" w:type="pct"/>
            <w:vAlign w:val="center"/>
            <w:hideMark/>
          </w:tcPr>
          <w:p w14:paraId="293718D4" w14:textId="77777777" w:rsidR="005F3809" w:rsidRPr="00D74203" w:rsidRDefault="005F3809" w:rsidP="00631C9F">
            <w:pPr>
              <w:pStyle w:val="TableText0"/>
            </w:pPr>
            <w:r w:rsidRPr="00D74203">
              <w:rPr>
                <w:b/>
              </w:rPr>
              <w:t>Treatment criteria:</w:t>
            </w:r>
          </w:p>
        </w:tc>
      </w:tr>
      <w:tr w:rsidR="005F3809" w:rsidRPr="00D74203" w14:paraId="6F7EBAB6" w14:textId="77777777" w:rsidTr="75E3628F">
        <w:trPr>
          <w:cantSplit/>
          <w:trHeight w:val="20"/>
        </w:trPr>
        <w:tc>
          <w:tcPr>
            <w:tcW w:w="5000" w:type="pct"/>
            <w:vAlign w:val="center"/>
            <w:hideMark/>
          </w:tcPr>
          <w:p w14:paraId="069DD19A" w14:textId="2CA6FD4A" w:rsidR="005F3809" w:rsidRPr="00D74203" w:rsidRDefault="005F3809" w:rsidP="00631C9F">
            <w:pPr>
              <w:pStyle w:val="TableText0"/>
              <w:rPr>
                <w:i/>
                <w:iCs/>
              </w:rPr>
            </w:pPr>
            <w:r w:rsidRPr="00D74203">
              <w:t>The treatment must be commenced as neoadjuvant therapy and continued in combination with radiation therapy +/- chemotherapy</w:t>
            </w:r>
            <w:r w:rsidR="00210F6B">
              <w:t xml:space="preserve"> </w:t>
            </w:r>
            <w:r w:rsidR="00210F6B" w:rsidRPr="00210F6B">
              <w:rPr>
                <w:i/>
                <w:iCs/>
              </w:rPr>
              <w:t>after surgical resection</w:t>
            </w:r>
            <w:r w:rsidRPr="00210F6B">
              <w:rPr>
                <w:strike/>
              </w:rPr>
              <w:t>, followed by pembrolizumab monotherapy as maintenance</w:t>
            </w:r>
          </w:p>
        </w:tc>
      </w:tr>
      <w:tr w:rsidR="00210F6B" w:rsidRPr="00D74203" w14:paraId="6A76A0BB" w14:textId="77777777" w:rsidTr="75E3628F">
        <w:trPr>
          <w:cantSplit/>
          <w:trHeight w:val="20"/>
        </w:trPr>
        <w:tc>
          <w:tcPr>
            <w:tcW w:w="5000" w:type="pct"/>
            <w:vAlign w:val="center"/>
          </w:tcPr>
          <w:p w14:paraId="60BDBFDE" w14:textId="208500A5" w:rsidR="00210F6B" w:rsidRPr="00D74203" w:rsidRDefault="00210F6B" w:rsidP="00631C9F">
            <w:pPr>
              <w:pStyle w:val="TableText0"/>
              <w:rPr>
                <w:b/>
              </w:rPr>
            </w:pPr>
            <w:r>
              <w:rPr>
                <w:b/>
              </w:rPr>
              <w:t>OR</w:t>
            </w:r>
          </w:p>
        </w:tc>
      </w:tr>
      <w:tr w:rsidR="00210F6B" w:rsidRPr="00D74203" w14:paraId="300C0FD0" w14:textId="77777777" w:rsidTr="75E3628F">
        <w:trPr>
          <w:cantSplit/>
          <w:trHeight w:val="20"/>
        </w:trPr>
        <w:tc>
          <w:tcPr>
            <w:tcW w:w="5000" w:type="pct"/>
            <w:vAlign w:val="center"/>
          </w:tcPr>
          <w:p w14:paraId="39348CD8" w14:textId="78BACE3D" w:rsidR="00210F6B" w:rsidRPr="00D74203" w:rsidRDefault="00080D4D" w:rsidP="00631C9F">
            <w:pPr>
              <w:pStyle w:val="TableText0"/>
              <w:rPr>
                <w:b/>
              </w:rPr>
            </w:pPr>
            <w:r w:rsidRPr="00C3591D">
              <w:rPr>
                <w:i/>
                <w:iCs/>
                <w:szCs w:val="20"/>
              </w:rPr>
              <w:t>The treatment must be the sole PBS-subsidised systemic anti-cancer therapy for this condition</w:t>
            </w:r>
          </w:p>
        </w:tc>
      </w:tr>
      <w:tr w:rsidR="005F3809" w:rsidRPr="00D74203" w14:paraId="5332B0A3" w14:textId="77777777" w:rsidTr="75E3628F">
        <w:trPr>
          <w:cantSplit/>
          <w:trHeight w:val="20"/>
        </w:trPr>
        <w:tc>
          <w:tcPr>
            <w:tcW w:w="5000" w:type="pct"/>
            <w:vAlign w:val="center"/>
            <w:hideMark/>
          </w:tcPr>
          <w:p w14:paraId="6BCDDA0A" w14:textId="77777777" w:rsidR="005F3809" w:rsidRPr="00D74203" w:rsidRDefault="005F3809" w:rsidP="00631C9F">
            <w:pPr>
              <w:pStyle w:val="TableText0"/>
            </w:pPr>
            <w:r w:rsidRPr="00D74203">
              <w:rPr>
                <w:b/>
              </w:rPr>
              <w:t>AND</w:t>
            </w:r>
          </w:p>
        </w:tc>
      </w:tr>
      <w:tr w:rsidR="005F3809" w:rsidRPr="00D74203" w14:paraId="0E336D85" w14:textId="77777777" w:rsidTr="75E3628F">
        <w:trPr>
          <w:cantSplit/>
          <w:trHeight w:val="20"/>
        </w:trPr>
        <w:tc>
          <w:tcPr>
            <w:tcW w:w="5000" w:type="pct"/>
            <w:vAlign w:val="center"/>
            <w:hideMark/>
          </w:tcPr>
          <w:p w14:paraId="5AAF328F" w14:textId="77777777" w:rsidR="005F3809" w:rsidRPr="00D74203" w:rsidRDefault="005F3809" w:rsidP="00631C9F">
            <w:pPr>
              <w:pStyle w:val="TableText0"/>
            </w:pPr>
            <w:r w:rsidRPr="00D74203">
              <w:rPr>
                <w:b/>
              </w:rPr>
              <w:t>Treatment criteria:</w:t>
            </w:r>
          </w:p>
        </w:tc>
      </w:tr>
      <w:tr w:rsidR="005F3809" w:rsidRPr="00D74203" w14:paraId="414372B5" w14:textId="77777777" w:rsidTr="75E3628F">
        <w:trPr>
          <w:cantSplit/>
          <w:trHeight w:val="20"/>
        </w:trPr>
        <w:tc>
          <w:tcPr>
            <w:tcW w:w="5000" w:type="pct"/>
            <w:vAlign w:val="center"/>
            <w:hideMark/>
          </w:tcPr>
          <w:p w14:paraId="72512061" w14:textId="77777777" w:rsidR="005F3809" w:rsidRDefault="005F3809" w:rsidP="00631C9F">
            <w:pPr>
              <w:pStyle w:val="TableText0"/>
              <w:rPr>
                <w:strike/>
              </w:rPr>
            </w:pPr>
            <w:r w:rsidRPr="002A3405">
              <w:rPr>
                <w:strike/>
              </w:rPr>
              <w:t>Patient must not receive more than 12 months of combined PBS-subsidised and non-PBS-subsidised therapy</w:t>
            </w:r>
          </w:p>
          <w:p w14:paraId="65FD4B6D" w14:textId="09284EF2" w:rsidR="009733A7" w:rsidRPr="002A3405" w:rsidRDefault="009733A7" w:rsidP="00631C9F">
            <w:pPr>
              <w:pStyle w:val="TableText0"/>
              <w:rPr>
                <w:strike/>
                <w:color w:val="0066FF"/>
              </w:rPr>
            </w:pPr>
            <w:r w:rsidRPr="00C3591D">
              <w:rPr>
                <w:i/>
                <w:iCs/>
                <w:szCs w:val="20"/>
              </w:rPr>
              <w:t>The treatment must not exceed a total of 12 cumulative months, either as (i) 17 doses (based on a 3-weekly dose regimen), (ii) 8 doses (based on a 6-weekly dose regimen) whichever comes first from the first dose of this drug regardless of if it was PBS/non-PBS subsidised</w:t>
            </w:r>
          </w:p>
        </w:tc>
      </w:tr>
      <w:tr w:rsidR="005F3809" w:rsidRPr="00D74203" w14:paraId="7F8C8693" w14:textId="77777777" w:rsidTr="75E3628F">
        <w:trPr>
          <w:cantSplit/>
          <w:trHeight w:val="20"/>
        </w:trPr>
        <w:tc>
          <w:tcPr>
            <w:tcW w:w="5000" w:type="pct"/>
            <w:vAlign w:val="center"/>
            <w:hideMark/>
          </w:tcPr>
          <w:p w14:paraId="539468FD" w14:textId="77777777" w:rsidR="005F3809" w:rsidRPr="00D74203" w:rsidRDefault="005F3809" w:rsidP="00631C9F">
            <w:pPr>
              <w:pStyle w:val="TableText0"/>
            </w:pPr>
            <w:r w:rsidRPr="00D74203">
              <w:rPr>
                <w:b/>
              </w:rPr>
              <w:t>AND</w:t>
            </w:r>
          </w:p>
        </w:tc>
      </w:tr>
      <w:tr w:rsidR="005F3809" w:rsidRPr="00D74203" w14:paraId="09A07C3F" w14:textId="77777777" w:rsidTr="75E3628F">
        <w:trPr>
          <w:cantSplit/>
          <w:trHeight w:val="20"/>
        </w:trPr>
        <w:tc>
          <w:tcPr>
            <w:tcW w:w="5000" w:type="pct"/>
            <w:vAlign w:val="center"/>
            <w:hideMark/>
          </w:tcPr>
          <w:p w14:paraId="4D13BF58" w14:textId="77777777" w:rsidR="005F3809" w:rsidRPr="00D74203" w:rsidRDefault="005F3809" w:rsidP="00631C9F">
            <w:pPr>
              <w:pStyle w:val="TableText0"/>
            </w:pPr>
            <w:r w:rsidRPr="00D74203">
              <w:rPr>
                <w:b/>
              </w:rPr>
              <w:t>Treatment criteria:</w:t>
            </w:r>
          </w:p>
        </w:tc>
      </w:tr>
      <w:tr w:rsidR="005F3809" w:rsidRPr="00D74203" w14:paraId="65569D7C" w14:textId="77777777" w:rsidTr="75E3628F">
        <w:trPr>
          <w:cantSplit/>
          <w:trHeight w:val="20"/>
        </w:trPr>
        <w:tc>
          <w:tcPr>
            <w:tcW w:w="5000" w:type="pct"/>
            <w:vAlign w:val="center"/>
            <w:hideMark/>
          </w:tcPr>
          <w:p w14:paraId="6CCB383A" w14:textId="77777777" w:rsidR="005F3809" w:rsidRPr="00D74203" w:rsidRDefault="005F3809" w:rsidP="00631C9F">
            <w:pPr>
              <w:pStyle w:val="TableText0"/>
            </w:pPr>
            <w:r w:rsidRPr="00D74203">
              <w:t>Patient must be undergoing treatment with this drug administered once every 3 weeks at 200mg - prescribe up to 7 repeat prescriptions; OR</w:t>
            </w:r>
          </w:p>
          <w:p w14:paraId="4B3903E1" w14:textId="77777777" w:rsidR="005F3809" w:rsidRPr="00D74203" w:rsidRDefault="005F3809" w:rsidP="00631C9F">
            <w:pPr>
              <w:pStyle w:val="TableText0"/>
              <w:rPr>
                <w:color w:val="0066FF"/>
              </w:rPr>
            </w:pPr>
            <w:r w:rsidRPr="00D74203">
              <w:t>Patient must be undergoing treatment with this drug administered once every 6 weeks at 400mg - prescribe up to 3 repeat prescriptions</w:t>
            </w:r>
          </w:p>
        </w:tc>
      </w:tr>
      <w:tr w:rsidR="005F3809" w:rsidRPr="00D74203" w14:paraId="0A7125F4" w14:textId="77777777" w:rsidTr="75E3628F">
        <w:trPr>
          <w:cantSplit/>
          <w:trHeight w:val="20"/>
        </w:trPr>
        <w:tc>
          <w:tcPr>
            <w:tcW w:w="5000" w:type="pct"/>
            <w:vAlign w:val="center"/>
          </w:tcPr>
          <w:p w14:paraId="46E49A94" w14:textId="77777777" w:rsidR="005F3809" w:rsidRPr="00D74203" w:rsidRDefault="005F3809" w:rsidP="00631C9F">
            <w:pPr>
              <w:pStyle w:val="TableText0"/>
              <w:rPr>
                <w:b/>
              </w:rPr>
            </w:pPr>
            <w:r w:rsidRPr="00D74203">
              <w:rPr>
                <w:b/>
              </w:rPr>
              <w:lastRenderedPageBreak/>
              <w:t xml:space="preserve">Administrative Advice: </w:t>
            </w:r>
          </w:p>
          <w:p w14:paraId="4B0AF542" w14:textId="77777777" w:rsidR="005F3809" w:rsidRPr="00D74203" w:rsidRDefault="005F3809" w:rsidP="00631C9F">
            <w:pPr>
              <w:pStyle w:val="TableText0"/>
              <w:rPr>
                <w:bCs w:val="0"/>
              </w:rPr>
            </w:pPr>
            <w:r w:rsidRPr="00D74203">
              <w:rPr>
                <w:bCs w:val="0"/>
              </w:rPr>
              <w:t>No increase in the maximum quantity or number of units may be authorised</w:t>
            </w:r>
          </w:p>
          <w:p w14:paraId="7E6FC87A" w14:textId="77777777" w:rsidR="005F3809" w:rsidRPr="00D74203" w:rsidRDefault="005F3809" w:rsidP="00631C9F">
            <w:pPr>
              <w:pStyle w:val="TableText0"/>
              <w:rPr>
                <w:bCs w:val="0"/>
              </w:rPr>
            </w:pPr>
            <w:r w:rsidRPr="00D74203">
              <w:rPr>
                <w:bCs w:val="0"/>
              </w:rPr>
              <w:t>AND</w:t>
            </w:r>
          </w:p>
          <w:p w14:paraId="216AF8EB" w14:textId="77777777" w:rsidR="005F3809" w:rsidRPr="00D74203" w:rsidRDefault="005F3809" w:rsidP="00631C9F">
            <w:pPr>
              <w:pStyle w:val="TableText0"/>
              <w:rPr>
                <w:bCs w:val="0"/>
              </w:rPr>
            </w:pPr>
            <w:r w:rsidRPr="00D74203">
              <w:rPr>
                <w:bCs w:val="0"/>
              </w:rPr>
              <w:t>No increase in the maximum number of repeats may be authorised</w:t>
            </w:r>
          </w:p>
          <w:p w14:paraId="1FDC07F2" w14:textId="77777777" w:rsidR="005F3809" w:rsidRPr="00D74203" w:rsidRDefault="005F3809" w:rsidP="00631C9F">
            <w:pPr>
              <w:pStyle w:val="TableText0"/>
              <w:rPr>
                <w:bCs w:val="0"/>
              </w:rPr>
            </w:pPr>
            <w:r w:rsidRPr="00D74203">
              <w:rPr>
                <w:bCs w:val="0"/>
              </w:rPr>
              <w:t>AND</w:t>
            </w:r>
          </w:p>
          <w:p w14:paraId="572987B5" w14:textId="77777777" w:rsidR="005F3809" w:rsidRPr="00D74203" w:rsidRDefault="005F3809" w:rsidP="00631C9F">
            <w:pPr>
              <w:pStyle w:val="TableText0"/>
            </w:pPr>
            <w:r w:rsidRPr="00D74203">
              <w:t>Special Pricing Arrangements apply</w:t>
            </w:r>
          </w:p>
          <w:p w14:paraId="6F481ED1" w14:textId="77777777" w:rsidR="005F3809" w:rsidRPr="009733A7" w:rsidRDefault="005F3809" w:rsidP="00631C9F">
            <w:pPr>
              <w:pStyle w:val="TableText0"/>
              <w:rPr>
                <w:strike/>
              </w:rPr>
            </w:pPr>
            <w:r w:rsidRPr="009733A7">
              <w:rPr>
                <w:strike/>
              </w:rPr>
              <w:t>AND</w:t>
            </w:r>
          </w:p>
          <w:p w14:paraId="3CD31FA1" w14:textId="77777777" w:rsidR="005F3809" w:rsidRPr="00D74203" w:rsidRDefault="005F3809" w:rsidP="00631C9F">
            <w:pPr>
              <w:pStyle w:val="TableText0"/>
              <w:rPr>
                <w:bCs w:val="0"/>
              </w:rPr>
            </w:pPr>
            <w:r w:rsidRPr="009733A7">
              <w:rPr>
                <w:bCs w:val="0"/>
                <w:strike/>
              </w:rPr>
              <w:t>Administrative Advice Applications for authorisation under this restriction may be made in real-time using the Online PBS Authorities system (see www.servicesaustralia.gov.au/HPOS) or by telephone by contacting Services Australia on 1800 888 333</w:t>
            </w:r>
          </w:p>
        </w:tc>
      </w:tr>
    </w:tbl>
    <w:p w14:paraId="2EA8EA07" w14:textId="77777777" w:rsidR="00D014AF" w:rsidRPr="00677261" w:rsidRDefault="00D466E0" w:rsidP="00677261">
      <w:pPr>
        <w:pStyle w:val="TableFigureFooter"/>
      </w:pPr>
      <w:r w:rsidRPr="00677261">
        <w:t xml:space="preserve">Source: Table in p22 of the submission. </w:t>
      </w:r>
    </w:p>
    <w:bookmarkEnd w:id="16"/>
    <w:p w14:paraId="79874EF9" w14:textId="3A5BE852" w:rsidR="005F3809" w:rsidRDefault="005F3809" w:rsidP="005F3809">
      <w:pPr>
        <w:pStyle w:val="3-BodyText"/>
      </w:pPr>
      <w:r w:rsidRPr="00D74203">
        <w:t xml:space="preserve">The submission requested a Special Pricing Arrangement (SPA) for pembrolizumab as perioperative treatment for LA HNSCC. The </w:t>
      </w:r>
      <w:r w:rsidR="00BB678F">
        <w:t xml:space="preserve">submission </w:t>
      </w:r>
      <w:r w:rsidRPr="00D74203">
        <w:t xml:space="preserve">proposed </w:t>
      </w:r>
      <w:r w:rsidR="00A46CB8">
        <w:t xml:space="preserve">an </w:t>
      </w:r>
      <w:r w:rsidRPr="00D74203">
        <w:t xml:space="preserve">effective ex-manufacturer price </w:t>
      </w:r>
      <w:r w:rsidR="00A46CB8">
        <w:t xml:space="preserve">of </w:t>
      </w:r>
      <w:r w:rsidRPr="00D74203">
        <w:t>$</w:t>
      </w:r>
      <w:r w:rsidR="00576021" w:rsidRPr="001758D2">
        <w:rPr>
          <w:highlight w:val="black"/>
        </w:rPr>
        <w:t>&amp;&amp;&amp;&amp;</w:t>
      </w:r>
      <w:r w:rsidRPr="00D74203">
        <w:t xml:space="preserve"> per 100 mg vial</w:t>
      </w:r>
      <w:r w:rsidR="00022279">
        <w:t xml:space="preserve"> and </w:t>
      </w:r>
      <w:r w:rsidR="00A46CB8">
        <w:t xml:space="preserve">the pre-PBAC </w:t>
      </w:r>
      <w:r w:rsidR="00022279">
        <w:t xml:space="preserve">response reduced this to </w:t>
      </w:r>
      <w:r w:rsidR="009A1A1C">
        <w:t>$</w:t>
      </w:r>
      <w:r w:rsidR="00576021" w:rsidRPr="001758D2">
        <w:rPr>
          <w:highlight w:val="black"/>
        </w:rPr>
        <w:t>&amp;&amp;&amp;&amp;</w:t>
      </w:r>
      <w:r w:rsidR="004E6CC3">
        <w:t xml:space="preserve"> per 100 mL vial. </w:t>
      </w:r>
    </w:p>
    <w:p w14:paraId="56EDB126" w14:textId="69D8E0CF" w:rsidR="005F3809" w:rsidRPr="00A01AE4" w:rsidRDefault="005F3809" w:rsidP="005F3809">
      <w:pPr>
        <w:pStyle w:val="3-BodyText"/>
      </w:pPr>
      <w:r w:rsidRPr="00A01AE4">
        <w:t>The submission proposed a single restriction for both neoadjuvant and adjuvant treatment, with a limit on the total treatment duration and a requirement for patients to discontinue treatment upon disease recurrence or progression. This is consistent with the recent listing of pembrolizumab as perioperative therapy for early</w:t>
      </w:r>
      <w:r w:rsidR="00137650">
        <w:t>-</w:t>
      </w:r>
      <w:r w:rsidRPr="00A01AE4">
        <w:t xml:space="preserve">stage triple-negative breast cancer (TNBC). The maximum treatment duration (12 months) specified in the requested PBS listing is in line with the </w:t>
      </w:r>
      <w:r w:rsidR="00CB5F70" w:rsidRPr="00A01AE4">
        <w:t xml:space="preserve">duration of the </w:t>
      </w:r>
      <w:r w:rsidRPr="00A01AE4">
        <w:t xml:space="preserve">intervention in the </w:t>
      </w:r>
      <w:r w:rsidR="00F75E1B" w:rsidRPr="00477630">
        <w:rPr>
          <w:iCs/>
        </w:rPr>
        <w:t>key</w:t>
      </w:r>
      <w:r w:rsidR="00BB10A3">
        <w:t xml:space="preserve"> </w:t>
      </w:r>
      <w:r w:rsidRPr="00A01AE4">
        <w:t>clinical trial</w:t>
      </w:r>
      <w:r w:rsidR="005C71B5">
        <w:t xml:space="preserve"> </w:t>
      </w:r>
      <w:r w:rsidR="005C71B5" w:rsidRPr="00477630">
        <w:rPr>
          <w:iCs/>
        </w:rPr>
        <w:t>(</w:t>
      </w:r>
      <w:r w:rsidR="00F75E1B" w:rsidRPr="00477630">
        <w:rPr>
          <w:iCs/>
        </w:rPr>
        <w:t>KEYNOTE-689</w:t>
      </w:r>
      <w:r w:rsidR="005C71B5" w:rsidRPr="00477630">
        <w:rPr>
          <w:iCs/>
        </w:rPr>
        <w:t>)</w:t>
      </w:r>
      <w:r w:rsidR="00F75E1B" w:rsidRPr="00477630">
        <w:rPr>
          <w:iCs/>
        </w:rPr>
        <w:t>, hereafter referred to as KN689</w:t>
      </w:r>
      <w:r w:rsidRPr="00477630">
        <w:rPr>
          <w:iCs/>
        </w:rPr>
        <w:t>.</w:t>
      </w:r>
    </w:p>
    <w:p w14:paraId="1401E6DC" w14:textId="2ED6861C" w:rsidR="00DF72E5" w:rsidRDefault="005F3809" w:rsidP="00046126">
      <w:pPr>
        <w:pStyle w:val="3-BodyText"/>
      </w:pPr>
      <w:bookmarkStart w:id="22" w:name="_Ref213675838"/>
      <w:r w:rsidRPr="00A01AE4">
        <w:t>A separate grandfather</w:t>
      </w:r>
      <w:r w:rsidR="009D0900" w:rsidRPr="00A01AE4">
        <w:t>ing</w:t>
      </w:r>
      <w:r w:rsidRPr="00A01AE4">
        <w:t xml:space="preserve"> listing was not requested. The submission </w:t>
      </w:r>
      <w:r w:rsidR="00AC0B8C" w:rsidRPr="00A01AE4">
        <w:t xml:space="preserve">stated </w:t>
      </w:r>
      <w:r w:rsidRPr="00A01AE4">
        <w:t xml:space="preserve">that the treatment criteria in the proposed PBS restriction allow grandfathered patients who have </w:t>
      </w:r>
      <w:r w:rsidRPr="00046126">
        <w:t xml:space="preserve">received non-PBS subsidised pembrolizumab to access PBS treatment. </w:t>
      </w:r>
      <w:r w:rsidR="00597B73" w:rsidRPr="00046126">
        <w:t xml:space="preserve">The </w:t>
      </w:r>
      <w:r w:rsidR="00C436D3" w:rsidRPr="00046126">
        <w:rPr>
          <w:iCs/>
        </w:rPr>
        <w:t>evaluation considered that the</w:t>
      </w:r>
      <w:r w:rsidR="00C436D3" w:rsidRPr="00046126">
        <w:t xml:space="preserve"> </w:t>
      </w:r>
      <w:r w:rsidR="00597B73" w:rsidRPr="00046126">
        <w:t xml:space="preserve">proposal of one treatment agnostic restriction </w:t>
      </w:r>
      <w:r w:rsidR="00976C2F" w:rsidRPr="00046126">
        <w:rPr>
          <w:iCs/>
        </w:rPr>
        <w:t>was</w:t>
      </w:r>
      <w:r w:rsidR="00C00E3A" w:rsidRPr="00046126">
        <w:t xml:space="preserve"> </w:t>
      </w:r>
      <w:r w:rsidR="00597B73" w:rsidRPr="00046126">
        <w:t>reasonable</w:t>
      </w:r>
      <w:r w:rsidR="00D34B2A" w:rsidRPr="00046126">
        <w:t xml:space="preserve">. </w:t>
      </w:r>
      <w:bookmarkEnd w:id="22"/>
      <w:r w:rsidR="001F3C8F" w:rsidRPr="00046126">
        <w:t xml:space="preserve">The Secretariat </w:t>
      </w:r>
      <w:r w:rsidR="00C77481">
        <w:t xml:space="preserve">noted </w:t>
      </w:r>
      <w:r w:rsidR="001F5E10" w:rsidRPr="00046126">
        <w:t xml:space="preserve">the restriction </w:t>
      </w:r>
      <w:r w:rsidR="00C77481">
        <w:t xml:space="preserve">required </w:t>
      </w:r>
      <w:r w:rsidR="004C2868">
        <w:t xml:space="preserve">further amendment </w:t>
      </w:r>
      <w:r w:rsidR="00C77481">
        <w:t xml:space="preserve">to </w:t>
      </w:r>
      <w:r w:rsidR="008B41E9" w:rsidRPr="00046126">
        <w:t>accommodate grandfathering patients.</w:t>
      </w:r>
      <w:r w:rsidR="008B41E9">
        <w:t xml:space="preserve"> </w:t>
      </w:r>
      <w:r w:rsidR="00FA748D">
        <w:t>Suggested amendments are shown above.</w:t>
      </w:r>
    </w:p>
    <w:p w14:paraId="4681ACB2" w14:textId="30920A08" w:rsidR="00B72CCB" w:rsidRPr="00A01AE4" w:rsidRDefault="002A7488" w:rsidP="009E7948">
      <w:pPr>
        <w:pStyle w:val="3-BodyText"/>
      </w:pPr>
      <w:r>
        <w:t xml:space="preserve">The </w:t>
      </w:r>
      <w:r w:rsidR="009E7948">
        <w:t>submission</w:t>
      </w:r>
      <w:r>
        <w:t xml:space="preserve"> proposed that a </w:t>
      </w:r>
      <w:r w:rsidR="009E7948">
        <w:t>‘</w:t>
      </w:r>
      <w:r>
        <w:t>Patient must not have received prior PBS subsidised treatment with a programmed cell death-1 (PD-1) inhibitor or a PD-L1 inhibitor for squamous cell carcinoma of the oral cavity, pharynx or larynx</w:t>
      </w:r>
      <w:r w:rsidR="009E7948">
        <w:t>’</w:t>
      </w:r>
      <w:r>
        <w:t xml:space="preserve">. This was likely to align with previous advice from the PBAC requiring a once-in-a-lifetime restriction in the context of PD-L1 inhibitors limiting its use in the later line settings. However, there are no available PD-L1 inhibitors in any earlier line of therapy for squamous cell carcinoma of the oral cavity, </w:t>
      </w:r>
      <w:bookmarkStart w:id="23" w:name="_Int_ZPOvfZC8"/>
      <w:r>
        <w:t>pharynx</w:t>
      </w:r>
      <w:bookmarkEnd w:id="23"/>
      <w:r>
        <w:t xml:space="preserve"> or larynx, and therefore this criterion may be redundant.</w:t>
      </w:r>
    </w:p>
    <w:p w14:paraId="3852CB54" w14:textId="25167F29" w:rsidR="005F3809" w:rsidRPr="00A01AE4" w:rsidRDefault="005F3809" w:rsidP="005F3809">
      <w:pPr>
        <w:pStyle w:val="3-BodyText"/>
      </w:pPr>
      <w:bookmarkStart w:id="24" w:name="_Ref213676543"/>
      <w:r w:rsidRPr="00A01AE4">
        <w:t xml:space="preserve">The requested PBS listing for patients with resectable locally advanced squamous cell carcinoma of the oral cavity, pharynx or larynx is narrower than the proposed TGA indication, which is for </w:t>
      </w:r>
      <w:bookmarkStart w:id="25" w:name="_Hlk205915760"/>
      <w:r w:rsidRPr="00A01AE4">
        <w:t xml:space="preserve">resectable LA HNSCC </w:t>
      </w:r>
      <w:r w:rsidRPr="00B55A16">
        <w:t>regardless of site of disease</w:t>
      </w:r>
      <w:bookmarkEnd w:id="25"/>
      <w:r w:rsidRPr="00B55A16">
        <w:t xml:space="preserve">. The </w:t>
      </w:r>
      <w:r w:rsidR="00B14BC5" w:rsidRPr="00B55A16">
        <w:t xml:space="preserve">PBAC agreed with the </w:t>
      </w:r>
      <w:r w:rsidR="000F623F" w:rsidRPr="00B55A16">
        <w:rPr>
          <w:iCs/>
        </w:rPr>
        <w:t xml:space="preserve">evaluation </w:t>
      </w:r>
      <w:r w:rsidR="00F75E1B" w:rsidRPr="00B55A16">
        <w:rPr>
          <w:iCs/>
        </w:rPr>
        <w:t>that the</w:t>
      </w:r>
      <w:r w:rsidR="00F75E1B" w:rsidRPr="00B55A16">
        <w:t xml:space="preserve"> </w:t>
      </w:r>
      <w:r w:rsidRPr="00B55A16">
        <w:t xml:space="preserve">exclusion of tumours in the nasopharyngeal, sinus, or other para-nasal regions from the proposed PBS target population </w:t>
      </w:r>
      <w:r w:rsidR="006E5F21" w:rsidRPr="00B55A16">
        <w:rPr>
          <w:iCs/>
        </w:rPr>
        <w:t>wa</w:t>
      </w:r>
      <w:r w:rsidR="00F94246" w:rsidRPr="00B55A16">
        <w:rPr>
          <w:iCs/>
        </w:rPr>
        <w:t>s</w:t>
      </w:r>
      <w:r w:rsidR="00F94246" w:rsidRPr="00B55A16">
        <w:t xml:space="preserve"> </w:t>
      </w:r>
      <w:r w:rsidR="00AC245B" w:rsidRPr="00B55A16">
        <w:t>appropriate and</w:t>
      </w:r>
      <w:r w:rsidR="00F94246" w:rsidRPr="00B55A16">
        <w:t xml:space="preserve"> </w:t>
      </w:r>
      <w:r w:rsidRPr="00B55A16">
        <w:t>consistent with the exclusion criteria of KN689, and</w:t>
      </w:r>
      <w:r w:rsidR="00F94246" w:rsidRPr="00B55A16">
        <w:t xml:space="preserve"> with the current pembrolizumab listing for recurrent or metastatic HNSCC</w:t>
      </w:r>
      <w:r w:rsidRPr="00B55A16">
        <w:t>.</w:t>
      </w:r>
      <w:r w:rsidRPr="00A01AE4">
        <w:t xml:space="preserve"> </w:t>
      </w:r>
      <w:bookmarkEnd w:id="24"/>
    </w:p>
    <w:p w14:paraId="5B4F3559" w14:textId="4B23296F" w:rsidR="005F3809" w:rsidRPr="00487F80" w:rsidRDefault="005F3809" w:rsidP="005F3809">
      <w:pPr>
        <w:pStyle w:val="3-BodyText"/>
      </w:pPr>
      <w:bookmarkStart w:id="26" w:name="_Ref213684640"/>
      <w:r>
        <w:t xml:space="preserve">The proposed PBS restriction permits use of perioperative pembrolizumab in patients with Stage IVB disease; whereas these patients were excluded from the key trial. Stage </w:t>
      </w:r>
      <w:r>
        <w:lastRenderedPageBreak/>
        <w:t xml:space="preserve">IVB HNSCC is </w:t>
      </w:r>
      <w:bookmarkStart w:id="27" w:name="_Int_LyJSwpmK"/>
      <w:r>
        <w:t>generally deemed</w:t>
      </w:r>
      <w:bookmarkEnd w:id="27"/>
      <w:r>
        <w:t xml:space="preserve"> unresectable</w:t>
      </w:r>
      <w:r w:rsidR="006A0FB7">
        <w:t>; only</w:t>
      </w:r>
      <w:r>
        <w:t xml:space="preserve"> a small p</w:t>
      </w:r>
      <w:r w:rsidR="006A0FB7">
        <w:t>r</w:t>
      </w:r>
      <w:r>
        <w:t>op</w:t>
      </w:r>
      <w:r w:rsidR="006A0FB7">
        <w:t>or</w:t>
      </w:r>
      <w:r>
        <w:t xml:space="preserve">tion could be considered for resection. </w:t>
      </w:r>
      <w:r w:rsidR="008248E8">
        <w:t xml:space="preserve">The </w:t>
      </w:r>
      <w:r w:rsidR="0084429F">
        <w:t xml:space="preserve">submission stated that </w:t>
      </w:r>
      <w:r w:rsidR="008248E8">
        <w:t xml:space="preserve">Stage IVB patients </w:t>
      </w:r>
      <w:r w:rsidR="0084429F">
        <w:t xml:space="preserve">were included </w:t>
      </w:r>
      <w:r w:rsidR="008248E8">
        <w:t xml:space="preserve">in the </w:t>
      </w:r>
      <w:r w:rsidR="0084429F">
        <w:t xml:space="preserve">proposed </w:t>
      </w:r>
      <w:r w:rsidR="008248E8">
        <w:t xml:space="preserve">population due to these patients </w:t>
      </w:r>
      <w:r w:rsidR="00F53B96">
        <w:t xml:space="preserve">being </w:t>
      </w:r>
      <w:r w:rsidR="008248E8">
        <w:t>overrepresented in marginalised groups (i.e. First Nations people</w:t>
      </w:r>
      <w:r w:rsidR="00AC245B">
        <w:t>) and</w:t>
      </w:r>
      <w:r w:rsidR="00611D09">
        <w:t xml:space="preserve"> excluding them from treatment may cause equity issues</w:t>
      </w:r>
      <w:r w:rsidR="008248E8">
        <w:t xml:space="preserve">. </w:t>
      </w:r>
      <w:r>
        <w:t xml:space="preserve">Disease stage (III vs. IVA) was one of the stratification </w:t>
      </w:r>
      <w:r w:rsidR="00C07122">
        <w:t>factors</w:t>
      </w:r>
      <w:r>
        <w:t xml:space="preserve"> in KN689. Subgroup results showed a more pronounced event-free survival (EFS) benefit from pembrolizumab in patient with less advanced Stage III disease (N=183) (hazard ratio</w:t>
      </w:r>
      <w:r w:rsidR="00565F99">
        <w:t xml:space="preserve"> [HR]</w:t>
      </w:r>
      <w:r>
        <w:t xml:space="preserve">: 0.42; 95% confidence interval [CI]: 0.25, 0.71) compared with the Stage IVA subgroup (N=528) (HR: 0.85; 95% CI: 0.66, 1.10). </w:t>
      </w:r>
      <w:r w:rsidR="00565F99">
        <w:t>As the 95% CIs only overlapped slightly, a</w:t>
      </w:r>
      <w:r>
        <w:t xml:space="preserve"> treatment effect variation associated with pembrolizumab across disease stage subgroups cannot be ruled out. </w:t>
      </w:r>
      <w:r w:rsidR="009D0900">
        <w:t>T</w:t>
      </w:r>
      <w:r>
        <w:t xml:space="preserve">he benefit/harm balance </w:t>
      </w:r>
      <w:r w:rsidR="00626089">
        <w:t xml:space="preserve">of the addition of </w:t>
      </w:r>
      <w:r w:rsidR="00BC79AB">
        <w:t xml:space="preserve">perioperative </w:t>
      </w:r>
      <w:r>
        <w:t xml:space="preserve">pembrolizumab </w:t>
      </w:r>
      <w:r w:rsidR="00BC79AB">
        <w:t xml:space="preserve">to </w:t>
      </w:r>
      <w:r w:rsidR="00626089">
        <w:t xml:space="preserve">adjuvant </w:t>
      </w:r>
      <w:r w:rsidR="00BC79AB">
        <w:t xml:space="preserve">radiotherapy </w:t>
      </w:r>
      <w:r w:rsidR="00BC79AB" w:rsidRPr="75E3628F">
        <w:t>±</w:t>
      </w:r>
      <w:r w:rsidR="00BC79AB">
        <w:t xml:space="preserve"> </w:t>
      </w:r>
      <w:r w:rsidR="00F94246">
        <w:t>chemotherapy</w:t>
      </w:r>
      <w:r w:rsidR="00BC79AB">
        <w:t xml:space="preserve"> </w:t>
      </w:r>
      <w:r>
        <w:t>for</w:t>
      </w:r>
      <w:r w:rsidR="009C328C">
        <w:t xml:space="preserve"> </w:t>
      </w:r>
      <w:r w:rsidR="00626089">
        <w:t xml:space="preserve">the treatment of </w:t>
      </w:r>
      <w:r w:rsidR="009C328C">
        <w:t xml:space="preserve">resectable Stage IVB disease </w:t>
      </w:r>
      <w:r>
        <w:t xml:space="preserve">is uncertain. </w:t>
      </w:r>
      <w:r w:rsidR="00B06B98">
        <w:t xml:space="preserve">The </w:t>
      </w:r>
      <w:r w:rsidR="00AA2564">
        <w:t>E</w:t>
      </w:r>
      <w:r w:rsidR="00B06B98">
        <w:t xml:space="preserve">SC considered </w:t>
      </w:r>
      <w:r w:rsidR="00AF57BA">
        <w:t>the inclusion of</w:t>
      </w:r>
      <w:r w:rsidR="00B06B98">
        <w:t xml:space="preserve"> Stage IVB patients in the proposed </w:t>
      </w:r>
      <w:r w:rsidR="00B21314">
        <w:t>restriction</w:t>
      </w:r>
      <w:r w:rsidR="00AF57BA">
        <w:t xml:space="preserve"> was </w:t>
      </w:r>
      <w:r w:rsidR="00DF3555">
        <w:t xml:space="preserve">likely </w:t>
      </w:r>
      <w:r w:rsidR="00AF57BA">
        <w:t>reasonable</w:t>
      </w:r>
      <w:r w:rsidR="00B21314">
        <w:t xml:space="preserve"> and noted that this stage of disease can be curative</w:t>
      </w:r>
      <w:r w:rsidR="00810846">
        <w:t xml:space="preserve"> if disease is considered resectable</w:t>
      </w:r>
      <w:r w:rsidR="00B06B98">
        <w:t>.</w:t>
      </w:r>
      <w:r w:rsidR="00AA2564">
        <w:t xml:space="preserve"> The PBAC</w:t>
      </w:r>
      <w:r w:rsidR="008B27D8">
        <w:t xml:space="preserve"> agreed with the ESC and</w:t>
      </w:r>
      <w:r w:rsidR="00AA2564">
        <w:t xml:space="preserve"> considered </w:t>
      </w:r>
      <w:r w:rsidR="008B27D8">
        <w:t>the inclusion of Stage IVB patients</w:t>
      </w:r>
      <w:r w:rsidR="00AA2564">
        <w:t xml:space="preserve"> </w:t>
      </w:r>
      <w:r w:rsidR="002B5CF9">
        <w:t xml:space="preserve">in the proposed restriction </w:t>
      </w:r>
      <w:r w:rsidR="00AA2564">
        <w:t>was reasonable.</w:t>
      </w:r>
      <w:bookmarkEnd w:id="26"/>
    </w:p>
    <w:p w14:paraId="29B2D228" w14:textId="096E655C" w:rsidR="00487F80" w:rsidRPr="00EA460D" w:rsidRDefault="00487F80" w:rsidP="005F3809">
      <w:pPr>
        <w:pStyle w:val="3-BodyText"/>
      </w:pPr>
      <w:r>
        <w:t>The ESC noted that the clinical criteri</w:t>
      </w:r>
      <w:r w:rsidR="00BA6678">
        <w:t>on</w:t>
      </w:r>
      <w:r>
        <w:t xml:space="preserve"> ‘Patient must have tumour(s) that are resectable as assessed by the treating clinician’ was </w:t>
      </w:r>
      <w:bookmarkStart w:id="28" w:name="_Int_4qaRmbhi"/>
      <w:r w:rsidR="009F67D2">
        <w:t xml:space="preserve">likely </w:t>
      </w:r>
      <w:r>
        <w:t>reasonable</w:t>
      </w:r>
      <w:bookmarkEnd w:id="28"/>
      <w:r>
        <w:t xml:space="preserve">, </w:t>
      </w:r>
      <w:r w:rsidR="00444B7F">
        <w:t>though difficult to enforce in practice compared to the controlled conditions of the</w:t>
      </w:r>
      <w:r w:rsidR="000A2AA8">
        <w:t xml:space="preserve"> clinical</w:t>
      </w:r>
      <w:r w:rsidR="00444B7F">
        <w:t xml:space="preserve"> trial.</w:t>
      </w:r>
      <w:r w:rsidR="00CB7C05">
        <w:t xml:space="preserve"> </w:t>
      </w:r>
      <w:r w:rsidR="00DA567F">
        <w:t>The PBAC agreed</w:t>
      </w:r>
      <w:r w:rsidR="006A7EAB">
        <w:t xml:space="preserve"> with the ESC</w:t>
      </w:r>
      <w:r w:rsidR="00EC7078">
        <w:t xml:space="preserve"> and considered</w:t>
      </w:r>
      <w:r w:rsidR="00DA567F">
        <w:t xml:space="preserve"> that</w:t>
      </w:r>
      <w:r w:rsidR="00BA6678">
        <w:t xml:space="preserve"> this criterion could lead </w:t>
      </w:r>
      <w:r w:rsidR="00451DA8">
        <w:t>to some use in unresectable locally advanced patients.</w:t>
      </w:r>
      <w:r w:rsidR="00944D43" w:rsidRPr="75E3628F">
        <w:rPr>
          <w:rFonts w:ascii="Segoe UI" w:eastAsia="Times New Roman" w:hAnsi="Segoe UI" w:cs="Segoe UI"/>
          <w:sz w:val="18"/>
          <w:szCs w:val="18"/>
        </w:rPr>
        <w:t xml:space="preserve"> </w:t>
      </w:r>
      <w:r w:rsidR="00944D43">
        <w:t>Additionally, the PBAC considered some patients with resectable locally advanced disease were likely to be accessing immunotherapy under the current listing for unresectable metastatic disease.</w:t>
      </w:r>
    </w:p>
    <w:p w14:paraId="08BE7D63" w14:textId="55A75BE5" w:rsidR="005F3809" w:rsidRPr="00A01AE4" w:rsidRDefault="005F3809" w:rsidP="005F3809">
      <w:pPr>
        <w:pStyle w:val="3-BodyText"/>
      </w:pPr>
      <w:bookmarkStart w:id="29" w:name="_Ref208399693"/>
      <w:bookmarkStart w:id="30" w:name="_Ref213685341"/>
      <w:r w:rsidRPr="00EA460D">
        <w:t xml:space="preserve">The proposed </w:t>
      </w:r>
      <w:r w:rsidR="00F94246" w:rsidRPr="00EA460D">
        <w:t xml:space="preserve">PBS </w:t>
      </w:r>
      <w:r w:rsidRPr="00EA460D">
        <w:t xml:space="preserve">target population </w:t>
      </w:r>
      <w:r w:rsidR="003718E0" w:rsidRPr="00EA460D">
        <w:t xml:space="preserve">has </w:t>
      </w:r>
      <w:r w:rsidRPr="00EA460D">
        <w:t xml:space="preserve">not </w:t>
      </w:r>
      <w:r w:rsidR="003718E0" w:rsidRPr="00EA460D">
        <w:t xml:space="preserve">been </w:t>
      </w:r>
      <w:r w:rsidRPr="00EA460D">
        <w:t>restricted to patients expressing PD-L1 b</w:t>
      </w:r>
      <w:r w:rsidR="003718E0" w:rsidRPr="00EA460D">
        <w:t>ecause of</w:t>
      </w:r>
      <w:r w:rsidRPr="00EA460D">
        <w:t xml:space="preserve"> the high prevalence of PD-L1 expression in LA HNSCC (PD</w:t>
      </w:r>
      <w:r w:rsidRPr="00A01AE4">
        <w:t xml:space="preserve">-L1 CPS </w:t>
      </w:r>
      <w:r w:rsidRPr="00A01AE4">
        <w:rPr>
          <w:rFonts w:cstheme="minorHAnsi"/>
        </w:rPr>
        <w:t>≥</w:t>
      </w:r>
      <w:r w:rsidRPr="00A01AE4">
        <w:t xml:space="preserve"> 1 accounting for 95.5% of the trial population in KN689) and the positive efficacy results in the overall trial patients. </w:t>
      </w:r>
      <w:r w:rsidR="008F2366" w:rsidRPr="00A01AE4">
        <w:t>T</w:t>
      </w:r>
      <w:r w:rsidRPr="00A01AE4">
        <w:t xml:space="preserve">he PBAC has previously considered PD-L1 status in the context of recurrent and metastatic HNSCC. The PBAC </w:t>
      </w:r>
      <w:r w:rsidR="0017258C" w:rsidRPr="00A01AE4">
        <w:t xml:space="preserve">previously </w:t>
      </w:r>
      <w:r w:rsidRPr="00A01AE4">
        <w:t>considered that, based on the results of the KN048 trial, it was not possible to conclude that patients with CPS &lt;</w:t>
      </w:r>
      <w:r w:rsidR="00FE14C1" w:rsidRPr="00A01AE4">
        <w:t xml:space="preserve"> </w:t>
      </w:r>
      <w:r w:rsidRPr="00A01AE4">
        <w:t xml:space="preserve">1 derive no benefit from pembrolizumab plus chemotherapy. A statistically significant survival benefit was observed in the </w:t>
      </w:r>
      <w:r w:rsidR="003718E0" w:rsidRPr="00A01AE4">
        <w:t>unselected</w:t>
      </w:r>
      <w:r w:rsidRPr="00A01AE4">
        <w:t xml:space="preserve"> population treated with pembrolizumab plus chemotherapy at the interim analysis, final analysis and at 4-years follow-up. The PBAC</w:t>
      </w:r>
      <w:r w:rsidR="00DB5B0D">
        <w:t xml:space="preserve"> previously</w:t>
      </w:r>
      <w:r w:rsidRPr="00A01AE4">
        <w:t xml:space="preserve"> advised that, on this basis, it was preferable that listing of pembrolizumab in combination with chemotherapy not exclude patients with CPS &lt;</w:t>
      </w:r>
      <w:r w:rsidR="00FE14C1" w:rsidRPr="00A01AE4">
        <w:t xml:space="preserve"> </w:t>
      </w:r>
      <w:r w:rsidRPr="00A01AE4">
        <w:t>1 (</w:t>
      </w:r>
      <w:r w:rsidR="00206955" w:rsidRPr="00A01AE4">
        <w:t>p</w:t>
      </w:r>
      <w:r w:rsidRPr="00A01AE4">
        <w:t xml:space="preserve">aragraph 7.1, </w:t>
      </w:r>
      <w:r w:rsidR="00206955" w:rsidRPr="00A01AE4">
        <w:t>p</w:t>
      </w:r>
      <w:r w:rsidRPr="00A01AE4">
        <w:t>embrolizumab public summary document [PSD], November 2021 PBAC meeting with March 2022 Addendum).</w:t>
      </w:r>
      <w:bookmarkEnd w:id="29"/>
      <w:r w:rsidR="00273347" w:rsidRPr="00477630">
        <w:rPr>
          <w:iCs/>
        </w:rPr>
        <w:t xml:space="preserve"> </w:t>
      </w:r>
      <w:r w:rsidR="006E55FD">
        <w:rPr>
          <w:iCs/>
        </w:rPr>
        <w:t>In line with previous decisions, t</w:t>
      </w:r>
      <w:r w:rsidR="009F00C0">
        <w:rPr>
          <w:iCs/>
        </w:rPr>
        <w:t>he PBAC advised</w:t>
      </w:r>
      <w:r w:rsidR="00BC00B4">
        <w:rPr>
          <w:iCs/>
        </w:rPr>
        <w:t xml:space="preserve"> that it remains appropriate not to restric</w:t>
      </w:r>
      <w:r w:rsidR="005F06F7">
        <w:rPr>
          <w:iCs/>
        </w:rPr>
        <w:t>t</w:t>
      </w:r>
      <w:r w:rsidR="00BC00B4">
        <w:rPr>
          <w:iCs/>
        </w:rPr>
        <w:t xml:space="preserve"> treatment to patients </w:t>
      </w:r>
      <w:r w:rsidR="005F06F7">
        <w:rPr>
          <w:iCs/>
        </w:rPr>
        <w:t>expressing PD-L1</w:t>
      </w:r>
      <w:r w:rsidR="006E55FD">
        <w:rPr>
          <w:iCs/>
        </w:rPr>
        <w:t>.</w:t>
      </w:r>
      <w:bookmarkEnd w:id="30"/>
    </w:p>
    <w:p w14:paraId="36D9B571" w14:textId="6B009774" w:rsidR="00F1090D" w:rsidRDefault="005F3809" w:rsidP="00F1090D">
      <w:pPr>
        <w:pStyle w:val="3-BodyText"/>
      </w:pPr>
      <w:bookmarkStart w:id="31" w:name="_Ref213686046"/>
      <w:r>
        <w:t xml:space="preserve">The </w:t>
      </w:r>
      <w:r w:rsidR="002A1C26">
        <w:t>PBAC considered that</w:t>
      </w:r>
      <w:r>
        <w:t xml:space="preserve"> a flow-on change </w:t>
      </w:r>
      <w:r w:rsidR="00B951E8">
        <w:t xml:space="preserve">may be required </w:t>
      </w:r>
      <w:r>
        <w:t xml:space="preserve">to the current pembrolizumab </w:t>
      </w:r>
      <w:r w:rsidR="006C7CAF">
        <w:t>and nivolumab listing</w:t>
      </w:r>
      <w:r w:rsidR="00561575">
        <w:t>s</w:t>
      </w:r>
      <w:r w:rsidR="006C7CAF">
        <w:t xml:space="preserve"> </w:t>
      </w:r>
      <w:r>
        <w:t xml:space="preserve">for recurrent/metastatic HNSCC to preclude retreatment </w:t>
      </w:r>
      <w:r w:rsidR="002F5E31">
        <w:t>with a PD-1 inhibitor</w:t>
      </w:r>
      <w:r w:rsidR="008F2366">
        <w:t>,</w:t>
      </w:r>
      <w:r w:rsidR="00D42535">
        <w:t xml:space="preserve"> in line with the “once per lifetime” rule for </w:t>
      </w:r>
      <w:bookmarkStart w:id="32" w:name="_Int_tyL3p8Op"/>
      <w:r w:rsidR="009808EE">
        <w:t>the majority of</w:t>
      </w:r>
      <w:bookmarkEnd w:id="32"/>
      <w:r w:rsidR="009808EE">
        <w:t xml:space="preserve"> </w:t>
      </w:r>
      <w:r w:rsidR="00D42535">
        <w:t>immunotherap</w:t>
      </w:r>
      <w:r w:rsidR="009808EE">
        <w:t>ies</w:t>
      </w:r>
      <w:r w:rsidR="00D42535">
        <w:t xml:space="preserve"> subsidised through the PBS</w:t>
      </w:r>
      <w:r>
        <w:t>.</w:t>
      </w:r>
      <w:bookmarkEnd w:id="31"/>
    </w:p>
    <w:p w14:paraId="5D9E3DF5" w14:textId="1D6F3DCF" w:rsidR="00B82A32" w:rsidRPr="00B82A32" w:rsidRDefault="00B82A32" w:rsidP="00BD0D9C">
      <w:pPr>
        <w:spacing w:before="120"/>
        <w:ind w:firstLine="709"/>
        <w:rPr>
          <w:rFonts w:asciiTheme="minorHAnsi" w:hAnsiTheme="minorHAnsi"/>
          <w:i/>
        </w:rPr>
      </w:pPr>
      <w:r w:rsidRPr="00C33D30">
        <w:rPr>
          <w:rFonts w:asciiTheme="minorHAnsi" w:hAnsiTheme="minorHAnsi"/>
          <w:i/>
        </w:rPr>
        <w:lastRenderedPageBreak/>
        <w:t>For more detail on PBAC’s view, see section 7 PBAC outcome.</w:t>
      </w:r>
    </w:p>
    <w:p w14:paraId="4F925099" w14:textId="77777777" w:rsidR="005F3809" w:rsidRPr="00D74203" w:rsidDel="00195452" w:rsidRDefault="005F3809" w:rsidP="005F3809">
      <w:pPr>
        <w:pStyle w:val="2-SectionHeading"/>
      </w:pPr>
      <w:bookmarkStart w:id="33" w:name="_Toc206432631"/>
      <w:bookmarkStart w:id="34" w:name="_Toc209004700"/>
      <w:r w:rsidRPr="00D74203" w:rsidDel="00195452">
        <w:t>Population and disease</w:t>
      </w:r>
      <w:bookmarkEnd w:id="33"/>
      <w:bookmarkEnd w:id="34"/>
    </w:p>
    <w:p w14:paraId="3B2AE283" w14:textId="7AC24785" w:rsidR="005F3809" w:rsidRPr="00D74203" w:rsidRDefault="005F3809" w:rsidP="005F3809">
      <w:pPr>
        <w:pStyle w:val="3-BodyText"/>
      </w:pPr>
      <w:r w:rsidRPr="00D74203">
        <w:t xml:space="preserve">Head and neck cancers encompass a range of malignancies, including </w:t>
      </w:r>
      <w:r w:rsidR="003047B8">
        <w:t xml:space="preserve">in the </w:t>
      </w:r>
      <w:r w:rsidRPr="00D74203">
        <w:t>oral cavity, larynx, oropharynx, and hypopharynx. In 2024, it was estimated that 5,531 new cases of head and neck cancer (including lip) were diagnosed in Australia, with the majority (</w:t>
      </w:r>
      <w:r w:rsidRPr="00D74203">
        <w:rPr>
          <w:rFonts w:cstheme="minorHAnsi"/>
        </w:rPr>
        <w:t>~</w:t>
      </w:r>
      <w:r w:rsidRPr="00D74203">
        <w:t>85%) of the cancers originat</w:t>
      </w:r>
      <w:r w:rsidR="00EF352F">
        <w:t>ing</w:t>
      </w:r>
      <w:r w:rsidRPr="00D74203">
        <w:t xml:space="preserve"> from the oral cavity, pharynx and larynx.</w:t>
      </w:r>
      <w:r w:rsidRPr="00D74203">
        <w:rPr>
          <w:rStyle w:val="FootnoteReference"/>
        </w:rPr>
        <w:footnoteReference w:id="1"/>
      </w:r>
      <w:r w:rsidRPr="00D74203">
        <w:t xml:space="preserve"> Squamous cell carcinoma (SCC) is the most common histology, accounting for </w:t>
      </w:r>
      <w:r w:rsidR="008E0BA3">
        <w:t xml:space="preserve">approximately </w:t>
      </w:r>
      <w:r w:rsidRPr="00D74203">
        <w:t>93% of head and neck cancers</w:t>
      </w:r>
      <w:bookmarkStart w:id="35" w:name="_Ref205476172"/>
      <w:r w:rsidRPr="00D74203">
        <w:t>.</w:t>
      </w:r>
      <w:r w:rsidRPr="00D74203">
        <w:rPr>
          <w:rStyle w:val="FootnoteReference"/>
        </w:rPr>
        <w:footnoteReference w:id="2"/>
      </w:r>
      <w:bookmarkEnd w:id="35"/>
      <w:r w:rsidRPr="00D74203">
        <w:t xml:space="preserve"> </w:t>
      </w:r>
    </w:p>
    <w:p w14:paraId="774088C3" w14:textId="1FAE944D" w:rsidR="005F3809" w:rsidRPr="00D74203" w:rsidRDefault="005F3809" w:rsidP="005F3809">
      <w:pPr>
        <w:pStyle w:val="3-BodyText"/>
      </w:pPr>
      <w:r w:rsidRPr="00D74203">
        <w:t>The submission noted that locally advanced disease is usually considered to be Stage</w:t>
      </w:r>
      <w:r w:rsidR="008E0BA3">
        <w:t>s</w:t>
      </w:r>
      <w:r w:rsidRPr="00D74203">
        <w:t xml:space="preserve"> III</w:t>
      </w:r>
      <w:r w:rsidR="008E0BA3">
        <w:t xml:space="preserve"> to IVB</w:t>
      </w:r>
      <w:r w:rsidRPr="00D74203">
        <w:t>, as defined by the 8</w:t>
      </w:r>
      <w:r w:rsidRPr="00D74203">
        <w:rPr>
          <w:vertAlign w:val="superscript"/>
        </w:rPr>
        <w:t>th</w:t>
      </w:r>
      <w:r w:rsidRPr="00D74203">
        <w:t xml:space="preserve"> Edition of the American Joint Committee on Cancer (AJCC) Tumour-Node-Metastasis (TNM) staging system. More than half (54</w:t>
      </w:r>
      <w:r w:rsidR="009235AA" w:rsidRPr="75E3628F">
        <w:t>−</w:t>
      </w:r>
      <w:r w:rsidRPr="00D74203">
        <w:t>73%) of HNSCCs are diagnosed in the locally advanced setting.</w:t>
      </w:r>
      <w:r w:rsidRPr="00D74203">
        <w:rPr>
          <w:vertAlign w:val="superscript"/>
        </w:rPr>
        <w:fldChar w:fldCharType="begin"/>
      </w:r>
      <w:r w:rsidRPr="00D74203">
        <w:rPr>
          <w:vertAlign w:val="superscript"/>
        </w:rPr>
        <w:instrText xml:space="preserve"> NOTEREF _Ref205476172 \h  \* MERGEFORMAT </w:instrText>
      </w:r>
      <w:r w:rsidRPr="00D74203">
        <w:rPr>
          <w:vertAlign w:val="superscript"/>
        </w:rPr>
      </w:r>
      <w:r w:rsidRPr="00D74203">
        <w:rPr>
          <w:vertAlign w:val="superscript"/>
        </w:rPr>
        <w:fldChar w:fldCharType="separate"/>
      </w:r>
      <w:bookmarkStart w:id="36" w:name="_Int_kg9XVDQv"/>
      <w:r w:rsidR="0084087D">
        <w:rPr>
          <w:vertAlign w:val="superscript"/>
        </w:rPr>
        <w:t>2</w:t>
      </w:r>
      <w:r w:rsidRPr="00D74203">
        <w:rPr>
          <w:vertAlign w:val="superscript"/>
        </w:rPr>
        <w:fldChar w:fldCharType="end"/>
      </w:r>
      <w:r w:rsidRPr="00D74203">
        <w:rPr>
          <w:vertAlign w:val="superscript"/>
        </w:rPr>
        <w:t>,</w:t>
      </w:r>
      <w:r w:rsidRPr="00D74203">
        <w:rPr>
          <w:rStyle w:val="FootnoteReference"/>
        </w:rPr>
        <w:footnoteReference w:id="3"/>
      </w:r>
      <w:bookmarkEnd w:id="36"/>
      <w:r w:rsidRPr="00D74203">
        <w:t xml:space="preserve"> LA HNSCC is aggressive and has a recurrence rate of 50% to 60%,</w:t>
      </w:r>
      <w:r w:rsidRPr="00D74203">
        <w:rPr>
          <w:rStyle w:val="FootnoteReference"/>
        </w:rPr>
        <w:footnoteReference w:id="4"/>
      </w:r>
      <w:r w:rsidRPr="00D74203">
        <w:t xml:space="preserve"> necessitating intensive treatment comprising surgery, radiotherapy, and systemic therapy. </w:t>
      </w:r>
    </w:p>
    <w:p w14:paraId="01CBA47E" w14:textId="4867F639" w:rsidR="005F3809" w:rsidRPr="00D74203" w:rsidRDefault="005F3809" w:rsidP="005F3809">
      <w:pPr>
        <w:pStyle w:val="3-BodyText"/>
      </w:pPr>
      <w:r w:rsidRPr="00D74203">
        <w:t xml:space="preserve">The population </w:t>
      </w:r>
      <w:r w:rsidR="00983069">
        <w:t xml:space="preserve">proposed </w:t>
      </w:r>
      <w:r w:rsidRPr="00D74203">
        <w:t>in th</w:t>
      </w:r>
      <w:r w:rsidR="003047B8">
        <w:t>e</w:t>
      </w:r>
      <w:r w:rsidRPr="00D74203">
        <w:t xml:space="preserve"> submission </w:t>
      </w:r>
      <w:r w:rsidR="0015754C">
        <w:t>were</w:t>
      </w:r>
      <w:r w:rsidR="0015754C" w:rsidRPr="00D74203">
        <w:t xml:space="preserve"> </w:t>
      </w:r>
      <w:r w:rsidRPr="00D74203">
        <w:t xml:space="preserve">patients with resectable LA SCC of the oral cavity, </w:t>
      </w:r>
      <w:bookmarkStart w:id="37" w:name="_Int_HEgYJgdK"/>
      <w:r w:rsidRPr="00D74203">
        <w:t>pharynx</w:t>
      </w:r>
      <w:bookmarkEnd w:id="37"/>
      <w:r w:rsidRPr="00D74203">
        <w:t xml:space="preserve"> or larynx. In current clinical practice, the proposed PBS patients are often treated with definitive radiotherapy ± chemotherapy, given post-operatively. If relapse occurs, patients are assessed for eligibility for retreatment with local therapy. </w:t>
      </w:r>
      <w:r w:rsidR="00637C9B">
        <w:t>P</w:t>
      </w:r>
      <w:r w:rsidRPr="00D74203">
        <w:t xml:space="preserve">atients </w:t>
      </w:r>
      <w:r w:rsidR="00637C9B">
        <w:t xml:space="preserve">whose disease cannot be managed with local therapy </w:t>
      </w:r>
      <w:r w:rsidRPr="00D74203">
        <w:t>receive nivolumab or pembrolizumab ± chemotherapy, subject to line of therapy and time of recurrence</w:t>
      </w:r>
      <w:r w:rsidR="003047B8">
        <w:t>.</w:t>
      </w:r>
      <w:r w:rsidRPr="00D74203">
        <w:rPr>
          <w:rStyle w:val="FootnoteReference"/>
        </w:rPr>
        <w:footnoteReference w:id="5"/>
      </w:r>
      <w:r w:rsidRPr="00D74203">
        <w:t xml:space="preserve"> </w:t>
      </w:r>
      <w:r w:rsidR="003047B8">
        <w:t>C</w:t>
      </w:r>
      <w:r w:rsidRPr="00D74203">
        <w:t xml:space="preserve">hemotherapy </w:t>
      </w:r>
      <w:r w:rsidR="003047B8">
        <w:t xml:space="preserve">is given </w:t>
      </w:r>
      <w:r w:rsidRPr="00D74203">
        <w:t>alone if patients are not eligible for</w:t>
      </w:r>
      <w:r w:rsidR="003047B8">
        <w:t>,</w:t>
      </w:r>
      <w:r w:rsidRPr="00D74203">
        <w:t xml:space="preserve"> or contraindicated to</w:t>
      </w:r>
      <w:r w:rsidR="003047B8">
        <w:t>,</w:t>
      </w:r>
      <w:r w:rsidRPr="00D74203">
        <w:t xml:space="preserve"> immunotherapy.</w:t>
      </w:r>
    </w:p>
    <w:p w14:paraId="7C722ECA" w14:textId="6E2FD682" w:rsidR="005F3809" w:rsidRDefault="005F3809" w:rsidP="005F3809">
      <w:pPr>
        <w:pStyle w:val="3-BodyText"/>
      </w:pPr>
      <w:r w:rsidRPr="00D74203">
        <w:t>Pembrolizumab is a high affinity antibody against PD-1</w:t>
      </w:r>
      <w:r w:rsidR="003047B8">
        <w:t>. It</w:t>
      </w:r>
      <w:r w:rsidRPr="00D74203">
        <w:t xml:space="preserve"> is an immune-checkpoint </w:t>
      </w:r>
      <w:r w:rsidR="003047B8">
        <w:t>inhibi</w:t>
      </w:r>
      <w:r w:rsidR="003047B8" w:rsidRPr="00D74203">
        <w:t xml:space="preserve">tor </w:t>
      </w:r>
      <w:r w:rsidRPr="00D74203">
        <w:t xml:space="preserve">that limits the activity of T lymphocytes in peripheral tissues. </w:t>
      </w:r>
      <w:r w:rsidRPr="00912C53">
        <w:t>Pembrolizumab</w:t>
      </w:r>
      <w:r w:rsidRPr="00D74203">
        <w:t xml:space="preserve"> is proposed to be used as neoadjuvant therapy, followed by surgery, and then pembrolizumab </w:t>
      </w:r>
      <w:r w:rsidR="008F2366">
        <w:t xml:space="preserve">treatment continues, </w:t>
      </w:r>
      <w:r w:rsidRPr="00D74203">
        <w:t xml:space="preserve">in combination with radiotherapy ± chemotherapy </w:t>
      </w:r>
      <w:r w:rsidR="003047B8">
        <w:t>(</w:t>
      </w:r>
      <w:r w:rsidR="003047B8" w:rsidRPr="00D74203">
        <w:t>SoC</w:t>
      </w:r>
      <w:r w:rsidR="003047B8">
        <w:t>)</w:t>
      </w:r>
      <w:r w:rsidR="003047B8" w:rsidRPr="00D74203">
        <w:t xml:space="preserve"> </w:t>
      </w:r>
      <w:r w:rsidRPr="00D74203">
        <w:t>in the adjuvant setting</w:t>
      </w:r>
      <w:r w:rsidR="008F2366">
        <w:t xml:space="preserve"> and then as a </w:t>
      </w:r>
      <w:r w:rsidR="00AA116A">
        <w:t xml:space="preserve">single </w:t>
      </w:r>
      <w:r w:rsidR="008F2366">
        <w:t>agent</w:t>
      </w:r>
      <w:r w:rsidRPr="00D74203">
        <w:t xml:space="preserve">. </w:t>
      </w:r>
    </w:p>
    <w:p w14:paraId="372A817B" w14:textId="77777777" w:rsidR="003B67D3" w:rsidRDefault="003B67D3" w:rsidP="00B82A32">
      <w:pPr>
        <w:ind w:firstLine="709"/>
        <w:rPr>
          <w:rFonts w:asciiTheme="minorHAnsi" w:hAnsiTheme="minorHAnsi"/>
          <w:i/>
        </w:rPr>
      </w:pPr>
    </w:p>
    <w:p w14:paraId="63B7D310" w14:textId="37DD12E4" w:rsidR="00B82A32" w:rsidRPr="00C33D30" w:rsidRDefault="00B82A32" w:rsidP="00B82A32">
      <w:pPr>
        <w:ind w:firstLine="709"/>
        <w:rPr>
          <w:rFonts w:asciiTheme="minorHAnsi" w:hAnsiTheme="minorHAnsi"/>
          <w:i/>
        </w:rPr>
      </w:pPr>
      <w:r w:rsidRPr="00C33D30">
        <w:rPr>
          <w:rFonts w:asciiTheme="minorHAnsi" w:hAnsiTheme="minorHAnsi"/>
          <w:i/>
        </w:rPr>
        <w:t>For more detail on PBAC’s view, see section 7 PBAC outcome.</w:t>
      </w:r>
    </w:p>
    <w:p w14:paraId="437A045B" w14:textId="77777777" w:rsidR="005F3809" w:rsidRPr="00D74203" w:rsidRDefault="005F3809" w:rsidP="005F3809">
      <w:pPr>
        <w:pStyle w:val="2-SectionHeading"/>
      </w:pPr>
      <w:bookmarkStart w:id="38" w:name="_Toc206432632"/>
      <w:bookmarkStart w:id="39" w:name="_Toc209004701"/>
      <w:r w:rsidRPr="00D74203">
        <w:lastRenderedPageBreak/>
        <w:t>Comparator</w:t>
      </w:r>
      <w:bookmarkEnd w:id="38"/>
      <w:bookmarkEnd w:id="39"/>
    </w:p>
    <w:p w14:paraId="3B05E31D" w14:textId="6D8F7D6D" w:rsidR="005F3809" w:rsidRDefault="005F3809" w:rsidP="005F3809">
      <w:pPr>
        <w:pStyle w:val="3-BodyText"/>
        <w:rPr>
          <w:iCs/>
        </w:rPr>
      </w:pPr>
      <w:r w:rsidRPr="00D74203">
        <w:t>The submission nominated SoC</w:t>
      </w:r>
      <w:r w:rsidR="00A123BF">
        <w:t xml:space="preserve">, defined as </w:t>
      </w:r>
      <w:r w:rsidR="008F2366">
        <w:t xml:space="preserve">adjuvant </w:t>
      </w:r>
      <w:r w:rsidRPr="00D74203">
        <w:t xml:space="preserve">radiotherapy with or without chemotherapy, as the main comparator. The submission indicated that </w:t>
      </w:r>
      <w:r w:rsidR="003047B8">
        <w:t>this definition of</w:t>
      </w:r>
      <w:r w:rsidRPr="00D74203">
        <w:t xml:space="preserve"> SoC for the treatment of resectable LA HNSCC </w:t>
      </w:r>
      <w:r w:rsidR="003047B8" w:rsidRPr="00D74203">
        <w:t xml:space="preserve">in current Australian clinical practice </w:t>
      </w:r>
      <w:r w:rsidR="00D34995">
        <w:t>was</w:t>
      </w:r>
      <w:r w:rsidRPr="00D74203">
        <w:t xml:space="preserve"> validated by the sponsor’s clinical advisory board</w:t>
      </w:r>
      <w:r w:rsidR="00537E73">
        <w:t xml:space="preserve"> and is aligned with</w:t>
      </w:r>
      <w:r w:rsidRPr="00D74203">
        <w:t xml:space="preserve"> local and international guidelines.</w:t>
      </w:r>
      <w:r w:rsidRPr="00D74203">
        <w:rPr>
          <w:rStyle w:val="FootnoteReference"/>
        </w:rPr>
        <w:footnoteReference w:id="6"/>
      </w:r>
      <w:r w:rsidR="008F2366">
        <w:rPr>
          <w:vertAlign w:val="superscript"/>
        </w:rPr>
        <w:t>,</w:t>
      </w:r>
      <w:r w:rsidR="008F2366">
        <w:rPr>
          <w:rStyle w:val="FootnoteReference"/>
        </w:rPr>
        <w:footnoteReference w:id="7"/>
      </w:r>
      <w:r w:rsidRPr="00D74203">
        <w:t xml:space="preserve"> </w:t>
      </w:r>
      <w:r w:rsidR="0019147B" w:rsidRPr="00477630">
        <w:rPr>
          <w:iCs/>
        </w:rPr>
        <w:t xml:space="preserve">The </w:t>
      </w:r>
      <w:r w:rsidR="0072624C" w:rsidRPr="00477630">
        <w:rPr>
          <w:iCs/>
        </w:rPr>
        <w:t>ESC</w:t>
      </w:r>
      <w:r w:rsidR="00736224" w:rsidRPr="00477630">
        <w:rPr>
          <w:iCs/>
        </w:rPr>
        <w:t xml:space="preserve"> considered </w:t>
      </w:r>
      <w:r w:rsidR="006315C5" w:rsidRPr="00477630">
        <w:rPr>
          <w:iCs/>
        </w:rPr>
        <w:t xml:space="preserve">that </w:t>
      </w:r>
      <w:r w:rsidRPr="00477630">
        <w:rPr>
          <w:iCs/>
        </w:rPr>
        <w:t xml:space="preserve">adjuvant radiotherapy ± chemotherapy </w:t>
      </w:r>
      <w:r w:rsidR="00AC6228" w:rsidRPr="00477630">
        <w:rPr>
          <w:iCs/>
        </w:rPr>
        <w:t>was an</w:t>
      </w:r>
      <w:r w:rsidRPr="00477630">
        <w:rPr>
          <w:iCs/>
        </w:rPr>
        <w:t xml:space="preserve"> appropriate comparator</w:t>
      </w:r>
      <w:r w:rsidR="00AC6228" w:rsidRPr="00477630">
        <w:rPr>
          <w:iCs/>
        </w:rPr>
        <w:t xml:space="preserve"> for pembrolizumab</w:t>
      </w:r>
      <w:r w:rsidR="00F63EEB" w:rsidRPr="00477630">
        <w:rPr>
          <w:iCs/>
        </w:rPr>
        <w:t xml:space="preserve"> in the resectable locally advanced setting</w:t>
      </w:r>
      <w:r w:rsidR="00AC6228" w:rsidRPr="00477630">
        <w:rPr>
          <w:iCs/>
        </w:rPr>
        <w:t>.</w:t>
      </w:r>
    </w:p>
    <w:p w14:paraId="484032C4" w14:textId="0F7DFFB7" w:rsidR="00B82A32" w:rsidRPr="00B82A32" w:rsidRDefault="00B82A32" w:rsidP="00B82A32">
      <w:pPr>
        <w:ind w:firstLine="709"/>
        <w:rPr>
          <w:rFonts w:asciiTheme="minorHAnsi" w:hAnsiTheme="minorHAnsi"/>
          <w:i/>
        </w:rPr>
      </w:pPr>
      <w:r w:rsidRPr="00C33D30">
        <w:rPr>
          <w:rFonts w:asciiTheme="minorHAnsi" w:hAnsiTheme="minorHAnsi"/>
          <w:i/>
        </w:rPr>
        <w:t>For more detail on PBAC’s view, see section 7 PBAC outcome.</w:t>
      </w:r>
    </w:p>
    <w:p w14:paraId="6BE69105" w14:textId="77777777" w:rsidR="005F3809" w:rsidRPr="00D74203" w:rsidRDefault="005F3809" w:rsidP="005F3809">
      <w:pPr>
        <w:pStyle w:val="2-SectionHeading"/>
        <w:numPr>
          <w:ilvl w:val="0"/>
          <w:numId w:val="1"/>
        </w:numPr>
      </w:pPr>
      <w:bookmarkStart w:id="40" w:name="_Toc206432633"/>
      <w:bookmarkStart w:id="41" w:name="_Toc209004702"/>
      <w:bookmarkStart w:id="42" w:name="_Toc22897640"/>
      <w:r w:rsidRPr="00D74203">
        <w:t>Consideration of the evidence</w:t>
      </w:r>
      <w:bookmarkEnd w:id="40"/>
      <w:bookmarkEnd w:id="41"/>
    </w:p>
    <w:p w14:paraId="558D1914" w14:textId="77777777" w:rsidR="00212C23" w:rsidRPr="00212C23" w:rsidRDefault="00212C23" w:rsidP="00212C23">
      <w:pPr>
        <w:pStyle w:val="4-SubsectionHeading"/>
      </w:pPr>
      <w:bookmarkStart w:id="43" w:name="_Hlk76375935"/>
      <w:bookmarkStart w:id="44" w:name="_Hlk212457692"/>
      <w:bookmarkStart w:id="45" w:name="_Toc206432634"/>
      <w:bookmarkStart w:id="46" w:name="_Toc209004703"/>
      <w:r w:rsidRPr="00212C23">
        <w:t>Sponsor hearing</w:t>
      </w:r>
    </w:p>
    <w:p w14:paraId="2107FEE4" w14:textId="1F1C6E48" w:rsidR="00212C23" w:rsidRPr="00212C23" w:rsidRDefault="00023BA2" w:rsidP="00212C23">
      <w:pPr>
        <w:widowControl w:val="0"/>
        <w:numPr>
          <w:ilvl w:val="1"/>
          <w:numId w:val="1"/>
        </w:numPr>
        <w:spacing w:after="120"/>
        <w:jc w:val="left"/>
        <w:rPr>
          <w:rFonts w:asciiTheme="minorHAnsi" w:hAnsiTheme="minorHAnsi"/>
          <w:bCs/>
          <w:snapToGrid w:val="0"/>
          <w:lang w:eastAsia="en-US"/>
        </w:rPr>
      </w:pPr>
      <w:bookmarkStart w:id="47" w:name="_Hlk76382586"/>
      <w:r>
        <w:rPr>
          <w:rFonts w:asciiTheme="minorHAnsi" w:hAnsiTheme="minorHAnsi"/>
          <w:bCs/>
          <w:snapToGrid w:val="0"/>
          <w:lang w:eastAsia="en-US"/>
        </w:rPr>
        <w:t>There was no hearing for this item.</w:t>
      </w:r>
    </w:p>
    <w:bookmarkEnd w:id="47"/>
    <w:p w14:paraId="1461278D" w14:textId="77777777" w:rsidR="00212C23" w:rsidRPr="00212C23" w:rsidRDefault="00212C23" w:rsidP="00212C23">
      <w:pPr>
        <w:pStyle w:val="4-SubsectionHeading"/>
      </w:pPr>
      <w:r w:rsidRPr="00212C23">
        <w:t>Consumer comments</w:t>
      </w:r>
    </w:p>
    <w:p w14:paraId="6E370265" w14:textId="4E87B2E1" w:rsidR="00212C23" w:rsidRPr="00212C23" w:rsidRDefault="00212C23" w:rsidP="75E3628F">
      <w:pPr>
        <w:widowControl w:val="0"/>
        <w:numPr>
          <w:ilvl w:val="1"/>
          <w:numId w:val="1"/>
        </w:numPr>
        <w:spacing w:after="120"/>
        <w:jc w:val="left"/>
        <w:rPr>
          <w:rFonts w:asciiTheme="minorHAnsi" w:hAnsiTheme="minorHAnsi"/>
          <w:snapToGrid w:val="0"/>
          <w:lang w:eastAsia="en-US"/>
        </w:rPr>
      </w:pPr>
      <w:bookmarkStart w:id="48" w:name="_Hlk76382618"/>
      <w:r w:rsidRPr="75E3628F">
        <w:rPr>
          <w:rFonts w:asciiTheme="minorHAnsi" w:hAnsiTheme="minorHAnsi"/>
          <w:snapToGrid w:val="0"/>
          <w:lang w:eastAsia="en-US"/>
        </w:rPr>
        <w:t>The PBAC noted and welcomed the input from individuals (</w:t>
      </w:r>
      <w:r w:rsidR="00B90272" w:rsidRPr="75E3628F">
        <w:rPr>
          <w:rFonts w:asciiTheme="minorHAnsi" w:hAnsiTheme="minorHAnsi"/>
          <w:snapToGrid w:val="0"/>
          <w:lang w:eastAsia="en-US"/>
        </w:rPr>
        <w:t>2</w:t>
      </w:r>
      <w:r w:rsidRPr="75E3628F">
        <w:rPr>
          <w:rFonts w:asciiTheme="minorHAnsi" w:hAnsiTheme="minorHAnsi"/>
          <w:snapToGrid w:val="0"/>
          <w:lang w:eastAsia="en-US"/>
        </w:rPr>
        <w:t>), health care professionals (</w:t>
      </w:r>
      <w:r w:rsidR="000A3932" w:rsidRPr="75E3628F">
        <w:rPr>
          <w:rFonts w:asciiTheme="minorHAnsi" w:hAnsiTheme="minorHAnsi"/>
          <w:snapToGrid w:val="0"/>
          <w:lang w:eastAsia="en-US"/>
        </w:rPr>
        <w:t>8</w:t>
      </w:r>
      <w:bookmarkStart w:id="49" w:name="_Int_xtABunLy"/>
      <w:r w:rsidRPr="75E3628F">
        <w:rPr>
          <w:rFonts w:asciiTheme="minorHAnsi" w:hAnsiTheme="minorHAnsi"/>
          <w:snapToGrid w:val="0"/>
          <w:lang w:eastAsia="en-US"/>
        </w:rPr>
        <w:t>)</w:t>
      </w:r>
      <w:bookmarkEnd w:id="49"/>
      <w:r w:rsidRPr="75E3628F">
        <w:rPr>
          <w:rFonts w:asciiTheme="minorHAnsi" w:hAnsiTheme="minorHAnsi"/>
          <w:snapToGrid w:val="0"/>
          <w:lang w:eastAsia="en-US"/>
        </w:rPr>
        <w:t xml:space="preserve"> and organisations (</w:t>
      </w:r>
      <w:r w:rsidR="000A3932" w:rsidRPr="75E3628F">
        <w:rPr>
          <w:rFonts w:asciiTheme="minorHAnsi" w:hAnsiTheme="minorHAnsi"/>
          <w:snapToGrid w:val="0"/>
          <w:lang w:eastAsia="en-US"/>
        </w:rPr>
        <w:t>3</w:t>
      </w:r>
      <w:r w:rsidRPr="75E3628F">
        <w:rPr>
          <w:rFonts w:asciiTheme="minorHAnsi" w:hAnsiTheme="minorHAnsi"/>
          <w:snapToGrid w:val="0"/>
          <w:lang w:eastAsia="en-US"/>
        </w:rPr>
        <w:t xml:space="preserve">) via the Consumer Comments facility on the PBS website.  </w:t>
      </w:r>
    </w:p>
    <w:p w14:paraId="4F63C30B" w14:textId="4EF5F41D" w:rsidR="00212C23" w:rsidRPr="003E2686" w:rsidRDefault="00212C23" w:rsidP="75E3628F">
      <w:pPr>
        <w:widowControl w:val="0"/>
        <w:numPr>
          <w:ilvl w:val="1"/>
          <w:numId w:val="1"/>
        </w:numPr>
        <w:spacing w:after="120"/>
        <w:rPr>
          <w:rFonts w:asciiTheme="minorHAnsi" w:hAnsiTheme="minorHAnsi"/>
          <w:snapToGrid w:val="0"/>
          <w:lang w:eastAsia="en-US"/>
        </w:rPr>
      </w:pPr>
      <w:r w:rsidRPr="75E3628F">
        <w:rPr>
          <w:rFonts w:asciiTheme="minorHAnsi" w:hAnsiTheme="minorHAnsi"/>
          <w:snapToGrid w:val="0"/>
          <w:lang w:eastAsia="en-US"/>
        </w:rPr>
        <w:t xml:space="preserve">The PBAC noted the advice received from </w:t>
      </w:r>
      <w:r w:rsidR="002B6396" w:rsidRPr="75E3628F">
        <w:rPr>
          <w:rFonts w:asciiTheme="minorHAnsi" w:hAnsiTheme="minorHAnsi"/>
          <w:snapToGrid w:val="0"/>
          <w:lang w:eastAsia="en-US"/>
        </w:rPr>
        <w:t>Head and Neck Cancer Australia and Rare Cancers Australia</w:t>
      </w:r>
      <w:r w:rsidR="000D412F" w:rsidRPr="75E3628F">
        <w:rPr>
          <w:rFonts w:asciiTheme="minorHAnsi" w:hAnsiTheme="minorHAnsi"/>
          <w:snapToGrid w:val="0"/>
          <w:lang w:eastAsia="en-US"/>
        </w:rPr>
        <w:t xml:space="preserve"> support</w:t>
      </w:r>
      <w:r w:rsidR="00446615" w:rsidRPr="75E3628F">
        <w:rPr>
          <w:rFonts w:asciiTheme="minorHAnsi" w:hAnsiTheme="minorHAnsi"/>
          <w:snapToGrid w:val="0"/>
          <w:lang w:eastAsia="en-US"/>
        </w:rPr>
        <w:t>ing</w:t>
      </w:r>
      <w:r w:rsidR="000D412F" w:rsidRPr="75E3628F">
        <w:rPr>
          <w:rFonts w:asciiTheme="minorHAnsi" w:hAnsiTheme="minorHAnsi"/>
          <w:snapToGrid w:val="0"/>
          <w:lang w:eastAsia="en-US"/>
        </w:rPr>
        <w:t xml:space="preserve"> the PBS listing of pembrolizumab for the </w:t>
      </w:r>
      <w:r w:rsidR="00602B04" w:rsidRPr="75E3628F">
        <w:rPr>
          <w:rFonts w:asciiTheme="minorHAnsi" w:hAnsiTheme="minorHAnsi"/>
          <w:snapToGrid w:val="0"/>
          <w:lang w:eastAsia="en-US"/>
        </w:rPr>
        <w:t xml:space="preserve">perioperative </w:t>
      </w:r>
      <w:r w:rsidR="000D412F" w:rsidRPr="75E3628F">
        <w:rPr>
          <w:rFonts w:asciiTheme="minorHAnsi" w:hAnsiTheme="minorHAnsi"/>
          <w:snapToGrid w:val="0"/>
          <w:lang w:eastAsia="en-US"/>
        </w:rPr>
        <w:t>treatment of patients with</w:t>
      </w:r>
      <w:r w:rsidR="00602B04" w:rsidRPr="75E3628F">
        <w:rPr>
          <w:rFonts w:asciiTheme="minorHAnsi" w:hAnsiTheme="minorHAnsi"/>
          <w:snapToGrid w:val="0"/>
          <w:lang w:eastAsia="en-US"/>
        </w:rPr>
        <w:t xml:space="preserve"> resectable</w:t>
      </w:r>
      <w:r w:rsidR="00BC63DC" w:rsidRPr="75E3628F">
        <w:rPr>
          <w:rFonts w:asciiTheme="minorHAnsi" w:hAnsiTheme="minorHAnsi"/>
          <w:snapToGrid w:val="0"/>
          <w:lang w:eastAsia="en-US"/>
        </w:rPr>
        <w:t xml:space="preserve"> LA</w:t>
      </w:r>
      <w:r w:rsidR="000D412F" w:rsidRPr="75E3628F">
        <w:rPr>
          <w:rFonts w:asciiTheme="minorHAnsi" w:hAnsiTheme="minorHAnsi"/>
          <w:snapToGrid w:val="0"/>
          <w:lang w:eastAsia="en-US"/>
        </w:rPr>
        <w:t xml:space="preserve"> </w:t>
      </w:r>
      <w:r w:rsidR="00BC63DC" w:rsidRPr="75E3628F">
        <w:rPr>
          <w:rFonts w:asciiTheme="minorHAnsi" w:hAnsiTheme="minorHAnsi"/>
          <w:snapToGrid w:val="0"/>
          <w:lang w:eastAsia="en-US"/>
        </w:rPr>
        <w:t>HNSCC.</w:t>
      </w:r>
      <w:r w:rsidR="00602B04" w:rsidRPr="75E3628F">
        <w:rPr>
          <w:rFonts w:asciiTheme="minorHAnsi" w:hAnsiTheme="minorHAnsi"/>
          <w:snapToGrid w:val="0"/>
          <w:lang w:eastAsia="en-US"/>
        </w:rPr>
        <w:t xml:space="preserve"> </w:t>
      </w:r>
      <w:r w:rsidR="00901FA8" w:rsidRPr="75E3628F">
        <w:rPr>
          <w:rFonts w:asciiTheme="minorHAnsi" w:hAnsiTheme="minorHAnsi"/>
          <w:snapToGrid w:val="0"/>
          <w:lang w:eastAsia="en-US"/>
        </w:rPr>
        <w:t xml:space="preserve">The organisations </w:t>
      </w:r>
      <w:r w:rsidR="005A23DC" w:rsidRPr="75E3628F">
        <w:rPr>
          <w:rFonts w:asciiTheme="minorHAnsi" w:hAnsiTheme="minorHAnsi"/>
          <w:snapToGrid w:val="0"/>
          <w:lang w:eastAsia="en-US"/>
        </w:rPr>
        <w:t>highlighted</w:t>
      </w:r>
      <w:r w:rsidR="00000207" w:rsidRPr="75E3628F">
        <w:rPr>
          <w:rFonts w:asciiTheme="minorHAnsi" w:hAnsiTheme="minorHAnsi"/>
          <w:snapToGrid w:val="0"/>
          <w:lang w:eastAsia="en-US"/>
        </w:rPr>
        <w:t xml:space="preserve"> </w:t>
      </w:r>
      <w:r w:rsidR="00901FA8" w:rsidRPr="75E3628F">
        <w:rPr>
          <w:rFonts w:asciiTheme="minorHAnsi" w:hAnsiTheme="minorHAnsi"/>
          <w:snapToGrid w:val="0"/>
          <w:lang w:eastAsia="en-US"/>
        </w:rPr>
        <w:t xml:space="preserve">that surgical resection and radiation </w:t>
      </w:r>
      <w:r w:rsidR="00D72D74" w:rsidRPr="75E3628F">
        <w:rPr>
          <w:rFonts w:asciiTheme="minorHAnsi" w:hAnsiTheme="minorHAnsi"/>
          <w:snapToGrid w:val="0"/>
          <w:lang w:eastAsia="en-US"/>
        </w:rPr>
        <w:t xml:space="preserve">can </w:t>
      </w:r>
      <w:r w:rsidR="00901FA8" w:rsidRPr="75E3628F">
        <w:rPr>
          <w:rFonts w:asciiTheme="minorHAnsi" w:hAnsiTheme="minorHAnsi"/>
          <w:snapToGrid w:val="0"/>
          <w:lang w:eastAsia="en-US"/>
        </w:rPr>
        <w:t>often lead to</w:t>
      </w:r>
      <w:r w:rsidR="00A370CE" w:rsidRPr="75E3628F">
        <w:rPr>
          <w:rFonts w:asciiTheme="minorHAnsi" w:hAnsiTheme="minorHAnsi"/>
          <w:snapToGrid w:val="0"/>
          <w:lang w:eastAsia="en-US"/>
        </w:rPr>
        <w:t xml:space="preserve"> </w:t>
      </w:r>
      <w:r w:rsidR="00901FA8" w:rsidRPr="75E3628F">
        <w:rPr>
          <w:rFonts w:asciiTheme="minorHAnsi" w:hAnsiTheme="minorHAnsi"/>
          <w:snapToGrid w:val="0"/>
          <w:lang w:eastAsia="en-US"/>
        </w:rPr>
        <w:t>serious complications</w:t>
      </w:r>
      <w:r w:rsidR="00446615" w:rsidRPr="75E3628F">
        <w:rPr>
          <w:rFonts w:asciiTheme="minorHAnsi" w:hAnsiTheme="minorHAnsi"/>
          <w:snapToGrid w:val="0"/>
          <w:lang w:eastAsia="en-US"/>
        </w:rPr>
        <w:t xml:space="preserve">, including severe disfigurement, loss of vision, and </w:t>
      </w:r>
      <w:r w:rsidR="004013A7" w:rsidRPr="75E3628F">
        <w:rPr>
          <w:rFonts w:asciiTheme="minorHAnsi" w:hAnsiTheme="minorHAnsi"/>
          <w:snapToGrid w:val="0"/>
          <w:lang w:eastAsia="en-US"/>
        </w:rPr>
        <w:t>impairments in</w:t>
      </w:r>
      <w:r w:rsidR="00446615" w:rsidRPr="75E3628F">
        <w:rPr>
          <w:rFonts w:asciiTheme="minorHAnsi" w:hAnsiTheme="minorHAnsi"/>
          <w:snapToGrid w:val="0"/>
          <w:lang w:eastAsia="en-US"/>
        </w:rPr>
        <w:t xml:space="preserve"> </w:t>
      </w:r>
      <w:r w:rsidR="004013A7" w:rsidRPr="75E3628F">
        <w:rPr>
          <w:rFonts w:asciiTheme="minorHAnsi" w:hAnsiTheme="minorHAnsi"/>
          <w:snapToGrid w:val="0"/>
          <w:lang w:eastAsia="en-US"/>
        </w:rPr>
        <w:t xml:space="preserve">the ability to </w:t>
      </w:r>
      <w:r w:rsidR="00446615" w:rsidRPr="75E3628F">
        <w:rPr>
          <w:rFonts w:asciiTheme="minorHAnsi" w:hAnsiTheme="minorHAnsi"/>
          <w:snapToGrid w:val="0"/>
          <w:lang w:eastAsia="en-US"/>
        </w:rPr>
        <w:t xml:space="preserve">swallow, speak, eat, or drink, </w:t>
      </w:r>
      <w:r w:rsidR="004013A7" w:rsidRPr="75E3628F">
        <w:rPr>
          <w:rFonts w:asciiTheme="minorHAnsi" w:hAnsiTheme="minorHAnsi"/>
          <w:snapToGrid w:val="0"/>
          <w:lang w:eastAsia="en-US"/>
        </w:rPr>
        <w:t>profoundly</w:t>
      </w:r>
      <w:r w:rsidR="00446615" w:rsidRPr="75E3628F">
        <w:rPr>
          <w:rFonts w:asciiTheme="minorHAnsi" w:hAnsiTheme="minorHAnsi"/>
          <w:snapToGrid w:val="0"/>
          <w:lang w:eastAsia="en-US"/>
        </w:rPr>
        <w:t xml:space="preserve"> affecting both the physical and mental wellbeing of patients.</w:t>
      </w:r>
      <w:r w:rsidR="003E2686" w:rsidRPr="75E3628F">
        <w:rPr>
          <w:rFonts w:asciiTheme="minorHAnsi" w:hAnsiTheme="minorHAnsi"/>
          <w:snapToGrid w:val="0"/>
          <w:lang w:eastAsia="en-US"/>
        </w:rPr>
        <w:t xml:space="preserve"> Rare Cancers Australia </w:t>
      </w:r>
      <w:r w:rsidR="005A23DC" w:rsidRPr="75E3628F">
        <w:rPr>
          <w:rFonts w:asciiTheme="minorHAnsi" w:hAnsiTheme="minorHAnsi"/>
          <w:snapToGrid w:val="0"/>
          <w:lang w:eastAsia="en-US"/>
        </w:rPr>
        <w:t xml:space="preserve">noted that </w:t>
      </w:r>
      <w:r w:rsidR="00EA1587" w:rsidRPr="75E3628F">
        <w:rPr>
          <w:rFonts w:asciiTheme="minorHAnsi" w:hAnsiTheme="minorHAnsi"/>
          <w:snapToGrid w:val="0"/>
          <w:lang w:eastAsia="en-US"/>
        </w:rPr>
        <w:t xml:space="preserve">further </w:t>
      </w:r>
      <w:r w:rsidR="000A12F9" w:rsidRPr="75E3628F">
        <w:rPr>
          <w:rFonts w:asciiTheme="minorHAnsi" w:hAnsiTheme="minorHAnsi"/>
          <w:snapToGrid w:val="0"/>
          <w:lang w:eastAsia="en-US"/>
        </w:rPr>
        <w:t xml:space="preserve">treatment </w:t>
      </w:r>
      <w:r w:rsidR="00EA1587" w:rsidRPr="75E3628F">
        <w:rPr>
          <w:rFonts w:asciiTheme="minorHAnsi" w:hAnsiTheme="minorHAnsi"/>
          <w:snapToGrid w:val="0"/>
          <w:lang w:eastAsia="en-US"/>
        </w:rPr>
        <w:t xml:space="preserve">options </w:t>
      </w:r>
      <w:r w:rsidR="00F25931" w:rsidRPr="75E3628F">
        <w:rPr>
          <w:rFonts w:asciiTheme="minorHAnsi" w:hAnsiTheme="minorHAnsi"/>
          <w:snapToGrid w:val="0"/>
          <w:lang w:eastAsia="en-US"/>
        </w:rPr>
        <w:t xml:space="preserve">may help </w:t>
      </w:r>
      <w:r w:rsidR="005B600D" w:rsidRPr="75E3628F">
        <w:rPr>
          <w:rFonts w:asciiTheme="minorHAnsi" w:hAnsiTheme="minorHAnsi"/>
          <w:snapToGrid w:val="0"/>
          <w:lang w:eastAsia="en-US"/>
        </w:rPr>
        <w:t xml:space="preserve">to </w:t>
      </w:r>
      <w:r w:rsidR="00F25931" w:rsidRPr="75E3628F">
        <w:rPr>
          <w:rFonts w:asciiTheme="minorHAnsi" w:hAnsiTheme="minorHAnsi"/>
          <w:snapToGrid w:val="0"/>
          <w:lang w:eastAsia="en-US"/>
        </w:rPr>
        <w:t xml:space="preserve">reduce the invasiveness of current procedures, </w:t>
      </w:r>
      <w:bookmarkStart w:id="50" w:name="_Int_S311cVZe"/>
      <w:r w:rsidR="00F25931" w:rsidRPr="75E3628F">
        <w:rPr>
          <w:rFonts w:asciiTheme="minorHAnsi" w:hAnsiTheme="minorHAnsi"/>
          <w:snapToGrid w:val="0"/>
          <w:lang w:eastAsia="en-US"/>
        </w:rPr>
        <w:t>ultimately enhancing</w:t>
      </w:r>
      <w:bookmarkEnd w:id="50"/>
      <w:r w:rsidR="00F25931" w:rsidRPr="75E3628F">
        <w:rPr>
          <w:rFonts w:asciiTheme="minorHAnsi" w:hAnsiTheme="minorHAnsi"/>
          <w:snapToGrid w:val="0"/>
          <w:lang w:eastAsia="en-US"/>
        </w:rPr>
        <w:t xml:space="preserve"> patients' quality of life.</w:t>
      </w:r>
    </w:p>
    <w:p w14:paraId="123C9FD6" w14:textId="4BBE387B" w:rsidR="00F25931" w:rsidRPr="000F7D11" w:rsidRDefault="009879A1" w:rsidP="75E3628F">
      <w:pPr>
        <w:widowControl w:val="0"/>
        <w:numPr>
          <w:ilvl w:val="1"/>
          <w:numId w:val="1"/>
        </w:numPr>
        <w:spacing w:after="120"/>
        <w:rPr>
          <w:rFonts w:asciiTheme="minorHAnsi" w:hAnsiTheme="minorHAnsi"/>
          <w:snapToGrid w:val="0"/>
          <w:lang w:eastAsia="en-US"/>
        </w:rPr>
      </w:pPr>
      <w:r w:rsidRPr="75E3628F">
        <w:rPr>
          <w:rFonts w:asciiTheme="minorHAnsi" w:hAnsiTheme="minorHAnsi"/>
          <w:snapToGrid w:val="0"/>
          <w:lang w:eastAsia="en-US"/>
        </w:rPr>
        <w:t>The PBAC noted commen</w:t>
      </w:r>
      <w:r w:rsidR="00A10822" w:rsidRPr="75E3628F">
        <w:rPr>
          <w:rFonts w:asciiTheme="minorHAnsi" w:hAnsiTheme="minorHAnsi"/>
          <w:snapToGrid w:val="0"/>
          <w:lang w:eastAsia="en-US"/>
        </w:rPr>
        <w:t>t</w:t>
      </w:r>
      <w:r w:rsidRPr="75E3628F">
        <w:rPr>
          <w:rFonts w:asciiTheme="minorHAnsi" w:hAnsiTheme="minorHAnsi"/>
          <w:snapToGrid w:val="0"/>
          <w:lang w:eastAsia="en-US"/>
        </w:rPr>
        <w:t>s from health care professionals supporting the PBS listing of pembrolizumab for the treatment of resectable LA HNSCC. The input</w:t>
      </w:r>
      <w:r w:rsidR="009B7E9C" w:rsidRPr="75E3628F">
        <w:rPr>
          <w:rFonts w:asciiTheme="minorHAnsi" w:hAnsiTheme="minorHAnsi"/>
          <w:snapToGrid w:val="0"/>
          <w:lang w:eastAsia="en-US"/>
        </w:rPr>
        <w:t xml:space="preserve"> emphasised that there is a critical unmet clinical need for these patients</w:t>
      </w:r>
      <w:r w:rsidR="004013A7" w:rsidRPr="75E3628F">
        <w:rPr>
          <w:rFonts w:asciiTheme="minorHAnsi" w:hAnsiTheme="minorHAnsi"/>
          <w:snapToGrid w:val="0"/>
          <w:lang w:eastAsia="en-US"/>
        </w:rPr>
        <w:t>, noting that current SoC is associated with</w:t>
      </w:r>
      <w:r w:rsidR="00C362DE" w:rsidRPr="75E3628F">
        <w:rPr>
          <w:rFonts w:asciiTheme="minorHAnsi" w:hAnsiTheme="minorHAnsi"/>
          <w:snapToGrid w:val="0"/>
          <w:lang w:eastAsia="en-US"/>
        </w:rPr>
        <w:t xml:space="preserve"> severe </w:t>
      </w:r>
      <w:r w:rsidR="004013A7" w:rsidRPr="75E3628F">
        <w:rPr>
          <w:rFonts w:asciiTheme="minorHAnsi" w:hAnsiTheme="minorHAnsi"/>
          <w:snapToGrid w:val="0"/>
          <w:lang w:eastAsia="en-US"/>
        </w:rPr>
        <w:t xml:space="preserve">complications </w:t>
      </w:r>
      <w:r w:rsidR="00F97D21" w:rsidRPr="75E3628F">
        <w:rPr>
          <w:rFonts w:asciiTheme="minorHAnsi" w:hAnsiTheme="minorHAnsi"/>
          <w:snapToGrid w:val="0"/>
          <w:lang w:eastAsia="en-US"/>
        </w:rPr>
        <w:t>and</w:t>
      </w:r>
      <w:r w:rsidRPr="75E3628F">
        <w:rPr>
          <w:rFonts w:asciiTheme="minorHAnsi" w:hAnsiTheme="minorHAnsi"/>
          <w:snapToGrid w:val="0"/>
          <w:lang w:eastAsia="en-US"/>
        </w:rPr>
        <w:t xml:space="preserve"> poor clinical outcomes</w:t>
      </w:r>
      <w:r w:rsidR="004013A7" w:rsidRPr="75E3628F">
        <w:rPr>
          <w:rFonts w:asciiTheme="minorHAnsi" w:hAnsiTheme="minorHAnsi"/>
          <w:snapToGrid w:val="0"/>
          <w:lang w:eastAsia="en-US"/>
        </w:rPr>
        <w:t xml:space="preserve">, </w:t>
      </w:r>
      <w:r w:rsidR="00901FA8" w:rsidRPr="75E3628F">
        <w:rPr>
          <w:rFonts w:asciiTheme="minorHAnsi" w:hAnsiTheme="minorHAnsi"/>
          <w:snapToGrid w:val="0"/>
          <w:lang w:eastAsia="en-US"/>
        </w:rPr>
        <w:t xml:space="preserve">where patients experience </w:t>
      </w:r>
      <w:bookmarkStart w:id="51" w:name="_Int_h5Y4qEJp"/>
      <w:r w:rsidR="00901FA8" w:rsidRPr="75E3628F">
        <w:rPr>
          <w:rFonts w:asciiTheme="minorHAnsi" w:hAnsiTheme="minorHAnsi"/>
          <w:snapToGrid w:val="0"/>
          <w:lang w:eastAsia="en-US"/>
        </w:rPr>
        <w:t xml:space="preserve">a </w:t>
      </w:r>
      <w:r w:rsidRPr="75E3628F">
        <w:rPr>
          <w:rFonts w:asciiTheme="minorHAnsi" w:hAnsiTheme="minorHAnsi"/>
          <w:snapToGrid w:val="0"/>
          <w:lang w:eastAsia="en-US"/>
        </w:rPr>
        <w:t>high</w:t>
      </w:r>
      <w:r w:rsidR="00901FA8" w:rsidRPr="75E3628F">
        <w:rPr>
          <w:rFonts w:asciiTheme="minorHAnsi" w:hAnsiTheme="minorHAnsi"/>
          <w:snapToGrid w:val="0"/>
          <w:lang w:eastAsia="en-US"/>
        </w:rPr>
        <w:t xml:space="preserve"> risk</w:t>
      </w:r>
      <w:bookmarkEnd w:id="51"/>
      <w:r w:rsidR="00901FA8" w:rsidRPr="75E3628F">
        <w:rPr>
          <w:rFonts w:asciiTheme="minorHAnsi" w:hAnsiTheme="minorHAnsi"/>
          <w:snapToGrid w:val="0"/>
          <w:lang w:eastAsia="en-US"/>
        </w:rPr>
        <w:t xml:space="preserve"> of</w:t>
      </w:r>
      <w:r w:rsidRPr="75E3628F">
        <w:rPr>
          <w:rFonts w:asciiTheme="minorHAnsi" w:hAnsiTheme="minorHAnsi"/>
          <w:snapToGrid w:val="0"/>
          <w:lang w:eastAsia="en-US"/>
        </w:rPr>
        <w:t xml:space="preserve"> </w:t>
      </w:r>
      <w:r w:rsidR="00F97D21" w:rsidRPr="75E3628F">
        <w:rPr>
          <w:rFonts w:asciiTheme="minorHAnsi" w:hAnsiTheme="minorHAnsi"/>
          <w:snapToGrid w:val="0"/>
          <w:lang w:eastAsia="en-US"/>
        </w:rPr>
        <w:t>recurrence</w:t>
      </w:r>
      <w:r w:rsidRPr="75E3628F">
        <w:rPr>
          <w:rFonts w:asciiTheme="minorHAnsi" w:hAnsiTheme="minorHAnsi"/>
          <w:snapToGrid w:val="0"/>
          <w:lang w:eastAsia="en-US"/>
        </w:rPr>
        <w:t xml:space="preserve"> within one year of surgery </w:t>
      </w:r>
      <w:r>
        <w:t>and poor</w:t>
      </w:r>
      <w:r w:rsidR="00A10822">
        <w:t xml:space="preserve"> </w:t>
      </w:r>
      <w:r w:rsidR="00052F97">
        <w:t xml:space="preserve">5-year </w:t>
      </w:r>
      <w:r w:rsidR="00A10822">
        <w:t>overall</w:t>
      </w:r>
      <w:r>
        <w:t xml:space="preserve"> survival.</w:t>
      </w:r>
      <w:r w:rsidR="00F164E9" w:rsidRPr="00F164E9">
        <w:rPr>
          <w:rFonts w:cs="Calibri"/>
          <w:color w:val="000000"/>
          <w:sz w:val="22"/>
          <w:szCs w:val="22"/>
        </w:rPr>
        <w:t xml:space="preserve"> </w:t>
      </w:r>
      <w:r w:rsidR="00A10822">
        <w:t xml:space="preserve">The health care professionals noted the improvement in </w:t>
      </w:r>
      <w:r w:rsidR="00F00DFB">
        <w:t>EFS,</w:t>
      </w:r>
      <w:r w:rsidR="00A10822">
        <w:t xml:space="preserve"> </w:t>
      </w:r>
      <w:r w:rsidR="00874BE4">
        <w:t xml:space="preserve">and pathological response </w:t>
      </w:r>
      <w:r w:rsidR="00A10822">
        <w:t>reported for pembrolizumab compared with SoC alone in the KN689 trial</w:t>
      </w:r>
      <w:r w:rsidR="00874BE4">
        <w:t xml:space="preserve">. The health care professionals considered these results clinically meaningful and would likely result in </w:t>
      </w:r>
      <w:r w:rsidR="00697998">
        <w:t xml:space="preserve">a </w:t>
      </w:r>
      <w:r w:rsidR="00874BE4">
        <w:t xml:space="preserve">greater likelihood of long-term remission, overall survival </w:t>
      </w:r>
      <w:bookmarkStart w:id="52" w:name="_Int_xgxelTH8"/>
      <w:r w:rsidR="00874BE4">
        <w:t>gains</w:t>
      </w:r>
      <w:bookmarkEnd w:id="52"/>
      <w:r w:rsidR="00874BE4">
        <w:t xml:space="preserve"> and improved quality of life.</w:t>
      </w:r>
      <w:r w:rsidR="00052F97">
        <w:t xml:space="preserve"> </w:t>
      </w:r>
      <w:r w:rsidR="00F164E9" w:rsidRPr="00F164E9">
        <w:t xml:space="preserve">The input noted that, for patients and their families, the potential to reduce recurrence, extend survival, and minimise </w:t>
      </w:r>
      <w:r w:rsidR="00F164E9" w:rsidRPr="00F164E9">
        <w:lastRenderedPageBreak/>
        <w:t xml:space="preserve">treatment-related morbidity </w:t>
      </w:r>
      <w:r w:rsidR="00B27B90">
        <w:t xml:space="preserve">would </w:t>
      </w:r>
      <w:r w:rsidR="00F164E9" w:rsidRPr="00F164E9">
        <w:t xml:space="preserve">lead to meaningful improvements in physical health, emotional wellbeing, and psychosocial functioning. </w:t>
      </w:r>
      <w:r w:rsidR="00052F97">
        <w:t>The health care professionals noted the</w:t>
      </w:r>
      <w:r w:rsidR="00052F97" w:rsidRPr="00052F97">
        <w:t xml:space="preserve"> favourable clinical outcomes observed in patients receiving </w:t>
      </w:r>
      <w:r w:rsidR="00052F97">
        <w:t>pembrolizumab</w:t>
      </w:r>
      <w:r w:rsidR="00052F97" w:rsidRPr="00052F97">
        <w:t xml:space="preserve"> in the metastatic setting and proposed that its earlier introduction in the treatment algorithm </w:t>
      </w:r>
      <w:r w:rsidR="00052F97">
        <w:t>would</w:t>
      </w:r>
      <w:r w:rsidR="00052F97" w:rsidRPr="00052F97">
        <w:t xml:space="preserve"> offer therapeutic benefit and improve overall disease management.</w:t>
      </w:r>
      <w:r w:rsidR="00052F97">
        <w:t xml:space="preserve"> </w:t>
      </w:r>
      <w:r w:rsidR="00CF3F2B">
        <w:t>H</w:t>
      </w:r>
      <w:r w:rsidR="009B7E9C">
        <w:t>ealth care professional</w:t>
      </w:r>
      <w:r w:rsidR="00F164E9">
        <w:t>s</w:t>
      </w:r>
      <w:r w:rsidR="009B7E9C">
        <w:t xml:space="preserve"> also noted </w:t>
      </w:r>
      <w:r w:rsidR="00CF3F2B">
        <w:t>a</w:t>
      </w:r>
      <w:r w:rsidR="009B7E9C">
        <w:t xml:space="preserve"> preference for the PBS listing to be flexible across PD-</w:t>
      </w:r>
      <w:r w:rsidR="00052F97">
        <w:t>L</w:t>
      </w:r>
      <w:r w:rsidR="009B7E9C">
        <w:t>1 strat</w:t>
      </w:r>
      <w:r w:rsidR="00052F97">
        <w:t>a</w:t>
      </w:r>
      <w:r w:rsidR="00074261">
        <w:t xml:space="preserve">, </w:t>
      </w:r>
      <w:r w:rsidR="00666419">
        <w:t>clinical staging</w:t>
      </w:r>
      <w:r w:rsidR="009D5C57">
        <w:t xml:space="preserve"> </w:t>
      </w:r>
      <w:r w:rsidR="00666419">
        <w:t>(</w:t>
      </w:r>
      <w:r w:rsidR="008C7457">
        <w:t xml:space="preserve">including </w:t>
      </w:r>
      <w:r w:rsidR="009D5C57">
        <w:t>IVB patients</w:t>
      </w:r>
      <w:r w:rsidR="008C7457">
        <w:t>)</w:t>
      </w:r>
      <w:r w:rsidR="00B9170F">
        <w:t>,</w:t>
      </w:r>
      <w:r w:rsidR="009B7E9C">
        <w:t xml:space="preserve"> and cisplatin eligibility. </w:t>
      </w:r>
      <w:r w:rsidR="00214002">
        <w:t xml:space="preserve">Health care professionals discussed the possible disadvantages of perioperative </w:t>
      </w:r>
      <w:r w:rsidR="00BF7496">
        <w:t xml:space="preserve">treatment with </w:t>
      </w:r>
      <w:r w:rsidR="00214002">
        <w:t>pembrolizumab, inc</w:t>
      </w:r>
      <w:r w:rsidR="00BF7496">
        <w:t>luding toxicity and</w:t>
      </w:r>
      <w:r w:rsidR="00CF3F2B">
        <w:t xml:space="preserve"> a</w:t>
      </w:r>
      <w:r w:rsidR="00BF7496">
        <w:t xml:space="preserve"> </w:t>
      </w:r>
      <w:r w:rsidR="00B24BF1">
        <w:t xml:space="preserve">potential </w:t>
      </w:r>
      <w:r w:rsidR="005B04F2">
        <w:t xml:space="preserve">for a </w:t>
      </w:r>
      <w:r w:rsidR="00B24BF1">
        <w:t>delay in surgery</w:t>
      </w:r>
      <w:r w:rsidR="00BC545D">
        <w:t xml:space="preserve">. </w:t>
      </w:r>
      <w:r w:rsidR="000B10D9">
        <w:t>It was noted that s</w:t>
      </w:r>
      <w:r w:rsidR="00BC545D">
        <w:t>ome patients may experience</w:t>
      </w:r>
      <w:r w:rsidR="00BF7496">
        <w:t xml:space="preserve"> disease progression during the neoadjuvant phase which </w:t>
      </w:r>
      <w:r w:rsidR="00BC545D">
        <w:t>would</w:t>
      </w:r>
      <w:r w:rsidR="00BF7496">
        <w:t xml:space="preserve"> preclude surgery</w:t>
      </w:r>
      <w:r w:rsidR="00491D4C">
        <w:t xml:space="preserve"> and </w:t>
      </w:r>
      <w:r w:rsidR="00CF3BFC">
        <w:t>may result in poorer health outcomes than if surgery had been performed earlier</w:t>
      </w:r>
      <w:r w:rsidR="00B24BF1">
        <w:t xml:space="preserve"> </w:t>
      </w:r>
      <w:r w:rsidR="00BF7496">
        <w:t>and highlighted the importance of carefully selecting patients with a low risk of rapid disease progression.</w:t>
      </w:r>
      <w:r w:rsidR="00FC102B">
        <w:t xml:space="preserve"> </w:t>
      </w:r>
    </w:p>
    <w:p w14:paraId="454A9F21" w14:textId="414FBF14" w:rsidR="000F7D11" w:rsidRPr="00F97D21" w:rsidRDefault="000F7D11" w:rsidP="00001365">
      <w:pPr>
        <w:widowControl w:val="0"/>
        <w:numPr>
          <w:ilvl w:val="1"/>
          <w:numId w:val="1"/>
        </w:numPr>
        <w:spacing w:after="120"/>
        <w:rPr>
          <w:rFonts w:asciiTheme="minorHAnsi" w:hAnsiTheme="minorHAnsi"/>
          <w:bCs/>
          <w:snapToGrid w:val="0"/>
          <w:lang w:eastAsia="en-US"/>
        </w:rPr>
      </w:pPr>
      <w:r>
        <w:rPr>
          <w:rFonts w:asciiTheme="minorHAnsi" w:hAnsiTheme="minorHAnsi"/>
          <w:bCs/>
          <w:snapToGrid w:val="0"/>
          <w:lang w:eastAsia="en-US"/>
        </w:rPr>
        <w:t xml:space="preserve">Individuals with </w:t>
      </w:r>
      <w:r w:rsidR="00DB51E9">
        <w:rPr>
          <w:rFonts w:asciiTheme="minorHAnsi" w:hAnsiTheme="minorHAnsi"/>
          <w:bCs/>
          <w:snapToGrid w:val="0"/>
          <w:lang w:eastAsia="en-US"/>
        </w:rPr>
        <w:t xml:space="preserve">HNSCC discussed </w:t>
      </w:r>
      <w:r w:rsidR="000C15AA">
        <w:rPr>
          <w:rFonts w:asciiTheme="minorHAnsi" w:hAnsiTheme="minorHAnsi"/>
          <w:bCs/>
          <w:snapToGrid w:val="0"/>
          <w:lang w:eastAsia="en-US"/>
        </w:rPr>
        <w:t xml:space="preserve">medical </w:t>
      </w:r>
      <w:r w:rsidR="003F2DE7">
        <w:rPr>
          <w:rFonts w:asciiTheme="minorHAnsi" w:hAnsiTheme="minorHAnsi"/>
          <w:bCs/>
          <w:snapToGrid w:val="0"/>
          <w:lang w:eastAsia="en-US"/>
        </w:rPr>
        <w:t xml:space="preserve">complications experienced post-surgery. The individuals </w:t>
      </w:r>
      <w:r w:rsidR="00FE6711">
        <w:rPr>
          <w:rFonts w:asciiTheme="minorHAnsi" w:hAnsiTheme="minorHAnsi"/>
          <w:bCs/>
          <w:snapToGrid w:val="0"/>
          <w:lang w:eastAsia="en-US"/>
        </w:rPr>
        <w:t xml:space="preserve">indicated a preference </w:t>
      </w:r>
      <w:r w:rsidR="00EB1348">
        <w:rPr>
          <w:rFonts w:asciiTheme="minorHAnsi" w:hAnsiTheme="minorHAnsi"/>
          <w:bCs/>
          <w:snapToGrid w:val="0"/>
          <w:lang w:eastAsia="en-US"/>
        </w:rPr>
        <w:t>to</w:t>
      </w:r>
      <w:r w:rsidR="00422A47">
        <w:rPr>
          <w:rFonts w:asciiTheme="minorHAnsi" w:hAnsiTheme="minorHAnsi"/>
          <w:bCs/>
          <w:snapToGrid w:val="0"/>
          <w:lang w:eastAsia="en-US"/>
        </w:rPr>
        <w:t xml:space="preserve"> receive pembrolizumab and considered it </w:t>
      </w:r>
      <w:r w:rsidR="00FE6711">
        <w:rPr>
          <w:rFonts w:asciiTheme="minorHAnsi" w:hAnsiTheme="minorHAnsi"/>
          <w:bCs/>
          <w:snapToGrid w:val="0"/>
          <w:lang w:eastAsia="en-US"/>
        </w:rPr>
        <w:t>could reduce the risk</w:t>
      </w:r>
      <w:r w:rsidR="00337336">
        <w:rPr>
          <w:rFonts w:asciiTheme="minorHAnsi" w:hAnsiTheme="minorHAnsi"/>
          <w:bCs/>
          <w:snapToGrid w:val="0"/>
          <w:lang w:eastAsia="en-US"/>
        </w:rPr>
        <w:t xml:space="preserve"> </w:t>
      </w:r>
      <w:r w:rsidR="00FE6711">
        <w:rPr>
          <w:rFonts w:asciiTheme="minorHAnsi" w:hAnsiTheme="minorHAnsi"/>
          <w:bCs/>
          <w:snapToGrid w:val="0"/>
          <w:lang w:eastAsia="en-US"/>
        </w:rPr>
        <w:t>of</w:t>
      </w:r>
      <w:r w:rsidR="00337336">
        <w:rPr>
          <w:rFonts w:asciiTheme="minorHAnsi" w:hAnsiTheme="minorHAnsi"/>
          <w:bCs/>
          <w:snapToGrid w:val="0"/>
          <w:lang w:eastAsia="en-US"/>
        </w:rPr>
        <w:t xml:space="preserve"> recurrence.</w:t>
      </w:r>
      <w:r w:rsidR="00DB51E9">
        <w:rPr>
          <w:rFonts w:asciiTheme="minorHAnsi" w:hAnsiTheme="minorHAnsi"/>
          <w:bCs/>
          <w:snapToGrid w:val="0"/>
          <w:lang w:eastAsia="en-US"/>
        </w:rPr>
        <w:t xml:space="preserve"> </w:t>
      </w:r>
    </w:p>
    <w:bookmarkEnd w:id="43"/>
    <w:bookmarkEnd w:id="48"/>
    <w:p w14:paraId="3DB22AC2" w14:textId="3F928BCA" w:rsidR="00212C23" w:rsidRPr="002E7B9E" w:rsidRDefault="00212C23" w:rsidP="75E3628F">
      <w:pPr>
        <w:widowControl w:val="0"/>
        <w:numPr>
          <w:ilvl w:val="1"/>
          <w:numId w:val="1"/>
        </w:numPr>
        <w:spacing w:after="120"/>
        <w:jc w:val="left"/>
        <w:rPr>
          <w:rFonts w:asciiTheme="minorHAnsi" w:hAnsiTheme="minorHAnsi"/>
          <w:snapToGrid w:val="0"/>
        </w:rPr>
      </w:pPr>
      <w:r w:rsidRPr="75E3628F">
        <w:rPr>
          <w:rFonts w:asciiTheme="minorHAnsi" w:hAnsiTheme="minorHAnsi"/>
          <w:snapToGrid w:val="0"/>
          <w:lang w:eastAsia="en-US"/>
        </w:rPr>
        <w:t xml:space="preserve">The Medical Oncology Group of Australia (MOGA) also expressed its </w:t>
      </w:r>
      <w:bookmarkStart w:id="53" w:name="_Int_jvRtm18Y"/>
      <w:r w:rsidRPr="75E3628F">
        <w:rPr>
          <w:rFonts w:asciiTheme="minorHAnsi" w:hAnsiTheme="minorHAnsi"/>
          <w:snapToGrid w:val="0"/>
          <w:lang w:eastAsia="en-US"/>
        </w:rPr>
        <w:t>strong support</w:t>
      </w:r>
      <w:bookmarkEnd w:id="53"/>
      <w:r w:rsidRPr="75E3628F">
        <w:rPr>
          <w:rFonts w:asciiTheme="minorHAnsi" w:hAnsiTheme="minorHAnsi"/>
          <w:snapToGrid w:val="0"/>
          <w:lang w:eastAsia="en-US"/>
        </w:rPr>
        <w:t xml:space="preserve"> for the </w:t>
      </w:r>
      <w:r w:rsidR="00D340B9" w:rsidRPr="75E3628F">
        <w:rPr>
          <w:rFonts w:asciiTheme="minorHAnsi" w:hAnsiTheme="minorHAnsi"/>
          <w:snapToGrid w:val="0"/>
          <w:lang w:eastAsia="en-US"/>
        </w:rPr>
        <w:t xml:space="preserve">pembrolizumab </w:t>
      </w:r>
      <w:r w:rsidRPr="75E3628F">
        <w:rPr>
          <w:rFonts w:asciiTheme="minorHAnsi" w:hAnsiTheme="minorHAnsi"/>
          <w:snapToGrid w:val="0"/>
          <w:lang w:eastAsia="en-US"/>
        </w:rPr>
        <w:t xml:space="preserve">submission, categorising it as one of the therapies of “highest priority for PBS listing” on the basis of the </w:t>
      </w:r>
      <w:r w:rsidR="001731AF" w:rsidRPr="75E3628F">
        <w:rPr>
          <w:rFonts w:asciiTheme="minorHAnsi" w:hAnsiTheme="minorHAnsi"/>
          <w:snapToGrid w:val="0"/>
          <w:lang w:eastAsia="en-US"/>
        </w:rPr>
        <w:t>KEYNOTE</w:t>
      </w:r>
      <w:r w:rsidR="00E20867" w:rsidRPr="75E3628F">
        <w:rPr>
          <w:rFonts w:asciiTheme="minorHAnsi" w:hAnsiTheme="minorHAnsi"/>
          <w:snapToGrid w:val="0"/>
          <w:lang w:eastAsia="en-US"/>
        </w:rPr>
        <w:t>-689</w:t>
      </w:r>
      <w:r w:rsidRPr="75E3628F">
        <w:rPr>
          <w:rFonts w:asciiTheme="minorHAnsi" w:hAnsiTheme="minorHAnsi"/>
          <w:snapToGrid w:val="0"/>
          <w:lang w:eastAsia="en-US"/>
        </w:rPr>
        <w:t xml:space="preserve"> trial. The PBAC noted that the MOGA presented a European Society for Medical Oncology Magnitude of Clinical Benefit Scale (ESMO-MCBS) for </w:t>
      </w:r>
      <w:r w:rsidR="00A24DB9" w:rsidRPr="75E3628F">
        <w:rPr>
          <w:rFonts w:asciiTheme="minorHAnsi" w:hAnsiTheme="minorHAnsi"/>
          <w:snapToGrid w:val="0"/>
          <w:lang w:eastAsia="en-US"/>
        </w:rPr>
        <w:t>pembrolizumab</w:t>
      </w:r>
      <w:r w:rsidR="00E62BDC" w:rsidRPr="75E3628F">
        <w:rPr>
          <w:rFonts w:asciiTheme="minorHAnsi" w:hAnsiTheme="minorHAnsi"/>
          <w:snapToGrid w:val="0"/>
          <w:lang w:eastAsia="en-US"/>
        </w:rPr>
        <w:t xml:space="preserve"> the highest grade ‘A</w:t>
      </w:r>
      <w:bookmarkStart w:id="54" w:name="_Int_nV2ej8fK"/>
      <w:r w:rsidR="00E62BDC" w:rsidRPr="75E3628F">
        <w:rPr>
          <w:rFonts w:asciiTheme="minorHAnsi" w:hAnsiTheme="minorHAnsi"/>
          <w:snapToGrid w:val="0"/>
          <w:lang w:eastAsia="en-US"/>
        </w:rPr>
        <w:t>’,</w:t>
      </w:r>
      <w:bookmarkEnd w:id="54"/>
      <w:r w:rsidR="00E62BDC" w:rsidRPr="75E3628F">
        <w:rPr>
          <w:rFonts w:asciiTheme="minorHAnsi" w:hAnsiTheme="minorHAnsi"/>
          <w:snapToGrid w:val="0"/>
          <w:lang w:eastAsia="en-US"/>
        </w:rPr>
        <w:t xml:space="preserve"> categorising it as a treatment with substantial benefit in the curative setting.</w:t>
      </w:r>
      <w:r w:rsidR="00E20867" w:rsidRPr="75E3628F">
        <w:rPr>
          <w:rStyle w:val="FootnoteReference"/>
          <w:rFonts w:asciiTheme="minorHAnsi" w:hAnsiTheme="minorHAnsi"/>
          <w:snapToGrid w:val="0"/>
          <w:lang w:eastAsia="en-US"/>
        </w:rPr>
        <w:footnoteReference w:id="8"/>
      </w:r>
      <w:r w:rsidRPr="75E3628F">
        <w:rPr>
          <w:rFonts w:asciiTheme="minorHAnsi" w:hAnsiTheme="minorHAnsi"/>
          <w:snapToGrid w:val="0"/>
          <w:lang w:eastAsia="en-US"/>
        </w:rPr>
        <w:t xml:space="preserve">  </w:t>
      </w:r>
    </w:p>
    <w:bookmarkEnd w:id="44"/>
    <w:p w14:paraId="07566395" w14:textId="1D899E23" w:rsidR="005F3809" w:rsidRPr="00D74203" w:rsidRDefault="005F3809" w:rsidP="005F3809">
      <w:pPr>
        <w:pStyle w:val="4-SubsectionHeading"/>
      </w:pPr>
      <w:r w:rsidRPr="00D74203">
        <w:t>Clinical trials</w:t>
      </w:r>
      <w:bookmarkEnd w:id="42"/>
      <w:bookmarkEnd w:id="45"/>
      <w:bookmarkEnd w:id="46"/>
    </w:p>
    <w:p w14:paraId="1836FADC" w14:textId="31EE5BEC" w:rsidR="005F3809" w:rsidRPr="00D74203" w:rsidRDefault="005F3809" w:rsidP="005F3809">
      <w:pPr>
        <w:pStyle w:val="3-BodyText"/>
      </w:pPr>
      <w:r>
        <w:t xml:space="preserve">The submission was based on one head-to-head trial (KN689) </w:t>
      </w:r>
      <w:r w:rsidR="00904C7C">
        <w:t xml:space="preserve">which compared </w:t>
      </w:r>
      <w:proofErr w:type="spellStart"/>
      <w:r w:rsidR="00904C7C">
        <w:t>PEM+SoC</w:t>
      </w:r>
      <w:proofErr w:type="spellEnd"/>
      <w:r w:rsidR="00904C7C">
        <w:t xml:space="preserve"> with SoC </w:t>
      </w:r>
      <w:r w:rsidR="007C4BEA">
        <w:t xml:space="preserve">in patients with resectable Stage III-IVA SCC of the oral cavity, </w:t>
      </w:r>
      <w:bookmarkStart w:id="55" w:name="_Int_D01S5N4g"/>
      <w:r w:rsidR="007C4BEA">
        <w:t>pharynx</w:t>
      </w:r>
      <w:bookmarkEnd w:id="55"/>
      <w:r w:rsidR="007C4BEA">
        <w:t xml:space="preserve"> or larynx (N = 714). </w:t>
      </w:r>
    </w:p>
    <w:p w14:paraId="10429873" w14:textId="6CD51D69" w:rsidR="005F3809" w:rsidRPr="00D74203" w:rsidRDefault="005F3809" w:rsidP="005F3809">
      <w:pPr>
        <w:pStyle w:val="3-BodyText"/>
      </w:pPr>
      <w:r w:rsidRPr="00D74203">
        <w:t xml:space="preserve">Details of the KN689 </w:t>
      </w:r>
      <w:r w:rsidR="008E0BA3">
        <w:t xml:space="preserve">trial </w:t>
      </w:r>
      <w:r w:rsidRPr="00D74203">
        <w:t xml:space="preserve">presented in the submission are provided in </w:t>
      </w:r>
      <w:r w:rsidRPr="00D74203">
        <w:fldChar w:fldCharType="begin"/>
      </w:r>
      <w:r w:rsidRPr="00D74203">
        <w:instrText xml:space="preserve"> REF _Ref104803956 \h </w:instrText>
      </w:r>
      <w:r w:rsidRPr="00D74203">
        <w:fldChar w:fldCharType="separate"/>
      </w:r>
      <w:r w:rsidR="001D3427" w:rsidRPr="00D74203">
        <w:t xml:space="preserve">Table </w:t>
      </w:r>
      <w:r w:rsidR="001D3427">
        <w:rPr>
          <w:noProof/>
        </w:rPr>
        <w:t>2</w:t>
      </w:r>
      <w:r w:rsidRPr="00D74203">
        <w:fldChar w:fldCharType="end"/>
      </w:r>
      <w:r w:rsidRPr="00D74203">
        <w:t xml:space="preserve">. </w:t>
      </w:r>
    </w:p>
    <w:p w14:paraId="65DF350A" w14:textId="536B3B30" w:rsidR="005F3809" w:rsidRPr="00D74203" w:rsidRDefault="005F3809" w:rsidP="005F3809">
      <w:pPr>
        <w:pStyle w:val="TableFigureHeading"/>
        <w:rPr>
          <w:rStyle w:val="CommentReference"/>
          <w:b/>
          <w:szCs w:val="24"/>
        </w:rPr>
      </w:pPr>
      <w:bookmarkStart w:id="56" w:name="_Ref104803956"/>
      <w:r w:rsidRPr="00D74203">
        <w:lastRenderedPageBreak/>
        <w:t xml:space="preserve">Table </w:t>
      </w:r>
      <w:r w:rsidR="00972E86">
        <w:fldChar w:fldCharType="begin"/>
      </w:r>
      <w:r w:rsidR="00972E86">
        <w:instrText xml:space="preserve"> SEQ Table \* ARABIC </w:instrText>
      </w:r>
      <w:r w:rsidR="00972E86">
        <w:fldChar w:fldCharType="separate"/>
      </w:r>
      <w:r w:rsidR="0084087D">
        <w:rPr>
          <w:noProof/>
        </w:rPr>
        <w:t>2</w:t>
      </w:r>
      <w:r w:rsidR="00972E86">
        <w:rPr>
          <w:noProof/>
        </w:rPr>
        <w:fldChar w:fldCharType="end"/>
      </w:r>
      <w:bookmarkEnd w:id="56"/>
      <w:r w:rsidRPr="00D74203">
        <w:t>:</w:t>
      </w:r>
      <w:r w:rsidRPr="00D74203">
        <w:rPr>
          <w:rStyle w:val="CommentReference"/>
          <w:b/>
          <w:szCs w:val="24"/>
        </w:rPr>
        <w:t xml:space="preserve"> Trial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 and associated reports presented in the submission"/>
      </w:tblPr>
      <w:tblGrid>
        <w:gridCol w:w="703"/>
        <w:gridCol w:w="6191"/>
        <w:gridCol w:w="2123"/>
      </w:tblGrid>
      <w:tr w:rsidR="005F3809" w:rsidRPr="00D74203" w14:paraId="78894DA8" w14:textId="77777777">
        <w:trPr>
          <w:tblHeader/>
        </w:trPr>
        <w:tc>
          <w:tcPr>
            <w:tcW w:w="390" w:type="pct"/>
            <w:vAlign w:val="center"/>
          </w:tcPr>
          <w:p w14:paraId="3F02A27D" w14:textId="77777777" w:rsidR="005F3809" w:rsidRPr="00D74203" w:rsidRDefault="005F3809">
            <w:pPr>
              <w:pStyle w:val="In-tableHeading"/>
              <w:rPr>
                <w:lang w:val="en-AU"/>
              </w:rPr>
            </w:pPr>
            <w:r w:rsidRPr="00D74203">
              <w:rPr>
                <w:lang w:val="en-AU"/>
              </w:rPr>
              <w:t>Trial ID</w:t>
            </w:r>
          </w:p>
        </w:tc>
        <w:tc>
          <w:tcPr>
            <w:tcW w:w="3433" w:type="pct"/>
            <w:vAlign w:val="center"/>
          </w:tcPr>
          <w:p w14:paraId="632077CA" w14:textId="77777777" w:rsidR="005F3809" w:rsidRPr="00D74203" w:rsidRDefault="005F3809">
            <w:pPr>
              <w:pStyle w:val="In-tableHeading"/>
              <w:rPr>
                <w:lang w:val="en-AU"/>
              </w:rPr>
            </w:pPr>
            <w:r w:rsidRPr="00D74203">
              <w:rPr>
                <w:lang w:val="en-AU"/>
              </w:rPr>
              <w:t>Protocol title/ Publication title</w:t>
            </w:r>
          </w:p>
        </w:tc>
        <w:tc>
          <w:tcPr>
            <w:tcW w:w="1177" w:type="pct"/>
            <w:vAlign w:val="center"/>
          </w:tcPr>
          <w:p w14:paraId="6FA06D2D" w14:textId="77777777" w:rsidR="005F3809" w:rsidRPr="00D74203" w:rsidRDefault="005F3809">
            <w:pPr>
              <w:pStyle w:val="In-tableHeading"/>
              <w:rPr>
                <w:lang w:val="en-AU"/>
              </w:rPr>
            </w:pPr>
            <w:r w:rsidRPr="00D74203">
              <w:rPr>
                <w:lang w:val="en-AU"/>
              </w:rPr>
              <w:t>Publication citation</w:t>
            </w:r>
          </w:p>
        </w:tc>
      </w:tr>
      <w:tr w:rsidR="005F3809" w:rsidRPr="00D74203" w14:paraId="78652212" w14:textId="77777777">
        <w:tc>
          <w:tcPr>
            <w:tcW w:w="390" w:type="pct"/>
            <w:vMerge w:val="restart"/>
            <w:vAlign w:val="center"/>
          </w:tcPr>
          <w:p w14:paraId="46751F0A" w14:textId="77777777" w:rsidR="005F3809" w:rsidRPr="00D74203" w:rsidRDefault="005F3809">
            <w:pPr>
              <w:pStyle w:val="TableText0"/>
            </w:pPr>
            <w:r w:rsidRPr="00D74203">
              <w:t>KN689</w:t>
            </w:r>
          </w:p>
        </w:tc>
        <w:tc>
          <w:tcPr>
            <w:tcW w:w="3433" w:type="pct"/>
            <w:tcBorders>
              <w:bottom w:val="nil"/>
            </w:tcBorders>
          </w:tcPr>
          <w:p w14:paraId="1634A9F6" w14:textId="77777777" w:rsidR="005F3809" w:rsidRPr="00D74203" w:rsidRDefault="005F3809">
            <w:pPr>
              <w:pStyle w:val="TableText0"/>
              <w:jc w:val="both"/>
              <w:rPr>
                <w:u w:val="single"/>
              </w:rPr>
            </w:pPr>
            <w:r w:rsidRPr="00D74203">
              <w:rPr>
                <w:u w:val="single"/>
              </w:rPr>
              <w:t>Clinical Study Report</w:t>
            </w:r>
          </w:p>
          <w:p w14:paraId="7D690859" w14:textId="77777777" w:rsidR="005F3809" w:rsidRPr="00D74203" w:rsidRDefault="005F3809">
            <w:pPr>
              <w:pStyle w:val="TableText0"/>
              <w:rPr>
                <w:b/>
              </w:rPr>
            </w:pPr>
            <w:r w:rsidRPr="00D74203">
              <w:t>A phase III, randomized, open-label study to evaluate pembrolizumab as neoadjuvant therapy and in combination with standard of care as adjuvant therapy for stage III-IVA resectable locoregionally advanced head and neck squamous cell carcinoma (LA HNSCC).</w:t>
            </w:r>
          </w:p>
          <w:p w14:paraId="41723133" w14:textId="77777777" w:rsidR="005F3809" w:rsidRPr="00D74203" w:rsidRDefault="005F3809">
            <w:pPr>
              <w:pStyle w:val="TableText0"/>
              <w:rPr>
                <w:szCs w:val="18"/>
              </w:rPr>
            </w:pPr>
          </w:p>
        </w:tc>
        <w:tc>
          <w:tcPr>
            <w:tcW w:w="1177" w:type="pct"/>
            <w:tcBorders>
              <w:bottom w:val="nil"/>
            </w:tcBorders>
          </w:tcPr>
          <w:p w14:paraId="54D63689" w14:textId="77777777" w:rsidR="005F3809" w:rsidRPr="00D74203" w:rsidRDefault="005F3809">
            <w:pPr>
              <w:pStyle w:val="TableText0"/>
              <w:jc w:val="both"/>
            </w:pPr>
          </w:p>
          <w:p w14:paraId="38F70AC6" w14:textId="77777777" w:rsidR="005F3809" w:rsidRPr="00D74203" w:rsidRDefault="005F3809">
            <w:pPr>
              <w:pStyle w:val="TableText0"/>
              <w:jc w:val="both"/>
            </w:pPr>
            <w:r w:rsidRPr="00D74203">
              <w:t>9</w:t>
            </w:r>
            <w:r w:rsidRPr="00D74203">
              <w:rPr>
                <w:vertAlign w:val="superscript"/>
              </w:rPr>
              <w:t>th</w:t>
            </w:r>
            <w:r w:rsidRPr="00D74203">
              <w:t xml:space="preserve"> December 2024</w:t>
            </w:r>
          </w:p>
        </w:tc>
      </w:tr>
      <w:tr w:rsidR="005F3809" w:rsidRPr="00D74203" w14:paraId="29276B3A" w14:textId="77777777">
        <w:tc>
          <w:tcPr>
            <w:tcW w:w="390" w:type="pct"/>
            <w:vMerge/>
            <w:vAlign w:val="center"/>
          </w:tcPr>
          <w:p w14:paraId="5AD90C11" w14:textId="77777777" w:rsidR="005F3809" w:rsidRPr="00D74203" w:rsidRDefault="005F3809">
            <w:pPr>
              <w:pStyle w:val="TableText0"/>
            </w:pPr>
          </w:p>
        </w:tc>
        <w:tc>
          <w:tcPr>
            <w:tcW w:w="3433" w:type="pct"/>
            <w:tcBorders>
              <w:top w:val="nil"/>
              <w:bottom w:val="nil"/>
            </w:tcBorders>
          </w:tcPr>
          <w:p w14:paraId="53B0C802" w14:textId="77777777" w:rsidR="005F3809" w:rsidRPr="00D74203" w:rsidRDefault="005F3809">
            <w:pPr>
              <w:pStyle w:val="TableText0"/>
              <w:jc w:val="both"/>
              <w:rPr>
                <w:u w:val="single"/>
              </w:rPr>
            </w:pPr>
            <w:r w:rsidRPr="00D74203">
              <w:rPr>
                <w:u w:val="single"/>
              </w:rPr>
              <w:t>Publication</w:t>
            </w:r>
          </w:p>
          <w:p w14:paraId="3FF5DAC7" w14:textId="77777777" w:rsidR="005F3809" w:rsidRPr="00D74203" w:rsidRDefault="005F3809">
            <w:pPr>
              <w:pStyle w:val="TableText0"/>
            </w:pPr>
            <w:proofErr w:type="spellStart"/>
            <w:r w:rsidRPr="00D74203">
              <w:t>Uppaluri</w:t>
            </w:r>
            <w:proofErr w:type="spellEnd"/>
            <w:r w:rsidRPr="00D74203">
              <w:t>, R., Haddad RI, et al. Neoadjuvant and adjuvant pembrolizumab in locally advanced head and neck cancer.</w:t>
            </w:r>
          </w:p>
          <w:p w14:paraId="55D6ED44" w14:textId="77777777" w:rsidR="005F3809" w:rsidRPr="00D74203" w:rsidRDefault="005F3809">
            <w:pPr>
              <w:pStyle w:val="TableText0"/>
              <w:rPr>
                <w:szCs w:val="18"/>
              </w:rPr>
            </w:pPr>
          </w:p>
        </w:tc>
        <w:tc>
          <w:tcPr>
            <w:tcW w:w="1177" w:type="pct"/>
            <w:tcBorders>
              <w:top w:val="nil"/>
              <w:bottom w:val="nil"/>
            </w:tcBorders>
          </w:tcPr>
          <w:p w14:paraId="315935E7" w14:textId="77777777" w:rsidR="005F3809" w:rsidRPr="00D74203" w:rsidRDefault="005F3809">
            <w:pPr>
              <w:pStyle w:val="TableText0"/>
              <w:jc w:val="both"/>
            </w:pPr>
          </w:p>
          <w:p w14:paraId="46759D7C" w14:textId="77777777" w:rsidR="005F3809" w:rsidRPr="00D74203" w:rsidRDefault="005F3809">
            <w:pPr>
              <w:pStyle w:val="TableText0"/>
              <w:rPr>
                <w:szCs w:val="18"/>
              </w:rPr>
            </w:pPr>
            <w:r w:rsidRPr="00D74203">
              <w:rPr>
                <w:i/>
                <w:iCs/>
              </w:rPr>
              <w:t xml:space="preserve">N Engl J Med </w:t>
            </w:r>
            <w:r w:rsidRPr="00D74203">
              <w:t>2025; 393(1): 37-50.</w:t>
            </w:r>
          </w:p>
        </w:tc>
      </w:tr>
      <w:tr w:rsidR="005F3809" w:rsidRPr="00D74203" w14:paraId="2755C7E5" w14:textId="77777777">
        <w:tc>
          <w:tcPr>
            <w:tcW w:w="390" w:type="pct"/>
            <w:vMerge/>
            <w:vAlign w:val="center"/>
          </w:tcPr>
          <w:p w14:paraId="684946FE" w14:textId="77777777" w:rsidR="005F3809" w:rsidRPr="00D74203" w:rsidRDefault="005F3809">
            <w:pPr>
              <w:pStyle w:val="TableText0"/>
            </w:pPr>
          </w:p>
        </w:tc>
        <w:tc>
          <w:tcPr>
            <w:tcW w:w="3433" w:type="pct"/>
            <w:tcBorders>
              <w:top w:val="nil"/>
              <w:bottom w:val="nil"/>
            </w:tcBorders>
          </w:tcPr>
          <w:p w14:paraId="5E355D95" w14:textId="77777777" w:rsidR="005F3809" w:rsidRPr="00D74203" w:rsidRDefault="005F3809">
            <w:pPr>
              <w:pStyle w:val="TableText0"/>
              <w:jc w:val="both"/>
              <w:rPr>
                <w:u w:val="single"/>
              </w:rPr>
            </w:pPr>
            <w:r w:rsidRPr="00D74203">
              <w:rPr>
                <w:u w:val="single"/>
              </w:rPr>
              <w:t>Abstracts</w:t>
            </w:r>
          </w:p>
          <w:p w14:paraId="4053F8C4" w14:textId="77777777" w:rsidR="005F3809" w:rsidRPr="00D74203" w:rsidRDefault="005F3809">
            <w:pPr>
              <w:pStyle w:val="TableText0"/>
            </w:pPr>
            <w:proofErr w:type="spellStart"/>
            <w:r w:rsidRPr="00D74203">
              <w:t>Uppaluri</w:t>
            </w:r>
            <w:proofErr w:type="spellEnd"/>
            <w:r w:rsidRPr="00D74203">
              <w:t xml:space="preserve"> R, Haddad RI, et al. Neoadjuvant and adjuvant pembrolizumab plus standard of care in resectable locally advanced head and neck squamous cell carcinoma: phase 3 KEYNOTE 689 study. Abstract CT001 </w:t>
            </w:r>
          </w:p>
          <w:p w14:paraId="707B56A9" w14:textId="77777777" w:rsidR="005F3809" w:rsidRPr="00D74203" w:rsidRDefault="005F3809">
            <w:pPr>
              <w:pStyle w:val="TableText0"/>
              <w:rPr>
                <w:szCs w:val="18"/>
              </w:rPr>
            </w:pPr>
          </w:p>
        </w:tc>
        <w:tc>
          <w:tcPr>
            <w:tcW w:w="1177" w:type="pct"/>
            <w:tcBorders>
              <w:top w:val="nil"/>
              <w:bottom w:val="nil"/>
            </w:tcBorders>
          </w:tcPr>
          <w:p w14:paraId="46B87AF8" w14:textId="77777777" w:rsidR="005F3809" w:rsidRPr="00D74203" w:rsidRDefault="005F3809">
            <w:pPr>
              <w:pStyle w:val="TableText0"/>
              <w:jc w:val="both"/>
            </w:pPr>
          </w:p>
          <w:p w14:paraId="2E525363" w14:textId="77777777" w:rsidR="005F3809" w:rsidRPr="00D74203" w:rsidRDefault="005F3809">
            <w:pPr>
              <w:pStyle w:val="TableText0"/>
              <w:rPr>
                <w:i/>
                <w:szCs w:val="18"/>
              </w:rPr>
            </w:pPr>
            <w:r w:rsidRPr="00D74203">
              <w:t xml:space="preserve">AACR Annual Meeting 2025. </w:t>
            </w:r>
            <w:r w:rsidRPr="00D74203">
              <w:rPr>
                <w:i/>
                <w:iCs/>
              </w:rPr>
              <w:t xml:space="preserve">Cancers Res </w:t>
            </w:r>
            <w:r w:rsidRPr="00D74203">
              <w:t>2025; 85(8_Suppl 2)</w:t>
            </w:r>
          </w:p>
        </w:tc>
      </w:tr>
      <w:tr w:rsidR="005F3809" w:rsidRPr="00D74203" w14:paraId="308E2473" w14:textId="77777777">
        <w:tc>
          <w:tcPr>
            <w:tcW w:w="390" w:type="pct"/>
            <w:vMerge/>
            <w:tcBorders>
              <w:bottom w:val="single" w:sz="4" w:space="0" w:color="auto"/>
            </w:tcBorders>
            <w:vAlign w:val="center"/>
          </w:tcPr>
          <w:p w14:paraId="20E2683F" w14:textId="77777777" w:rsidR="005F3809" w:rsidRPr="00D74203" w:rsidRDefault="005F3809">
            <w:pPr>
              <w:pStyle w:val="TableText0"/>
            </w:pPr>
          </w:p>
        </w:tc>
        <w:tc>
          <w:tcPr>
            <w:tcW w:w="3433" w:type="pct"/>
            <w:tcBorders>
              <w:top w:val="nil"/>
              <w:bottom w:val="single" w:sz="4" w:space="0" w:color="auto"/>
            </w:tcBorders>
          </w:tcPr>
          <w:p w14:paraId="28C5FA60" w14:textId="77777777" w:rsidR="005F3809" w:rsidRPr="00D74203" w:rsidRDefault="005F3809">
            <w:pPr>
              <w:pStyle w:val="TableText0"/>
            </w:pPr>
            <w:r w:rsidRPr="00D74203">
              <w:t>Adkins D, Haddad RI, et al. Neoadjuvant and adjuvant pembrolizumab plus standard of care in resectable locally advanced head and neck squamous cell carcinoma: exploratory efficacy analyses of the phase 3 KEYNOTE-689 study. Abstract 6012.</w:t>
            </w:r>
          </w:p>
        </w:tc>
        <w:tc>
          <w:tcPr>
            <w:tcW w:w="1177" w:type="pct"/>
            <w:tcBorders>
              <w:top w:val="nil"/>
              <w:bottom w:val="single" w:sz="4" w:space="0" w:color="auto"/>
            </w:tcBorders>
          </w:tcPr>
          <w:p w14:paraId="4E230546" w14:textId="77777777" w:rsidR="005F3809" w:rsidRPr="00D74203" w:rsidRDefault="005F3809">
            <w:pPr>
              <w:pStyle w:val="TableText0"/>
            </w:pPr>
            <w:r w:rsidRPr="00D74203">
              <w:t xml:space="preserve">ASCO Annual Meeting 2025. </w:t>
            </w:r>
            <w:r w:rsidRPr="00D74203">
              <w:rPr>
                <w:i/>
                <w:iCs/>
              </w:rPr>
              <w:t xml:space="preserve">J Clin Oncol </w:t>
            </w:r>
            <w:r w:rsidRPr="00D74203">
              <w:t>2025; 43(16_Suppl)</w:t>
            </w:r>
          </w:p>
        </w:tc>
      </w:tr>
    </w:tbl>
    <w:p w14:paraId="38C67AA7" w14:textId="77777777" w:rsidR="00D014AF" w:rsidRPr="00A863EB" w:rsidRDefault="00D466E0" w:rsidP="00677261">
      <w:pPr>
        <w:pStyle w:val="TableFigureFooter"/>
        <w:rPr>
          <w:i w:val="0"/>
          <w:iCs w:val="0"/>
        </w:rPr>
      </w:pPr>
      <w:r w:rsidRPr="00A863EB">
        <w:rPr>
          <w:i w:val="0"/>
          <w:iCs w:val="0"/>
        </w:rPr>
        <w:t>Source: Table 2.2-1, p29 of the submission.</w:t>
      </w:r>
    </w:p>
    <w:p w14:paraId="58191755" w14:textId="0DC02A5A" w:rsidR="005F3809" w:rsidRDefault="005F3809" w:rsidP="00677261">
      <w:pPr>
        <w:pStyle w:val="TableFigureFooter"/>
        <w:rPr>
          <w:i w:val="0"/>
          <w:iCs w:val="0"/>
        </w:rPr>
      </w:pPr>
      <w:r w:rsidRPr="00A863EB">
        <w:rPr>
          <w:i w:val="0"/>
          <w:iCs w:val="0"/>
        </w:rPr>
        <w:t>AACR = American Association for Cancer Research; ASCO = American Society of Clinical Oncology</w:t>
      </w:r>
    </w:p>
    <w:p w14:paraId="229ADAF8" w14:textId="08A9194D" w:rsidR="009452A9" w:rsidRPr="009452A9" w:rsidRDefault="009452A9" w:rsidP="009452A9">
      <w:pPr>
        <w:pStyle w:val="3-BodyText"/>
        <w:numPr>
          <w:ilvl w:val="0"/>
          <w:numId w:val="0"/>
        </w:numPr>
        <w:ind w:left="720"/>
      </w:pPr>
    </w:p>
    <w:p w14:paraId="55A103A0" w14:textId="2804B022" w:rsidR="005F3809" w:rsidRPr="00D74203" w:rsidRDefault="005F3809" w:rsidP="005F3809">
      <w:pPr>
        <w:pStyle w:val="3-BodyText"/>
      </w:pPr>
      <w:r w:rsidRPr="00D74203">
        <w:t xml:space="preserve">The key features of the KN689 trial are summarised in </w:t>
      </w:r>
      <w:r w:rsidRPr="00D74203">
        <w:fldChar w:fldCharType="begin"/>
      </w:r>
      <w:r w:rsidRPr="00D74203">
        <w:instrText xml:space="preserve"> REF _Ref104804098 \h  \* MERGEFORMAT </w:instrText>
      </w:r>
      <w:r w:rsidRPr="00D74203">
        <w:fldChar w:fldCharType="separate"/>
      </w:r>
      <w:r w:rsidR="0084087D" w:rsidRPr="0084087D">
        <w:t>Table 3</w:t>
      </w:r>
      <w:r w:rsidRPr="00D74203">
        <w:fldChar w:fldCharType="end"/>
      </w:r>
      <w:r w:rsidRPr="00D74203">
        <w:t xml:space="preserve">. </w:t>
      </w:r>
    </w:p>
    <w:p w14:paraId="1D14F29C" w14:textId="303E8539" w:rsidR="005F3809" w:rsidRPr="00D74203" w:rsidRDefault="005F3809" w:rsidP="005F3809">
      <w:pPr>
        <w:pStyle w:val="Caption"/>
        <w:rPr>
          <w:rStyle w:val="CommentReference"/>
          <w:rFonts w:eastAsiaTheme="majorEastAsia" w:cstheme="majorBidi"/>
          <w:b/>
          <w:szCs w:val="24"/>
        </w:rPr>
      </w:pPr>
      <w:bookmarkStart w:id="57" w:name="_Ref104804098"/>
      <w:r w:rsidRPr="00D74203">
        <w:rPr>
          <w:rStyle w:val="CommentReference"/>
          <w:rFonts w:eastAsiaTheme="majorEastAsia" w:cstheme="majorBidi"/>
          <w:b/>
          <w:szCs w:val="24"/>
        </w:rPr>
        <w:t xml:space="preserve">Table </w:t>
      </w:r>
      <w:r w:rsidRPr="00D74203">
        <w:rPr>
          <w:rStyle w:val="CommentReference"/>
          <w:rFonts w:eastAsiaTheme="majorEastAsia" w:cstheme="majorBidi"/>
          <w:b/>
          <w:szCs w:val="24"/>
        </w:rPr>
        <w:fldChar w:fldCharType="begin"/>
      </w:r>
      <w:r w:rsidRPr="00D74203">
        <w:rPr>
          <w:rStyle w:val="CommentReference"/>
          <w:rFonts w:eastAsiaTheme="majorEastAsia" w:cstheme="majorBidi"/>
          <w:b/>
          <w:szCs w:val="24"/>
        </w:rPr>
        <w:instrText xml:space="preserve"> SEQ Table \* ARABIC </w:instrText>
      </w:r>
      <w:r w:rsidRPr="00D74203">
        <w:rPr>
          <w:rStyle w:val="CommentReference"/>
          <w:rFonts w:eastAsiaTheme="majorEastAsia" w:cstheme="majorBidi"/>
          <w:b/>
          <w:szCs w:val="24"/>
        </w:rPr>
        <w:fldChar w:fldCharType="separate"/>
      </w:r>
      <w:r w:rsidR="0084087D">
        <w:rPr>
          <w:rStyle w:val="CommentReference"/>
          <w:rFonts w:eastAsiaTheme="majorEastAsia" w:cstheme="majorBidi"/>
          <w:b/>
          <w:noProof/>
          <w:szCs w:val="24"/>
        </w:rPr>
        <w:t>3</w:t>
      </w:r>
      <w:r w:rsidRPr="00D74203">
        <w:rPr>
          <w:rStyle w:val="CommentReference"/>
          <w:rFonts w:eastAsiaTheme="majorEastAsia" w:cstheme="majorBidi"/>
          <w:b/>
          <w:szCs w:val="24"/>
        </w:rPr>
        <w:fldChar w:fldCharType="end"/>
      </w:r>
      <w:bookmarkEnd w:id="57"/>
      <w:r w:rsidRPr="00D74203">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558"/>
        <w:gridCol w:w="425"/>
        <w:gridCol w:w="848"/>
        <w:gridCol w:w="1520"/>
        <w:gridCol w:w="2243"/>
        <w:gridCol w:w="2303"/>
        <w:gridCol w:w="1120"/>
      </w:tblGrid>
      <w:tr w:rsidR="006A0577" w:rsidRPr="00D74203" w14:paraId="2C55814B" w14:textId="77777777" w:rsidTr="75E3628F">
        <w:trPr>
          <w:cantSplit/>
          <w:tblHeader/>
        </w:trPr>
        <w:tc>
          <w:tcPr>
            <w:tcW w:w="309" w:type="pct"/>
            <w:vAlign w:val="center"/>
          </w:tcPr>
          <w:p w14:paraId="47AC0A36" w14:textId="77777777" w:rsidR="005F3809" w:rsidRPr="00D74203" w:rsidRDefault="005F3809">
            <w:pPr>
              <w:pStyle w:val="In-tableHeading"/>
              <w:rPr>
                <w:lang w:val="en-AU"/>
              </w:rPr>
            </w:pPr>
            <w:r w:rsidRPr="00D74203">
              <w:rPr>
                <w:lang w:val="en-AU"/>
              </w:rPr>
              <w:t>Trial</w:t>
            </w:r>
          </w:p>
        </w:tc>
        <w:tc>
          <w:tcPr>
            <w:tcW w:w="236" w:type="pct"/>
            <w:vAlign w:val="center"/>
          </w:tcPr>
          <w:p w14:paraId="2E1094A8" w14:textId="77777777" w:rsidR="005F3809" w:rsidRPr="00D74203" w:rsidRDefault="005F3809">
            <w:pPr>
              <w:pStyle w:val="In-tableHeading"/>
              <w:jc w:val="center"/>
              <w:rPr>
                <w:lang w:val="en-AU"/>
              </w:rPr>
            </w:pPr>
            <w:r w:rsidRPr="00D74203">
              <w:rPr>
                <w:lang w:val="en-AU"/>
              </w:rPr>
              <w:t>N</w:t>
            </w:r>
          </w:p>
        </w:tc>
        <w:tc>
          <w:tcPr>
            <w:tcW w:w="470" w:type="pct"/>
            <w:vAlign w:val="center"/>
          </w:tcPr>
          <w:p w14:paraId="4D23BF1B" w14:textId="77777777" w:rsidR="005F3809" w:rsidRPr="00D74203" w:rsidRDefault="005F3809">
            <w:pPr>
              <w:pStyle w:val="In-tableHeading"/>
              <w:jc w:val="center"/>
              <w:rPr>
                <w:lang w:val="en-AU"/>
              </w:rPr>
            </w:pPr>
            <w:r w:rsidRPr="00D74203">
              <w:rPr>
                <w:lang w:val="en-AU"/>
              </w:rPr>
              <w:t>Design/ duration</w:t>
            </w:r>
          </w:p>
        </w:tc>
        <w:tc>
          <w:tcPr>
            <w:tcW w:w="843" w:type="pct"/>
            <w:vAlign w:val="center"/>
          </w:tcPr>
          <w:p w14:paraId="6F6752FC" w14:textId="77777777" w:rsidR="005F3809" w:rsidRPr="00D74203" w:rsidRDefault="005F3809">
            <w:pPr>
              <w:pStyle w:val="In-tableHeading"/>
              <w:jc w:val="center"/>
              <w:rPr>
                <w:lang w:val="en-AU"/>
              </w:rPr>
            </w:pPr>
            <w:r w:rsidRPr="00D74203">
              <w:rPr>
                <w:lang w:val="en-AU"/>
              </w:rPr>
              <w:t>Risk of bias</w:t>
            </w:r>
          </w:p>
        </w:tc>
        <w:tc>
          <w:tcPr>
            <w:tcW w:w="1244" w:type="pct"/>
            <w:vAlign w:val="center"/>
          </w:tcPr>
          <w:p w14:paraId="69E78821" w14:textId="77777777" w:rsidR="005F3809" w:rsidRPr="00D74203" w:rsidRDefault="005F3809">
            <w:pPr>
              <w:pStyle w:val="In-tableHeading"/>
              <w:jc w:val="center"/>
              <w:rPr>
                <w:lang w:val="en-AU"/>
              </w:rPr>
            </w:pPr>
            <w:r w:rsidRPr="00D74203">
              <w:rPr>
                <w:lang w:val="en-AU"/>
              </w:rPr>
              <w:t>Patient population</w:t>
            </w:r>
          </w:p>
        </w:tc>
        <w:tc>
          <w:tcPr>
            <w:tcW w:w="1277" w:type="pct"/>
            <w:vAlign w:val="center"/>
          </w:tcPr>
          <w:p w14:paraId="725E3A1E" w14:textId="77777777" w:rsidR="005F3809" w:rsidRPr="00D74203" w:rsidRDefault="005F3809">
            <w:pPr>
              <w:pStyle w:val="In-tableHeading"/>
              <w:jc w:val="center"/>
              <w:rPr>
                <w:lang w:val="en-AU"/>
              </w:rPr>
            </w:pPr>
            <w:r w:rsidRPr="00D74203">
              <w:rPr>
                <w:lang w:val="en-AU"/>
              </w:rPr>
              <w:t>Outcomes</w:t>
            </w:r>
          </w:p>
        </w:tc>
        <w:tc>
          <w:tcPr>
            <w:tcW w:w="621" w:type="pct"/>
            <w:vAlign w:val="center"/>
          </w:tcPr>
          <w:p w14:paraId="23E892D3" w14:textId="77777777" w:rsidR="005F3809" w:rsidRPr="00D74203" w:rsidRDefault="005F3809">
            <w:pPr>
              <w:pStyle w:val="In-tableHeading"/>
              <w:jc w:val="center"/>
              <w:rPr>
                <w:lang w:val="en-AU"/>
              </w:rPr>
            </w:pPr>
            <w:r w:rsidRPr="00D74203">
              <w:rPr>
                <w:lang w:val="en-AU"/>
              </w:rPr>
              <w:t>Use in modelled evaluation</w:t>
            </w:r>
          </w:p>
        </w:tc>
      </w:tr>
      <w:tr w:rsidR="005F3809" w:rsidRPr="00D74203" w14:paraId="33EA698E" w14:textId="77777777" w:rsidTr="75E3628F">
        <w:trPr>
          <w:cantSplit/>
        </w:trPr>
        <w:tc>
          <w:tcPr>
            <w:tcW w:w="5000" w:type="pct"/>
            <w:gridSpan w:val="7"/>
            <w:vAlign w:val="center"/>
          </w:tcPr>
          <w:p w14:paraId="674DEF83" w14:textId="6DEFA903" w:rsidR="005F3809" w:rsidRPr="00D74203" w:rsidRDefault="006A0577">
            <w:pPr>
              <w:pStyle w:val="In-tableHeading"/>
              <w:rPr>
                <w:lang w:val="en-AU"/>
              </w:rPr>
            </w:pPr>
            <w:proofErr w:type="spellStart"/>
            <w:r>
              <w:rPr>
                <w:lang w:val="en-AU"/>
              </w:rPr>
              <w:t>PEM+SoC</w:t>
            </w:r>
            <w:proofErr w:type="spellEnd"/>
            <w:r w:rsidR="005F3809" w:rsidRPr="00D74203">
              <w:rPr>
                <w:lang w:val="en-AU"/>
              </w:rPr>
              <w:t xml:space="preserve"> vs. SoC</w:t>
            </w:r>
          </w:p>
        </w:tc>
      </w:tr>
      <w:tr w:rsidR="006A0577" w:rsidRPr="00D74203" w14:paraId="6D0EF019" w14:textId="77777777" w:rsidTr="75E3628F">
        <w:trPr>
          <w:cantSplit/>
          <w:trHeight w:val="408"/>
        </w:trPr>
        <w:tc>
          <w:tcPr>
            <w:tcW w:w="309" w:type="pct"/>
            <w:vAlign w:val="center"/>
          </w:tcPr>
          <w:p w14:paraId="42E034D1" w14:textId="77777777" w:rsidR="005F3809" w:rsidRPr="00D74203" w:rsidRDefault="005F3809">
            <w:pPr>
              <w:pStyle w:val="TableText0"/>
            </w:pPr>
            <w:r w:rsidRPr="00D74203">
              <w:t>KN689</w:t>
            </w:r>
          </w:p>
        </w:tc>
        <w:tc>
          <w:tcPr>
            <w:tcW w:w="236" w:type="pct"/>
            <w:vAlign w:val="center"/>
          </w:tcPr>
          <w:p w14:paraId="2E5713AA" w14:textId="77777777" w:rsidR="005F3809" w:rsidRPr="00D74203" w:rsidRDefault="005F3809">
            <w:pPr>
              <w:pStyle w:val="TableText0"/>
              <w:jc w:val="center"/>
            </w:pPr>
            <w:r w:rsidRPr="00D74203">
              <w:t>714</w:t>
            </w:r>
          </w:p>
        </w:tc>
        <w:tc>
          <w:tcPr>
            <w:tcW w:w="470" w:type="pct"/>
            <w:vAlign w:val="center"/>
          </w:tcPr>
          <w:p w14:paraId="5D9A1D26" w14:textId="77777777" w:rsidR="005F3809" w:rsidRPr="00D74203" w:rsidRDefault="005F3809">
            <w:pPr>
              <w:pStyle w:val="TableText0"/>
              <w:jc w:val="center"/>
            </w:pPr>
            <w:r w:rsidRPr="00D74203">
              <w:t>R, OL</w:t>
            </w:r>
          </w:p>
          <w:p w14:paraId="7C5D2413" w14:textId="77777777" w:rsidR="005F3809" w:rsidRPr="00D74203" w:rsidRDefault="005F3809">
            <w:pPr>
              <w:pStyle w:val="TableText0"/>
              <w:jc w:val="center"/>
            </w:pPr>
            <w:r w:rsidRPr="00D74203">
              <w:t>27.1 mths</w:t>
            </w:r>
          </w:p>
        </w:tc>
        <w:tc>
          <w:tcPr>
            <w:tcW w:w="843" w:type="pct"/>
            <w:vAlign w:val="center"/>
          </w:tcPr>
          <w:p w14:paraId="1C3DF4FA" w14:textId="77777777" w:rsidR="005F3809" w:rsidRPr="00593C0D" w:rsidRDefault="005F3809" w:rsidP="003D3D8E">
            <w:pPr>
              <w:pStyle w:val="TableText0"/>
              <w:rPr>
                <w:iCs/>
                <w:vertAlign w:val="superscript"/>
              </w:rPr>
            </w:pPr>
            <w:r w:rsidRPr="00593C0D">
              <w:rPr>
                <w:iCs/>
              </w:rPr>
              <w:t xml:space="preserve">Varied depending on the subjectivity of the </w:t>
            </w:r>
            <w:proofErr w:type="spellStart"/>
            <w:r w:rsidRPr="00593C0D">
              <w:rPr>
                <w:iCs/>
              </w:rPr>
              <w:t>outcome</w:t>
            </w:r>
            <w:r w:rsidRPr="00593C0D">
              <w:rPr>
                <w:iCs/>
                <w:vertAlign w:val="superscript"/>
              </w:rPr>
              <w:t>a</w:t>
            </w:r>
            <w:proofErr w:type="spellEnd"/>
          </w:p>
        </w:tc>
        <w:tc>
          <w:tcPr>
            <w:tcW w:w="1244" w:type="pct"/>
            <w:vAlign w:val="center"/>
          </w:tcPr>
          <w:p w14:paraId="0FEBC8E8" w14:textId="77777777" w:rsidR="005F3809" w:rsidRPr="00D74203" w:rsidRDefault="005F3809">
            <w:pPr>
              <w:pStyle w:val="TableText0"/>
            </w:pPr>
            <w:r>
              <w:t xml:space="preserve">Patients with resectable Stage III-IVA SCC of the oral cavity, </w:t>
            </w:r>
            <w:bookmarkStart w:id="58" w:name="_Int_K8RJZsGF"/>
            <w:r>
              <w:t>pharynx</w:t>
            </w:r>
            <w:bookmarkEnd w:id="58"/>
            <w:r>
              <w:t xml:space="preserve"> or larynx</w:t>
            </w:r>
          </w:p>
        </w:tc>
        <w:tc>
          <w:tcPr>
            <w:tcW w:w="1277" w:type="pct"/>
            <w:vAlign w:val="center"/>
          </w:tcPr>
          <w:p w14:paraId="63871497" w14:textId="77777777" w:rsidR="005F3809" w:rsidRPr="00D74203" w:rsidRDefault="005F3809" w:rsidP="006A0577">
            <w:pPr>
              <w:pStyle w:val="TableText0"/>
              <w:ind w:right="-57"/>
            </w:pPr>
            <w:r w:rsidRPr="00D74203">
              <w:t>Primary: EFS by BICR</w:t>
            </w:r>
          </w:p>
          <w:p w14:paraId="0A21147D" w14:textId="4035DFE4" w:rsidR="005F3809" w:rsidRPr="00D74203" w:rsidRDefault="005F3809" w:rsidP="006A0577">
            <w:pPr>
              <w:pStyle w:val="TableText0"/>
              <w:ind w:right="-57"/>
            </w:pPr>
            <w:r w:rsidRPr="00D74203">
              <w:t xml:space="preserve">Secondary: OS, </w:t>
            </w:r>
            <w:proofErr w:type="spellStart"/>
            <w:r w:rsidRPr="00D74203">
              <w:t>mPR</w:t>
            </w:r>
            <w:proofErr w:type="spellEnd"/>
            <w:r w:rsidRPr="00D74203">
              <w:t xml:space="preserve"> and </w:t>
            </w:r>
            <w:proofErr w:type="spellStart"/>
            <w:r w:rsidRPr="00D74203">
              <w:t>pCR</w:t>
            </w:r>
            <w:proofErr w:type="spellEnd"/>
            <w:r w:rsidRPr="00D74203">
              <w:t xml:space="preserve"> by BIPR, HRQoL, and AEs</w:t>
            </w:r>
          </w:p>
        </w:tc>
        <w:tc>
          <w:tcPr>
            <w:tcW w:w="621" w:type="pct"/>
            <w:vAlign w:val="center"/>
          </w:tcPr>
          <w:p w14:paraId="321BBC2E" w14:textId="58409A3D" w:rsidR="005F3809" w:rsidRPr="00F10834" w:rsidRDefault="00EB7DF1" w:rsidP="006F031C">
            <w:pPr>
              <w:pStyle w:val="TableText0"/>
              <w:rPr>
                <w:vertAlign w:val="superscript"/>
              </w:rPr>
            </w:pPr>
            <w:r w:rsidRPr="00477630">
              <w:rPr>
                <w:iCs/>
              </w:rPr>
              <w:t>KN689 patient level data applied.</w:t>
            </w:r>
          </w:p>
        </w:tc>
      </w:tr>
    </w:tbl>
    <w:p w14:paraId="3960B305" w14:textId="1090A46D" w:rsidR="00D014AF" w:rsidRPr="00A863EB" w:rsidRDefault="00D466E0" w:rsidP="00677261">
      <w:pPr>
        <w:pStyle w:val="TableFigureFooter"/>
        <w:rPr>
          <w:i w:val="0"/>
          <w:iCs w:val="0"/>
        </w:rPr>
      </w:pPr>
      <w:r w:rsidRPr="00A863EB">
        <w:rPr>
          <w:i w:val="0"/>
          <w:iCs w:val="0"/>
        </w:rPr>
        <w:t>Source: Information provided in Section 2.3, pp31</w:t>
      </w:r>
      <w:r w:rsidR="00AB348E" w:rsidRPr="00A863EB">
        <w:rPr>
          <w:i w:val="0"/>
          <w:iCs w:val="0"/>
        </w:rPr>
        <w:t>−</w:t>
      </w:r>
      <w:r w:rsidRPr="00A863EB">
        <w:rPr>
          <w:i w:val="0"/>
          <w:iCs w:val="0"/>
        </w:rPr>
        <w:t>43 of the submission.</w:t>
      </w:r>
    </w:p>
    <w:p w14:paraId="711DE28B" w14:textId="172027BC" w:rsidR="005F3809" w:rsidRPr="00A863EB" w:rsidRDefault="005F3809" w:rsidP="00677261">
      <w:pPr>
        <w:pStyle w:val="TableFigureFooter"/>
        <w:rPr>
          <w:i w:val="0"/>
          <w:iCs w:val="0"/>
        </w:rPr>
      </w:pPr>
      <w:r w:rsidRPr="00A863EB">
        <w:rPr>
          <w:i w:val="0"/>
          <w:iCs w:val="0"/>
        </w:rPr>
        <w:t xml:space="preserve">AEs = adverse events; BICR = blinded independent central review; BIPR = blinded independent pathologist review; EFS = event-free survival; HRQoL = health-related quality of life; </w:t>
      </w:r>
      <w:proofErr w:type="spellStart"/>
      <w:r w:rsidR="00593EEA" w:rsidRPr="00A863EB">
        <w:rPr>
          <w:i w:val="0"/>
          <w:iCs w:val="0"/>
        </w:rPr>
        <w:t>mPR</w:t>
      </w:r>
      <w:proofErr w:type="spellEnd"/>
      <w:r w:rsidR="00593EEA" w:rsidRPr="00A863EB">
        <w:rPr>
          <w:i w:val="0"/>
          <w:iCs w:val="0"/>
        </w:rPr>
        <w:t xml:space="preserve"> = major pathological response</w:t>
      </w:r>
      <w:r w:rsidRPr="00A863EB">
        <w:rPr>
          <w:i w:val="0"/>
          <w:iCs w:val="0"/>
        </w:rPr>
        <w:t xml:space="preserve">; OL = open-label; OS = overall survival; </w:t>
      </w:r>
      <w:proofErr w:type="spellStart"/>
      <w:r w:rsidR="00385C0A" w:rsidRPr="00A863EB">
        <w:rPr>
          <w:i w:val="0"/>
          <w:iCs w:val="0"/>
        </w:rPr>
        <w:t>pCR</w:t>
      </w:r>
      <w:proofErr w:type="spellEnd"/>
      <w:r w:rsidR="00385C0A" w:rsidRPr="00A863EB">
        <w:rPr>
          <w:i w:val="0"/>
          <w:iCs w:val="0"/>
        </w:rPr>
        <w:t xml:space="preserve"> = pathological complete response; </w:t>
      </w:r>
      <w:r w:rsidR="006A0577" w:rsidRPr="00A863EB">
        <w:rPr>
          <w:i w:val="0"/>
          <w:iCs w:val="0"/>
        </w:rPr>
        <w:t xml:space="preserve">PEM = pembrolizumab; </w:t>
      </w:r>
      <w:r w:rsidR="00593EEA" w:rsidRPr="00A863EB">
        <w:rPr>
          <w:i w:val="0"/>
          <w:iCs w:val="0"/>
        </w:rPr>
        <w:t xml:space="preserve">R = randomised; </w:t>
      </w:r>
      <w:r w:rsidRPr="00A863EB">
        <w:rPr>
          <w:i w:val="0"/>
          <w:iCs w:val="0"/>
        </w:rPr>
        <w:t>SCC = squamous cell carcinoma; SoC = standard of care</w:t>
      </w:r>
    </w:p>
    <w:p w14:paraId="2288EB41" w14:textId="0773A5EF" w:rsidR="005F3809" w:rsidRPr="00A863EB" w:rsidRDefault="005F3809" w:rsidP="00385C0A">
      <w:pPr>
        <w:pStyle w:val="FooterTableFigure"/>
        <w:spacing w:after="0"/>
      </w:pPr>
      <w:r w:rsidRPr="00A863EB">
        <w:rPr>
          <w:vertAlign w:val="superscript"/>
        </w:rPr>
        <w:t xml:space="preserve">a </w:t>
      </w:r>
      <w:r w:rsidR="007820E2" w:rsidRPr="00A863EB">
        <w:t xml:space="preserve">Low-to-moderate </w:t>
      </w:r>
      <w:r w:rsidRPr="00A863EB">
        <w:t xml:space="preserve">risk of bias for assessment of EFS, OS, </w:t>
      </w:r>
      <w:proofErr w:type="spellStart"/>
      <w:r w:rsidRPr="00A863EB">
        <w:t>mPR</w:t>
      </w:r>
      <w:proofErr w:type="spellEnd"/>
      <w:r w:rsidRPr="00A863EB">
        <w:t xml:space="preserve"> and </w:t>
      </w:r>
      <w:proofErr w:type="spellStart"/>
      <w:r w:rsidRPr="00A863EB">
        <w:t>pCR</w:t>
      </w:r>
      <w:proofErr w:type="spellEnd"/>
      <w:r w:rsidRPr="00A863EB">
        <w:t xml:space="preserve">. Moderate-to-high risk of bias for assessment of patient-reported outcomes and AE outcomes. </w:t>
      </w:r>
    </w:p>
    <w:p w14:paraId="3EA53837" w14:textId="70E58EE4" w:rsidR="003521E0" w:rsidRPr="00DE49A7" w:rsidRDefault="005F3809" w:rsidP="00593C0D">
      <w:pPr>
        <w:pStyle w:val="3-BodyText"/>
        <w:spacing w:before="120"/>
      </w:pPr>
      <w:r>
        <w:t xml:space="preserve">KN689 has an open-label trial design. </w:t>
      </w:r>
      <w:r w:rsidR="003521E0">
        <w:t>The</w:t>
      </w:r>
      <w:r w:rsidR="00724AB7">
        <w:t xml:space="preserve"> ESC noted that the</w:t>
      </w:r>
      <w:r w:rsidR="003521E0">
        <w:t xml:space="preserve"> number of patients who were randomised but did not receive </w:t>
      </w:r>
      <w:r w:rsidR="002263F6">
        <w:t xml:space="preserve">the </w:t>
      </w:r>
      <w:r w:rsidR="003521E0">
        <w:t>study intervention or in-study surgery was higher in the SoC arm</w:t>
      </w:r>
      <w:r w:rsidR="00CF6A4E">
        <w:t xml:space="preserve"> compared with the </w:t>
      </w:r>
      <w:proofErr w:type="spellStart"/>
      <w:r w:rsidR="00CF6A4E">
        <w:t>PEM+SoC</w:t>
      </w:r>
      <w:proofErr w:type="spellEnd"/>
      <w:r w:rsidR="00CF6A4E">
        <w:t xml:space="preserve"> arm</w:t>
      </w:r>
      <w:r w:rsidR="003521E0">
        <w:t xml:space="preserve"> (35 [10.0%] vs. 3 [0.8%]), but the reasons </w:t>
      </w:r>
      <w:r w:rsidR="007820E2">
        <w:t xml:space="preserve">for not receiving treatment </w:t>
      </w:r>
      <w:r w:rsidR="003521E0">
        <w:t xml:space="preserve">were not provided. </w:t>
      </w:r>
      <w:r w:rsidR="003F0A17">
        <w:t xml:space="preserve">The ESC agreed with the evaluation and considered that it is </w:t>
      </w:r>
      <w:r w:rsidR="002263F6">
        <w:t xml:space="preserve">feasible that patients withdrew when they </w:t>
      </w:r>
      <w:bookmarkStart w:id="59" w:name="_Int_5WbNSGgy"/>
      <w:r w:rsidR="002263F6">
        <w:t>realised</w:t>
      </w:r>
      <w:bookmarkEnd w:id="59"/>
      <w:r w:rsidR="002263F6">
        <w:t xml:space="preserve"> they were not receiving the study drug. </w:t>
      </w:r>
      <w:r w:rsidR="003521E0">
        <w:t>It is</w:t>
      </w:r>
      <w:r w:rsidR="00C83B1B">
        <w:t xml:space="preserve"> </w:t>
      </w:r>
      <w:r w:rsidR="00BA4C98">
        <w:t xml:space="preserve">not possible </w:t>
      </w:r>
      <w:r w:rsidR="003521E0">
        <w:t xml:space="preserve">to determine whether patients who were randomised to the </w:t>
      </w:r>
      <w:r w:rsidR="007820E2">
        <w:t xml:space="preserve">SoC </w:t>
      </w:r>
      <w:r w:rsidR="003521E0">
        <w:t xml:space="preserve">arm but did not receive treatment had a better or worse prognosis, compared with </w:t>
      </w:r>
      <w:r w:rsidR="007820E2">
        <w:t xml:space="preserve">treated </w:t>
      </w:r>
      <w:r w:rsidR="003521E0">
        <w:t>patients</w:t>
      </w:r>
      <w:r w:rsidR="007820E2">
        <w:t xml:space="preserve">. Nevertheless, the </w:t>
      </w:r>
      <w:r w:rsidR="00CF737B">
        <w:t xml:space="preserve">ESC considered that the </w:t>
      </w:r>
      <w:r w:rsidR="007820E2">
        <w:t xml:space="preserve">imbalanced early dropout rate </w:t>
      </w:r>
      <w:r w:rsidR="00974DBB">
        <w:t>suggests underlying</w:t>
      </w:r>
      <w:r w:rsidR="007820E2">
        <w:t xml:space="preserve"> systemic bias. </w:t>
      </w:r>
    </w:p>
    <w:p w14:paraId="79B5E0B8" w14:textId="0BDCF50A" w:rsidR="005F3809" w:rsidRPr="00DE49A7" w:rsidRDefault="005F3809" w:rsidP="005F3809">
      <w:pPr>
        <w:pStyle w:val="3-BodyText"/>
      </w:pPr>
      <w:r w:rsidRPr="00DE49A7">
        <w:lastRenderedPageBreak/>
        <w:t xml:space="preserve">The </w:t>
      </w:r>
      <w:r w:rsidR="00C756B2" w:rsidRPr="00DE49A7">
        <w:t>potential for bias</w:t>
      </w:r>
      <w:r w:rsidR="00CB350A" w:rsidRPr="00DE49A7">
        <w:t xml:space="preserve"> from</w:t>
      </w:r>
      <w:r w:rsidR="00C756B2" w:rsidRPr="00DE49A7">
        <w:t xml:space="preserve"> </w:t>
      </w:r>
      <w:r w:rsidR="002263F6" w:rsidRPr="00DE49A7">
        <w:t xml:space="preserve">assessments for </w:t>
      </w:r>
      <w:r w:rsidRPr="00DE49A7">
        <w:t>the primary endpoint, i.e. EFS</w:t>
      </w:r>
      <w:r w:rsidRPr="00DE49A7">
        <w:rPr>
          <w:rStyle w:val="FootnoteReference"/>
        </w:rPr>
        <w:footnoteReference w:id="9"/>
      </w:r>
      <w:r w:rsidRPr="00DE49A7">
        <w:t>, and key secondary outcomes of major pathological response (</w:t>
      </w:r>
      <w:proofErr w:type="spellStart"/>
      <w:r w:rsidRPr="00DE49A7">
        <w:t>mPR</w:t>
      </w:r>
      <w:proofErr w:type="spellEnd"/>
      <w:r w:rsidRPr="00DE49A7">
        <w:t>)</w:t>
      </w:r>
      <w:r w:rsidRPr="00DE49A7">
        <w:rPr>
          <w:rStyle w:val="FootnoteReference"/>
        </w:rPr>
        <w:footnoteReference w:id="10"/>
      </w:r>
      <w:r w:rsidRPr="00DE49A7">
        <w:t xml:space="preserve"> and pathological complete response (</w:t>
      </w:r>
      <w:proofErr w:type="spellStart"/>
      <w:r w:rsidRPr="00DE49A7">
        <w:t>pCR</w:t>
      </w:r>
      <w:proofErr w:type="spellEnd"/>
      <w:r w:rsidRPr="00DE49A7">
        <w:t>)</w:t>
      </w:r>
      <w:r w:rsidRPr="00DE49A7">
        <w:rPr>
          <w:rStyle w:val="FootnoteReference"/>
        </w:rPr>
        <w:footnoteReference w:id="11"/>
      </w:r>
      <w:r w:rsidR="0010057B" w:rsidRPr="00DE49A7">
        <w:t>,</w:t>
      </w:r>
      <w:r w:rsidRPr="00DE49A7">
        <w:t xml:space="preserve"> </w:t>
      </w:r>
      <w:r w:rsidR="00B432BC" w:rsidRPr="00DE49A7">
        <w:t>was</w:t>
      </w:r>
      <w:r w:rsidR="00CC3EE1" w:rsidRPr="00DE49A7">
        <w:t xml:space="preserve"> likely</w:t>
      </w:r>
      <w:r w:rsidR="00B432BC" w:rsidRPr="00DE49A7">
        <w:t xml:space="preserve"> reduced</w:t>
      </w:r>
      <w:r w:rsidRPr="00DE49A7">
        <w:t xml:space="preserve"> </w:t>
      </w:r>
      <w:r w:rsidR="007820E2" w:rsidRPr="00DE49A7">
        <w:t xml:space="preserve">to some extent </w:t>
      </w:r>
      <w:r w:rsidRPr="00DE49A7">
        <w:t xml:space="preserve">by using a blinded independent central review (BICR) in assessing images for efficacy measures and a blinded independent pathologist review (BIPR) in assessing pathological responses. However, the assessment of subjective health-related quality of life (HRQoL) and safety outcomes </w:t>
      </w:r>
      <w:r w:rsidR="008D159D" w:rsidRPr="00DE49A7">
        <w:t>remains affected by a</w:t>
      </w:r>
      <w:r w:rsidRPr="00DE49A7">
        <w:t xml:space="preserve"> moderate to </w:t>
      </w:r>
      <w:bookmarkStart w:id="60" w:name="_Int_VHtlvwWK"/>
      <w:r w:rsidRPr="00DE49A7">
        <w:t>high risk</w:t>
      </w:r>
      <w:bookmarkEnd w:id="60"/>
      <w:r w:rsidRPr="00DE49A7">
        <w:t xml:space="preserve"> of bias. </w:t>
      </w:r>
    </w:p>
    <w:p w14:paraId="517AF751" w14:textId="52EA3929" w:rsidR="005F3809" w:rsidRPr="00DE49A7" w:rsidRDefault="005F3809" w:rsidP="005F3809">
      <w:pPr>
        <w:pStyle w:val="3-BodyText"/>
      </w:pPr>
      <w:r w:rsidRPr="00DE49A7">
        <w:t xml:space="preserve">KN689 is an ongoing trial. The results presented in the submission were from the </w:t>
      </w:r>
      <w:r w:rsidR="00134B7A">
        <w:t>interim analysis 1 (</w:t>
      </w:r>
      <w:r w:rsidRPr="00DE49A7">
        <w:t>IA1</w:t>
      </w:r>
      <w:r w:rsidR="00134B7A">
        <w:t>)</w:t>
      </w:r>
      <w:r w:rsidRPr="00DE49A7">
        <w:t xml:space="preserve">. As specified in the study protocol, the efficacy outcomes were evaluated and tested sequentially in patients with PD-L1 CPS ≥ 10, in patients with CPS ≥ 1, and in all-comers, i.e. </w:t>
      </w:r>
      <w:r w:rsidR="007820E2" w:rsidRPr="00DE49A7">
        <w:t xml:space="preserve">the </w:t>
      </w:r>
      <w:r w:rsidRPr="00DE49A7">
        <w:t>intention-to-treat (ITT) population.</w:t>
      </w:r>
    </w:p>
    <w:p w14:paraId="756EBDA8" w14:textId="64D4371A" w:rsidR="005F3809" w:rsidRPr="00477630" w:rsidRDefault="005F3809" w:rsidP="00B35274">
      <w:pPr>
        <w:pStyle w:val="3-BodyText"/>
      </w:pPr>
      <w:bookmarkStart w:id="61" w:name="_Ref211267424"/>
      <w:r w:rsidRPr="00DE49A7">
        <w:t xml:space="preserve">At the data cutoff (DCO) of IA1, </w:t>
      </w:r>
      <w:r w:rsidR="00C903CE" w:rsidRPr="75E3628F">
        <w:t xml:space="preserve">69 patients in the </w:t>
      </w:r>
      <w:proofErr w:type="spellStart"/>
      <w:r w:rsidR="00C903CE" w:rsidRPr="75E3628F">
        <w:t>PEM+SoC</w:t>
      </w:r>
      <w:proofErr w:type="spellEnd"/>
      <w:r w:rsidR="00C903CE" w:rsidRPr="75E3628F">
        <w:t xml:space="preserve"> arm and 95 patients in the SoC arm experienced disease recurrence as their first EFS event</w:t>
      </w:r>
      <w:r w:rsidR="00C903CE" w:rsidRPr="00477630" w:rsidDel="00C903CE">
        <w:rPr>
          <w:iCs/>
        </w:rPr>
        <w:t xml:space="preserve"> </w:t>
      </w:r>
      <w:r w:rsidRPr="00477630">
        <w:rPr>
          <w:iCs/>
        </w:rPr>
        <w:t>(</w:t>
      </w:r>
      <w:r w:rsidRPr="00477630">
        <w:rPr>
          <w:iCs/>
        </w:rPr>
        <w:fldChar w:fldCharType="begin"/>
      </w:r>
      <w:r w:rsidRPr="00477630">
        <w:rPr>
          <w:iCs/>
        </w:rPr>
        <w:instrText xml:space="preserve"> REF _Ref205543089 \h  \* MERGEFORMAT </w:instrText>
      </w:r>
      <w:r w:rsidRPr="00477630">
        <w:rPr>
          <w:iCs/>
        </w:rPr>
      </w:r>
      <w:r w:rsidRPr="00477630">
        <w:rPr>
          <w:iCs/>
        </w:rPr>
        <w:fldChar w:fldCharType="separate"/>
      </w:r>
      <w:r w:rsidR="0084087D" w:rsidRPr="00D74203">
        <w:t xml:space="preserve">Table </w:t>
      </w:r>
      <w:r w:rsidR="0084087D">
        <w:t>4</w:t>
      </w:r>
      <w:r w:rsidRPr="00477630">
        <w:rPr>
          <w:iCs/>
        </w:rPr>
        <w:fldChar w:fldCharType="end"/>
      </w:r>
      <w:r w:rsidRPr="00477630">
        <w:rPr>
          <w:iCs/>
        </w:rPr>
        <w:t>).</w:t>
      </w:r>
      <w:r w:rsidRPr="00DE49A7">
        <w:t xml:space="preserve"> </w:t>
      </w:r>
      <w:r w:rsidR="00B35274" w:rsidRPr="75E3628F">
        <w:t xml:space="preserve">Using these disease recurrence events as the denominator and the number of patients who subsequently received systemic therapies as the numerator, the proportion of patients who subsequently received immunotherapy post-recurrence was 18.9% (13/69) and 50.5% (48/95) in the </w:t>
      </w:r>
      <w:proofErr w:type="spellStart"/>
      <w:r w:rsidR="00B35274" w:rsidRPr="75E3628F">
        <w:t>PEM+SoC</w:t>
      </w:r>
      <w:proofErr w:type="spellEnd"/>
      <w:r w:rsidR="00B35274" w:rsidRPr="75E3628F">
        <w:t xml:space="preserve"> group and the SoC group, respectively.</w:t>
      </w:r>
      <w:r w:rsidRPr="00DE49A7">
        <w:t xml:space="preserve"> </w:t>
      </w:r>
      <w:r w:rsidR="0026148F" w:rsidRPr="75E3628F">
        <w:t>The ESC noted that i</w:t>
      </w:r>
      <w:r w:rsidR="004A5403" w:rsidRPr="75E3628F">
        <w:t xml:space="preserve">n Australian clinical practice, </w:t>
      </w:r>
      <w:r w:rsidR="003F331A" w:rsidRPr="75E3628F">
        <w:t>the proportion of pat</w:t>
      </w:r>
      <w:r w:rsidR="00F96C0B" w:rsidRPr="75E3628F">
        <w:t>i</w:t>
      </w:r>
      <w:r w:rsidR="003F331A" w:rsidRPr="75E3628F">
        <w:t>ents</w:t>
      </w:r>
      <w:r w:rsidR="00214A01" w:rsidRPr="75E3628F">
        <w:t xml:space="preserve"> receiving immunotherapy post-recurrence following SoC would be</w:t>
      </w:r>
      <w:r w:rsidR="002D0C11" w:rsidRPr="75E3628F">
        <w:t xml:space="preserve"> much</w:t>
      </w:r>
      <w:r w:rsidR="004A5403" w:rsidRPr="00477630">
        <w:rPr>
          <w:iCs/>
        </w:rPr>
        <w:t xml:space="preserve"> </w:t>
      </w:r>
      <w:r w:rsidR="004A5403" w:rsidRPr="00DE49A7">
        <w:t>higher</w:t>
      </w:r>
      <w:r w:rsidR="00256028">
        <w:t>,</w:t>
      </w:r>
      <w:r w:rsidR="00EE57A0" w:rsidRPr="00DE49A7">
        <w:t xml:space="preserve"> given</w:t>
      </w:r>
      <w:r w:rsidR="00FD332C" w:rsidRPr="00DE49A7">
        <w:t xml:space="preserve"> </w:t>
      </w:r>
      <w:r w:rsidR="00EE57A0" w:rsidRPr="00DE49A7">
        <w:t>PBS reimbursement and treatment guidelines</w:t>
      </w:r>
      <w:r w:rsidR="00882071" w:rsidRPr="00DE49A7">
        <w:t xml:space="preserve"> recommend the use of PD-L1 as SoC in </w:t>
      </w:r>
      <w:r w:rsidR="00882071" w:rsidRPr="00C22F54">
        <w:t>this setting</w:t>
      </w:r>
      <w:r w:rsidR="00D73AF5" w:rsidRPr="00C22F54">
        <w:t xml:space="preserve"> </w:t>
      </w:r>
      <w:r w:rsidRPr="00C22F54">
        <w:t xml:space="preserve">(see </w:t>
      </w:r>
      <w:r w:rsidR="00EE1B94" w:rsidRPr="00C22F54">
        <w:t>p</w:t>
      </w:r>
      <w:r w:rsidRPr="00C22F54">
        <w:t xml:space="preserve">aragraph </w:t>
      </w:r>
      <w:r w:rsidR="00300CFC" w:rsidRPr="00C22F54">
        <w:fldChar w:fldCharType="begin"/>
      </w:r>
      <w:r w:rsidR="00300CFC" w:rsidRPr="00C22F54">
        <w:instrText xml:space="preserve"> REF _Ref206062655 \r \h </w:instrText>
      </w:r>
      <w:r w:rsidR="00DE49A7" w:rsidRPr="00C22F54">
        <w:instrText xml:space="preserve"> \* MERGEFORMAT </w:instrText>
      </w:r>
      <w:r w:rsidR="00300CFC" w:rsidRPr="00C22F54">
        <w:fldChar w:fldCharType="separate"/>
      </w:r>
      <w:r w:rsidR="0084087D">
        <w:t>6.36</w:t>
      </w:r>
      <w:r w:rsidR="00300CFC" w:rsidRPr="00C22F54">
        <w:fldChar w:fldCharType="end"/>
      </w:r>
      <w:r w:rsidR="00300CFC" w:rsidRPr="00C22F54">
        <w:t xml:space="preserve"> </w:t>
      </w:r>
      <w:r w:rsidRPr="00C22F54">
        <w:t>for</w:t>
      </w:r>
      <w:r w:rsidRPr="00556CA1">
        <w:t xml:space="preserve"> further discussion).</w:t>
      </w:r>
      <w:r w:rsidRPr="00DE49A7">
        <w:t xml:space="preserve"> </w:t>
      </w:r>
      <w:r w:rsidR="005039C2" w:rsidRPr="75E3628F">
        <w:t>Additionally,</w:t>
      </w:r>
      <w:r w:rsidR="002F2EE0" w:rsidRPr="00477630">
        <w:rPr>
          <w:iCs/>
        </w:rPr>
        <w:t xml:space="preserve"> </w:t>
      </w:r>
      <w:r w:rsidR="009808EE" w:rsidRPr="75E3628F">
        <w:t>immunotherapy re-treatment</w:t>
      </w:r>
      <w:r w:rsidR="002F2EE0" w:rsidRPr="75E3628F">
        <w:t xml:space="preserve"> received by 18.9% of </w:t>
      </w:r>
      <w:bookmarkStart w:id="62" w:name="_Int_68hrjcgD"/>
      <w:r w:rsidR="002F2EE0" w:rsidRPr="75E3628F">
        <w:t>patients</w:t>
      </w:r>
      <w:bookmarkEnd w:id="62"/>
      <w:r w:rsidR="002F2EE0" w:rsidRPr="75E3628F">
        <w:t xml:space="preserve"> post-recurrence in the </w:t>
      </w:r>
      <w:proofErr w:type="spellStart"/>
      <w:r w:rsidR="002F2EE0" w:rsidRPr="75E3628F">
        <w:t>PEM+SoC</w:t>
      </w:r>
      <w:proofErr w:type="spellEnd"/>
      <w:r w:rsidR="002F2EE0" w:rsidRPr="75E3628F">
        <w:t xml:space="preserve"> arm</w:t>
      </w:r>
      <w:r w:rsidR="009808EE" w:rsidRPr="00477630">
        <w:rPr>
          <w:iCs/>
        </w:rPr>
        <w:t xml:space="preserve"> </w:t>
      </w:r>
      <w:r w:rsidR="001E6E9F" w:rsidRPr="75E3628F">
        <w:t>wa</w:t>
      </w:r>
      <w:r w:rsidR="009808EE" w:rsidRPr="75E3628F">
        <w:t xml:space="preserve">s not in line with the “one per lifetime” rule for </w:t>
      </w:r>
      <w:r w:rsidR="008903B3" w:rsidRPr="75E3628F">
        <w:t>most</w:t>
      </w:r>
      <w:r w:rsidR="00FF461A" w:rsidRPr="75E3628F">
        <w:t xml:space="preserve"> immunotherapies </w:t>
      </w:r>
      <w:r w:rsidR="00770F41" w:rsidRPr="75E3628F">
        <w:t xml:space="preserve">currently </w:t>
      </w:r>
      <w:r w:rsidR="00FF461A" w:rsidRPr="75E3628F">
        <w:t>subsidised through the PBS.</w:t>
      </w:r>
      <w:r w:rsidR="002D0C11" w:rsidRPr="75E3628F">
        <w:t xml:space="preserve"> However, the ESC </w:t>
      </w:r>
      <w:r w:rsidR="002D29EF" w:rsidRPr="75E3628F">
        <w:t>considered that the clinical benefit gained from re-treatment would likely be small.</w:t>
      </w:r>
      <w:r w:rsidR="00FF461A" w:rsidRPr="00477630">
        <w:rPr>
          <w:iCs/>
        </w:rPr>
        <w:t xml:space="preserve"> </w:t>
      </w:r>
      <w:r w:rsidR="002D29EF" w:rsidRPr="75E3628F">
        <w:t>Overall, the ESC agreed with the evaluation that the</w:t>
      </w:r>
      <w:r w:rsidR="00C6522A" w:rsidRPr="00477630">
        <w:rPr>
          <w:iCs/>
        </w:rPr>
        <w:t xml:space="preserve"> </w:t>
      </w:r>
      <w:r w:rsidR="00BD585B" w:rsidRPr="75E3628F">
        <w:t>OS</w:t>
      </w:r>
      <w:r w:rsidR="00C6522A" w:rsidRPr="00477630">
        <w:rPr>
          <w:iCs/>
        </w:rPr>
        <w:t xml:space="preserve"> </w:t>
      </w:r>
      <w:r w:rsidR="00C96248" w:rsidRPr="75E3628F">
        <w:t>benefit observed</w:t>
      </w:r>
      <w:r w:rsidR="00C6522A" w:rsidRPr="75E3628F">
        <w:t xml:space="preserve"> in </w:t>
      </w:r>
      <w:r w:rsidR="00FC388C" w:rsidRPr="75E3628F">
        <w:t>KN689</w:t>
      </w:r>
      <w:r w:rsidR="00C6522A" w:rsidRPr="75E3628F">
        <w:t xml:space="preserve"> may not accurately reflect outcomes </w:t>
      </w:r>
      <w:r w:rsidR="003A480A" w:rsidRPr="75E3628F">
        <w:t>that would occur in</w:t>
      </w:r>
      <w:r w:rsidR="00C6522A" w:rsidRPr="75E3628F">
        <w:t xml:space="preserve"> Australian clinical practice, where the benefit </w:t>
      </w:r>
      <w:r w:rsidR="003A480A" w:rsidRPr="75E3628F">
        <w:t xml:space="preserve">of </w:t>
      </w:r>
      <w:proofErr w:type="spellStart"/>
      <w:r w:rsidR="003A480A" w:rsidRPr="75E3628F">
        <w:t>PEM+SoC</w:t>
      </w:r>
      <w:proofErr w:type="spellEnd"/>
      <w:r w:rsidR="003A480A" w:rsidRPr="75E3628F">
        <w:t xml:space="preserve"> vs SoC </w:t>
      </w:r>
      <w:r w:rsidR="008903B3" w:rsidRPr="75E3628F">
        <w:t>would</w:t>
      </w:r>
      <w:r w:rsidR="00C6522A" w:rsidRPr="75E3628F">
        <w:t xml:space="preserve"> </w:t>
      </w:r>
      <w:bookmarkStart w:id="63" w:name="_Int_ZOuxwYen"/>
      <w:r w:rsidR="00C6522A" w:rsidRPr="75E3628F">
        <w:t>likely be</w:t>
      </w:r>
      <w:bookmarkEnd w:id="63"/>
      <w:r w:rsidR="00C6522A" w:rsidRPr="75E3628F">
        <w:t xml:space="preserve"> lower</w:t>
      </w:r>
      <w:r w:rsidR="003A480A" w:rsidRPr="00477630">
        <w:rPr>
          <w:iCs/>
        </w:rPr>
        <w:t>.</w:t>
      </w:r>
      <w:bookmarkEnd w:id="61"/>
    </w:p>
    <w:p w14:paraId="3ACC1722" w14:textId="22850D69" w:rsidR="004F6AD4" w:rsidRDefault="005F3809" w:rsidP="009034F3">
      <w:pPr>
        <w:pStyle w:val="3-BodyText"/>
      </w:pPr>
      <w:r w:rsidRPr="00D74203">
        <w:t xml:space="preserve">The key trial only included one pembrolizumab treatment arm. </w:t>
      </w:r>
      <w:r w:rsidRPr="00DE49A7">
        <w:t xml:space="preserve">The design of the trial did not allow for </w:t>
      </w:r>
      <w:r w:rsidR="008D159D" w:rsidRPr="00DE49A7">
        <w:t>isolating</w:t>
      </w:r>
      <w:r w:rsidRPr="00DE49A7">
        <w:t xml:space="preserve"> the contribution</w:t>
      </w:r>
      <w:r w:rsidR="008D159D" w:rsidRPr="00DE49A7">
        <w:t>s</w:t>
      </w:r>
      <w:r w:rsidRPr="00DE49A7">
        <w:t xml:space="preserve"> of </w:t>
      </w:r>
      <w:r w:rsidR="008D159D" w:rsidRPr="00DE49A7">
        <w:t xml:space="preserve">each of </w:t>
      </w:r>
      <w:r w:rsidRPr="00DE49A7">
        <w:t xml:space="preserve">the two </w:t>
      </w:r>
      <w:r w:rsidR="008D159D" w:rsidRPr="00DE49A7">
        <w:t>lines</w:t>
      </w:r>
      <w:r w:rsidRPr="00DE49A7">
        <w:t xml:space="preserve"> of pembrolizumab treatment, i.e. neoadjuvant as monotherapy and adjuvant in combination with SoC. Therefore, it </w:t>
      </w:r>
      <w:r w:rsidR="008D159D" w:rsidRPr="00DE49A7">
        <w:t xml:space="preserve">is </w:t>
      </w:r>
      <w:r w:rsidRPr="00DE49A7">
        <w:t xml:space="preserve">not possible to determine the benefit/harm </w:t>
      </w:r>
      <w:r w:rsidR="008D159D" w:rsidRPr="00DE49A7">
        <w:t>trade-off for each individual line of therapy</w:t>
      </w:r>
      <w:r w:rsidRPr="00DE49A7">
        <w:t>. During the evaluation, clinical trials were identified which investigated the use of pembrolizumab for LA HNSCC as neoadjuvant therapy in combination with chemotherapy (EFFECT-neo study, NCT06102395</w:t>
      </w:r>
      <w:r w:rsidRPr="00DE49A7">
        <w:rPr>
          <w:vertAlign w:val="superscript"/>
        </w:rPr>
        <w:footnoteReference w:id="12"/>
      </w:r>
      <w:r w:rsidRPr="00DE49A7">
        <w:t xml:space="preserve">) or as adjuvant therapy in combination with radiotherapy and cisplatin (ADRISK study, </w:t>
      </w:r>
      <w:r w:rsidRPr="00DE49A7">
        <w:lastRenderedPageBreak/>
        <w:t>NCT03480672</w:t>
      </w:r>
      <w:r w:rsidRPr="00DE49A7">
        <w:rPr>
          <w:rStyle w:val="FootnoteReference"/>
        </w:rPr>
        <w:footnoteReference w:id="13"/>
      </w:r>
      <w:r w:rsidRPr="00DE49A7">
        <w:t xml:space="preserve">). However, </w:t>
      </w:r>
      <w:r w:rsidR="00013C02">
        <w:t xml:space="preserve">at the time of evaluation </w:t>
      </w:r>
      <w:r w:rsidRPr="00DE49A7">
        <w:t xml:space="preserve">the neoadjuvant pembrolizumab trial </w:t>
      </w:r>
      <w:r w:rsidR="00013C02">
        <w:t>was</w:t>
      </w:r>
      <w:r w:rsidRPr="00DE49A7">
        <w:t xml:space="preserve"> still recruiting participants; and the adjuvant pembrolizumab trial completed in January 2025 but results </w:t>
      </w:r>
      <w:r w:rsidR="000C3953">
        <w:t>had</w:t>
      </w:r>
      <w:r w:rsidR="000C3953" w:rsidRPr="00DE49A7">
        <w:t xml:space="preserve"> </w:t>
      </w:r>
      <w:r w:rsidRPr="00DE49A7">
        <w:t xml:space="preserve">not </w:t>
      </w:r>
      <w:r w:rsidR="008D159D" w:rsidRPr="00DE49A7">
        <w:t xml:space="preserve">yet </w:t>
      </w:r>
      <w:r w:rsidRPr="00DE49A7">
        <w:t>been published.</w:t>
      </w:r>
      <w:r w:rsidR="00792D04">
        <w:t xml:space="preserve"> </w:t>
      </w:r>
      <w:r w:rsidR="00792D04" w:rsidRPr="00477630">
        <w:rPr>
          <w:iCs/>
        </w:rPr>
        <w:t>The</w:t>
      </w:r>
      <w:r w:rsidR="00212844" w:rsidRPr="00477630">
        <w:rPr>
          <w:iCs/>
        </w:rPr>
        <w:t xml:space="preserve"> ESC noted</w:t>
      </w:r>
      <w:r w:rsidR="0089685D" w:rsidRPr="00477630">
        <w:rPr>
          <w:iCs/>
        </w:rPr>
        <w:t xml:space="preserve"> and agreed with</w:t>
      </w:r>
      <w:r w:rsidR="00212844" w:rsidRPr="00477630">
        <w:rPr>
          <w:iCs/>
        </w:rPr>
        <w:t xml:space="preserve"> the</w:t>
      </w:r>
      <w:r w:rsidR="00792D04" w:rsidRPr="00477630">
        <w:rPr>
          <w:iCs/>
        </w:rPr>
        <w:t xml:space="preserve"> Pre-sub Committee Response (PSCR)</w:t>
      </w:r>
      <w:r w:rsidR="00F5238A" w:rsidRPr="00477630">
        <w:rPr>
          <w:iCs/>
        </w:rPr>
        <w:t xml:space="preserve"> that</w:t>
      </w:r>
      <w:r w:rsidR="007F636A" w:rsidRPr="00477630">
        <w:rPr>
          <w:iCs/>
        </w:rPr>
        <w:t xml:space="preserve"> </w:t>
      </w:r>
      <w:r w:rsidR="00F5238A" w:rsidRPr="00477630">
        <w:rPr>
          <w:iCs/>
        </w:rPr>
        <w:t>the trial results</w:t>
      </w:r>
      <w:r w:rsidR="008D30B9" w:rsidRPr="00477630">
        <w:rPr>
          <w:iCs/>
        </w:rPr>
        <w:t xml:space="preserve"> </w:t>
      </w:r>
      <w:r w:rsidR="00B429A8" w:rsidRPr="00477630">
        <w:rPr>
          <w:iCs/>
        </w:rPr>
        <w:t xml:space="preserve">from </w:t>
      </w:r>
      <w:r w:rsidR="00B62139" w:rsidRPr="00477630">
        <w:rPr>
          <w:iCs/>
        </w:rPr>
        <w:t>KN689</w:t>
      </w:r>
      <w:r w:rsidR="00F318F1" w:rsidRPr="00477630">
        <w:rPr>
          <w:iCs/>
        </w:rPr>
        <w:t xml:space="preserve"> likely</w:t>
      </w:r>
      <w:r w:rsidR="00F23339" w:rsidRPr="00477630">
        <w:rPr>
          <w:iCs/>
        </w:rPr>
        <w:t xml:space="preserve"> </w:t>
      </w:r>
      <w:r w:rsidR="00D83605" w:rsidRPr="00477630">
        <w:rPr>
          <w:iCs/>
        </w:rPr>
        <w:t>suggest</w:t>
      </w:r>
      <w:r w:rsidR="00D74862" w:rsidRPr="00477630">
        <w:rPr>
          <w:iCs/>
        </w:rPr>
        <w:t xml:space="preserve"> a</w:t>
      </w:r>
      <w:r w:rsidR="00D83605" w:rsidRPr="00477630">
        <w:rPr>
          <w:iCs/>
        </w:rPr>
        <w:t xml:space="preserve"> </w:t>
      </w:r>
      <w:r w:rsidR="00D74862" w:rsidRPr="00477630">
        <w:rPr>
          <w:iCs/>
        </w:rPr>
        <w:t>clinical benefit</w:t>
      </w:r>
      <w:r w:rsidR="00F23339" w:rsidRPr="00477630">
        <w:rPr>
          <w:iCs/>
        </w:rPr>
        <w:t xml:space="preserve"> a</w:t>
      </w:r>
      <w:r w:rsidR="00EF6ADD" w:rsidRPr="00477630">
        <w:rPr>
          <w:iCs/>
        </w:rPr>
        <w:t>ssociated with</w:t>
      </w:r>
      <w:r w:rsidR="00AB3DD7" w:rsidRPr="00477630">
        <w:rPr>
          <w:iCs/>
        </w:rPr>
        <w:t xml:space="preserve"> neoadjuvant pembrolizumab</w:t>
      </w:r>
      <w:r w:rsidR="00EF6ADD" w:rsidRPr="00477630">
        <w:rPr>
          <w:iCs/>
        </w:rPr>
        <w:t xml:space="preserve">, given that </w:t>
      </w:r>
      <w:r w:rsidR="006F5E85" w:rsidRPr="00477630">
        <w:rPr>
          <w:iCs/>
        </w:rPr>
        <w:t xml:space="preserve">fewer patients </w:t>
      </w:r>
      <w:r w:rsidR="00381A13" w:rsidRPr="00477630">
        <w:rPr>
          <w:iCs/>
        </w:rPr>
        <w:t>had</w:t>
      </w:r>
      <w:r w:rsidR="006F5E85" w:rsidRPr="00477630">
        <w:rPr>
          <w:iCs/>
        </w:rPr>
        <w:t xml:space="preserve"> high-risk pathological features after surgery in the </w:t>
      </w:r>
      <w:proofErr w:type="spellStart"/>
      <w:r w:rsidR="006F5E85" w:rsidRPr="00477630">
        <w:rPr>
          <w:iCs/>
        </w:rPr>
        <w:t>PEM+SoC</w:t>
      </w:r>
      <w:proofErr w:type="spellEnd"/>
      <w:r w:rsidR="006F5E85" w:rsidRPr="00477630">
        <w:rPr>
          <w:iCs/>
        </w:rPr>
        <w:t xml:space="preserve"> arm compared to the SoC arm</w:t>
      </w:r>
      <w:r w:rsidR="00381A13" w:rsidRPr="00477630">
        <w:rPr>
          <w:iCs/>
        </w:rPr>
        <w:t xml:space="preserve">, which </w:t>
      </w:r>
      <w:r w:rsidR="006F5E85" w:rsidRPr="00477630">
        <w:rPr>
          <w:iCs/>
        </w:rPr>
        <w:t xml:space="preserve">enabled patients in the </w:t>
      </w:r>
      <w:proofErr w:type="spellStart"/>
      <w:r w:rsidR="006F5E85" w:rsidRPr="00477630">
        <w:rPr>
          <w:iCs/>
        </w:rPr>
        <w:t>PEM+SoC</w:t>
      </w:r>
      <w:proofErr w:type="spellEnd"/>
      <w:r w:rsidR="006F5E85" w:rsidRPr="00477630">
        <w:rPr>
          <w:iCs/>
        </w:rPr>
        <w:t xml:space="preserve"> arm to receive </w:t>
      </w:r>
      <w:r w:rsidR="0052683A" w:rsidRPr="00477630">
        <w:rPr>
          <w:iCs/>
        </w:rPr>
        <w:t>less intensive SoC and experience less adverse events</w:t>
      </w:r>
      <w:r w:rsidR="00526CB1" w:rsidRPr="00477630">
        <w:rPr>
          <w:iCs/>
        </w:rPr>
        <w:t xml:space="preserve"> associated with </w:t>
      </w:r>
      <w:r w:rsidR="00706755" w:rsidRPr="00477630">
        <w:rPr>
          <w:iCs/>
        </w:rPr>
        <w:t>chemotherapy and radiotherapy</w:t>
      </w:r>
      <w:r w:rsidR="0052683A" w:rsidRPr="00477630">
        <w:rPr>
          <w:iCs/>
        </w:rPr>
        <w:t xml:space="preserve"> (see paragraph</w:t>
      </w:r>
      <w:r w:rsidR="00526CB1" w:rsidRPr="00477630">
        <w:rPr>
          <w:iCs/>
        </w:rPr>
        <w:t>s</w:t>
      </w:r>
      <w:r w:rsidR="0052683A" w:rsidRPr="00477630">
        <w:rPr>
          <w:iCs/>
        </w:rPr>
        <w:t xml:space="preserve"> </w:t>
      </w:r>
      <w:r w:rsidR="0052683A" w:rsidRPr="00477630">
        <w:rPr>
          <w:iCs/>
        </w:rPr>
        <w:fldChar w:fldCharType="begin"/>
      </w:r>
      <w:r w:rsidR="0052683A" w:rsidRPr="00477630">
        <w:rPr>
          <w:iCs/>
        </w:rPr>
        <w:instrText xml:space="preserve"> REF _Ref210626643 \r \h </w:instrText>
      </w:r>
      <w:r w:rsidR="0052683A" w:rsidRPr="00477630">
        <w:rPr>
          <w:iCs/>
        </w:rPr>
      </w:r>
      <w:r w:rsidR="0052683A" w:rsidRPr="00477630">
        <w:rPr>
          <w:iCs/>
        </w:rPr>
        <w:fldChar w:fldCharType="separate"/>
      </w:r>
      <w:r w:rsidR="0084087D">
        <w:rPr>
          <w:iCs/>
        </w:rPr>
        <w:t>6.23</w:t>
      </w:r>
      <w:r w:rsidR="0052683A" w:rsidRPr="00477630">
        <w:rPr>
          <w:iCs/>
        </w:rPr>
        <w:fldChar w:fldCharType="end"/>
      </w:r>
      <w:r w:rsidR="007E48D6" w:rsidRPr="00477630">
        <w:rPr>
          <w:iCs/>
        </w:rPr>
        <w:t xml:space="preserve"> and </w:t>
      </w:r>
      <w:r w:rsidR="00FB7075" w:rsidRPr="00477630">
        <w:rPr>
          <w:iCs/>
        </w:rPr>
        <w:fldChar w:fldCharType="begin"/>
      </w:r>
      <w:r w:rsidR="00FB7075" w:rsidRPr="00477630">
        <w:rPr>
          <w:iCs/>
        </w:rPr>
        <w:instrText xml:space="preserve"> REF _Ref210628512 \r \h </w:instrText>
      </w:r>
      <w:r w:rsidR="00FB7075" w:rsidRPr="00477630">
        <w:rPr>
          <w:iCs/>
        </w:rPr>
      </w:r>
      <w:r w:rsidR="00FB7075" w:rsidRPr="00477630">
        <w:rPr>
          <w:iCs/>
        </w:rPr>
        <w:fldChar w:fldCharType="separate"/>
      </w:r>
      <w:r w:rsidR="0084087D">
        <w:rPr>
          <w:iCs/>
        </w:rPr>
        <w:t>6.28</w:t>
      </w:r>
      <w:r w:rsidR="00FB7075" w:rsidRPr="00477630">
        <w:rPr>
          <w:iCs/>
        </w:rPr>
        <w:fldChar w:fldCharType="end"/>
      </w:r>
      <w:r w:rsidR="0052683A" w:rsidRPr="00477630">
        <w:rPr>
          <w:iCs/>
        </w:rPr>
        <w:t>)</w:t>
      </w:r>
      <w:r w:rsidR="006F5E85" w:rsidRPr="00477630">
        <w:rPr>
          <w:iCs/>
        </w:rPr>
        <w:t xml:space="preserve">. </w:t>
      </w:r>
    </w:p>
    <w:p w14:paraId="1A57368B" w14:textId="77777777" w:rsidR="005F3809" w:rsidRPr="00D74203" w:rsidRDefault="005F3809" w:rsidP="005F3809">
      <w:pPr>
        <w:pStyle w:val="4-SubsectionHeading"/>
      </w:pPr>
      <w:bookmarkStart w:id="64" w:name="_Toc22897641"/>
      <w:bookmarkStart w:id="65" w:name="_Toc206432635"/>
      <w:bookmarkStart w:id="66" w:name="_Toc209004704"/>
      <w:r w:rsidRPr="00D74203">
        <w:t>Comparative effectiveness</w:t>
      </w:r>
      <w:bookmarkEnd w:id="64"/>
      <w:bookmarkEnd w:id="65"/>
      <w:bookmarkEnd w:id="66"/>
    </w:p>
    <w:p w14:paraId="1ED44345" w14:textId="10B70C13" w:rsidR="005F3809" w:rsidRPr="00D74203" w:rsidRDefault="005F3809" w:rsidP="002F1E35">
      <w:pPr>
        <w:pStyle w:val="3-BodyText"/>
        <w:spacing w:after="240"/>
      </w:pPr>
      <w:r w:rsidRPr="00D74203">
        <w:t xml:space="preserve">Results </w:t>
      </w:r>
      <w:r w:rsidR="008D159D" w:rsidRPr="00D74203">
        <w:t xml:space="preserve">are presented in </w:t>
      </w:r>
      <w:r w:rsidR="008D159D" w:rsidRPr="00D74203">
        <w:fldChar w:fldCharType="begin"/>
      </w:r>
      <w:r w:rsidR="008D159D" w:rsidRPr="00D74203">
        <w:instrText xml:space="preserve"> REF _Ref205543089 \h </w:instrText>
      </w:r>
      <w:r w:rsidR="008D159D" w:rsidRPr="00D74203">
        <w:fldChar w:fldCharType="separate"/>
      </w:r>
      <w:r w:rsidR="0084087D" w:rsidRPr="00D74203">
        <w:t xml:space="preserve">Table </w:t>
      </w:r>
      <w:r w:rsidR="0084087D">
        <w:rPr>
          <w:noProof/>
        </w:rPr>
        <w:t>4</w:t>
      </w:r>
      <w:r w:rsidR="008D159D" w:rsidRPr="00D74203">
        <w:fldChar w:fldCharType="end"/>
      </w:r>
      <w:r w:rsidR="008D159D">
        <w:t xml:space="preserve"> </w:t>
      </w:r>
      <w:r w:rsidRPr="00D74203">
        <w:t xml:space="preserve">of the primary endpoint of EFS by BICR as per Response Evaluation Criteria in Solid Tumours version 1.1 (RECIST 1.1) in the ITT population of KN689. The EFS Kaplan-Meier (KM) curves are presented in </w:t>
      </w:r>
      <w:r w:rsidRPr="00D74203">
        <w:fldChar w:fldCharType="begin"/>
      </w:r>
      <w:r w:rsidRPr="00D74203">
        <w:instrText xml:space="preserve"> REF _Ref205543128 \h </w:instrText>
      </w:r>
      <w:r w:rsidRPr="00D74203">
        <w:fldChar w:fldCharType="separate"/>
      </w:r>
      <w:r w:rsidR="0084087D" w:rsidRPr="00D74203">
        <w:t xml:space="preserve">Figure </w:t>
      </w:r>
      <w:r w:rsidR="0084087D">
        <w:rPr>
          <w:noProof/>
        </w:rPr>
        <w:t>1</w:t>
      </w:r>
      <w:r w:rsidRPr="00D74203">
        <w:fldChar w:fldCharType="end"/>
      </w:r>
      <w:r w:rsidRPr="00D74203">
        <w:t>.</w:t>
      </w:r>
    </w:p>
    <w:p w14:paraId="50258090" w14:textId="6521363B" w:rsidR="005F3809" w:rsidRPr="00D74203" w:rsidRDefault="005F3809" w:rsidP="005F3809">
      <w:pPr>
        <w:pStyle w:val="Caption"/>
      </w:pPr>
      <w:bookmarkStart w:id="67" w:name="_Ref205543089"/>
      <w:r w:rsidRPr="00D74203">
        <w:t xml:space="preserve">Table </w:t>
      </w:r>
      <w:r w:rsidR="00972E86">
        <w:fldChar w:fldCharType="begin"/>
      </w:r>
      <w:r w:rsidR="00972E86">
        <w:instrText xml:space="preserve"> SEQ Table \* ARABIC </w:instrText>
      </w:r>
      <w:r w:rsidR="00972E86">
        <w:fldChar w:fldCharType="separate"/>
      </w:r>
      <w:r w:rsidR="0084087D">
        <w:rPr>
          <w:noProof/>
        </w:rPr>
        <w:t>4</w:t>
      </w:r>
      <w:r w:rsidR="00972E86">
        <w:rPr>
          <w:noProof/>
        </w:rPr>
        <w:fldChar w:fldCharType="end"/>
      </w:r>
      <w:bookmarkEnd w:id="67"/>
      <w:r w:rsidRPr="00D74203">
        <w:t>: Results of EFS by BICR in the KN689 trial (ITT population)</w:t>
      </w:r>
    </w:p>
    <w:tbl>
      <w:tblPr>
        <w:tblStyle w:val="TableGrid"/>
        <w:tblW w:w="0" w:type="auto"/>
        <w:jc w:val="center"/>
        <w:tblLook w:val="04A0" w:firstRow="1" w:lastRow="0" w:firstColumn="1" w:lastColumn="0" w:noHBand="0" w:noVBand="1"/>
        <w:tblCaption w:val="Table 4: Results of EFS by BICR in the KN689 trial (ITT population)"/>
      </w:tblPr>
      <w:tblGrid>
        <w:gridCol w:w="3681"/>
        <w:gridCol w:w="2835"/>
        <w:gridCol w:w="2501"/>
      </w:tblGrid>
      <w:tr w:rsidR="005F3809" w:rsidRPr="00D74203" w14:paraId="501428F1" w14:textId="77777777" w:rsidTr="75E3628F">
        <w:trPr>
          <w:jc w:val="center"/>
        </w:trPr>
        <w:tc>
          <w:tcPr>
            <w:tcW w:w="3681" w:type="dxa"/>
            <w:tcBorders>
              <w:bottom w:val="single" w:sz="4" w:space="0" w:color="auto"/>
            </w:tcBorders>
          </w:tcPr>
          <w:p w14:paraId="49C1EDA0" w14:textId="77777777" w:rsidR="005F3809" w:rsidRPr="00D74203" w:rsidRDefault="005F3809">
            <w:pPr>
              <w:pStyle w:val="TableText1"/>
              <w:keepNext/>
              <w:spacing w:after="0"/>
            </w:pPr>
          </w:p>
        </w:tc>
        <w:tc>
          <w:tcPr>
            <w:tcW w:w="2835" w:type="dxa"/>
            <w:tcBorders>
              <w:bottom w:val="single" w:sz="4" w:space="0" w:color="auto"/>
            </w:tcBorders>
          </w:tcPr>
          <w:p w14:paraId="2FC600BF" w14:textId="31A585F2" w:rsidR="005F3809" w:rsidRPr="00D74203" w:rsidRDefault="005F3809">
            <w:pPr>
              <w:pStyle w:val="TableText1"/>
              <w:keepNext/>
              <w:spacing w:after="0"/>
              <w:jc w:val="center"/>
              <w:rPr>
                <w:b/>
                <w:bCs/>
              </w:rPr>
            </w:pPr>
            <w:proofErr w:type="spellStart"/>
            <w:r w:rsidRPr="00D74203">
              <w:rPr>
                <w:b/>
                <w:bCs/>
              </w:rPr>
              <w:t>PEM+SoC</w:t>
            </w:r>
            <w:proofErr w:type="spellEnd"/>
            <w:r w:rsidRPr="00D74203">
              <w:rPr>
                <w:b/>
                <w:bCs/>
              </w:rPr>
              <w:br/>
              <w:t>N=363</w:t>
            </w:r>
          </w:p>
        </w:tc>
        <w:tc>
          <w:tcPr>
            <w:tcW w:w="2501" w:type="dxa"/>
            <w:tcBorders>
              <w:bottom w:val="single" w:sz="4" w:space="0" w:color="auto"/>
            </w:tcBorders>
          </w:tcPr>
          <w:p w14:paraId="5A176F42" w14:textId="77777777" w:rsidR="005F3809" w:rsidRPr="00D74203" w:rsidRDefault="005F3809">
            <w:pPr>
              <w:pStyle w:val="TableText1"/>
              <w:keepNext/>
              <w:spacing w:after="0"/>
              <w:jc w:val="center"/>
              <w:rPr>
                <w:b/>
                <w:bCs/>
              </w:rPr>
            </w:pPr>
            <w:r w:rsidRPr="00D74203">
              <w:rPr>
                <w:b/>
                <w:bCs/>
              </w:rPr>
              <w:t>SoC</w:t>
            </w:r>
            <w:r w:rsidRPr="00D74203">
              <w:rPr>
                <w:b/>
                <w:bCs/>
              </w:rPr>
              <w:br/>
              <w:t>N=351</w:t>
            </w:r>
          </w:p>
        </w:tc>
      </w:tr>
      <w:tr w:rsidR="005F3809" w:rsidRPr="00D74203" w14:paraId="04690526" w14:textId="77777777" w:rsidTr="75E3628F">
        <w:trPr>
          <w:jc w:val="center"/>
        </w:trPr>
        <w:tc>
          <w:tcPr>
            <w:tcW w:w="3681" w:type="dxa"/>
            <w:tcBorders>
              <w:bottom w:val="nil"/>
            </w:tcBorders>
          </w:tcPr>
          <w:p w14:paraId="307389F5" w14:textId="77777777" w:rsidR="005F3809" w:rsidRPr="00D74203" w:rsidRDefault="005F3809">
            <w:pPr>
              <w:pStyle w:val="TableText1"/>
              <w:keepNext/>
              <w:spacing w:after="0"/>
            </w:pPr>
            <w:r w:rsidRPr="00D74203">
              <w:t>Number of events (%)</w:t>
            </w:r>
          </w:p>
        </w:tc>
        <w:tc>
          <w:tcPr>
            <w:tcW w:w="2835" w:type="dxa"/>
            <w:tcBorders>
              <w:bottom w:val="nil"/>
            </w:tcBorders>
          </w:tcPr>
          <w:p w14:paraId="5B803EC3" w14:textId="77777777" w:rsidR="005F3809" w:rsidRPr="00D74203" w:rsidRDefault="005F3809">
            <w:pPr>
              <w:pStyle w:val="TableText1"/>
              <w:keepNext/>
              <w:spacing w:after="0"/>
              <w:jc w:val="center"/>
            </w:pPr>
            <w:r w:rsidRPr="00D74203">
              <w:t>136 (37.5)</w:t>
            </w:r>
          </w:p>
        </w:tc>
        <w:tc>
          <w:tcPr>
            <w:tcW w:w="2501" w:type="dxa"/>
            <w:tcBorders>
              <w:bottom w:val="nil"/>
            </w:tcBorders>
          </w:tcPr>
          <w:p w14:paraId="61F4B8F9" w14:textId="77777777" w:rsidR="005F3809" w:rsidRPr="00D74203" w:rsidRDefault="005F3809">
            <w:pPr>
              <w:pStyle w:val="TableText1"/>
              <w:keepNext/>
              <w:spacing w:after="0"/>
              <w:jc w:val="center"/>
            </w:pPr>
            <w:r w:rsidRPr="00D74203">
              <w:t>159 (45.3)</w:t>
            </w:r>
          </w:p>
        </w:tc>
      </w:tr>
      <w:tr w:rsidR="005F3809" w:rsidRPr="00D74203" w14:paraId="055BBAC5" w14:textId="77777777" w:rsidTr="75E3628F">
        <w:trPr>
          <w:jc w:val="center"/>
        </w:trPr>
        <w:tc>
          <w:tcPr>
            <w:tcW w:w="3681" w:type="dxa"/>
            <w:tcBorders>
              <w:top w:val="nil"/>
              <w:bottom w:val="nil"/>
            </w:tcBorders>
          </w:tcPr>
          <w:p w14:paraId="4BF72A5E" w14:textId="77777777" w:rsidR="005F3809" w:rsidRPr="00D74203" w:rsidRDefault="005F3809">
            <w:pPr>
              <w:pStyle w:val="TableText1"/>
              <w:keepNext/>
              <w:spacing w:after="0"/>
              <w:ind w:left="308"/>
              <w:rPr>
                <w:b/>
              </w:rPr>
            </w:pPr>
            <w:r w:rsidRPr="00D74203">
              <w:t>Death</w:t>
            </w:r>
          </w:p>
        </w:tc>
        <w:tc>
          <w:tcPr>
            <w:tcW w:w="2835" w:type="dxa"/>
            <w:tcBorders>
              <w:top w:val="nil"/>
              <w:bottom w:val="nil"/>
            </w:tcBorders>
          </w:tcPr>
          <w:p w14:paraId="64212E64" w14:textId="77777777" w:rsidR="005F3809" w:rsidRPr="00D74203" w:rsidRDefault="005F3809">
            <w:pPr>
              <w:pStyle w:val="TableText1"/>
              <w:keepNext/>
              <w:spacing w:after="0"/>
              <w:jc w:val="center"/>
            </w:pPr>
            <w:r w:rsidRPr="00D74203">
              <w:t>67 (18.5)</w:t>
            </w:r>
          </w:p>
        </w:tc>
        <w:tc>
          <w:tcPr>
            <w:tcW w:w="2501" w:type="dxa"/>
            <w:tcBorders>
              <w:top w:val="nil"/>
              <w:bottom w:val="nil"/>
            </w:tcBorders>
          </w:tcPr>
          <w:p w14:paraId="67FD8ECA" w14:textId="77777777" w:rsidR="005F3809" w:rsidRPr="00D74203" w:rsidRDefault="005F3809">
            <w:pPr>
              <w:pStyle w:val="TableText1"/>
              <w:keepNext/>
              <w:spacing w:after="0"/>
              <w:jc w:val="center"/>
            </w:pPr>
            <w:r w:rsidRPr="00D74203">
              <w:t>64 (18.2)</w:t>
            </w:r>
          </w:p>
        </w:tc>
      </w:tr>
      <w:tr w:rsidR="005F3809" w:rsidRPr="00D74203" w14:paraId="6C3B72B0" w14:textId="77777777" w:rsidTr="75E3628F">
        <w:trPr>
          <w:jc w:val="center"/>
        </w:trPr>
        <w:tc>
          <w:tcPr>
            <w:tcW w:w="3681" w:type="dxa"/>
            <w:tcBorders>
              <w:top w:val="nil"/>
              <w:bottom w:val="nil"/>
            </w:tcBorders>
          </w:tcPr>
          <w:p w14:paraId="2B18D3CF" w14:textId="77777777" w:rsidR="005F3809" w:rsidRPr="00D74203" w:rsidRDefault="005F3809">
            <w:pPr>
              <w:pStyle w:val="TableText1"/>
              <w:keepNext/>
              <w:spacing w:after="0"/>
              <w:ind w:left="308"/>
              <w:rPr>
                <w:b/>
              </w:rPr>
            </w:pPr>
            <w:r w:rsidRPr="00D74203">
              <w:t>Distant progressive disease</w:t>
            </w:r>
          </w:p>
        </w:tc>
        <w:tc>
          <w:tcPr>
            <w:tcW w:w="2835" w:type="dxa"/>
            <w:tcBorders>
              <w:top w:val="nil"/>
              <w:bottom w:val="nil"/>
            </w:tcBorders>
          </w:tcPr>
          <w:p w14:paraId="72828789" w14:textId="77777777" w:rsidR="005F3809" w:rsidRPr="00D74203" w:rsidRDefault="005F3809">
            <w:pPr>
              <w:pStyle w:val="TableText1"/>
              <w:keepNext/>
              <w:spacing w:after="0"/>
              <w:jc w:val="center"/>
            </w:pPr>
            <w:r w:rsidRPr="00D74203">
              <w:t>26 (7.2)</w:t>
            </w:r>
          </w:p>
        </w:tc>
        <w:tc>
          <w:tcPr>
            <w:tcW w:w="2501" w:type="dxa"/>
            <w:tcBorders>
              <w:top w:val="nil"/>
              <w:bottom w:val="nil"/>
            </w:tcBorders>
          </w:tcPr>
          <w:p w14:paraId="14967CB9" w14:textId="77777777" w:rsidR="005F3809" w:rsidRPr="00D74203" w:rsidRDefault="005F3809">
            <w:pPr>
              <w:pStyle w:val="TableText1"/>
              <w:keepNext/>
              <w:spacing w:after="0"/>
              <w:jc w:val="center"/>
            </w:pPr>
            <w:r w:rsidRPr="00D74203">
              <w:t>51 (14.5)</w:t>
            </w:r>
          </w:p>
        </w:tc>
      </w:tr>
      <w:tr w:rsidR="005F3809" w:rsidRPr="00D74203" w14:paraId="0A19C4D6" w14:textId="77777777" w:rsidTr="75E3628F">
        <w:trPr>
          <w:jc w:val="center"/>
        </w:trPr>
        <w:tc>
          <w:tcPr>
            <w:tcW w:w="3681" w:type="dxa"/>
            <w:tcBorders>
              <w:top w:val="nil"/>
              <w:bottom w:val="nil"/>
            </w:tcBorders>
          </w:tcPr>
          <w:p w14:paraId="3FABAD98" w14:textId="77777777" w:rsidR="005F3809" w:rsidRPr="00D74203" w:rsidRDefault="005F3809">
            <w:pPr>
              <w:pStyle w:val="TableText1"/>
              <w:keepNext/>
              <w:spacing w:after="0"/>
              <w:ind w:left="308"/>
              <w:rPr>
                <w:b/>
              </w:rPr>
            </w:pPr>
            <w:r w:rsidRPr="00D74203">
              <w:t>Local and distant progressive disease</w:t>
            </w:r>
          </w:p>
        </w:tc>
        <w:tc>
          <w:tcPr>
            <w:tcW w:w="2835" w:type="dxa"/>
            <w:tcBorders>
              <w:top w:val="nil"/>
              <w:bottom w:val="nil"/>
            </w:tcBorders>
          </w:tcPr>
          <w:p w14:paraId="382F6A2C" w14:textId="77777777" w:rsidR="005F3809" w:rsidRPr="00D74203" w:rsidRDefault="005F3809">
            <w:pPr>
              <w:pStyle w:val="TableText1"/>
              <w:keepNext/>
              <w:spacing w:after="0"/>
              <w:jc w:val="center"/>
            </w:pPr>
            <w:r w:rsidRPr="00D74203">
              <w:t>4 (1.1)</w:t>
            </w:r>
          </w:p>
        </w:tc>
        <w:tc>
          <w:tcPr>
            <w:tcW w:w="2501" w:type="dxa"/>
            <w:tcBorders>
              <w:top w:val="nil"/>
              <w:bottom w:val="nil"/>
            </w:tcBorders>
          </w:tcPr>
          <w:p w14:paraId="0E08FE8B" w14:textId="77777777" w:rsidR="005F3809" w:rsidRPr="00D74203" w:rsidRDefault="005F3809">
            <w:pPr>
              <w:pStyle w:val="TableText1"/>
              <w:keepNext/>
              <w:spacing w:after="0"/>
              <w:jc w:val="center"/>
            </w:pPr>
            <w:r w:rsidRPr="00D74203">
              <w:t>7 (2.0)</w:t>
            </w:r>
          </w:p>
        </w:tc>
      </w:tr>
      <w:tr w:rsidR="005F3809" w:rsidRPr="00D74203" w14:paraId="2C3E02F8" w14:textId="77777777" w:rsidTr="75E3628F">
        <w:trPr>
          <w:jc w:val="center"/>
        </w:trPr>
        <w:tc>
          <w:tcPr>
            <w:tcW w:w="3681" w:type="dxa"/>
            <w:tcBorders>
              <w:top w:val="nil"/>
              <w:bottom w:val="single" w:sz="4" w:space="0" w:color="auto"/>
            </w:tcBorders>
          </w:tcPr>
          <w:p w14:paraId="19A0EAE9" w14:textId="77777777" w:rsidR="005F3809" w:rsidRPr="00D74203" w:rsidRDefault="005F3809">
            <w:pPr>
              <w:pStyle w:val="TableText1"/>
              <w:keepNext/>
              <w:spacing w:after="0"/>
              <w:ind w:left="308"/>
              <w:rPr>
                <w:b/>
              </w:rPr>
            </w:pPr>
            <w:r w:rsidRPr="00D74203">
              <w:t>Local progressive disease/recurrence</w:t>
            </w:r>
          </w:p>
        </w:tc>
        <w:tc>
          <w:tcPr>
            <w:tcW w:w="2835" w:type="dxa"/>
            <w:tcBorders>
              <w:top w:val="nil"/>
              <w:bottom w:val="single" w:sz="4" w:space="0" w:color="auto"/>
            </w:tcBorders>
          </w:tcPr>
          <w:p w14:paraId="4D60A3B7" w14:textId="77777777" w:rsidR="005F3809" w:rsidRPr="00D74203" w:rsidRDefault="005F3809">
            <w:pPr>
              <w:pStyle w:val="TableText1"/>
              <w:keepNext/>
              <w:spacing w:after="0"/>
              <w:jc w:val="center"/>
            </w:pPr>
            <w:r w:rsidRPr="00D74203">
              <w:t>39 (10.7)</w:t>
            </w:r>
          </w:p>
        </w:tc>
        <w:tc>
          <w:tcPr>
            <w:tcW w:w="2501" w:type="dxa"/>
            <w:tcBorders>
              <w:top w:val="nil"/>
              <w:bottom w:val="single" w:sz="4" w:space="0" w:color="auto"/>
            </w:tcBorders>
          </w:tcPr>
          <w:p w14:paraId="0F7590BB" w14:textId="77777777" w:rsidR="005F3809" w:rsidRPr="00D74203" w:rsidRDefault="005F3809">
            <w:pPr>
              <w:pStyle w:val="TableText1"/>
              <w:keepNext/>
              <w:spacing w:after="0"/>
              <w:jc w:val="center"/>
            </w:pPr>
            <w:r w:rsidRPr="00D74203">
              <w:t>37 (10.5)</w:t>
            </w:r>
          </w:p>
        </w:tc>
      </w:tr>
      <w:tr w:rsidR="005F3809" w:rsidRPr="00D74203" w14:paraId="345AE2B0" w14:textId="77777777" w:rsidTr="75E3628F">
        <w:trPr>
          <w:jc w:val="center"/>
        </w:trPr>
        <w:tc>
          <w:tcPr>
            <w:tcW w:w="3681" w:type="dxa"/>
            <w:tcBorders>
              <w:top w:val="single" w:sz="4" w:space="0" w:color="auto"/>
              <w:bottom w:val="nil"/>
            </w:tcBorders>
          </w:tcPr>
          <w:p w14:paraId="62049DF0" w14:textId="77777777" w:rsidR="005F3809" w:rsidRPr="00D74203" w:rsidRDefault="005F3809">
            <w:pPr>
              <w:pStyle w:val="TableText1"/>
              <w:keepNext/>
              <w:spacing w:after="0"/>
              <w:rPr>
                <w:vertAlign w:val="superscript"/>
              </w:rPr>
            </w:pPr>
            <w:r w:rsidRPr="00D74203">
              <w:t>Kaplan-Meier estimates (months)</w:t>
            </w:r>
            <w:r w:rsidRPr="00D74203">
              <w:rPr>
                <w:vertAlign w:val="superscript"/>
              </w:rPr>
              <w:t>a</w:t>
            </w:r>
          </w:p>
        </w:tc>
        <w:tc>
          <w:tcPr>
            <w:tcW w:w="2835" w:type="dxa"/>
            <w:tcBorders>
              <w:top w:val="single" w:sz="4" w:space="0" w:color="auto"/>
              <w:bottom w:val="nil"/>
              <w:right w:val="single" w:sz="4" w:space="0" w:color="auto"/>
            </w:tcBorders>
          </w:tcPr>
          <w:p w14:paraId="662BE2B7" w14:textId="77777777" w:rsidR="005F3809" w:rsidRPr="00D74203" w:rsidRDefault="005F3809">
            <w:pPr>
              <w:pStyle w:val="TableText1"/>
              <w:keepNext/>
              <w:spacing w:after="0"/>
              <w:jc w:val="center"/>
            </w:pPr>
          </w:p>
        </w:tc>
        <w:tc>
          <w:tcPr>
            <w:tcW w:w="2501" w:type="dxa"/>
            <w:tcBorders>
              <w:top w:val="single" w:sz="4" w:space="0" w:color="auto"/>
              <w:left w:val="single" w:sz="4" w:space="0" w:color="auto"/>
              <w:bottom w:val="nil"/>
            </w:tcBorders>
          </w:tcPr>
          <w:p w14:paraId="3CA58137" w14:textId="77777777" w:rsidR="005F3809" w:rsidRPr="00D74203" w:rsidRDefault="005F3809">
            <w:pPr>
              <w:pStyle w:val="TableText1"/>
              <w:keepNext/>
              <w:spacing w:after="0"/>
              <w:jc w:val="center"/>
            </w:pPr>
          </w:p>
        </w:tc>
      </w:tr>
      <w:tr w:rsidR="005F3809" w:rsidRPr="00D74203" w14:paraId="664B14D8" w14:textId="77777777" w:rsidTr="75E3628F">
        <w:trPr>
          <w:jc w:val="center"/>
        </w:trPr>
        <w:tc>
          <w:tcPr>
            <w:tcW w:w="3681" w:type="dxa"/>
            <w:tcBorders>
              <w:top w:val="nil"/>
            </w:tcBorders>
          </w:tcPr>
          <w:p w14:paraId="1DB74D43" w14:textId="77777777" w:rsidR="005F3809" w:rsidRPr="00D74203" w:rsidRDefault="005F3809">
            <w:pPr>
              <w:pStyle w:val="TableText1"/>
              <w:keepNext/>
              <w:spacing w:after="0"/>
              <w:ind w:left="308"/>
            </w:pPr>
            <w:r w:rsidRPr="00D74203">
              <w:t>Median (95% CI)</w:t>
            </w:r>
          </w:p>
        </w:tc>
        <w:tc>
          <w:tcPr>
            <w:tcW w:w="2835" w:type="dxa"/>
            <w:tcBorders>
              <w:top w:val="nil"/>
            </w:tcBorders>
          </w:tcPr>
          <w:p w14:paraId="1C1BB638" w14:textId="77777777" w:rsidR="005F3809" w:rsidRPr="00D74203" w:rsidRDefault="005F3809">
            <w:pPr>
              <w:pStyle w:val="TableText1"/>
              <w:keepNext/>
              <w:spacing w:after="0"/>
              <w:jc w:val="center"/>
            </w:pPr>
            <w:r w:rsidRPr="00D74203">
              <w:t>51.8 (37.5, NR)</w:t>
            </w:r>
          </w:p>
        </w:tc>
        <w:tc>
          <w:tcPr>
            <w:tcW w:w="2501" w:type="dxa"/>
            <w:tcBorders>
              <w:top w:val="nil"/>
            </w:tcBorders>
          </w:tcPr>
          <w:p w14:paraId="6E2A42A1" w14:textId="77777777" w:rsidR="005F3809" w:rsidRPr="00D74203" w:rsidRDefault="005F3809">
            <w:pPr>
              <w:pStyle w:val="TableText1"/>
              <w:keepNext/>
              <w:spacing w:after="0"/>
              <w:jc w:val="center"/>
            </w:pPr>
            <w:r w:rsidRPr="00D74203">
              <w:t>30.4 (21.8, 50.1)</w:t>
            </w:r>
          </w:p>
        </w:tc>
      </w:tr>
      <w:tr w:rsidR="005F3809" w:rsidRPr="00D74203" w14:paraId="3B680322" w14:textId="77777777" w:rsidTr="75E3628F">
        <w:trPr>
          <w:jc w:val="center"/>
        </w:trPr>
        <w:tc>
          <w:tcPr>
            <w:tcW w:w="3681" w:type="dxa"/>
          </w:tcPr>
          <w:p w14:paraId="696B9422" w14:textId="77777777" w:rsidR="005F3809" w:rsidRPr="00D74203" w:rsidRDefault="005F3809">
            <w:pPr>
              <w:pStyle w:val="TableText1"/>
              <w:keepNext/>
              <w:spacing w:after="0"/>
              <w:rPr>
                <w:vertAlign w:val="superscript"/>
              </w:rPr>
            </w:pPr>
            <w:r>
              <w:t xml:space="preserve">HR (95% </w:t>
            </w:r>
            <w:bookmarkStart w:id="68" w:name="_Int_bXmngiG9"/>
            <w:r>
              <w:t>CI)</w:t>
            </w:r>
            <w:r w:rsidRPr="75E3628F">
              <w:rPr>
                <w:vertAlign w:val="superscript"/>
              </w:rPr>
              <w:t>b</w:t>
            </w:r>
            <w:bookmarkEnd w:id="68"/>
          </w:p>
        </w:tc>
        <w:tc>
          <w:tcPr>
            <w:tcW w:w="5336" w:type="dxa"/>
            <w:gridSpan w:val="2"/>
          </w:tcPr>
          <w:p w14:paraId="5F1ECB3E" w14:textId="77777777" w:rsidR="005F3809" w:rsidRPr="005543CD" w:rsidRDefault="005F3809">
            <w:pPr>
              <w:pStyle w:val="TableText1"/>
              <w:keepNext/>
              <w:spacing w:after="0"/>
              <w:jc w:val="center"/>
              <w:rPr>
                <w:b/>
                <w:bCs/>
              </w:rPr>
            </w:pPr>
            <w:r w:rsidRPr="005543CD">
              <w:rPr>
                <w:b/>
                <w:bCs/>
              </w:rPr>
              <w:t>0.73 (0.58, 0.92)</w:t>
            </w:r>
          </w:p>
        </w:tc>
      </w:tr>
      <w:tr w:rsidR="005F3809" w:rsidRPr="00D74203" w14:paraId="60E12A63" w14:textId="77777777" w:rsidTr="75E3628F">
        <w:trPr>
          <w:jc w:val="center"/>
        </w:trPr>
        <w:tc>
          <w:tcPr>
            <w:tcW w:w="3681" w:type="dxa"/>
            <w:tcBorders>
              <w:bottom w:val="single" w:sz="4" w:space="0" w:color="auto"/>
            </w:tcBorders>
          </w:tcPr>
          <w:p w14:paraId="204D01A0" w14:textId="77777777" w:rsidR="005F3809" w:rsidRPr="00D74203" w:rsidRDefault="005F3809">
            <w:pPr>
              <w:pStyle w:val="TableText1"/>
              <w:keepNext/>
              <w:spacing w:after="0"/>
              <w:rPr>
                <w:vertAlign w:val="superscript"/>
              </w:rPr>
            </w:pPr>
            <w:r w:rsidRPr="00D74203">
              <w:t>p-</w:t>
            </w:r>
            <w:proofErr w:type="spellStart"/>
            <w:r w:rsidRPr="00D74203">
              <w:t>value</w:t>
            </w:r>
            <w:r w:rsidRPr="00D74203">
              <w:rPr>
                <w:vertAlign w:val="superscript"/>
              </w:rPr>
              <w:t>c</w:t>
            </w:r>
            <w:proofErr w:type="spellEnd"/>
          </w:p>
        </w:tc>
        <w:tc>
          <w:tcPr>
            <w:tcW w:w="5336" w:type="dxa"/>
            <w:gridSpan w:val="2"/>
            <w:tcBorders>
              <w:bottom w:val="single" w:sz="4" w:space="0" w:color="auto"/>
            </w:tcBorders>
          </w:tcPr>
          <w:p w14:paraId="45441B89" w14:textId="77777777" w:rsidR="005F3809" w:rsidRPr="005543CD" w:rsidRDefault="005F3809">
            <w:pPr>
              <w:pStyle w:val="TableText1"/>
              <w:keepNext/>
              <w:spacing w:after="0"/>
              <w:jc w:val="center"/>
              <w:rPr>
                <w:b/>
                <w:bCs/>
              </w:rPr>
            </w:pPr>
            <w:r w:rsidRPr="005543CD">
              <w:rPr>
                <w:b/>
                <w:bCs/>
              </w:rPr>
              <w:t>0.00411</w:t>
            </w:r>
          </w:p>
        </w:tc>
      </w:tr>
      <w:tr w:rsidR="005F3809" w:rsidRPr="00D74203" w14:paraId="2E15EE6F" w14:textId="77777777" w:rsidTr="75E3628F">
        <w:trPr>
          <w:jc w:val="center"/>
        </w:trPr>
        <w:tc>
          <w:tcPr>
            <w:tcW w:w="3681" w:type="dxa"/>
            <w:tcBorders>
              <w:bottom w:val="nil"/>
            </w:tcBorders>
          </w:tcPr>
          <w:p w14:paraId="39240D14" w14:textId="77777777" w:rsidR="005F3809" w:rsidRPr="00D74203" w:rsidRDefault="005F3809">
            <w:pPr>
              <w:pStyle w:val="TableText1"/>
              <w:keepNext/>
              <w:spacing w:after="0"/>
            </w:pPr>
            <w:r w:rsidRPr="00D74203">
              <w:t>EFS rate, % (95% CI)</w:t>
            </w:r>
          </w:p>
        </w:tc>
        <w:tc>
          <w:tcPr>
            <w:tcW w:w="2835" w:type="dxa"/>
            <w:tcBorders>
              <w:bottom w:val="nil"/>
            </w:tcBorders>
          </w:tcPr>
          <w:p w14:paraId="37168E6F" w14:textId="77777777" w:rsidR="005F3809" w:rsidRPr="00D74203" w:rsidRDefault="005F3809">
            <w:pPr>
              <w:pStyle w:val="TableText1"/>
              <w:keepNext/>
              <w:spacing w:after="0"/>
              <w:jc w:val="center"/>
            </w:pPr>
          </w:p>
        </w:tc>
        <w:tc>
          <w:tcPr>
            <w:tcW w:w="2501" w:type="dxa"/>
            <w:tcBorders>
              <w:bottom w:val="nil"/>
            </w:tcBorders>
          </w:tcPr>
          <w:p w14:paraId="77630DD0" w14:textId="77777777" w:rsidR="005F3809" w:rsidRPr="00D74203" w:rsidRDefault="005F3809">
            <w:pPr>
              <w:pStyle w:val="TableText1"/>
              <w:keepNext/>
              <w:spacing w:after="0"/>
              <w:jc w:val="center"/>
            </w:pPr>
          </w:p>
        </w:tc>
      </w:tr>
      <w:tr w:rsidR="005F3809" w:rsidRPr="00D74203" w14:paraId="40CB7550" w14:textId="77777777" w:rsidTr="75E3628F">
        <w:trPr>
          <w:jc w:val="center"/>
        </w:trPr>
        <w:tc>
          <w:tcPr>
            <w:tcW w:w="3681" w:type="dxa"/>
            <w:tcBorders>
              <w:top w:val="nil"/>
              <w:bottom w:val="nil"/>
            </w:tcBorders>
          </w:tcPr>
          <w:p w14:paraId="1A68D432" w14:textId="77777777" w:rsidR="005F3809" w:rsidRPr="00D74203" w:rsidRDefault="005F3809">
            <w:pPr>
              <w:pStyle w:val="TableText1"/>
              <w:keepNext/>
              <w:spacing w:after="0"/>
              <w:ind w:left="308"/>
              <w:rPr>
                <w:b/>
              </w:rPr>
            </w:pPr>
            <w:r w:rsidRPr="00D74203">
              <w:t xml:space="preserve">At month 12 </w:t>
            </w:r>
          </w:p>
        </w:tc>
        <w:tc>
          <w:tcPr>
            <w:tcW w:w="2835" w:type="dxa"/>
            <w:tcBorders>
              <w:top w:val="nil"/>
              <w:bottom w:val="nil"/>
            </w:tcBorders>
          </w:tcPr>
          <w:p w14:paraId="42A13AA9" w14:textId="77777777" w:rsidR="005F3809" w:rsidRPr="00D74203" w:rsidRDefault="005F3809">
            <w:pPr>
              <w:pStyle w:val="TableText1"/>
              <w:keepNext/>
              <w:spacing w:after="0"/>
              <w:jc w:val="center"/>
            </w:pPr>
            <w:r w:rsidRPr="00D74203">
              <w:t>75.1 (70.0, 79.4)</w:t>
            </w:r>
          </w:p>
        </w:tc>
        <w:tc>
          <w:tcPr>
            <w:tcW w:w="2501" w:type="dxa"/>
            <w:tcBorders>
              <w:top w:val="nil"/>
              <w:bottom w:val="nil"/>
            </w:tcBorders>
          </w:tcPr>
          <w:p w14:paraId="3E543D96" w14:textId="77777777" w:rsidR="005F3809" w:rsidRPr="00D74203" w:rsidRDefault="005F3809">
            <w:pPr>
              <w:pStyle w:val="TableText1"/>
              <w:keepNext/>
              <w:spacing w:after="0"/>
              <w:jc w:val="center"/>
            </w:pPr>
            <w:r w:rsidRPr="00D74203">
              <w:t>62.5 (56.9, 67.5)</w:t>
            </w:r>
          </w:p>
        </w:tc>
      </w:tr>
      <w:tr w:rsidR="005F3809" w:rsidRPr="00D74203" w14:paraId="6DC8CF9B" w14:textId="77777777" w:rsidTr="75E3628F">
        <w:trPr>
          <w:jc w:val="center"/>
        </w:trPr>
        <w:tc>
          <w:tcPr>
            <w:tcW w:w="3681" w:type="dxa"/>
            <w:tcBorders>
              <w:top w:val="nil"/>
              <w:bottom w:val="nil"/>
            </w:tcBorders>
          </w:tcPr>
          <w:p w14:paraId="58606563" w14:textId="77777777" w:rsidR="005F3809" w:rsidRPr="00D74203" w:rsidRDefault="005F3809">
            <w:pPr>
              <w:pStyle w:val="TableText1"/>
              <w:keepNext/>
              <w:spacing w:after="0"/>
              <w:ind w:left="308"/>
            </w:pPr>
            <w:r w:rsidRPr="00D74203">
              <w:t>At month 24</w:t>
            </w:r>
          </w:p>
        </w:tc>
        <w:tc>
          <w:tcPr>
            <w:tcW w:w="2835" w:type="dxa"/>
            <w:tcBorders>
              <w:top w:val="nil"/>
              <w:bottom w:val="nil"/>
            </w:tcBorders>
          </w:tcPr>
          <w:p w14:paraId="051E7351" w14:textId="77777777" w:rsidR="005F3809" w:rsidRPr="00D74203" w:rsidRDefault="005F3809">
            <w:pPr>
              <w:pStyle w:val="TableText1"/>
              <w:keepNext/>
              <w:spacing w:after="0"/>
              <w:jc w:val="center"/>
            </w:pPr>
            <w:r w:rsidRPr="00D74203">
              <w:t>65.0 (59.4, 70.1)</w:t>
            </w:r>
          </w:p>
        </w:tc>
        <w:tc>
          <w:tcPr>
            <w:tcW w:w="2501" w:type="dxa"/>
            <w:tcBorders>
              <w:top w:val="nil"/>
              <w:bottom w:val="nil"/>
            </w:tcBorders>
          </w:tcPr>
          <w:p w14:paraId="7C3A9090" w14:textId="77777777" w:rsidR="005F3809" w:rsidRPr="00D74203" w:rsidRDefault="005F3809">
            <w:pPr>
              <w:pStyle w:val="TableText1"/>
              <w:keepNext/>
              <w:spacing w:after="0"/>
              <w:jc w:val="center"/>
            </w:pPr>
            <w:r w:rsidRPr="00D74203">
              <w:t>54.6 (48.7, 60.1)</w:t>
            </w:r>
          </w:p>
        </w:tc>
      </w:tr>
      <w:tr w:rsidR="005F3809" w:rsidRPr="00D74203" w14:paraId="7CC3AC67" w14:textId="77777777" w:rsidTr="75E3628F">
        <w:trPr>
          <w:jc w:val="center"/>
        </w:trPr>
        <w:tc>
          <w:tcPr>
            <w:tcW w:w="3681" w:type="dxa"/>
            <w:tcBorders>
              <w:top w:val="nil"/>
              <w:bottom w:val="nil"/>
            </w:tcBorders>
          </w:tcPr>
          <w:p w14:paraId="4BD171B5" w14:textId="77777777" w:rsidR="005F3809" w:rsidRPr="00D74203" w:rsidRDefault="005F3809">
            <w:pPr>
              <w:pStyle w:val="TableText1"/>
              <w:keepNext/>
              <w:spacing w:after="0"/>
              <w:ind w:left="308"/>
            </w:pPr>
            <w:r w:rsidRPr="00D74203">
              <w:t xml:space="preserve">At month 36 </w:t>
            </w:r>
          </w:p>
        </w:tc>
        <w:tc>
          <w:tcPr>
            <w:tcW w:w="2835" w:type="dxa"/>
            <w:tcBorders>
              <w:top w:val="nil"/>
              <w:bottom w:val="nil"/>
            </w:tcBorders>
          </w:tcPr>
          <w:p w14:paraId="3D040518" w14:textId="77777777" w:rsidR="005F3809" w:rsidRPr="00D74203" w:rsidRDefault="005F3809">
            <w:pPr>
              <w:pStyle w:val="TableText1"/>
              <w:keepNext/>
              <w:spacing w:after="0"/>
              <w:jc w:val="center"/>
            </w:pPr>
            <w:r w:rsidRPr="00D74203">
              <w:t>57.6 (51.5, 63.3)</w:t>
            </w:r>
          </w:p>
        </w:tc>
        <w:tc>
          <w:tcPr>
            <w:tcW w:w="2501" w:type="dxa"/>
            <w:tcBorders>
              <w:top w:val="nil"/>
              <w:bottom w:val="nil"/>
            </w:tcBorders>
          </w:tcPr>
          <w:p w14:paraId="5E44497A" w14:textId="77777777" w:rsidR="005F3809" w:rsidRPr="00D74203" w:rsidRDefault="005F3809">
            <w:pPr>
              <w:pStyle w:val="TableText1"/>
              <w:keepNext/>
              <w:spacing w:after="0"/>
              <w:jc w:val="center"/>
            </w:pPr>
            <w:r w:rsidRPr="00D74203">
              <w:t>46.4 (40.0, 52.5)</w:t>
            </w:r>
          </w:p>
        </w:tc>
      </w:tr>
      <w:tr w:rsidR="005F3809" w:rsidRPr="00D74203" w14:paraId="55EF09DF" w14:textId="77777777" w:rsidTr="75E3628F">
        <w:trPr>
          <w:jc w:val="center"/>
        </w:trPr>
        <w:tc>
          <w:tcPr>
            <w:tcW w:w="3681" w:type="dxa"/>
            <w:tcBorders>
              <w:top w:val="nil"/>
            </w:tcBorders>
          </w:tcPr>
          <w:p w14:paraId="79B9D883" w14:textId="77777777" w:rsidR="005F3809" w:rsidRPr="00D74203" w:rsidRDefault="005F3809">
            <w:pPr>
              <w:pStyle w:val="TableText1"/>
              <w:keepNext/>
              <w:spacing w:after="0"/>
              <w:ind w:left="308"/>
            </w:pPr>
            <w:r w:rsidRPr="00D74203">
              <w:t xml:space="preserve">At month 48 </w:t>
            </w:r>
          </w:p>
        </w:tc>
        <w:tc>
          <w:tcPr>
            <w:tcW w:w="2835" w:type="dxa"/>
            <w:tcBorders>
              <w:top w:val="nil"/>
            </w:tcBorders>
          </w:tcPr>
          <w:p w14:paraId="69B40569" w14:textId="77777777" w:rsidR="005F3809" w:rsidRPr="00D74203" w:rsidRDefault="005F3809">
            <w:pPr>
              <w:pStyle w:val="TableText1"/>
              <w:keepNext/>
              <w:spacing w:after="0"/>
              <w:jc w:val="center"/>
            </w:pPr>
            <w:r w:rsidRPr="00D74203">
              <w:t>52.0 (45.1, 58.4)</w:t>
            </w:r>
          </w:p>
        </w:tc>
        <w:tc>
          <w:tcPr>
            <w:tcW w:w="2501" w:type="dxa"/>
            <w:tcBorders>
              <w:top w:val="nil"/>
            </w:tcBorders>
          </w:tcPr>
          <w:p w14:paraId="3A4075AC" w14:textId="77777777" w:rsidR="005F3809" w:rsidRPr="00D74203" w:rsidRDefault="005F3809">
            <w:pPr>
              <w:pStyle w:val="TableText1"/>
              <w:keepNext/>
              <w:spacing w:after="0"/>
              <w:jc w:val="center"/>
            </w:pPr>
            <w:r w:rsidRPr="00D74203">
              <w:t>44.2 (37.5, 50.8)</w:t>
            </w:r>
          </w:p>
        </w:tc>
      </w:tr>
    </w:tbl>
    <w:p w14:paraId="27331DA8" w14:textId="77777777" w:rsidR="00D014AF" w:rsidRPr="00A863EB" w:rsidRDefault="00D466E0" w:rsidP="00677261">
      <w:pPr>
        <w:pStyle w:val="TableFigureFooter"/>
        <w:rPr>
          <w:i w:val="0"/>
          <w:iCs w:val="0"/>
        </w:rPr>
      </w:pPr>
      <w:r w:rsidRPr="00A863EB">
        <w:rPr>
          <w:i w:val="0"/>
          <w:iCs w:val="0"/>
        </w:rPr>
        <w:t>Source: Table 2.5-1, p69 of the submission</w:t>
      </w:r>
    </w:p>
    <w:p w14:paraId="4E5A874D" w14:textId="34F2B729" w:rsidR="005F3809" w:rsidRPr="00A863EB" w:rsidRDefault="005F3809" w:rsidP="00677261">
      <w:pPr>
        <w:pStyle w:val="TableFigureFooter"/>
        <w:rPr>
          <w:i w:val="0"/>
          <w:iCs w:val="0"/>
        </w:rPr>
      </w:pPr>
      <w:r w:rsidRPr="00A863EB">
        <w:rPr>
          <w:i w:val="0"/>
          <w:iCs w:val="0"/>
        </w:rPr>
        <w:t xml:space="preserve">BICR = blinded independent central review; </w:t>
      </w:r>
      <w:r w:rsidR="00966CF1" w:rsidRPr="00A863EB">
        <w:rPr>
          <w:i w:val="0"/>
          <w:iCs w:val="0"/>
        </w:rPr>
        <w:t xml:space="preserve">CI = confidence interval; </w:t>
      </w:r>
      <w:r w:rsidRPr="00A863EB">
        <w:rPr>
          <w:i w:val="0"/>
          <w:iCs w:val="0"/>
        </w:rPr>
        <w:t>EFS = event-free survival; HR = hazard ratio; ITT = intention-to-treat; NR = not reached; PEM = pembrolizumab; SoC = standard of care</w:t>
      </w:r>
      <w:r w:rsidR="00E24F65" w:rsidRPr="00A863EB">
        <w:rPr>
          <w:i w:val="0"/>
          <w:iCs w:val="0"/>
        </w:rPr>
        <w:t xml:space="preserve">; </w:t>
      </w:r>
      <w:proofErr w:type="spellStart"/>
      <w:r w:rsidR="00E24F65" w:rsidRPr="00A863EB">
        <w:rPr>
          <w:i w:val="0"/>
          <w:iCs w:val="0"/>
        </w:rPr>
        <w:t>sSAP</w:t>
      </w:r>
      <w:proofErr w:type="spellEnd"/>
      <w:r w:rsidR="00E24F65" w:rsidRPr="00A863EB">
        <w:rPr>
          <w:i w:val="0"/>
          <w:iCs w:val="0"/>
        </w:rPr>
        <w:t xml:space="preserve"> = supplementary statistical analysis plan</w:t>
      </w:r>
    </w:p>
    <w:p w14:paraId="02058645" w14:textId="77777777" w:rsidR="005F3809" w:rsidRPr="00A863EB" w:rsidRDefault="005F3809" w:rsidP="00677261">
      <w:pPr>
        <w:pStyle w:val="TableFigureFooter"/>
        <w:rPr>
          <w:i w:val="0"/>
          <w:iCs w:val="0"/>
        </w:rPr>
      </w:pPr>
      <w:r w:rsidRPr="00A863EB">
        <w:rPr>
          <w:i w:val="0"/>
          <w:iCs w:val="0"/>
        </w:rPr>
        <w:t>Data cutoff: 25 July 2024</w:t>
      </w:r>
    </w:p>
    <w:p w14:paraId="5B48BB77" w14:textId="62F54D8B" w:rsidR="005543CD" w:rsidRPr="00A863EB" w:rsidRDefault="005543CD" w:rsidP="00677261">
      <w:pPr>
        <w:pStyle w:val="TableFigureFooter"/>
        <w:rPr>
          <w:i w:val="0"/>
          <w:iCs w:val="0"/>
        </w:rPr>
      </w:pPr>
      <w:r w:rsidRPr="00A863EB">
        <w:rPr>
          <w:i w:val="0"/>
          <w:iCs w:val="0"/>
        </w:rPr>
        <w:t xml:space="preserve">Statistically significant differences are </w:t>
      </w:r>
      <w:r w:rsidRPr="00A863EB">
        <w:rPr>
          <w:b/>
          <w:bCs/>
          <w:i w:val="0"/>
          <w:iCs w:val="0"/>
        </w:rPr>
        <w:t>bolded</w:t>
      </w:r>
    </w:p>
    <w:p w14:paraId="28FCAAC2" w14:textId="77777777" w:rsidR="005F3809" w:rsidRPr="00A863EB" w:rsidRDefault="005F3809" w:rsidP="00677261">
      <w:pPr>
        <w:pStyle w:val="TableFigureFooter"/>
        <w:rPr>
          <w:i w:val="0"/>
          <w:iCs w:val="0"/>
        </w:rPr>
      </w:pPr>
      <w:r w:rsidRPr="00A863EB">
        <w:rPr>
          <w:i w:val="0"/>
          <w:iCs w:val="0"/>
          <w:vertAlign w:val="superscript"/>
        </w:rPr>
        <w:t>a</w:t>
      </w:r>
      <w:r w:rsidRPr="00A863EB">
        <w:rPr>
          <w:i w:val="0"/>
          <w:iCs w:val="0"/>
        </w:rPr>
        <w:t xml:space="preserve"> </w:t>
      </w:r>
      <w:bookmarkStart w:id="69" w:name="_Int_7cpi0zh6"/>
      <w:r w:rsidRPr="00A863EB">
        <w:rPr>
          <w:i w:val="0"/>
          <w:iCs w:val="0"/>
        </w:rPr>
        <w:t>From</w:t>
      </w:r>
      <w:bookmarkEnd w:id="69"/>
      <w:r w:rsidRPr="00A863EB">
        <w:rPr>
          <w:i w:val="0"/>
          <w:iCs w:val="0"/>
        </w:rPr>
        <w:t xml:space="preserve"> product-limit (Kaplan-Meier) method for censored data.</w:t>
      </w:r>
    </w:p>
    <w:p w14:paraId="002F95F8" w14:textId="77777777" w:rsidR="005F3809" w:rsidRPr="00A863EB" w:rsidRDefault="005F3809" w:rsidP="00677261">
      <w:pPr>
        <w:pStyle w:val="TableFigureFooter"/>
        <w:rPr>
          <w:i w:val="0"/>
          <w:iCs w:val="0"/>
        </w:rPr>
      </w:pPr>
      <w:r w:rsidRPr="00A863EB">
        <w:rPr>
          <w:i w:val="0"/>
          <w:iCs w:val="0"/>
          <w:vertAlign w:val="superscript"/>
        </w:rPr>
        <w:t>b</w:t>
      </w:r>
      <w:r w:rsidRPr="00A863EB">
        <w:rPr>
          <w:i w:val="0"/>
          <w:iCs w:val="0"/>
        </w:rPr>
        <w:t xml:space="preserve"> Based on Cox regression model with Efron’s method of tie handling with treatment as a covariate stratified by primary tumour site (oropharynx/oral cavity vs larynx vs hypopharynx) and tumour stage (III vs IVA) with small strata collapsed as pre-specified in the </w:t>
      </w:r>
      <w:proofErr w:type="spellStart"/>
      <w:r w:rsidRPr="00A863EB">
        <w:rPr>
          <w:i w:val="0"/>
          <w:iCs w:val="0"/>
        </w:rPr>
        <w:t>sSAP</w:t>
      </w:r>
      <w:proofErr w:type="spellEnd"/>
      <w:r w:rsidRPr="00A863EB">
        <w:rPr>
          <w:i w:val="0"/>
          <w:iCs w:val="0"/>
        </w:rPr>
        <w:t>.</w:t>
      </w:r>
    </w:p>
    <w:p w14:paraId="3C990C22" w14:textId="77777777" w:rsidR="005F3809" w:rsidRPr="00A863EB" w:rsidRDefault="005F3809" w:rsidP="00677261">
      <w:pPr>
        <w:pStyle w:val="TableFigureFooter"/>
        <w:rPr>
          <w:i w:val="0"/>
          <w:iCs w:val="0"/>
        </w:rPr>
      </w:pPr>
      <w:r w:rsidRPr="00A863EB">
        <w:rPr>
          <w:i w:val="0"/>
          <w:iCs w:val="0"/>
          <w:vertAlign w:val="superscript"/>
        </w:rPr>
        <w:t>c</w:t>
      </w:r>
      <w:r w:rsidRPr="00A863EB">
        <w:rPr>
          <w:i w:val="0"/>
          <w:iCs w:val="0"/>
        </w:rPr>
        <w:t xml:space="preserve"> One-sided p-value based on log-rank test stratified by primary tumour site (oropharynx/oral cavity vs larynx vs hypopharynx) and tumour stage (III vs IVA) with small strata collapsed as pre-specified in the </w:t>
      </w:r>
      <w:proofErr w:type="spellStart"/>
      <w:r w:rsidRPr="00A863EB">
        <w:rPr>
          <w:i w:val="0"/>
          <w:iCs w:val="0"/>
        </w:rPr>
        <w:t>sSAP</w:t>
      </w:r>
      <w:proofErr w:type="spellEnd"/>
      <w:r w:rsidRPr="00A863EB">
        <w:rPr>
          <w:i w:val="0"/>
          <w:iCs w:val="0"/>
        </w:rPr>
        <w:t>.</w:t>
      </w:r>
    </w:p>
    <w:p w14:paraId="5673414E" w14:textId="33BAC63D" w:rsidR="005F3809" w:rsidRPr="00D74203" w:rsidRDefault="005F3809" w:rsidP="005F3809">
      <w:pPr>
        <w:pStyle w:val="Caption"/>
      </w:pPr>
      <w:bookmarkStart w:id="70" w:name="_Ref205543128"/>
      <w:r w:rsidRPr="00D74203">
        <w:lastRenderedPageBreak/>
        <w:t xml:space="preserve">Figure </w:t>
      </w:r>
      <w:r w:rsidR="00972E86">
        <w:fldChar w:fldCharType="begin"/>
      </w:r>
      <w:r w:rsidR="00972E86">
        <w:instrText xml:space="preserve"> SEQ Figure \* ARABIC </w:instrText>
      </w:r>
      <w:r w:rsidR="00972E86">
        <w:fldChar w:fldCharType="separate"/>
      </w:r>
      <w:r w:rsidR="0084087D">
        <w:rPr>
          <w:noProof/>
        </w:rPr>
        <w:t>1</w:t>
      </w:r>
      <w:r w:rsidR="00972E86">
        <w:rPr>
          <w:noProof/>
        </w:rPr>
        <w:fldChar w:fldCharType="end"/>
      </w:r>
      <w:bookmarkEnd w:id="70"/>
      <w:r w:rsidRPr="00D74203">
        <w:t>: Kaplan-Meier plot of EFS by BICR in the KN689 trial (ITT population)</w:t>
      </w:r>
    </w:p>
    <w:p w14:paraId="1E9D241B" w14:textId="77777777" w:rsidR="005F3809" w:rsidRPr="00D74203" w:rsidRDefault="005F3809" w:rsidP="00677261">
      <w:pPr>
        <w:pStyle w:val="TableFigureFooter"/>
      </w:pPr>
      <w:r w:rsidRPr="00D74203">
        <w:rPr>
          <w:noProof/>
        </w:rPr>
        <w:drawing>
          <wp:inline distT="0" distB="0" distL="0" distR="0" wp14:anchorId="562E6E00" wp14:editId="2041D9E6">
            <wp:extent cx="5732145" cy="2825087"/>
            <wp:effectExtent l="0" t="0" r="1905" b="0"/>
            <wp:docPr id="1848533447" name="Picture 1" descr="Figure 1: Kaplan-Meier plot of EFS by BICR in the KN689 trial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533447" name="Picture 1" descr="Figure 1: Kaplan-Meier plot of EFS by BICR in the KN689 trial (ITT popul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2292" cy="2830088"/>
                    </a:xfrm>
                    <a:prstGeom prst="rect">
                      <a:avLst/>
                    </a:prstGeom>
                    <a:noFill/>
                    <a:ln>
                      <a:noFill/>
                    </a:ln>
                  </pic:spPr>
                </pic:pic>
              </a:graphicData>
            </a:graphic>
          </wp:inline>
        </w:drawing>
      </w:r>
    </w:p>
    <w:p w14:paraId="0D7EE053" w14:textId="77777777" w:rsidR="005F3809" w:rsidRPr="00A863EB" w:rsidRDefault="005F3809" w:rsidP="00677261">
      <w:pPr>
        <w:pStyle w:val="TableFigureFooter"/>
        <w:rPr>
          <w:i w:val="0"/>
          <w:iCs w:val="0"/>
        </w:rPr>
      </w:pPr>
      <w:r w:rsidRPr="00A863EB">
        <w:rPr>
          <w:i w:val="0"/>
          <w:iCs w:val="0"/>
        </w:rPr>
        <w:t>Source: Figure 2.5-1, p70 of the submission</w:t>
      </w:r>
    </w:p>
    <w:p w14:paraId="577092B0" w14:textId="39FF6178" w:rsidR="005F3809" w:rsidRPr="00A863EB" w:rsidRDefault="005F3809" w:rsidP="00677261">
      <w:pPr>
        <w:pStyle w:val="TableFigureFooter"/>
        <w:rPr>
          <w:i w:val="0"/>
          <w:iCs w:val="0"/>
        </w:rPr>
      </w:pPr>
      <w:r w:rsidRPr="00A863EB">
        <w:rPr>
          <w:i w:val="0"/>
          <w:iCs w:val="0"/>
        </w:rPr>
        <w:t>BICR = blinded independent central review; EFS = event-free survival;</w:t>
      </w:r>
      <w:r w:rsidR="00944BEE" w:rsidRPr="00A863EB">
        <w:rPr>
          <w:i w:val="0"/>
          <w:iCs w:val="0"/>
        </w:rPr>
        <w:t xml:space="preserve"> ITT = intention-to-treat;</w:t>
      </w:r>
      <w:r w:rsidRPr="00A863EB">
        <w:rPr>
          <w:i w:val="0"/>
          <w:iCs w:val="0"/>
        </w:rPr>
        <w:t xml:space="preserve"> Pembro = pembrolizumab; SOC = standard of care</w:t>
      </w:r>
    </w:p>
    <w:p w14:paraId="14B84F2B" w14:textId="77777777" w:rsidR="005F3809" w:rsidRPr="00A863EB" w:rsidRDefault="005F3809" w:rsidP="00677261">
      <w:pPr>
        <w:pStyle w:val="TableFigureFooter"/>
        <w:rPr>
          <w:i w:val="0"/>
          <w:iCs w:val="0"/>
        </w:rPr>
      </w:pPr>
      <w:r w:rsidRPr="00A863EB">
        <w:rPr>
          <w:i w:val="0"/>
          <w:iCs w:val="0"/>
        </w:rPr>
        <w:t>Data cutoff: 25 July 2024</w:t>
      </w:r>
    </w:p>
    <w:p w14:paraId="7DC1E74E" w14:textId="222ECF93" w:rsidR="005F3809" w:rsidRPr="00D74203" w:rsidRDefault="005F3809" w:rsidP="005F3809">
      <w:pPr>
        <w:pStyle w:val="3-BodyText"/>
      </w:pPr>
      <w:r w:rsidRPr="00D74203">
        <w:t>Based on results from the pre-specified IA1, perioperative pembrolizumab in combination with adjuvant SoC was associated with a statistically significant improvement in EFS assessed by BICR, compared with SoC, with a gain of 21.4 months in median EFS (51.8 months vs. 30.4 months</w:t>
      </w:r>
      <w:r w:rsidR="005F0166">
        <w:t xml:space="preserve">; </w:t>
      </w:r>
      <w:r w:rsidRPr="00D74203">
        <w:t xml:space="preserve">HR: 0.73; 95% CI: 0.58, 0.92; p-value: 0.00411). The EFS KM curve for the </w:t>
      </w:r>
      <w:proofErr w:type="spellStart"/>
      <w:r w:rsidR="007962F9">
        <w:t>PEM+SoC</w:t>
      </w:r>
      <w:proofErr w:type="spellEnd"/>
      <w:r w:rsidRPr="00D74203">
        <w:t xml:space="preserve"> group separated from the SoC group curve at approximately Month 3 and remained separated through </w:t>
      </w:r>
      <w:r w:rsidR="00872227">
        <w:t xml:space="preserve">to </w:t>
      </w:r>
      <w:r w:rsidRPr="00D74203">
        <w:t>approximately Month 57, at which time point the trial data became unreliable due to the low number of patients at risk.</w:t>
      </w:r>
    </w:p>
    <w:p w14:paraId="37FAF81F" w14:textId="26940FC9" w:rsidR="00713749" w:rsidRDefault="005F3809" w:rsidP="005F3809">
      <w:pPr>
        <w:pStyle w:val="3-BodyText"/>
      </w:pPr>
      <w:r w:rsidRPr="00D74203">
        <w:t xml:space="preserve">There were 136 (37.5%) patients </w:t>
      </w:r>
      <w:r w:rsidR="00A67BDE">
        <w:t xml:space="preserve">that </w:t>
      </w:r>
      <w:r w:rsidRPr="00D74203">
        <w:t>experienc</w:t>
      </w:r>
      <w:r w:rsidR="00A67BDE">
        <w:t>ed</w:t>
      </w:r>
      <w:r w:rsidRPr="00D74203">
        <w:t xml:space="preserve"> an EFS event in the </w:t>
      </w:r>
      <w:proofErr w:type="spellStart"/>
      <w:r w:rsidR="006A0577">
        <w:t>PEM+SoC</w:t>
      </w:r>
      <w:proofErr w:type="spellEnd"/>
      <w:r w:rsidRPr="00D74203">
        <w:t xml:space="preserve"> arm, compared with 159 (45.3%) patients in the SoC arm. The</w:t>
      </w:r>
      <w:r w:rsidR="00044868">
        <w:t xml:space="preserve"> </w:t>
      </w:r>
      <w:r w:rsidR="00044868" w:rsidRPr="00477630">
        <w:rPr>
          <w:iCs/>
        </w:rPr>
        <w:t>ESC noted that the</w:t>
      </w:r>
      <w:r w:rsidRPr="00D74203">
        <w:t xml:space="preserve"> difference was primarily attributable to the lower number of </w:t>
      </w:r>
      <w:r w:rsidR="00872227">
        <w:t xml:space="preserve">instances of </w:t>
      </w:r>
      <w:r w:rsidRPr="00D74203">
        <w:t xml:space="preserve">distant progressive disease as the first EFS event in the </w:t>
      </w:r>
      <w:proofErr w:type="spellStart"/>
      <w:r w:rsidR="007962F9">
        <w:t>PEM+SoC</w:t>
      </w:r>
      <w:proofErr w:type="spellEnd"/>
      <w:r w:rsidRPr="00D74203">
        <w:t xml:space="preserve"> group (26 [7.2%] vs. 51 [14.5%]). </w:t>
      </w:r>
      <w:r w:rsidR="00A6438A" w:rsidRPr="00477630">
        <w:rPr>
          <w:iCs/>
        </w:rPr>
        <w:t xml:space="preserve">The ESC considered </w:t>
      </w:r>
      <w:r w:rsidR="00F9794A" w:rsidRPr="00477630">
        <w:rPr>
          <w:iCs/>
        </w:rPr>
        <w:t xml:space="preserve">that </w:t>
      </w:r>
      <w:r w:rsidR="007E43C3" w:rsidRPr="00477630">
        <w:rPr>
          <w:iCs/>
        </w:rPr>
        <w:t>this was</w:t>
      </w:r>
      <w:r w:rsidR="00813C15" w:rsidRPr="00477630">
        <w:rPr>
          <w:iCs/>
        </w:rPr>
        <w:t xml:space="preserve"> a</w:t>
      </w:r>
      <w:r w:rsidR="00713749" w:rsidRPr="00477630">
        <w:rPr>
          <w:iCs/>
        </w:rPr>
        <w:t xml:space="preserve"> clinically meaningful</w:t>
      </w:r>
      <w:r w:rsidR="00813C15" w:rsidRPr="00477630">
        <w:rPr>
          <w:iCs/>
        </w:rPr>
        <w:t xml:space="preserve"> outcome</w:t>
      </w:r>
      <w:r w:rsidR="00713749" w:rsidRPr="00477630">
        <w:rPr>
          <w:iCs/>
        </w:rPr>
        <w:t>, as distant recurrence</w:t>
      </w:r>
      <w:r w:rsidR="00F9794A" w:rsidRPr="00477630">
        <w:rPr>
          <w:iCs/>
        </w:rPr>
        <w:t xml:space="preserve">s are </w:t>
      </w:r>
      <w:r w:rsidR="00813C15" w:rsidRPr="00477630">
        <w:rPr>
          <w:iCs/>
        </w:rPr>
        <w:t>often</w:t>
      </w:r>
      <w:r w:rsidR="00F9794A" w:rsidRPr="00477630">
        <w:rPr>
          <w:iCs/>
        </w:rPr>
        <w:t xml:space="preserve"> incurable.</w:t>
      </w:r>
    </w:p>
    <w:p w14:paraId="12D38E81" w14:textId="4FF9A9FC" w:rsidR="005F3809" w:rsidRPr="00D74203" w:rsidRDefault="00267E79" w:rsidP="005F3809">
      <w:pPr>
        <w:pStyle w:val="3-BodyText"/>
      </w:pPr>
      <w:r>
        <w:t xml:space="preserve">Death was the most commonly reported first EFS failure event </w:t>
      </w:r>
      <w:r w:rsidR="005F3809" w:rsidRPr="00D74203">
        <w:t>in both treatment groups (67 [18.5%] vs. 64 [18.2%]).</w:t>
      </w:r>
    </w:p>
    <w:p w14:paraId="590EA562" w14:textId="24C5A277" w:rsidR="005F3809" w:rsidRPr="00DE49A7" w:rsidRDefault="005F3809" w:rsidP="005F3809">
      <w:pPr>
        <w:pStyle w:val="3-BodyText"/>
      </w:pPr>
      <w:r w:rsidRPr="00D74203">
        <w:t xml:space="preserve">The analyses of EFS based on BICR assessment in patients with PD-L1 CPS ≥10 and CPS ≥1 were pre-specified in the trial protocol. In patients with a CPS ≥10 at baseline, the median EFS was longer in the </w:t>
      </w:r>
      <w:bookmarkStart w:id="71" w:name="_Hlk206412733"/>
      <w:proofErr w:type="spellStart"/>
      <w:r w:rsidR="007962F9">
        <w:t>PEM+SoC</w:t>
      </w:r>
      <w:proofErr w:type="spellEnd"/>
      <w:r w:rsidRPr="00D74203">
        <w:t xml:space="preserve"> </w:t>
      </w:r>
      <w:bookmarkEnd w:id="71"/>
      <w:r w:rsidRPr="00D74203">
        <w:t xml:space="preserve">arm compared with that in the SoC arm (59.7 months vs. 26.9 months). The HR in this subgroup was 0.66 (95% CI: 0.49, 0.88), and the difference </w:t>
      </w:r>
      <w:r w:rsidR="00872227">
        <w:t>was</w:t>
      </w:r>
      <w:r w:rsidR="00872227" w:rsidRPr="00D74203">
        <w:t xml:space="preserve"> </w:t>
      </w:r>
      <w:r w:rsidRPr="00D74203">
        <w:t>statistical</w:t>
      </w:r>
      <w:r w:rsidR="00872227">
        <w:t>ly</w:t>
      </w:r>
      <w:r w:rsidRPr="00D74203">
        <w:t xml:space="preserve"> significan</w:t>
      </w:r>
      <w:r w:rsidR="00872227">
        <w:t>t</w:t>
      </w:r>
      <w:r w:rsidRPr="00D74203">
        <w:t xml:space="preserve">. </w:t>
      </w:r>
      <w:proofErr w:type="spellStart"/>
      <w:r w:rsidR="006A0577">
        <w:t>PEM+SoC</w:t>
      </w:r>
      <w:proofErr w:type="spellEnd"/>
      <w:r w:rsidRPr="00D74203">
        <w:t xml:space="preserve"> also showed a statistically significant improvement in EFS in the CPS ≥1 subgroup (HR: 0.70 [95% CI: 0.55, 0.89]). </w:t>
      </w:r>
      <w:r w:rsidR="00EB5CBF" w:rsidRPr="00DE49A7">
        <w:t>Considering t</w:t>
      </w:r>
      <w:r w:rsidRPr="00DE49A7">
        <w:t xml:space="preserve">he </w:t>
      </w:r>
      <w:r w:rsidR="00EB5CBF" w:rsidRPr="00DE49A7">
        <w:t xml:space="preserve">lack of </w:t>
      </w:r>
      <w:r w:rsidRPr="00DE49A7">
        <w:t>EFS results in the complement subgroups for CPS ≥10 (i.e. CPS &lt;10) and CPS ≥1 (i.e. CPS &lt;1)</w:t>
      </w:r>
      <w:r w:rsidR="00EB5CBF" w:rsidRPr="00DE49A7">
        <w:t>, as well as</w:t>
      </w:r>
      <w:r w:rsidRPr="00DE49A7">
        <w:t xml:space="preserve"> </w:t>
      </w:r>
      <w:r w:rsidR="00EB5CBF" w:rsidRPr="00DE49A7">
        <w:t xml:space="preserve">the small group of </w:t>
      </w:r>
      <w:r w:rsidR="00DC3C91" w:rsidRPr="00DE49A7">
        <w:t xml:space="preserve">patients with </w:t>
      </w:r>
      <w:r w:rsidR="00EB5CBF" w:rsidRPr="00DE49A7">
        <w:t xml:space="preserve">CPS </w:t>
      </w:r>
      <w:r w:rsidR="00EB5CBF" w:rsidRPr="00DE49A7">
        <w:rPr>
          <w:rFonts w:cstheme="minorHAnsi"/>
        </w:rPr>
        <w:t>&lt;</w:t>
      </w:r>
      <w:r w:rsidR="00812CDD">
        <w:rPr>
          <w:rFonts w:cstheme="minorHAnsi"/>
        </w:rPr>
        <w:t xml:space="preserve"> </w:t>
      </w:r>
      <w:r w:rsidR="00EB5CBF" w:rsidRPr="00DE49A7">
        <w:rPr>
          <w:rFonts w:cstheme="minorHAnsi"/>
        </w:rPr>
        <w:t>1</w:t>
      </w:r>
      <w:r w:rsidRPr="00DE49A7">
        <w:t xml:space="preserve">, </w:t>
      </w:r>
      <w:r w:rsidRPr="00DE49A7">
        <w:lastRenderedPageBreak/>
        <w:t>whether there is treatment effect variation</w:t>
      </w:r>
      <w:r w:rsidR="005A4C05" w:rsidRPr="00DE49A7">
        <w:t xml:space="preserve"> </w:t>
      </w:r>
      <w:r w:rsidR="006A0577" w:rsidRPr="00DE49A7">
        <w:t>a</w:t>
      </w:r>
      <w:r w:rsidRPr="00DE49A7">
        <w:t>ssociated with perioperative pembrolizumab</w:t>
      </w:r>
      <w:r w:rsidR="006A0577" w:rsidRPr="00DE49A7">
        <w:t xml:space="preserve"> </w:t>
      </w:r>
      <w:r w:rsidRPr="00DE49A7">
        <w:t xml:space="preserve">across CPS subgroups </w:t>
      </w:r>
      <w:r w:rsidR="005A4C05" w:rsidRPr="00DE49A7">
        <w:t xml:space="preserve">could not </w:t>
      </w:r>
      <w:r w:rsidRPr="00DE49A7">
        <w:t>be determined.</w:t>
      </w:r>
    </w:p>
    <w:p w14:paraId="21EB751F" w14:textId="7C3D2C3D" w:rsidR="005F3809" w:rsidRPr="00D74203" w:rsidRDefault="005F3809" w:rsidP="002F1E35">
      <w:pPr>
        <w:pStyle w:val="3-BodyText"/>
        <w:spacing w:after="120"/>
      </w:pPr>
      <w:r w:rsidRPr="00D74203">
        <w:fldChar w:fldCharType="begin"/>
      </w:r>
      <w:r w:rsidRPr="00D74203">
        <w:instrText xml:space="preserve"> REF _Ref205543896 \h </w:instrText>
      </w:r>
      <w:r w:rsidRPr="00D74203">
        <w:fldChar w:fldCharType="separate"/>
      </w:r>
      <w:r w:rsidR="0084087D" w:rsidRPr="00D74203">
        <w:t xml:space="preserve">Table </w:t>
      </w:r>
      <w:r w:rsidR="0084087D">
        <w:rPr>
          <w:noProof/>
        </w:rPr>
        <w:t>5</w:t>
      </w:r>
      <w:r w:rsidRPr="00D74203">
        <w:fldChar w:fldCharType="end"/>
      </w:r>
      <w:r w:rsidRPr="00D74203">
        <w:t xml:space="preserve"> summarise</w:t>
      </w:r>
      <w:r w:rsidR="0092725B">
        <w:t>s</w:t>
      </w:r>
      <w:r w:rsidR="008E6231">
        <w:t xml:space="preserve"> the</w:t>
      </w:r>
      <w:r w:rsidRPr="00D74203">
        <w:t xml:space="preserve"> OS results in the ITT population of KN689, with </w:t>
      </w:r>
      <w:r w:rsidR="00872227">
        <w:t xml:space="preserve">the </w:t>
      </w:r>
      <w:r w:rsidRPr="00D74203">
        <w:t xml:space="preserve">corresponding KM plot presented in </w:t>
      </w:r>
      <w:r w:rsidRPr="00D74203">
        <w:fldChar w:fldCharType="begin"/>
      </w:r>
      <w:r w:rsidRPr="00D74203">
        <w:instrText xml:space="preserve"> REF _Ref205543858 \h </w:instrText>
      </w:r>
      <w:r w:rsidRPr="00D74203">
        <w:fldChar w:fldCharType="separate"/>
      </w:r>
      <w:r w:rsidR="0084087D" w:rsidRPr="00D74203">
        <w:t xml:space="preserve">Figure </w:t>
      </w:r>
      <w:r w:rsidR="0084087D">
        <w:rPr>
          <w:noProof/>
        </w:rPr>
        <w:t>2</w:t>
      </w:r>
      <w:r w:rsidRPr="00D74203">
        <w:fldChar w:fldCharType="end"/>
      </w:r>
      <w:r w:rsidRPr="00D74203">
        <w:t>.</w:t>
      </w:r>
    </w:p>
    <w:p w14:paraId="60F8FBE7" w14:textId="32A5FFBA" w:rsidR="005F3809" w:rsidRPr="00D74203" w:rsidRDefault="005F3809" w:rsidP="00631C9F">
      <w:pPr>
        <w:pStyle w:val="Caption"/>
      </w:pPr>
      <w:bookmarkStart w:id="72" w:name="_Ref205543896"/>
      <w:r w:rsidRPr="00D74203">
        <w:t xml:space="preserve">Table </w:t>
      </w:r>
      <w:r w:rsidR="00972E86">
        <w:fldChar w:fldCharType="begin"/>
      </w:r>
      <w:r w:rsidR="00972E86">
        <w:instrText xml:space="preserve"> SEQ Table \* ARABIC </w:instrText>
      </w:r>
      <w:r w:rsidR="00972E86">
        <w:fldChar w:fldCharType="separate"/>
      </w:r>
      <w:r w:rsidR="0084087D">
        <w:rPr>
          <w:noProof/>
        </w:rPr>
        <w:t>5</w:t>
      </w:r>
      <w:r w:rsidR="00972E86">
        <w:rPr>
          <w:noProof/>
        </w:rPr>
        <w:fldChar w:fldCharType="end"/>
      </w:r>
      <w:bookmarkEnd w:id="72"/>
      <w:r w:rsidRPr="00D74203">
        <w:t>: Results of OS in the KN689 trial (ITT population)</w:t>
      </w:r>
    </w:p>
    <w:tbl>
      <w:tblPr>
        <w:tblStyle w:val="TableGrid"/>
        <w:tblW w:w="0" w:type="auto"/>
        <w:jc w:val="center"/>
        <w:tblLook w:val="04A0" w:firstRow="1" w:lastRow="0" w:firstColumn="1" w:lastColumn="0" w:noHBand="0" w:noVBand="1"/>
        <w:tblCaption w:val="Table 5: Results of OS in the KN689 trial (ITT population)"/>
      </w:tblPr>
      <w:tblGrid>
        <w:gridCol w:w="3681"/>
        <w:gridCol w:w="2835"/>
        <w:gridCol w:w="2501"/>
      </w:tblGrid>
      <w:tr w:rsidR="005F3809" w:rsidRPr="00D74203" w14:paraId="07B8BD44" w14:textId="77777777">
        <w:trPr>
          <w:jc w:val="center"/>
        </w:trPr>
        <w:tc>
          <w:tcPr>
            <w:tcW w:w="3681" w:type="dxa"/>
            <w:tcBorders>
              <w:bottom w:val="single" w:sz="4" w:space="0" w:color="auto"/>
            </w:tcBorders>
          </w:tcPr>
          <w:p w14:paraId="4AE4BE5C" w14:textId="77777777" w:rsidR="005F3809" w:rsidRPr="00D74203" w:rsidRDefault="005F3809" w:rsidP="00631C9F">
            <w:pPr>
              <w:pStyle w:val="TableText1"/>
              <w:keepNext/>
              <w:keepLines/>
              <w:spacing w:after="0"/>
            </w:pPr>
          </w:p>
        </w:tc>
        <w:tc>
          <w:tcPr>
            <w:tcW w:w="2835" w:type="dxa"/>
            <w:tcBorders>
              <w:bottom w:val="single" w:sz="4" w:space="0" w:color="auto"/>
            </w:tcBorders>
          </w:tcPr>
          <w:p w14:paraId="4467A969" w14:textId="68632973" w:rsidR="005F3809" w:rsidRPr="00D74203" w:rsidRDefault="00517555" w:rsidP="00631C9F">
            <w:pPr>
              <w:pStyle w:val="TableText1"/>
              <w:keepNext/>
              <w:keepLines/>
              <w:spacing w:after="0"/>
              <w:jc w:val="center"/>
              <w:rPr>
                <w:b/>
                <w:bCs/>
              </w:rPr>
            </w:pPr>
            <w:proofErr w:type="spellStart"/>
            <w:r>
              <w:rPr>
                <w:b/>
                <w:bCs/>
              </w:rPr>
              <w:t>PEM+SoC</w:t>
            </w:r>
            <w:proofErr w:type="spellEnd"/>
            <w:r w:rsidR="005F3809" w:rsidRPr="00D74203">
              <w:rPr>
                <w:b/>
                <w:bCs/>
              </w:rPr>
              <w:br/>
              <w:t>N=363</w:t>
            </w:r>
          </w:p>
        </w:tc>
        <w:tc>
          <w:tcPr>
            <w:tcW w:w="2501" w:type="dxa"/>
            <w:tcBorders>
              <w:bottom w:val="single" w:sz="4" w:space="0" w:color="auto"/>
            </w:tcBorders>
          </w:tcPr>
          <w:p w14:paraId="57DB00C0" w14:textId="77777777" w:rsidR="005F3809" w:rsidRPr="00D74203" w:rsidRDefault="005F3809" w:rsidP="00631C9F">
            <w:pPr>
              <w:pStyle w:val="TableText1"/>
              <w:keepNext/>
              <w:keepLines/>
              <w:spacing w:after="0"/>
              <w:jc w:val="center"/>
              <w:rPr>
                <w:b/>
                <w:bCs/>
              </w:rPr>
            </w:pPr>
            <w:r w:rsidRPr="00D74203">
              <w:rPr>
                <w:b/>
                <w:bCs/>
              </w:rPr>
              <w:t>SoC</w:t>
            </w:r>
            <w:r w:rsidRPr="00D74203">
              <w:rPr>
                <w:b/>
                <w:bCs/>
              </w:rPr>
              <w:br/>
              <w:t>N=351</w:t>
            </w:r>
          </w:p>
        </w:tc>
      </w:tr>
      <w:tr w:rsidR="005F3809" w:rsidRPr="00D74203" w14:paraId="5D718019" w14:textId="77777777">
        <w:trPr>
          <w:jc w:val="center"/>
        </w:trPr>
        <w:tc>
          <w:tcPr>
            <w:tcW w:w="3681" w:type="dxa"/>
            <w:tcBorders>
              <w:bottom w:val="nil"/>
            </w:tcBorders>
          </w:tcPr>
          <w:p w14:paraId="55418250" w14:textId="77777777" w:rsidR="005F3809" w:rsidRPr="00D74203" w:rsidRDefault="005F3809" w:rsidP="00631C9F">
            <w:pPr>
              <w:pStyle w:val="TableText1"/>
              <w:keepNext/>
              <w:keepLines/>
              <w:spacing w:after="0"/>
            </w:pPr>
            <w:r w:rsidRPr="00D74203">
              <w:t>Number of events (%)</w:t>
            </w:r>
          </w:p>
        </w:tc>
        <w:tc>
          <w:tcPr>
            <w:tcW w:w="2835" w:type="dxa"/>
            <w:tcBorders>
              <w:bottom w:val="nil"/>
            </w:tcBorders>
          </w:tcPr>
          <w:p w14:paraId="4D312222" w14:textId="77777777" w:rsidR="005F3809" w:rsidRPr="00D74203" w:rsidRDefault="005F3809" w:rsidP="00631C9F">
            <w:pPr>
              <w:pStyle w:val="TableText1"/>
              <w:keepNext/>
              <w:keepLines/>
              <w:spacing w:after="0"/>
              <w:jc w:val="center"/>
            </w:pPr>
            <w:r w:rsidRPr="00D74203">
              <w:t>113 (31.1)</w:t>
            </w:r>
          </w:p>
        </w:tc>
        <w:tc>
          <w:tcPr>
            <w:tcW w:w="2501" w:type="dxa"/>
            <w:tcBorders>
              <w:bottom w:val="nil"/>
            </w:tcBorders>
          </w:tcPr>
          <w:p w14:paraId="70F761D8" w14:textId="77777777" w:rsidR="005F3809" w:rsidRPr="00D74203" w:rsidRDefault="005F3809" w:rsidP="00631C9F">
            <w:pPr>
              <w:pStyle w:val="TableText1"/>
              <w:keepNext/>
              <w:keepLines/>
              <w:spacing w:after="0"/>
              <w:jc w:val="center"/>
            </w:pPr>
            <w:r w:rsidRPr="00D74203">
              <w:t>131 (37.3)</w:t>
            </w:r>
          </w:p>
        </w:tc>
      </w:tr>
      <w:tr w:rsidR="005F3809" w:rsidRPr="00D74203" w14:paraId="074D5289" w14:textId="77777777">
        <w:trPr>
          <w:jc w:val="center"/>
        </w:trPr>
        <w:tc>
          <w:tcPr>
            <w:tcW w:w="3681" w:type="dxa"/>
            <w:tcBorders>
              <w:top w:val="single" w:sz="4" w:space="0" w:color="auto"/>
              <w:bottom w:val="nil"/>
            </w:tcBorders>
          </w:tcPr>
          <w:p w14:paraId="664C16D2" w14:textId="77777777" w:rsidR="005F3809" w:rsidRPr="00D74203" w:rsidRDefault="005F3809" w:rsidP="00631C9F">
            <w:pPr>
              <w:pStyle w:val="TableText1"/>
              <w:keepNext/>
              <w:keepLines/>
              <w:spacing w:after="0"/>
              <w:rPr>
                <w:vertAlign w:val="superscript"/>
              </w:rPr>
            </w:pPr>
            <w:r w:rsidRPr="00D74203">
              <w:t>Kaplan-Meier estimates (months)</w:t>
            </w:r>
            <w:r w:rsidRPr="00D74203">
              <w:rPr>
                <w:vertAlign w:val="superscript"/>
              </w:rPr>
              <w:t>a</w:t>
            </w:r>
          </w:p>
        </w:tc>
        <w:tc>
          <w:tcPr>
            <w:tcW w:w="2835" w:type="dxa"/>
            <w:tcBorders>
              <w:top w:val="single" w:sz="4" w:space="0" w:color="auto"/>
              <w:bottom w:val="nil"/>
              <w:right w:val="single" w:sz="4" w:space="0" w:color="auto"/>
            </w:tcBorders>
          </w:tcPr>
          <w:p w14:paraId="10146B08" w14:textId="77777777" w:rsidR="005F3809" w:rsidRPr="00D74203" w:rsidRDefault="005F3809" w:rsidP="00631C9F">
            <w:pPr>
              <w:pStyle w:val="TableText1"/>
              <w:keepNext/>
              <w:keepLines/>
              <w:spacing w:after="0"/>
              <w:jc w:val="center"/>
            </w:pPr>
          </w:p>
        </w:tc>
        <w:tc>
          <w:tcPr>
            <w:tcW w:w="2501" w:type="dxa"/>
            <w:tcBorders>
              <w:top w:val="single" w:sz="4" w:space="0" w:color="auto"/>
              <w:left w:val="single" w:sz="4" w:space="0" w:color="auto"/>
              <w:bottom w:val="nil"/>
            </w:tcBorders>
          </w:tcPr>
          <w:p w14:paraId="7A5AC53B" w14:textId="77777777" w:rsidR="005F3809" w:rsidRPr="00D74203" w:rsidRDefault="005F3809" w:rsidP="00631C9F">
            <w:pPr>
              <w:pStyle w:val="TableText1"/>
              <w:keepNext/>
              <w:keepLines/>
              <w:spacing w:after="0"/>
              <w:jc w:val="center"/>
            </w:pPr>
          </w:p>
        </w:tc>
      </w:tr>
      <w:tr w:rsidR="005F3809" w:rsidRPr="00D74203" w14:paraId="462822EB" w14:textId="77777777">
        <w:trPr>
          <w:jc w:val="center"/>
        </w:trPr>
        <w:tc>
          <w:tcPr>
            <w:tcW w:w="3681" w:type="dxa"/>
            <w:tcBorders>
              <w:top w:val="nil"/>
            </w:tcBorders>
          </w:tcPr>
          <w:p w14:paraId="3C640D0A" w14:textId="77777777" w:rsidR="005F3809" w:rsidRPr="00D74203" w:rsidRDefault="005F3809" w:rsidP="00631C9F">
            <w:pPr>
              <w:pStyle w:val="TableText1"/>
              <w:keepNext/>
              <w:keepLines/>
              <w:spacing w:after="0"/>
              <w:ind w:left="308"/>
            </w:pPr>
            <w:r w:rsidRPr="00D74203">
              <w:t>Median (95% CI)</w:t>
            </w:r>
          </w:p>
        </w:tc>
        <w:tc>
          <w:tcPr>
            <w:tcW w:w="2835" w:type="dxa"/>
            <w:tcBorders>
              <w:top w:val="nil"/>
            </w:tcBorders>
          </w:tcPr>
          <w:p w14:paraId="6555061B" w14:textId="77777777" w:rsidR="005F3809" w:rsidRPr="00D74203" w:rsidRDefault="005F3809" w:rsidP="00631C9F">
            <w:pPr>
              <w:pStyle w:val="TableText1"/>
              <w:keepNext/>
              <w:keepLines/>
              <w:spacing w:after="0"/>
              <w:jc w:val="center"/>
            </w:pPr>
            <w:r w:rsidRPr="00D74203">
              <w:t>NR (61.9, NR)</w:t>
            </w:r>
          </w:p>
        </w:tc>
        <w:tc>
          <w:tcPr>
            <w:tcW w:w="2501" w:type="dxa"/>
            <w:tcBorders>
              <w:top w:val="nil"/>
            </w:tcBorders>
          </w:tcPr>
          <w:p w14:paraId="09D832F9" w14:textId="77777777" w:rsidR="005F3809" w:rsidRPr="00D74203" w:rsidRDefault="005F3809" w:rsidP="00631C9F">
            <w:pPr>
              <w:pStyle w:val="TableText1"/>
              <w:keepNext/>
              <w:keepLines/>
              <w:spacing w:after="0"/>
              <w:jc w:val="center"/>
            </w:pPr>
            <w:r w:rsidRPr="00D74203">
              <w:t>61.8 (50.1, NR)</w:t>
            </w:r>
          </w:p>
        </w:tc>
      </w:tr>
      <w:tr w:rsidR="005F3809" w:rsidRPr="00D74203" w14:paraId="4403CB76" w14:textId="77777777">
        <w:trPr>
          <w:jc w:val="center"/>
        </w:trPr>
        <w:tc>
          <w:tcPr>
            <w:tcW w:w="3681" w:type="dxa"/>
          </w:tcPr>
          <w:p w14:paraId="0CD06E83" w14:textId="77777777" w:rsidR="005F3809" w:rsidRPr="00D74203" w:rsidRDefault="005F3809" w:rsidP="00631C9F">
            <w:pPr>
              <w:pStyle w:val="TableText1"/>
              <w:keepNext/>
              <w:keepLines/>
              <w:spacing w:after="0"/>
              <w:rPr>
                <w:vertAlign w:val="superscript"/>
              </w:rPr>
            </w:pPr>
            <w:r w:rsidRPr="00D74203">
              <w:t>HR (95% CI)</w:t>
            </w:r>
            <w:r w:rsidRPr="00D74203">
              <w:rPr>
                <w:vertAlign w:val="superscript"/>
              </w:rPr>
              <w:t>b</w:t>
            </w:r>
          </w:p>
        </w:tc>
        <w:tc>
          <w:tcPr>
            <w:tcW w:w="5336" w:type="dxa"/>
            <w:gridSpan w:val="2"/>
          </w:tcPr>
          <w:p w14:paraId="332C429A" w14:textId="77777777" w:rsidR="005F3809" w:rsidRPr="00D74203" w:rsidRDefault="005F3809" w:rsidP="00631C9F">
            <w:pPr>
              <w:pStyle w:val="TableText1"/>
              <w:keepNext/>
              <w:keepLines/>
              <w:spacing w:after="0"/>
              <w:jc w:val="center"/>
            </w:pPr>
            <w:r w:rsidRPr="00D74203">
              <w:t>0.76 (0.59, 0.98)</w:t>
            </w:r>
          </w:p>
        </w:tc>
      </w:tr>
      <w:tr w:rsidR="005F3809" w:rsidRPr="00D74203" w14:paraId="4F525DE1" w14:textId="77777777">
        <w:trPr>
          <w:jc w:val="center"/>
        </w:trPr>
        <w:tc>
          <w:tcPr>
            <w:tcW w:w="3681" w:type="dxa"/>
            <w:tcBorders>
              <w:bottom w:val="single" w:sz="4" w:space="0" w:color="auto"/>
            </w:tcBorders>
          </w:tcPr>
          <w:p w14:paraId="60A14C93" w14:textId="77777777" w:rsidR="005F3809" w:rsidRPr="00D74203" w:rsidRDefault="005F3809" w:rsidP="00631C9F">
            <w:pPr>
              <w:pStyle w:val="TableText1"/>
              <w:keepNext/>
              <w:keepLines/>
              <w:spacing w:after="0"/>
              <w:rPr>
                <w:vertAlign w:val="superscript"/>
              </w:rPr>
            </w:pPr>
            <w:r w:rsidRPr="00D74203">
              <w:t>Nominal p-</w:t>
            </w:r>
            <w:proofErr w:type="spellStart"/>
            <w:r w:rsidRPr="00D74203">
              <w:t>value</w:t>
            </w:r>
            <w:r w:rsidRPr="00D74203">
              <w:rPr>
                <w:vertAlign w:val="superscript"/>
              </w:rPr>
              <w:t>c</w:t>
            </w:r>
            <w:proofErr w:type="spellEnd"/>
          </w:p>
        </w:tc>
        <w:tc>
          <w:tcPr>
            <w:tcW w:w="5336" w:type="dxa"/>
            <w:gridSpan w:val="2"/>
            <w:tcBorders>
              <w:bottom w:val="single" w:sz="4" w:space="0" w:color="auto"/>
            </w:tcBorders>
          </w:tcPr>
          <w:p w14:paraId="27039405" w14:textId="77777777" w:rsidR="005F3809" w:rsidRPr="00D74203" w:rsidRDefault="005F3809" w:rsidP="00631C9F">
            <w:pPr>
              <w:pStyle w:val="TableText1"/>
              <w:keepNext/>
              <w:keepLines/>
              <w:spacing w:after="0"/>
              <w:jc w:val="center"/>
            </w:pPr>
            <w:r w:rsidRPr="00D74203">
              <w:t>0.01529</w:t>
            </w:r>
          </w:p>
        </w:tc>
      </w:tr>
      <w:tr w:rsidR="005F3809" w:rsidRPr="00D74203" w14:paraId="6323E2F6" w14:textId="77777777">
        <w:trPr>
          <w:jc w:val="center"/>
        </w:trPr>
        <w:tc>
          <w:tcPr>
            <w:tcW w:w="3681" w:type="dxa"/>
            <w:tcBorders>
              <w:bottom w:val="nil"/>
            </w:tcBorders>
          </w:tcPr>
          <w:p w14:paraId="25E86751" w14:textId="77777777" w:rsidR="005F3809" w:rsidRPr="00D74203" w:rsidRDefault="005F3809" w:rsidP="00631C9F">
            <w:pPr>
              <w:pStyle w:val="TableText1"/>
              <w:keepNext/>
              <w:keepLines/>
              <w:spacing w:after="0"/>
            </w:pPr>
            <w:r w:rsidRPr="00D74203">
              <w:t>OS rate, % (95% CI)</w:t>
            </w:r>
          </w:p>
        </w:tc>
        <w:tc>
          <w:tcPr>
            <w:tcW w:w="2835" w:type="dxa"/>
            <w:tcBorders>
              <w:bottom w:val="nil"/>
            </w:tcBorders>
          </w:tcPr>
          <w:p w14:paraId="5FD05B73" w14:textId="77777777" w:rsidR="005F3809" w:rsidRPr="00D74203" w:rsidRDefault="005F3809" w:rsidP="00631C9F">
            <w:pPr>
              <w:pStyle w:val="TableText1"/>
              <w:keepNext/>
              <w:keepLines/>
              <w:spacing w:after="0"/>
              <w:jc w:val="center"/>
            </w:pPr>
          </w:p>
        </w:tc>
        <w:tc>
          <w:tcPr>
            <w:tcW w:w="2501" w:type="dxa"/>
            <w:tcBorders>
              <w:bottom w:val="nil"/>
            </w:tcBorders>
          </w:tcPr>
          <w:p w14:paraId="5751407D" w14:textId="77777777" w:rsidR="005F3809" w:rsidRPr="00D74203" w:rsidRDefault="005F3809" w:rsidP="00631C9F">
            <w:pPr>
              <w:pStyle w:val="TableText1"/>
              <w:keepNext/>
              <w:keepLines/>
              <w:spacing w:after="0"/>
              <w:jc w:val="center"/>
            </w:pPr>
          </w:p>
        </w:tc>
      </w:tr>
      <w:tr w:rsidR="005F3809" w:rsidRPr="00D74203" w14:paraId="005C1C7A" w14:textId="77777777">
        <w:trPr>
          <w:jc w:val="center"/>
        </w:trPr>
        <w:tc>
          <w:tcPr>
            <w:tcW w:w="3681" w:type="dxa"/>
            <w:tcBorders>
              <w:top w:val="nil"/>
              <w:bottom w:val="nil"/>
            </w:tcBorders>
          </w:tcPr>
          <w:p w14:paraId="72C6D241" w14:textId="77777777" w:rsidR="005F3809" w:rsidRPr="00D74203" w:rsidRDefault="005F3809" w:rsidP="00631C9F">
            <w:pPr>
              <w:pStyle w:val="TableText1"/>
              <w:keepNext/>
              <w:keepLines/>
              <w:spacing w:after="0"/>
              <w:ind w:left="308"/>
              <w:rPr>
                <w:b/>
              </w:rPr>
            </w:pPr>
            <w:r w:rsidRPr="00D74203">
              <w:t xml:space="preserve">At month 12 </w:t>
            </w:r>
          </w:p>
        </w:tc>
        <w:tc>
          <w:tcPr>
            <w:tcW w:w="2835" w:type="dxa"/>
            <w:tcBorders>
              <w:top w:val="nil"/>
              <w:bottom w:val="nil"/>
            </w:tcBorders>
          </w:tcPr>
          <w:p w14:paraId="507CEE1D" w14:textId="77777777" w:rsidR="005F3809" w:rsidRPr="00D74203" w:rsidRDefault="005F3809" w:rsidP="00631C9F">
            <w:pPr>
              <w:pStyle w:val="TableText1"/>
              <w:keepNext/>
              <w:keepLines/>
              <w:spacing w:after="0"/>
              <w:jc w:val="center"/>
            </w:pPr>
            <w:r w:rsidRPr="00D74203">
              <w:t>86.7 (82.7, 89.8)</w:t>
            </w:r>
          </w:p>
        </w:tc>
        <w:tc>
          <w:tcPr>
            <w:tcW w:w="2501" w:type="dxa"/>
            <w:tcBorders>
              <w:top w:val="nil"/>
              <w:bottom w:val="nil"/>
            </w:tcBorders>
          </w:tcPr>
          <w:p w14:paraId="63C7BAF4" w14:textId="77777777" w:rsidR="005F3809" w:rsidRPr="00D74203" w:rsidRDefault="005F3809" w:rsidP="00631C9F">
            <w:pPr>
              <w:pStyle w:val="TableText1"/>
              <w:keepNext/>
              <w:keepLines/>
              <w:spacing w:after="0"/>
              <w:jc w:val="center"/>
            </w:pPr>
            <w:r w:rsidRPr="00D74203">
              <w:t>77.9 (73.2, 81.9)</w:t>
            </w:r>
          </w:p>
        </w:tc>
      </w:tr>
      <w:tr w:rsidR="005F3809" w:rsidRPr="00D74203" w14:paraId="53520DD8" w14:textId="77777777">
        <w:trPr>
          <w:jc w:val="center"/>
        </w:trPr>
        <w:tc>
          <w:tcPr>
            <w:tcW w:w="3681" w:type="dxa"/>
            <w:tcBorders>
              <w:top w:val="nil"/>
              <w:bottom w:val="nil"/>
            </w:tcBorders>
          </w:tcPr>
          <w:p w14:paraId="68BD3522" w14:textId="77777777" w:rsidR="005F3809" w:rsidRPr="00D74203" w:rsidRDefault="005F3809" w:rsidP="00631C9F">
            <w:pPr>
              <w:pStyle w:val="TableText1"/>
              <w:keepNext/>
              <w:keepLines/>
              <w:spacing w:after="0"/>
              <w:ind w:left="308"/>
            </w:pPr>
            <w:r w:rsidRPr="00D74203">
              <w:t xml:space="preserve">At month 24 </w:t>
            </w:r>
          </w:p>
        </w:tc>
        <w:tc>
          <w:tcPr>
            <w:tcW w:w="2835" w:type="dxa"/>
            <w:tcBorders>
              <w:top w:val="nil"/>
              <w:bottom w:val="nil"/>
            </w:tcBorders>
          </w:tcPr>
          <w:p w14:paraId="3DAC37C3" w14:textId="77777777" w:rsidR="005F3809" w:rsidRPr="00D74203" w:rsidRDefault="005F3809" w:rsidP="00631C9F">
            <w:pPr>
              <w:pStyle w:val="TableText1"/>
              <w:keepNext/>
              <w:keepLines/>
              <w:spacing w:after="0"/>
              <w:jc w:val="center"/>
            </w:pPr>
            <w:r w:rsidRPr="00D74203">
              <w:t>75.9 (70.9, 80.1)</w:t>
            </w:r>
          </w:p>
        </w:tc>
        <w:tc>
          <w:tcPr>
            <w:tcW w:w="2501" w:type="dxa"/>
            <w:tcBorders>
              <w:top w:val="nil"/>
              <w:bottom w:val="nil"/>
            </w:tcBorders>
          </w:tcPr>
          <w:p w14:paraId="12E416F9" w14:textId="77777777" w:rsidR="005F3809" w:rsidRPr="00D74203" w:rsidRDefault="005F3809" w:rsidP="00631C9F">
            <w:pPr>
              <w:pStyle w:val="TableText1"/>
              <w:keepNext/>
              <w:keepLines/>
              <w:spacing w:after="0"/>
              <w:jc w:val="center"/>
            </w:pPr>
            <w:r w:rsidRPr="00D74203">
              <w:t>67.9 (62.5, 72.7)</w:t>
            </w:r>
          </w:p>
        </w:tc>
      </w:tr>
      <w:tr w:rsidR="005F3809" w:rsidRPr="00D74203" w14:paraId="6054CF7D" w14:textId="77777777">
        <w:trPr>
          <w:jc w:val="center"/>
        </w:trPr>
        <w:tc>
          <w:tcPr>
            <w:tcW w:w="3681" w:type="dxa"/>
            <w:tcBorders>
              <w:top w:val="nil"/>
              <w:bottom w:val="nil"/>
            </w:tcBorders>
          </w:tcPr>
          <w:p w14:paraId="0DEA0AF0" w14:textId="77777777" w:rsidR="005F3809" w:rsidRPr="00D74203" w:rsidRDefault="005F3809" w:rsidP="00631C9F">
            <w:pPr>
              <w:pStyle w:val="TableText1"/>
              <w:keepNext/>
              <w:keepLines/>
              <w:spacing w:after="0"/>
              <w:ind w:left="308"/>
            </w:pPr>
            <w:r w:rsidRPr="00D74203">
              <w:t xml:space="preserve">At month 36 </w:t>
            </w:r>
          </w:p>
        </w:tc>
        <w:tc>
          <w:tcPr>
            <w:tcW w:w="2835" w:type="dxa"/>
            <w:tcBorders>
              <w:top w:val="nil"/>
              <w:bottom w:val="nil"/>
            </w:tcBorders>
          </w:tcPr>
          <w:p w14:paraId="66B24924" w14:textId="77777777" w:rsidR="005F3809" w:rsidRPr="00D74203" w:rsidRDefault="005F3809" w:rsidP="00631C9F">
            <w:pPr>
              <w:pStyle w:val="TableText1"/>
              <w:keepNext/>
              <w:keepLines/>
              <w:spacing w:after="0"/>
              <w:jc w:val="center"/>
            </w:pPr>
            <w:r w:rsidRPr="00D74203">
              <w:t>68.4 (62.9, 73.3)</w:t>
            </w:r>
          </w:p>
        </w:tc>
        <w:tc>
          <w:tcPr>
            <w:tcW w:w="2501" w:type="dxa"/>
            <w:tcBorders>
              <w:top w:val="nil"/>
              <w:bottom w:val="nil"/>
            </w:tcBorders>
          </w:tcPr>
          <w:p w14:paraId="60ACCD82" w14:textId="77777777" w:rsidR="005F3809" w:rsidRPr="00D74203" w:rsidRDefault="005F3809" w:rsidP="00631C9F">
            <w:pPr>
              <w:pStyle w:val="TableText1"/>
              <w:keepNext/>
              <w:keepLines/>
              <w:spacing w:after="0"/>
              <w:jc w:val="center"/>
            </w:pPr>
            <w:r w:rsidRPr="00D74203">
              <w:t>61.1 (55.1, 66.5)</w:t>
            </w:r>
          </w:p>
        </w:tc>
      </w:tr>
      <w:tr w:rsidR="005F3809" w:rsidRPr="00D74203" w14:paraId="45095D96" w14:textId="77777777">
        <w:trPr>
          <w:jc w:val="center"/>
        </w:trPr>
        <w:tc>
          <w:tcPr>
            <w:tcW w:w="3681" w:type="dxa"/>
            <w:tcBorders>
              <w:top w:val="nil"/>
              <w:bottom w:val="nil"/>
            </w:tcBorders>
          </w:tcPr>
          <w:p w14:paraId="30A8D164" w14:textId="77777777" w:rsidR="005F3809" w:rsidRPr="00D74203" w:rsidRDefault="005F3809" w:rsidP="00631C9F">
            <w:pPr>
              <w:pStyle w:val="TableText1"/>
              <w:keepNext/>
              <w:keepLines/>
              <w:spacing w:after="0"/>
              <w:ind w:left="308"/>
            </w:pPr>
            <w:r w:rsidRPr="00D74203">
              <w:t xml:space="preserve">At month 48 </w:t>
            </w:r>
          </w:p>
        </w:tc>
        <w:tc>
          <w:tcPr>
            <w:tcW w:w="2835" w:type="dxa"/>
            <w:tcBorders>
              <w:top w:val="nil"/>
              <w:bottom w:val="nil"/>
            </w:tcBorders>
          </w:tcPr>
          <w:p w14:paraId="5775C125" w14:textId="77777777" w:rsidR="005F3809" w:rsidRPr="00D74203" w:rsidRDefault="005F3809" w:rsidP="00631C9F">
            <w:pPr>
              <w:pStyle w:val="TableText1"/>
              <w:keepNext/>
              <w:keepLines/>
              <w:spacing w:after="0"/>
              <w:jc w:val="center"/>
            </w:pPr>
            <w:r w:rsidRPr="00D74203">
              <w:t>63.6 (57.4, 69.1)</w:t>
            </w:r>
          </w:p>
        </w:tc>
        <w:tc>
          <w:tcPr>
            <w:tcW w:w="2501" w:type="dxa"/>
            <w:tcBorders>
              <w:top w:val="nil"/>
              <w:bottom w:val="nil"/>
            </w:tcBorders>
          </w:tcPr>
          <w:p w14:paraId="5B7F7DC9" w14:textId="77777777" w:rsidR="005F3809" w:rsidRPr="00D74203" w:rsidRDefault="005F3809" w:rsidP="00631C9F">
            <w:pPr>
              <w:pStyle w:val="TableText1"/>
              <w:keepNext/>
              <w:keepLines/>
              <w:spacing w:after="0"/>
              <w:jc w:val="center"/>
            </w:pPr>
            <w:r w:rsidRPr="00D74203">
              <w:t>58.0 (51.6, 63.9)</w:t>
            </w:r>
          </w:p>
        </w:tc>
      </w:tr>
      <w:tr w:rsidR="005F3809" w:rsidRPr="00D74203" w14:paraId="130CC347" w14:textId="77777777">
        <w:trPr>
          <w:jc w:val="center"/>
        </w:trPr>
        <w:tc>
          <w:tcPr>
            <w:tcW w:w="3681" w:type="dxa"/>
            <w:tcBorders>
              <w:top w:val="nil"/>
            </w:tcBorders>
          </w:tcPr>
          <w:p w14:paraId="13582DF8" w14:textId="77777777" w:rsidR="005F3809" w:rsidRPr="00D74203" w:rsidRDefault="005F3809" w:rsidP="00631C9F">
            <w:pPr>
              <w:pStyle w:val="TableText1"/>
              <w:keepNext/>
              <w:keepLines/>
              <w:spacing w:after="0"/>
              <w:ind w:left="308"/>
            </w:pPr>
            <w:r w:rsidRPr="00D74203">
              <w:t>At month 60</w:t>
            </w:r>
          </w:p>
        </w:tc>
        <w:tc>
          <w:tcPr>
            <w:tcW w:w="2835" w:type="dxa"/>
            <w:tcBorders>
              <w:top w:val="nil"/>
            </w:tcBorders>
          </w:tcPr>
          <w:p w14:paraId="38E83AD7" w14:textId="77777777" w:rsidR="005F3809" w:rsidRPr="00D74203" w:rsidRDefault="005F3809" w:rsidP="00631C9F">
            <w:pPr>
              <w:pStyle w:val="TableText1"/>
              <w:keepNext/>
              <w:keepLines/>
              <w:spacing w:after="0"/>
              <w:jc w:val="center"/>
            </w:pPr>
            <w:r w:rsidRPr="00D74203">
              <w:t>59.8 (52.4, 66.4)</w:t>
            </w:r>
          </w:p>
        </w:tc>
        <w:tc>
          <w:tcPr>
            <w:tcW w:w="2501" w:type="dxa"/>
            <w:tcBorders>
              <w:top w:val="nil"/>
            </w:tcBorders>
          </w:tcPr>
          <w:p w14:paraId="40262957" w14:textId="77777777" w:rsidR="005F3809" w:rsidRPr="00D74203" w:rsidRDefault="005F3809" w:rsidP="00631C9F">
            <w:pPr>
              <w:pStyle w:val="TableText1"/>
              <w:keepNext/>
              <w:keepLines/>
              <w:spacing w:after="0"/>
              <w:jc w:val="center"/>
            </w:pPr>
            <w:r w:rsidRPr="00D74203">
              <w:t>52.9 (45.2, 60.0)</w:t>
            </w:r>
          </w:p>
        </w:tc>
      </w:tr>
    </w:tbl>
    <w:p w14:paraId="6F057651" w14:textId="77777777" w:rsidR="00D014AF" w:rsidRPr="00A863EB" w:rsidRDefault="00D466E0" w:rsidP="00677261">
      <w:pPr>
        <w:pStyle w:val="TableFigureFooter"/>
        <w:rPr>
          <w:i w:val="0"/>
          <w:iCs w:val="0"/>
        </w:rPr>
      </w:pPr>
      <w:r w:rsidRPr="00A863EB">
        <w:rPr>
          <w:i w:val="0"/>
          <w:iCs w:val="0"/>
        </w:rPr>
        <w:t>Source: Table 2.5-3, p74 of the submission</w:t>
      </w:r>
    </w:p>
    <w:p w14:paraId="6BAC3802" w14:textId="210073CB" w:rsidR="005F3809" w:rsidRPr="00A863EB" w:rsidRDefault="00966CF1" w:rsidP="00677261">
      <w:pPr>
        <w:pStyle w:val="TableFigureFooter"/>
        <w:rPr>
          <w:i w:val="0"/>
          <w:iCs w:val="0"/>
        </w:rPr>
      </w:pPr>
      <w:r w:rsidRPr="00A863EB">
        <w:rPr>
          <w:i w:val="0"/>
          <w:iCs w:val="0"/>
        </w:rPr>
        <w:t xml:space="preserve">CI = confidence interval; </w:t>
      </w:r>
      <w:r w:rsidR="005F3809" w:rsidRPr="00A863EB">
        <w:rPr>
          <w:i w:val="0"/>
          <w:iCs w:val="0"/>
        </w:rPr>
        <w:t>HR = hazard ratio; ITT = intention-to-treat; NR = not reached; OS = overall survival; PEM = pembrolizumab; SoC = standard of care</w:t>
      </w:r>
      <w:r w:rsidR="00E24F65" w:rsidRPr="00A863EB">
        <w:rPr>
          <w:i w:val="0"/>
          <w:iCs w:val="0"/>
        </w:rPr>
        <w:t xml:space="preserve">; </w:t>
      </w:r>
      <w:proofErr w:type="spellStart"/>
      <w:r w:rsidR="00E24F65" w:rsidRPr="00A863EB">
        <w:rPr>
          <w:i w:val="0"/>
          <w:iCs w:val="0"/>
        </w:rPr>
        <w:t>sSAP</w:t>
      </w:r>
      <w:proofErr w:type="spellEnd"/>
      <w:r w:rsidR="00E24F65" w:rsidRPr="00A863EB">
        <w:rPr>
          <w:i w:val="0"/>
          <w:iCs w:val="0"/>
        </w:rPr>
        <w:t xml:space="preserve"> = supplementary statistical analysis plan</w:t>
      </w:r>
    </w:p>
    <w:p w14:paraId="48ED8DED" w14:textId="77777777" w:rsidR="005F3809" w:rsidRPr="00A863EB" w:rsidRDefault="005F3809" w:rsidP="00677261">
      <w:pPr>
        <w:pStyle w:val="TableFigureFooter"/>
        <w:rPr>
          <w:i w:val="0"/>
          <w:iCs w:val="0"/>
        </w:rPr>
      </w:pPr>
      <w:r w:rsidRPr="00A863EB">
        <w:rPr>
          <w:i w:val="0"/>
          <w:iCs w:val="0"/>
        </w:rPr>
        <w:t>Data cutoff: 25 July 2024</w:t>
      </w:r>
    </w:p>
    <w:p w14:paraId="5C6A97D6" w14:textId="77777777" w:rsidR="005F3809" w:rsidRPr="00A863EB" w:rsidRDefault="005F3809" w:rsidP="00677261">
      <w:pPr>
        <w:pStyle w:val="TableFigureFooter"/>
        <w:rPr>
          <w:i w:val="0"/>
          <w:iCs w:val="0"/>
        </w:rPr>
      </w:pPr>
      <w:r w:rsidRPr="00A863EB">
        <w:rPr>
          <w:i w:val="0"/>
          <w:iCs w:val="0"/>
          <w:vertAlign w:val="superscript"/>
        </w:rPr>
        <w:t>a</w:t>
      </w:r>
      <w:r w:rsidRPr="00A863EB">
        <w:rPr>
          <w:i w:val="0"/>
          <w:iCs w:val="0"/>
        </w:rPr>
        <w:t xml:space="preserve"> From product-limit (Kaplan-Meier) method for censored data. </w:t>
      </w:r>
    </w:p>
    <w:p w14:paraId="004FC550" w14:textId="77777777" w:rsidR="005F3809" w:rsidRPr="00A863EB" w:rsidRDefault="005F3809" w:rsidP="00677261">
      <w:pPr>
        <w:pStyle w:val="TableFigureFooter"/>
        <w:rPr>
          <w:i w:val="0"/>
          <w:iCs w:val="0"/>
        </w:rPr>
      </w:pPr>
      <w:r w:rsidRPr="00A863EB">
        <w:rPr>
          <w:i w:val="0"/>
          <w:iCs w:val="0"/>
          <w:vertAlign w:val="superscript"/>
        </w:rPr>
        <w:t>b</w:t>
      </w:r>
      <w:r w:rsidRPr="00A863EB">
        <w:rPr>
          <w:i w:val="0"/>
          <w:iCs w:val="0"/>
        </w:rPr>
        <w:t xml:space="preserve"> Based on Cox regression model with Efron’s method of tie handling with treatment as a covariate stratified by</w:t>
      </w:r>
    </w:p>
    <w:p w14:paraId="0F513601" w14:textId="77777777" w:rsidR="005F3809" w:rsidRPr="00A863EB" w:rsidRDefault="005F3809" w:rsidP="00677261">
      <w:pPr>
        <w:pStyle w:val="TableFigureFooter"/>
        <w:rPr>
          <w:i w:val="0"/>
          <w:iCs w:val="0"/>
        </w:rPr>
      </w:pPr>
      <w:r w:rsidRPr="00A863EB">
        <w:rPr>
          <w:i w:val="0"/>
          <w:iCs w:val="0"/>
        </w:rPr>
        <w:t xml:space="preserve">primary tumour site (oropharynx/oral cavity vs larynx vs hypopharynx) and tumour stage (III vs IVA) with small strata collapsed as pre-specified in the </w:t>
      </w:r>
      <w:proofErr w:type="spellStart"/>
      <w:r w:rsidRPr="00A863EB">
        <w:rPr>
          <w:i w:val="0"/>
          <w:iCs w:val="0"/>
        </w:rPr>
        <w:t>sSAP</w:t>
      </w:r>
      <w:proofErr w:type="spellEnd"/>
      <w:r w:rsidRPr="00A863EB">
        <w:rPr>
          <w:i w:val="0"/>
          <w:iCs w:val="0"/>
        </w:rPr>
        <w:t>.</w:t>
      </w:r>
    </w:p>
    <w:p w14:paraId="399170B9" w14:textId="77777777" w:rsidR="005F3809" w:rsidRPr="00A863EB" w:rsidRDefault="005F3809" w:rsidP="00677261">
      <w:pPr>
        <w:pStyle w:val="TableFigureFooter"/>
        <w:rPr>
          <w:i w:val="0"/>
          <w:iCs w:val="0"/>
        </w:rPr>
      </w:pPr>
      <w:r w:rsidRPr="00A863EB">
        <w:rPr>
          <w:i w:val="0"/>
          <w:iCs w:val="0"/>
          <w:vertAlign w:val="superscript"/>
        </w:rPr>
        <w:t>c</w:t>
      </w:r>
      <w:r w:rsidRPr="00A863EB">
        <w:rPr>
          <w:i w:val="0"/>
          <w:iCs w:val="0"/>
        </w:rPr>
        <w:t xml:space="preserve"> One-sided p-value based on log-rank test stratified by primary tumour site (oropharynx/oral cavity vs larynx vs hypopharynx) and tumour stage (III vs IVA) with small strata collapsed as pre-specified in the </w:t>
      </w:r>
      <w:proofErr w:type="spellStart"/>
      <w:r w:rsidRPr="00A863EB">
        <w:rPr>
          <w:i w:val="0"/>
          <w:iCs w:val="0"/>
        </w:rPr>
        <w:t>sSAP</w:t>
      </w:r>
      <w:proofErr w:type="spellEnd"/>
      <w:r w:rsidRPr="00A863EB">
        <w:rPr>
          <w:i w:val="0"/>
          <w:iCs w:val="0"/>
        </w:rPr>
        <w:t>.</w:t>
      </w:r>
    </w:p>
    <w:p w14:paraId="77C3B7C1" w14:textId="77777777" w:rsidR="002F1E35" w:rsidRPr="002F1E35" w:rsidRDefault="002F1E35" w:rsidP="00677261">
      <w:pPr>
        <w:pStyle w:val="TableFigureFooter"/>
      </w:pPr>
    </w:p>
    <w:p w14:paraId="1B9E3F6F" w14:textId="4A0C32CD" w:rsidR="005F3809" w:rsidRPr="00D74203" w:rsidRDefault="005F3809" w:rsidP="005F3809">
      <w:pPr>
        <w:pStyle w:val="Caption"/>
      </w:pPr>
      <w:bookmarkStart w:id="73" w:name="_Ref205543858"/>
      <w:r w:rsidRPr="00D74203">
        <w:t xml:space="preserve">Figure </w:t>
      </w:r>
      <w:r w:rsidR="00972E86">
        <w:fldChar w:fldCharType="begin"/>
      </w:r>
      <w:r w:rsidR="00972E86">
        <w:instrText xml:space="preserve"> SEQ Figure \* ARABIC </w:instrText>
      </w:r>
      <w:r w:rsidR="00972E86">
        <w:fldChar w:fldCharType="separate"/>
      </w:r>
      <w:r w:rsidR="0084087D">
        <w:rPr>
          <w:noProof/>
        </w:rPr>
        <w:t>2</w:t>
      </w:r>
      <w:r w:rsidR="00972E86">
        <w:rPr>
          <w:noProof/>
        </w:rPr>
        <w:fldChar w:fldCharType="end"/>
      </w:r>
      <w:bookmarkEnd w:id="73"/>
      <w:r w:rsidRPr="00D74203">
        <w:t>: Kaplan-Meier plot of OS in the KN689 trial (ITT population)</w:t>
      </w:r>
    </w:p>
    <w:p w14:paraId="20F4434B" w14:textId="77777777" w:rsidR="005F3809" w:rsidRPr="00D74203" w:rsidRDefault="005F3809" w:rsidP="005F3809">
      <w:r w:rsidRPr="00D74203">
        <w:rPr>
          <w:noProof/>
        </w:rPr>
        <w:drawing>
          <wp:inline distT="0" distB="0" distL="0" distR="0" wp14:anchorId="5CBDA57F" wp14:editId="0B0920CA">
            <wp:extent cx="4747895" cy="2742953"/>
            <wp:effectExtent l="0" t="0" r="0" b="635"/>
            <wp:docPr id="1687062043" name="Picture 2" descr="Figure 2: Kaplan-Meier plot of OS in the KN689 trial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62043" name="Picture 2" descr="Figure 2: Kaplan-Meier plot of OS in the KN689 trial (ITT popul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132" cy="2752333"/>
                    </a:xfrm>
                    <a:prstGeom prst="rect">
                      <a:avLst/>
                    </a:prstGeom>
                    <a:noFill/>
                  </pic:spPr>
                </pic:pic>
              </a:graphicData>
            </a:graphic>
          </wp:inline>
        </w:drawing>
      </w:r>
    </w:p>
    <w:p w14:paraId="55C6500A" w14:textId="77777777" w:rsidR="005F3809" w:rsidRPr="00A863EB" w:rsidRDefault="005F3809" w:rsidP="00677261">
      <w:pPr>
        <w:pStyle w:val="TableFigureFooter"/>
        <w:rPr>
          <w:i w:val="0"/>
          <w:iCs w:val="0"/>
        </w:rPr>
      </w:pPr>
      <w:r w:rsidRPr="00A863EB">
        <w:rPr>
          <w:i w:val="0"/>
          <w:iCs w:val="0"/>
        </w:rPr>
        <w:t>Source: Figure 2.5-3, p75 of the submission</w:t>
      </w:r>
    </w:p>
    <w:p w14:paraId="33F96786" w14:textId="77777777" w:rsidR="005F3809" w:rsidRPr="00A863EB" w:rsidRDefault="005F3809" w:rsidP="00677261">
      <w:pPr>
        <w:pStyle w:val="TableFigureFooter"/>
        <w:rPr>
          <w:i w:val="0"/>
          <w:iCs w:val="0"/>
        </w:rPr>
      </w:pPr>
      <w:r w:rsidRPr="00A863EB">
        <w:rPr>
          <w:i w:val="0"/>
          <w:iCs w:val="0"/>
        </w:rPr>
        <w:t>OS = overall survival; SoC = standard of care</w:t>
      </w:r>
    </w:p>
    <w:p w14:paraId="02055BFF" w14:textId="77777777" w:rsidR="005F3809" w:rsidRPr="00A863EB" w:rsidRDefault="005F3809" w:rsidP="00677261">
      <w:pPr>
        <w:pStyle w:val="TableFigureFooter"/>
        <w:rPr>
          <w:i w:val="0"/>
          <w:iCs w:val="0"/>
        </w:rPr>
      </w:pPr>
      <w:r w:rsidRPr="00A863EB">
        <w:rPr>
          <w:i w:val="0"/>
          <w:iCs w:val="0"/>
        </w:rPr>
        <w:t>Data cutoff: 25 July 2024</w:t>
      </w:r>
    </w:p>
    <w:p w14:paraId="22A6F0B9" w14:textId="1374A964" w:rsidR="005F3809" w:rsidRPr="00477630" w:rsidRDefault="005F3809" w:rsidP="00696E90">
      <w:pPr>
        <w:pStyle w:val="3-BodyText"/>
        <w:spacing w:after="120"/>
        <w:rPr>
          <w:rFonts w:eastAsia="Calibri"/>
          <w:iCs/>
          <w:szCs w:val="24"/>
        </w:rPr>
      </w:pPr>
      <w:r w:rsidRPr="00DE49A7">
        <w:t xml:space="preserve">The </w:t>
      </w:r>
      <w:r w:rsidR="00DC59F0" w:rsidRPr="00477630">
        <w:rPr>
          <w:iCs/>
        </w:rPr>
        <w:t>ESC noted that the</w:t>
      </w:r>
      <w:r w:rsidR="00DC59F0">
        <w:t xml:space="preserve"> </w:t>
      </w:r>
      <w:r w:rsidRPr="00DE49A7">
        <w:t xml:space="preserve">OS data were immature at the IA1 DCO. During a median follow-up of 30.0 months for </w:t>
      </w:r>
      <w:proofErr w:type="spellStart"/>
      <w:r w:rsidR="006A0577" w:rsidRPr="00DE49A7">
        <w:t>PEM+SoC</w:t>
      </w:r>
      <w:proofErr w:type="spellEnd"/>
      <w:r w:rsidRPr="00DE49A7">
        <w:t xml:space="preserve"> and 23.4 months for SoC, death events </w:t>
      </w:r>
      <w:r w:rsidRPr="00DE49A7">
        <w:lastRenderedPageBreak/>
        <w:t xml:space="preserve">occurred in 113 (31.1%) patients in the </w:t>
      </w:r>
      <w:proofErr w:type="spellStart"/>
      <w:r w:rsidR="006A0577" w:rsidRPr="00DE49A7">
        <w:t>PEM+SoC</w:t>
      </w:r>
      <w:proofErr w:type="spellEnd"/>
      <w:r w:rsidRPr="00DE49A7">
        <w:t xml:space="preserve"> arm and 131 (37.3%) patients in the SoC arm. The median OS was not reached for </w:t>
      </w:r>
      <w:proofErr w:type="spellStart"/>
      <w:r w:rsidR="007962F9" w:rsidRPr="00DE49A7">
        <w:t>PEM+SoC</w:t>
      </w:r>
      <w:proofErr w:type="spellEnd"/>
      <w:r w:rsidRPr="00DE49A7">
        <w:t xml:space="preserve">, compared with a median of 61.8 months for SoC. The OS HR estimate numerically favoured </w:t>
      </w:r>
      <w:proofErr w:type="spellStart"/>
      <w:r w:rsidR="006A0577" w:rsidRPr="00DE49A7">
        <w:t>PEM+SoC</w:t>
      </w:r>
      <w:proofErr w:type="spellEnd"/>
      <w:r w:rsidRPr="00DE49A7">
        <w:t xml:space="preserve"> (HR:</w:t>
      </w:r>
      <w:r w:rsidR="006A0577" w:rsidRPr="00DE49A7">
        <w:t xml:space="preserve"> </w:t>
      </w:r>
      <w:r w:rsidRPr="00DE49A7">
        <w:t xml:space="preserve">0.76 [95% CI: 0.59, 0.98]). OS in the ITT population was not formally tested per </w:t>
      </w:r>
      <w:r w:rsidR="00F76C8B" w:rsidRPr="00DE49A7">
        <w:t xml:space="preserve">the </w:t>
      </w:r>
      <w:r w:rsidRPr="00DE49A7">
        <w:t xml:space="preserve">pre-specified multiplicity strategy, as the observed p-value for OS in the CPS </w:t>
      </w:r>
      <w:r w:rsidRPr="00DE49A7">
        <w:rPr>
          <w:rFonts w:cs="Calibri"/>
        </w:rPr>
        <w:t>≥</w:t>
      </w:r>
      <w:r w:rsidRPr="00DE49A7">
        <w:t xml:space="preserve"> 10 group did not cross the multiplicity adjusted one-sided p-value boundary. The KM curves of the two </w:t>
      </w:r>
      <w:r w:rsidRPr="00E44CBC">
        <w:rPr>
          <w:rFonts w:cstheme="minorHAnsi"/>
          <w:szCs w:val="24"/>
        </w:rPr>
        <w:t xml:space="preserve">treatment groups separated within the first 2 months and remained separated throughout the evaluation period when there </w:t>
      </w:r>
      <w:r w:rsidR="00FD26C1" w:rsidRPr="00E44CBC">
        <w:rPr>
          <w:rFonts w:cstheme="minorHAnsi"/>
          <w:szCs w:val="24"/>
        </w:rPr>
        <w:t>was</w:t>
      </w:r>
      <w:r w:rsidRPr="00E44CBC">
        <w:rPr>
          <w:rFonts w:cstheme="minorHAnsi"/>
          <w:szCs w:val="24"/>
        </w:rPr>
        <w:t xml:space="preserve"> a reasonable number of patients remaining at risk. </w:t>
      </w:r>
      <w:r w:rsidR="00C9573B" w:rsidRPr="00477630">
        <w:rPr>
          <w:rFonts w:cstheme="minorHAnsi"/>
          <w:bCs/>
          <w:iCs/>
          <w:szCs w:val="24"/>
        </w:rPr>
        <w:t xml:space="preserve">The PSCR </w:t>
      </w:r>
      <w:r w:rsidR="008468E9" w:rsidRPr="00477630">
        <w:rPr>
          <w:rFonts w:cstheme="minorHAnsi"/>
          <w:bCs/>
          <w:iCs/>
          <w:szCs w:val="24"/>
        </w:rPr>
        <w:t>stated</w:t>
      </w:r>
      <w:r w:rsidR="001477AE" w:rsidRPr="00477630">
        <w:rPr>
          <w:rFonts w:cstheme="minorHAnsi"/>
          <w:bCs/>
          <w:iCs/>
          <w:szCs w:val="24"/>
        </w:rPr>
        <w:t xml:space="preserve"> that demonstrating a survival benefit for interventions tested in the curative setting remains inherently challenging, particularly within a reasonable timeframe</w:t>
      </w:r>
      <w:r w:rsidR="00C9573B" w:rsidRPr="00477630">
        <w:rPr>
          <w:rFonts w:cstheme="minorHAnsi"/>
          <w:bCs/>
          <w:iCs/>
          <w:szCs w:val="24"/>
        </w:rPr>
        <w:t xml:space="preserve">. </w:t>
      </w:r>
      <w:r w:rsidR="0038531E" w:rsidRPr="00477630">
        <w:rPr>
          <w:rFonts w:cstheme="minorHAnsi"/>
          <w:bCs/>
          <w:iCs/>
          <w:szCs w:val="24"/>
        </w:rPr>
        <w:t>T</w:t>
      </w:r>
      <w:r w:rsidR="00C9573B" w:rsidRPr="00477630">
        <w:rPr>
          <w:rFonts w:cstheme="minorHAnsi"/>
          <w:bCs/>
          <w:iCs/>
          <w:szCs w:val="24"/>
        </w:rPr>
        <w:t>he PSCR</w:t>
      </w:r>
      <w:r w:rsidR="00117BFB" w:rsidRPr="00477630">
        <w:rPr>
          <w:rFonts w:eastAsia="Calibri" w:cstheme="minorHAnsi"/>
          <w:iCs/>
          <w:szCs w:val="24"/>
        </w:rPr>
        <w:t xml:space="preserve"> </w:t>
      </w:r>
      <w:r w:rsidR="00137C58" w:rsidRPr="00477630">
        <w:rPr>
          <w:rFonts w:eastAsia="Calibri" w:cstheme="minorHAnsi"/>
          <w:iCs/>
          <w:szCs w:val="24"/>
        </w:rPr>
        <w:t>considered the</w:t>
      </w:r>
      <w:r w:rsidR="00316918" w:rsidRPr="00477630">
        <w:rPr>
          <w:rFonts w:eastAsia="Calibri" w:cstheme="minorHAnsi"/>
          <w:iCs/>
          <w:szCs w:val="24"/>
        </w:rPr>
        <w:t xml:space="preserve"> OS</w:t>
      </w:r>
      <w:r w:rsidR="00137C58" w:rsidRPr="00477630">
        <w:rPr>
          <w:rFonts w:eastAsia="Calibri" w:cstheme="minorHAnsi"/>
          <w:iCs/>
          <w:szCs w:val="24"/>
        </w:rPr>
        <w:t xml:space="preserve"> data sufficiently mature</w:t>
      </w:r>
      <w:r w:rsidR="00EE1B73" w:rsidRPr="00477630">
        <w:rPr>
          <w:rFonts w:eastAsia="Calibri" w:cstheme="minorHAnsi"/>
          <w:iCs/>
          <w:szCs w:val="24"/>
        </w:rPr>
        <w:t>, noting that at the IA1 DCO</w:t>
      </w:r>
      <w:r w:rsidR="004E2774" w:rsidRPr="00477630">
        <w:rPr>
          <w:rFonts w:eastAsia="Calibri" w:cstheme="minorHAnsi"/>
          <w:iCs/>
          <w:szCs w:val="24"/>
        </w:rPr>
        <w:t xml:space="preserve"> </w:t>
      </w:r>
      <w:r w:rsidR="00004907" w:rsidRPr="00477630">
        <w:rPr>
          <w:rFonts w:cstheme="minorHAnsi"/>
          <w:bCs/>
          <w:iCs/>
          <w:szCs w:val="24"/>
        </w:rPr>
        <w:t xml:space="preserve">244 OS events </w:t>
      </w:r>
      <w:r w:rsidR="005E4754" w:rsidRPr="00477630">
        <w:rPr>
          <w:rFonts w:cstheme="minorHAnsi"/>
          <w:bCs/>
          <w:iCs/>
          <w:szCs w:val="24"/>
        </w:rPr>
        <w:t xml:space="preserve">had occurred </w:t>
      </w:r>
      <w:r w:rsidR="00117BFB" w:rsidRPr="00477630">
        <w:rPr>
          <w:rFonts w:cstheme="minorHAnsi"/>
          <w:bCs/>
          <w:iCs/>
          <w:szCs w:val="24"/>
        </w:rPr>
        <w:t xml:space="preserve">(representing 75% of the total 324 OS events planned for the </w:t>
      </w:r>
      <w:r w:rsidR="004D7107" w:rsidRPr="00477630">
        <w:rPr>
          <w:rFonts w:cstheme="minorHAnsi"/>
          <w:bCs/>
          <w:iCs/>
          <w:szCs w:val="24"/>
        </w:rPr>
        <w:t>f</w:t>
      </w:r>
      <w:r w:rsidR="00117BFB" w:rsidRPr="00477630">
        <w:rPr>
          <w:rFonts w:cstheme="minorHAnsi"/>
          <w:bCs/>
          <w:iCs/>
          <w:szCs w:val="24"/>
        </w:rPr>
        <w:t xml:space="preserve">inal </w:t>
      </w:r>
      <w:r w:rsidR="004D7107" w:rsidRPr="00477630">
        <w:rPr>
          <w:rFonts w:cstheme="minorHAnsi"/>
          <w:bCs/>
          <w:iCs/>
          <w:szCs w:val="24"/>
        </w:rPr>
        <w:t>a</w:t>
      </w:r>
      <w:r w:rsidR="00117BFB" w:rsidRPr="00477630">
        <w:rPr>
          <w:rFonts w:cstheme="minorHAnsi"/>
          <w:bCs/>
          <w:iCs/>
          <w:szCs w:val="24"/>
        </w:rPr>
        <w:t xml:space="preserve">nalysis). </w:t>
      </w:r>
      <w:r w:rsidR="00387CAA" w:rsidRPr="00477630">
        <w:rPr>
          <w:rFonts w:cstheme="minorHAnsi"/>
          <w:bCs/>
          <w:iCs/>
          <w:szCs w:val="24"/>
        </w:rPr>
        <w:t xml:space="preserve">The PSCR </w:t>
      </w:r>
      <w:r w:rsidR="00980D0D" w:rsidRPr="00477630">
        <w:rPr>
          <w:rFonts w:cstheme="minorHAnsi"/>
          <w:bCs/>
          <w:iCs/>
          <w:szCs w:val="24"/>
        </w:rPr>
        <w:t>considered</w:t>
      </w:r>
      <w:r w:rsidR="00674E7A" w:rsidRPr="00477630">
        <w:rPr>
          <w:rFonts w:cstheme="minorHAnsi"/>
          <w:bCs/>
          <w:iCs/>
          <w:szCs w:val="24"/>
        </w:rPr>
        <w:t xml:space="preserve"> that the OS outcomes, evaluated through KM curves, </w:t>
      </w:r>
      <w:r w:rsidR="00925C94" w:rsidRPr="00477630">
        <w:rPr>
          <w:rFonts w:cstheme="minorHAnsi"/>
          <w:bCs/>
          <w:iCs/>
          <w:szCs w:val="24"/>
        </w:rPr>
        <w:t>landmark</w:t>
      </w:r>
      <w:r w:rsidR="00674E7A" w:rsidRPr="00477630">
        <w:rPr>
          <w:rFonts w:cstheme="minorHAnsi"/>
          <w:bCs/>
          <w:iCs/>
          <w:szCs w:val="24"/>
        </w:rPr>
        <w:t xml:space="preserve"> analyses, </w:t>
      </w:r>
      <w:r w:rsidR="003A39B1" w:rsidRPr="00477630">
        <w:rPr>
          <w:rFonts w:cstheme="minorHAnsi"/>
          <w:bCs/>
          <w:iCs/>
          <w:szCs w:val="24"/>
        </w:rPr>
        <w:t>hazard ratios, and p-</w:t>
      </w:r>
      <w:r w:rsidR="003A39B1" w:rsidRPr="00477630">
        <w:rPr>
          <w:rFonts w:eastAsia="Calibri" w:cstheme="minorHAnsi"/>
          <w:iCs/>
          <w:szCs w:val="24"/>
        </w:rPr>
        <w:t xml:space="preserve">values, </w:t>
      </w:r>
      <w:r w:rsidR="006A0586" w:rsidRPr="00477630">
        <w:rPr>
          <w:rFonts w:eastAsia="Calibri" w:cstheme="minorHAnsi"/>
          <w:iCs/>
          <w:szCs w:val="24"/>
        </w:rPr>
        <w:t xml:space="preserve">as well as the association demonstrated between EFS and OS, </w:t>
      </w:r>
      <w:r w:rsidR="003A39B1" w:rsidRPr="00477630">
        <w:rPr>
          <w:rFonts w:eastAsia="Calibri" w:cstheme="minorHAnsi"/>
          <w:iCs/>
          <w:szCs w:val="24"/>
        </w:rPr>
        <w:t xml:space="preserve">collectively </w:t>
      </w:r>
      <w:r w:rsidR="006A0586" w:rsidRPr="00477630">
        <w:rPr>
          <w:rFonts w:eastAsia="Calibri" w:cstheme="minorHAnsi"/>
          <w:iCs/>
          <w:szCs w:val="24"/>
        </w:rPr>
        <w:t>suggest</w:t>
      </w:r>
      <w:r w:rsidR="003A39B1" w:rsidRPr="00477630">
        <w:rPr>
          <w:rFonts w:eastAsia="Calibri" w:cstheme="minorHAnsi"/>
          <w:iCs/>
          <w:szCs w:val="24"/>
        </w:rPr>
        <w:t xml:space="preserve"> a consistent </w:t>
      </w:r>
      <w:r w:rsidR="00253C35" w:rsidRPr="00477630">
        <w:rPr>
          <w:rFonts w:eastAsia="Calibri" w:cstheme="minorHAnsi"/>
          <w:iCs/>
          <w:szCs w:val="24"/>
        </w:rPr>
        <w:t>and clinically meaningful</w:t>
      </w:r>
      <w:r w:rsidR="00980D0D" w:rsidRPr="00477630">
        <w:rPr>
          <w:rFonts w:eastAsia="Calibri" w:cstheme="minorHAnsi"/>
          <w:iCs/>
          <w:szCs w:val="24"/>
        </w:rPr>
        <w:t xml:space="preserve"> </w:t>
      </w:r>
      <w:r w:rsidR="00925C94" w:rsidRPr="00477630">
        <w:rPr>
          <w:rFonts w:eastAsia="Calibri" w:cstheme="minorHAnsi"/>
          <w:iCs/>
          <w:szCs w:val="24"/>
        </w:rPr>
        <w:t>improvement</w:t>
      </w:r>
      <w:r w:rsidR="003A39B1" w:rsidRPr="00477630">
        <w:rPr>
          <w:rFonts w:eastAsia="Calibri" w:cstheme="minorHAnsi"/>
          <w:iCs/>
          <w:szCs w:val="24"/>
        </w:rPr>
        <w:t xml:space="preserve"> </w:t>
      </w:r>
      <w:r w:rsidR="00253C35" w:rsidRPr="00477630">
        <w:rPr>
          <w:rFonts w:eastAsia="Calibri" w:cstheme="minorHAnsi"/>
          <w:iCs/>
          <w:szCs w:val="24"/>
        </w:rPr>
        <w:t>in OS</w:t>
      </w:r>
      <w:r w:rsidR="006C2861" w:rsidRPr="00477630">
        <w:rPr>
          <w:rFonts w:eastAsia="Calibri" w:cstheme="minorHAnsi"/>
          <w:iCs/>
          <w:szCs w:val="24"/>
        </w:rPr>
        <w:t xml:space="preserve"> for </w:t>
      </w:r>
      <w:proofErr w:type="spellStart"/>
      <w:r w:rsidR="006C2861" w:rsidRPr="00477630">
        <w:rPr>
          <w:rFonts w:eastAsia="Calibri" w:cstheme="minorHAnsi"/>
          <w:iCs/>
          <w:szCs w:val="24"/>
        </w:rPr>
        <w:t>PEM+SoC</w:t>
      </w:r>
      <w:proofErr w:type="spellEnd"/>
      <w:r w:rsidR="006C2861" w:rsidRPr="00477630">
        <w:rPr>
          <w:rFonts w:eastAsia="Calibri" w:cstheme="minorHAnsi"/>
          <w:iCs/>
          <w:szCs w:val="24"/>
        </w:rPr>
        <w:t xml:space="preserve"> vs SoC alone</w:t>
      </w:r>
      <w:r w:rsidR="00253C35" w:rsidRPr="00477630">
        <w:rPr>
          <w:rFonts w:eastAsia="Calibri" w:cstheme="minorHAnsi"/>
          <w:iCs/>
          <w:szCs w:val="24"/>
        </w:rPr>
        <w:t>.</w:t>
      </w:r>
      <w:r w:rsidR="003A39B1" w:rsidRPr="00477630">
        <w:rPr>
          <w:rFonts w:eastAsia="Calibri" w:cstheme="minorHAnsi"/>
          <w:iCs/>
          <w:szCs w:val="24"/>
        </w:rPr>
        <w:t xml:space="preserve"> </w:t>
      </w:r>
      <w:r w:rsidR="00117BFB" w:rsidRPr="00477630">
        <w:rPr>
          <w:rFonts w:eastAsia="Calibri" w:cstheme="minorHAnsi"/>
          <w:iCs/>
          <w:szCs w:val="24"/>
        </w:rPr>
        <w:t xml:space="preserve"> </w:t>
      </w:r>
      <w:r w:rsidR="00614F66" w:rsidRPr="00477630">
        <w:rPr>
          <w:rFonts w:eastAsia="Calibri" w:cstheme="minorHAnsi"/>
          <w:iCs/>
          <w:szCs w:val="24"/>
        </w:rPr>
        <w:t>The ESC noted that the PSCR</w:t>
      </w:r>
      <w:r w:rsidR="00686D1C" w:rsidRPr="00477630">
        <w:rPr>
          <w:rFonts w:eastAsia="Calibri" w:cstheme="minorHAnsi"/>
          <w:iCs/>
          <w:szCs w:val="24"/>
        </w:rPr>
        <w:t xml:space="preserve"> also noted similar</w:t>
      </w:r>
      <w:r w:rsidR="007038CF" w:rsidRPr="00477630">
        <w:rPr>
          <w:rFonts w:eastAsia="Calibri" w:cstheme="minorHAnsi"/>
          <w:iCs/>
          <w:szCs w:val="24"/>
        </w:rPr>
        <w:t>ly</w:t>
      </w:r>
      <w:r w:rsidR="00686D1C" w:rsidRPr="00477630">
        <w:rPr>
          <w:rFonts w:eastAsia="Calibri" w:cstheme="minorHAnsi"/>
          <w:iCs/>
          <w:szCs w:val="24"/>
        </w:rPr>
        <w:t xml:space="preserve"> immature data </w:t>
      </w:r>
      <w:r w:rsidR="00071FE6" w:rsidRPr="00477630">
        <w:rPr>
          <w:rFonts w:eastAsia="Calibri" w:cstheme="minorHAnsi"/>
          <w:iCs/>
          <w:szCs w:val="24"/>
        </w:rPr>
        <w:t>supporting the</w:t>
      </w:r>
      <w:r w:rsidR="00686D1C" w:rsidRPr="00477630">
        <w:rPr>
          <w:rFonts w:eastAsia="Calibri" w:cstheme="minorHAnsi"/>
          <w:iCs/>
          <w:szCs w:val="24"/>
        </w:rPr>
        <w:t xml:space="preserve"> </w:t>
      </w:r>
      <w:r w:rsidR="00753CED" w:rsidRPr="00477630">
        <w:rPr>
          <w:rFonts w:eastAsia="Calibri" w:cstheme="minorHAnsi"/>
          <w:iCs/>
          <w:szCs w:val="24"/>
        </w:rPr>
        <w:t>PBAC recommendation for</w:t>
      </w:r>
      <w:r w:rsidR="00686D1C" w:rsidRPr="00477630">
        <w:rPr>
          <w:rFonts w:eastAsia="Calibri" w:cstheme="minorHAnsi"/>
          <w:iCs/>
          <w:szCs w:val="24"/>
        </w:rPr>
        <w:t xml:space="preserve"> </w:t>
      </w:r>
      <w:r w:rsidR="0073170E" w:rsidRPr="00477630">
        <w:rPr>
          <w:rFonts w:eastAsia="Calibri" w:cstheme="minorHAnsi"/>
          <w:iCs/>
          <w:szCs w:val="24"/>
        </w:rPr>
        <w:t>peri-operative early triple negative breast cancer (KN522), based on 39.1 months of follow-up</w:t>
      </w:r>
      <w:r w:rsidR="00686D1C" w:rsidRPr="00477630">
        <w:rPr>
          <w:rFonts w:eastAsia="Calibri" w:cstheme="minorHAnsi"/>
          <w:iCs/>
          <w:szCs w:val="24"/>
        </w:rPr>
        <w:t>, however considered that this was not a reasonable comparison</w:t>
      </w:r>
      <w:r w:rsidR="00AE7FAB" w:rsidRPr="00477630">
        <w:rPr>
          <w:rFonts w:eastAsia="Calibri" w:cstheme="minorHAnsi"/>
          <w:iCs/>
          <w:szCs w:val="24"/>
        </w:rPr>
        <w:t xml:space="preserve"> due to different patient population characteristics and tumour biology.</w:t>
      </w:r>
      <w:r w:rsidR="00686D1C" w:rsidRPr="00477630">
        <w:rPr>
          <w:rFonts w:eastAsia="Calibri" w:cstheme="minorHAnsi"/>
          <w:iCs/>
          <w:szCs w:val="24"/>
        </w:rPr>
        <w:t xml:space="preserve"> </w:t>
      </w:r>
    </w:p>
    <w:p w14:paraId="796DADB1" w14:textId="3EE868F1" w:rsidR="005F3809" w:rsidRPr="00DE49A7" w:rsidRDefault="005F3809" w:rsidP="005F3809">
      <w:pPr>
        <w:pStyle w:val="3-BodyText"/>
      </w:pPr>
      <w:r w:rsidRPr="00DE49A7">
        <w:t xml:space="preserve">At the IA1 DCO, </w:t>
      </w:r>
      <w:proofErr w:type="spellStart"/>
      <w:r w:rsidRPr="00DE49A7">
        <w:t>mPR</w:t>
      </w:r>
      <w:proofErr w:type="spellEnd"/>
      <w:r w:rsidRPr="00DE49A7">
        <w:t xml:space="preserve"> and </w:t>
      </w:r>
      <w:proofErr w:type="spellStart"/>
      <w:r w:rsidRPr="00DE49A7">
        <w:t>pCR</w:t>
      </w:r>
      <w:proofErr w:type="spellEnd"/>
      <w:r w:rsidRPr="00DE49A7">
        <w:t xml:space="preserve"> based on BIPR assessment were reported in 34 (9.4%) patients and 11 (3.0%) patients, respectively, in the </w:t>
      </w:r>
      <w:proofErr w:type="spellStart"/>
      <w:r w:rsidR="007962F9" w:rsidRPr="00DE49A7">
        <w:t>PEM+SoC</w:t>
      </w:r>
      <w:proofErr w:type="spellEnd"/>
      <w:r w:rsidRPr="00DE49A7">
        <w:t xml:space="preserve"> group</w:t>
      </w:r>
      <w:r w:rsidR="00FD26C1" w:rsidRPr="00DE49A7">
        <w:t xml:space="preserve">, compared with </w:t>
      </w:r>
      <w:r w:rsidR="005146F7" w:rsidRPr="00DE49A7">
        <w:t xml:space="preserve">no </w:t>
      </w:r>
      <w:r w:rsidR="00FD26C1" w:rsidRPr="00DE49A7">
        <w:t xml:space="preserve">patients </w:t>
      </w:r>
      <w:r w:rsidRPr="00DE49A7">
        <w:t xml:space="preserve">with </w:t>
      </w:r>
      <w:proofErr w:type="spellStart"/>
      <w:r w:rsidRPr="00DE49A7">
        <w:t>mPR</w:t>
      </w:r>
      <w:proofErr w:type="spellEnd"/>
      <w:r w:rsidRPr="00DE49A7">
        <w:t xml:space="preserve"> or </w:t>
      </w:r>
      <w:proofErr w:type="spellStart"/>
      <w:r w:rsidRPr="00DE49A7">
        <w:t>pCR</w:t>
      </w:r>
      <w:proofErr w:type="spellEnd"/>
      <w:r w:rsidRPr="00DE49A7">
        <w:t xml:space="preserve"> in the SoC group. The</w:t>
      </w:r>
      <w:r w:rsidR="0038574B">
        <w:t xml:space="preserve"> </w:t>
      </w:r>
      <w:r w:rsidR="0038574B" w:rsidRPr="00477630">
        <w:rPr>
          <w:iCs/>
        </w:rPr>
        <w:t>ESC noted the</w:t>
      </w:r>
      <w:r w:rsidRPr="00DE49A7">
        <w:t xml:space="preserve"> differences between the two treatment arms </w:t>
      </w:r>
      <w:r w:rsidR="00F76C8B" w:rsidRPr="00DE49A7">
        <w:t xml:space="preserve">were </w:t>
      </w:r>
      <w:r w:rsidRPr="00DE49A7">
        <w:t>statistical</w:t>
      </w:r>
      <w:r w:rsidR="00F76C8B" w:rsidRPr="00DE49A7">
        <w:t>ly</w:t>
      </w:r>
      <w:r w:rsidRPr="00DE49A7">
        <w:t xml:space="preserve"> significan</w:t>
      </w:r>
      <w:r w:rsidR="00F76C8B" w:rsidRPr="00DE49A7">
        <w:t>t</w:t>
      </w:r>
      <w:r w:rsidRPr="00DE49A7">
        <w:t xml:space="preserve"> for both outcomes</w:t>
      </w:r>
      <w:r w:rsidR="008012C6" w:rsidRPr="00477630">
        <w:rPr>
          <w:iCs/>
        </w:rPr>
        <w:t xml:space="preserve"> and considered this to be clinically meaningful</w:t>
      </w:r>
      <w:r w:rsidR="00DF5E1F" w:rsidRPr="00477630">
        <w:rPr>
          <w:iCs/>
        </w:rPr>
        <w:t xml:space="preserve"> given that these would have been </w:t>
      </w:r>
      <w:r w:rsidR="00843380" w:rsidRPr="00477630">
        <w:rPr>
          <w:iCs/>
        </w:rPr>
        <w:t xml:space="preserve">determined after only 2 </w:t>
      </w:r>
      <w:r w:rsidR="0078133A" w:rsidRPr="00477630">
        <w:rPr>
          <w:iCs/>
        </w:rPr>
        <w:t>cycles</w:t>
      </w:r>
      <w:r w:rsidR="00843380" w:rsidRPr="00477630">
        <w:rPr>
          <w:iCs/>
        </w:rPr>
        <w:t xml:space="preserve"> of pembrolizumab</w:t>
      </w:r>
      <w:r w:rsidRPr="00477630">
        <w:rPr>
          <w:iCs/>
        </w:rPr>
        <w:t xml:space="preserve">. </w:t>
      </w:r>
    </w:p>
    <w:p w14:paraId="370522C1" w14:textId="27B63791" w:rsidR="005F3809" w:rsidRPr="00DE49A7" w:rsidRDefault="005F3809" w:rsidP="005F3809">
      <w:pPr>
        <w:pStyle w:val="3-BodyText"/>
      </w:pPr>
      <w:bookmarkStart w:id="74" w:name="_Ref210626643"/>
      <w:r w:rsidRPr="00DE49A7">
        <w:t xml:space="preserve">The proportion of patients with high-risk features (defined as positive margins </w:t>
      </w:r>
      <w:r w:rsidR="00812CDD">
        <w:br/>
      </w:r>
      <w:r w:rsidRPr="00DE49A7">
        <w:t>[&gt;</w:t>
      </w:r>
      <w:r w:rsidR="00812CDD">
        <w:t xml:space="preserve"> </w:t>
      </w:r>
      <w:r w:rsidRPr="00DE49A7">
        <w:t>1mm] or extranodal invasion) postoperatively, was measured in KN689, and the dos</w:t>
      </w:r>
      <w:r w:rsidR="00005888" w:rsidRPr="00DE49A7">
        <w:t>e</w:t>
      </w:r>
      <w:r w:rsidRPr="00DE49A7">
        <w:t xml:space="preserve"> of adjuvant radiotherapy and use of cisplatin w</w:t>
      </w:r>
      <w:r w:rsidR="00005888" w:rsidRPr="00DE49A7">
        <w:t>ere</w:t>
      </w:r>
      <w:r w:rsidRPr="00DE49A7">
        <w:t xml:space="preserve"> determined by risk category.</w:t>
      </w:r>
      <w:r w:rsidRPr="00DE49A7">
        <w:rPr>
          <w:rStyle w:val="FootnoteReference"/>
        </w:rPr>
        <w:footnoteReference w:id="14"/>
      </w:r>
      <w:r w:rsidRPr="00DE49A7">
        <w:t xml:space="preserve"> Based on BIPR assessment, a lower proportion of patients in the </w:t>
      </w:r>
      <w:proofErr w:type="spellStart"/>
      <w:r w:rsidR="006A0577" w:rsidRPr="00DE49A7">
        <w:t>PEM+SoC</w:t>
      </w:r>
      <w:proofErr w:type="spellEnd"/>
      <w:r w:rsidRPr="00DE49A7">
        <w:t xml:space="preserve"> </w:t>
      </w:r>
      <w:r w:rsidR="00B10FE8" w:rsidRPr="00DE49A7">
        <w:t xml:space="preserve">arm </w:t>
      </w:r>
      <w:r w:rsidRPr="00DE49A7">
        <w:t xml:space="preserve">were classified postoperatively with high-risk features compared to the SoC arm (32.5% vs. 44.4%). </w:t>
      </w:r>
      <w:r w:rsidRPr="00F374AC">
        <w:t xml:space="preserve">This </w:t>
      </w:r>
      <w:r w:rsidR="0062297D" w:rsidRPr="00477630">
        <w:rPr>
          <w:iCs/>
        </w:rPr>
        <w:t>ESC noted that this</w:t>
      </w:r>
      <w:r w:rsidR="0062297D" w:rsidRPr="00F374AC">
        <w:t xml:space="preserve"> </w:t>
      </w:r>
      <w:r w:rsidR="005C2470" w:rsidRPr="00477630">
        <w:rPr>
          <w:iCs/>
        </w:rPr>
        <w:t xml:space="preserve">may have enabled patients in the </w:t>
      </w:r>
      <w:proofErr w:type="spellStart"/>
      <w:r w:rsidR="005C2470" w:rsidRPr="00477630">
        <w:rPr>
          <w:iCs/>
        </w:rPr>
        <w:t>PEM+SoC</w:t>
      </w:r>
      <w:proofErr w:type="spellEnd"/>
      <w:r w:rsidR="005C2470" w:rsidRPr="00477630">
        <w:rPr>
          <w:iCs/>
        </w:rPr>
        <w:t xml:space="preserve"> arm to receive lower doses of radiation (60 Gy vs. 66 Gy) and a lower proportion</w:t>
      </w:r>
      <w:r w:rsidR="0005309A" w:rsidRPr="00477630">
        <w:rPr>
          <w:iCs/>
        </w:rPr>
        <w:t xml:space="preserve"> to</w:t>
      </w:r>
      <w:r w:rsidR="005C2470" w:rsidRPr="00477630">
        <w:rPr>
          <w:iCs/>
        </w:rPr>
        <w:t xml:space="preserve"> receive subsequent chemotherapy compared to the SoC group (29.0% vs. 39.6%)</w:t>
      </w:r>
      <w:r w:rsidR="00005888" w:rsidRPr="00F374AC">
        <w:t xml:space="preserve">. </w:t>
      </w:r>
      <w:r w:rsidR="003634F7" w:rsidRPr="00477630">
        <w:rPr>
          <w:iCs/>
        </w:rPr>
        <w:t xml:space="preserve">The </w:t>
      </w:r>
      <w:r w:rsidR="00DE4DDD" w:rsidRPr="00477630">
        <w:rPr>
          <w:iCs/>
        </w:rPr>
        <w:t>ESC</w:t>
      </w:r>
      <w:r w:rsidR="003634F7" w:rsidRPr="00477630">
        <w:rPr>
          <w:iCs/>
        </w:rPr>
        <w:t xml:space="preserve"> considered that th</w:t>
      </w:r>
      <w:r w:rsidR="008A3C0C" w:rsidRPr="00477630">
        <w:rPr>
          <w:iCs/>
        </w:rPr>
        <w:t>ese data</w:t>
      </w:r>
      <w:r w:rsidR="003634F7" w:rsidRPr="00477630">
        <w:rPr>
          <w:iCs/>
        </w:rPr>
        <w:t xml:space="preserve"> </w:t>
      </w:r>
      <w:r w:rsidR="0093424D" w:rsidRPr="00477630">
        <w:rPr>
          <w:iCs/>
        </w:rPr>
        <w:t xml:space="preserve">may </w:t>
      </w:r>
      <w:r w:rsidRPr="00477630">
        <w:rPr>
          <w:iCs/>
        </w:rPr>
        <w:t>impl</w:t>
      </w:r>
      <w:r w:rsidR="0093424D" w:rsidRPr="00477630">
        <w:rPr>
          <w:iCs/>
        </w:rPr>
        <w:t>y</w:t>
      </w:r>
      <w:r w:rsidR="003634F7" w:rsidRPr="00477630">
        <w:rPr>
          <w:iCs/>
        </w:rPr>
        <w:t xml:space="preserve"> </w:t>
      </w:r>
      <w:r w:rsidR="00F76C8B" w:rsidRPr="00F374AC">
        <w:t xml:space="preserve">a </w:t>
      </w:r>
      <w:r w:rsidRPr="00F374AC">
        <w:t>benefit of neoadjuvant pembrolizumab</w:t>
      </w:r>
      <w:r w:rsidR="007E53B5" w:rsidRPr="00F374AC">
        <w:t>.</w:t>
      </w:r>
      <w:bookmarkEnd w:id="74"/>
      <w:r w:rsidRPr="00DE49A7">
        <w:t xml:space="preserve"> </w:t>
      </w:r>
    </w:p>
    <w:p w14:paraId="5B131D8E" w14:textId="073F0EC8" w:rsidR="005F3809" w:rsidRPr="00DE49A7" w:rsidRDefault="005F3809" w:rsidP="005F3809">
      <w:pPr>
        <w:pStyle w:val="3-BodyText"/>
      </w:pPr>
      <w:r w:rsidRPr="00DE49A7">
        <w:t xml:space="preserve">In KN689, quality of life (QoL) was assessed using the European Organisation for Research and Treatment of Cancer (EORTC) Quality of life questionnaire (QLQ)-C30 </w:t>
      </w:r>
      <w:r w:rsidRPr="00DE49A7">
        <w:lastRenderedPageBreak/>
        <w:t xml:space="preserve">(global health status/QoL score and physical score), the EORTC Head and Neck-Specific QoL questionnaire (EORTC QLQ-H&amp;N35) (swallowing, speech and pain symptoms), and the EuroQoL-5 dimensions-5 levels (EQ-5D-5L) questionnaires. Results showed that </w:t>
      </w:r>
      <w:r w:rsidR="00915574">
        <w:t>health related quality of life (</w:t>
      </w:r>
      <w:r w:rsidRPr="00DE49A7">
        <w:t>HRQoL</w:t>
      </w:r>
      <w:r w:rsidR="00915574">
        <w:t>)</w:t>
      </w:r>
      <w:r w:rsidRPr="00DE49A7">
        <w:t xml:space="preserve"> and HNSCC symptom scores remained stable during the neoadjuvant phase compared to baseline. In the post adjuvant radiotherapy ± </w:t>
      </w:r>
      <w:r w:rsidR="00904BA9">
        <w:t>chemotherapy</w:t>
      </w:r>
      <w:r w:rsidR="00E751B7" w:rsidRPr="00DE49A7">
        <w:t xml:space="preserve"> </w:t>
      </w:r>
      <w:r w:rsidRPr="00DE49A7">
        <w:t>phase, any score changes from baseline were generally similar between treatment groups. The submission concluded that the addition of perioperative pembrolizumab to SoC does not impact patient QoL compared to the use of SoC alone.</w:t>
      </w:r>
      <w:r w:rsidR="00D803CB" w:rsidRPr="00DE49A7">
        <w:t xml:space="preserve"> This, however, is </w:t>
      </w:r>
      <w:r w:rsidR="00F1254D">
        <w:t xml:space="preserve">inconsistent </w:t>
      </w:r>
      <w:r w:rsidR="00D803CB" w:rsidRPr="00DE49A7">
        <w:t xml:space="preserve">with the increased adverse event </w:t>
      </w:r>
      <w:r w:rsidR="00A104CC" w:rsidRPr="00DE49A7">
        <w:t xml:space="preserve">(AE) </w:t>
      </w:r>
      <w:r w:rsidR="00D803CB" w:rsidRPr="00DE49A7">
        <w:t xml:space="preserve">profile of </w:t>
      </w:r>
      <w:proofErr w:type="spellStart"/>
      <w:r w:rsidR="00A104CC" w:rsidRPr="00DE49A7">
        <w:t>PEM</w:t>
      </w:r>
      <w:r w:rsidR="00D803CB" w:rsidRPr="00DE49A7">
        <w:t>+SoC</w:t>
      </w:r>
      <w:proofErr w:type="spellEnd"/>
      <w:r w:rsidR="00D803CB" w:rsidRPr="00DE49A7">
        <w:t xml:space="preserve"> </w:t>
      </w:r>
      <w:r w:rsidR="00A104CC" w:rsidRPr="00DE49A7">
        <w:t xml:space="preserve">compared with SoC alone </w:t>
      </w:r>
      <w:r w:rsidR="00A104CC" w:rsidRPr="00FF1EC0">
        <w:t>(see the Comparative harms and Clinical claim subsections below).</w:t>
      </w:r>
    </w:p>
    <w:p w14:paraId="0761A974" w14:textId="77777777" w:rsidR="005F3809" w:rsidRPr="00D74203" w:rsidRDefault="005F3809" w:rsidP="005F3809">
      <w:pPr>
        <w:pStyle w:val="4-SubsectionHeading"/>
      </w:pPr>
      <w:bookmarkStart w:id="75" w:name="_Toc22897642"/>
      <w:bookmarkStart w:id="76" w:name="_Toc206432636"/>
      <w:bookmarkStart w:id="77" w:name="_Toc209004705"/>
      <w:r w:rsidRPr="00D74203">
        <w:t>Comparative harms</w:t>
      </w:r>
      <w:bookmarkEnd w:id="75"/>
      <w:bookmarkEnd w:id="76"/>
      <w:bookmarkEnd w:id="77"/>
    </w:p>
    <w:p w14:paraId="48AE8AF3" w14:textId="24E01DEA" w:rsidR="005F3809" w:rsidRPr="00D74203" w:rsidRDefault="005F3809" w:rsidP="00E67BCE">
      <w:pPr>
        <w:pStyle w:val="3-BodyText"/>
        <w:spacing w:after="120"/>
      </w:pPr>
      <w:r w:rsidRPr="00D74203">
        <w:fldChar w:fldCharType="begin"/>
      </w:r>
      <w:r w:rsidRPr="00D74203">
        <w:instrText xml:space="preserve"> REF _Ref205550987 \h </w:instrText>
      </w:r>
      <w:r w:rsidRPr="00D74203">
        <w:fldChar w:fldCharType="separate"/>
      </w:r>
      <w:r w:rsidR="0084087D" w:rsidRPr="00D74203">
        <w:t xml:space="preserve">Table </w:t>
      </w:r>
      <w:r w:rsidR="0084087D">
        <w:rPr>
          <w:noProof/>
        </w:rPr>
        <w:t>6</w:t>
      </w:r>
      <w:r w:rsidRPr="00D74203">
        <w:fldChar w:fldCharType="end"/>
      </w:r>
      <w:r w:rsidRPr="00D74203">
        <w:t xml:space="preserve"> presents an overall summary of AEs reported in </w:t>
      </w:r>
      <w:r w:rsidR="00E67BCE" w:rsidRPr="00E67BCE">
        <w:t xml:space="preserve">patients who received at least one dose of study treatment, i.e. the </w:t>
      </w:r>
      <w:r w:rsidR="003B743D">
        <w:t>‘</w:t>
      </w:r>
      <w:r w:rsidR="00E67BCE" w:rsidRPr="00E67BCE">
        <w:t>all participants as treated</w:t>
      </w:r>
      <w:r w:rsidR="003B743D">
        <w:t>’</w:t>
      </w:r>
      <w:r w:rsidR="00E67BCE" w:rsidRPr="00E67BCE">
        <w:t xml:space="preserve"> (</w:t>
      </w:r>
      <w:proofErr w:type="spellStart"/>
      <w:r w:rsidR="00E67BCE" w:rsidRPr="00E67BCE">
        <w:t>APaT</w:t>
      </w:r>
      <w:proofErr w:type="spellEnd"/>
      <w:r w:rsidR="00E67BCE" w:rsidRPr="00E67BCE">
        <w:t>) population</w:t>
      </w:r>
      <w:r w:rsidR="00E67BCE">
        <w:t>, in KN689</w:t>
      </w:r>
      <w:r w:rsidR="00E67BCE" w:rsidRPr="00E67BCE">
        <w:t xml:space="preserve">. </w:t>
      </w:r>
    </w:p>
    <w:p w14:paraId="6B1574E0" w14:textId="0B312D25" w:rsidR="005F3809" w:rsidRPr="00D74203" w:rsidRDefault="005F3809" w:rsidP="005F3809">
      <w:pPr>
        <w:pStyle w:val="Caption"/>
      </w:pPr>
      <w:bookmarkStart w:id="78" w:name="_Ref205550987"/>
      <w:r w:rsidRPr="00D74203">
        <w:t xml:space="preserve">Table </w:t>
      </w:r>
      <w:r w:rsidR="00972E86">
        <w:fldChar w:fldCharType="begin"/>
      </w:r>
      <w:r w:rsidR="00972E86">
        <w:instrText xml:space="preserve"> SEQ Table \* ARABIC </w:instrText>
      </w:r>
      <w:r w:rsidR="00972E86">
        <w:fldChar w:fldCharType="separate"/>
      </w:r>
      <w:r w:rsidR="0084087D">
        <w:rPr>
          <w:noProof/>
        </w:rPr>
        <w:t>6</w:t>
      </w:r>
      <w:r w:rsidR="00972E86">
        <w:rPr>
          <w:noProof/>
        </w:rPr>
        <w:fldChar w:fldCharType="end"/>
      </w:r>
      <w:bookmarkEnd w:id="78"/>
      <w:r w:rsidRPr="00D74203">
        <w:t>: Summary of AEs in the KN689 trial (</w:t>
      </w:r>
      <w:proofErr w:type="spellStart"/>
      <w:r w:rsidRPr="00D74203">
        <w:t>APaT</w:t>
      </w:r>
      <w:proofErr w:type="spellEnd"/>
      <w:r w:rsidRPr="00D74203">
        <w:t xml:space="preserve"> population)</w:t>
      </w:r>
    </w:p>
    <w:tbl>
      <w:tblPr>
        <w:tblStyle w:val="TableGrid"/>
        <w:tblW w:w="5000" w:type="pct"/>
        <w:tblLook w:val="04A0" w:firstRow="1" w:lastRow="0" w:firstColumn="1" w:lastColumn="0" w:noHBand="0" w:noVBand="1"/>
        <w:tblCaption w:val="Table 6: Summary of AEs in the KN689 trial (APaT population)"/>
      </w:tblPr>
      <w:tblGrid>
        <w:gridCol w:w="2816"/>
        <w:gridCol w:w="1678"/>
        <w:gridCol w:w="1346"/>
        <w:gridCol w:w="1630"/>
        <w:gridCol w:w="1547"/>
      </w:tblGrid>
      <w:tr w:rsidR="005F3809" w:rsidRPr="00D74203" w14:paraId="371116F9" w14:textId="77777777">
        <w:tc>
          <w:tcPr>
            <w:tcW w:w="1561" w:type="pct"/>
          </w:tcPr>
          <w:p w14:paraId="3131A518" w14:textId="77777777" w:rsidR="005F3809" w:rsidRPr="00D74203" w:rsidRDefault="005F3809">
            <w:pPr>
              <w:pStyle w:val="TableText0"/>
            </w:pPr>
          </w:p>
        </w:tc>
        <w:tc>
          <w:tcPr>
            <w:tcW w:w="930" w:type="pct"/>
          </w:tcPr>
          <w:p w14:paraId="58975CF7" w14:textId="3401AF81" w:rsidR="005F3809" w:rsidRPr="00D74203" w:rsidRDefault="00517555">
            <w:pPr>
              <w:pStyle w:val="TableText0"/>
              <w:jc w:val="center"/>
              <w:rPr>
                <w:b/>
                <w:bCs w:val="0"/>
              </w:rPr>
            </w:pPr>
            <w:proofErr w:type="spellStart"/>
            <w:r>
              <w:rPr>
                <w:b/>
                <w:bCs w:val="0"/>
              </w:rPr>
              <w:t>PEM+SoC</w:t>
            </w:r>
            <w:proofErr w:type="spellEnd"/>
            <w:r w:rsidR="005F3809" w:rsidRPr="00D74203">
              <w:rPr>
                <w:b/>
                <w:bCs w:val="0"/>
              </w:rPr>
              <w:br/>
              <w:t>(N=361)</w:t>
            </w:r>
          </w:p>
        </w:tc>
        <w:tc>
          <w:tcPr>
            <w:tcW w:w="746" w:type="pct"/>
          </w:tcPr>
          <w:p w14:paraId="41D64200" w14:textId="77777777" w:rsidR="005F3809" w:rsidRPr="00D74203" w:rsidRDefault="005F3809">
            <w:pPr>
              <w:pStyle w:val="TableText0"/>
              <w:jc w:val="center"/>
              <w:rPr>
                <w:b/>
                <w:bCs w:val="0"/>
              </w:rPr>
            </w:pPr>
            <w:r w:rsidRPr="00D74203">
              <w:rPr>
                <w:b/>
                <w:bCs w:val="0"/>
              </w:rPr>
              <w:t>SoC</w:t>
            </w:r>
            <w:r w:rsidRPr="00D74203">
              <w:rPr>
                <w:b/>
                <w:bCs w:val="0"/>
              </w:rPr>
              <w:br/>
              <w:t>(N=315)</w:t>
            </w:r>
          </w:p>
        </w:tc>
        <w:tc>
          <w:tcPr>
            <w:tcW w:w="904" w:type="pct"/>
          </w:tcPr>
          <w:p w14:paraId="53AEE4C6" w14:textId="77777777" w:rsidR="005F3809" w:rsidRPr="00223588" w:rsidRDefault="005F3809">
            <w:pPr>
              <w:pStyle w:val="TableText0"/>
              <w:jc w:val="center"/>
              <w:rPr>
                <w:b/>
                <w:bCs w:val="0"/>
                <w:vertAlign w:val="superscript"/>
              </w:rPr>
            </w:pPr>
            <w:r w:rsidRPr="00223588">
              <w:rPr>
                <w:b/>
                <w:bCs w:val="0"/>
              </w:rPr>
              <w:t>Risk difference (95% CI)</w:t>
            </w:r>
            <w:r w:rsidRPr="00223588">
              <w:rPr>
                <w:b/>
                <w:bCs w:val="0"/>
                <w:vertAlign w:val="superscript"/>
              </w:rPr>
              <w:t>a</w:t>
            </w:r>
          </w:p>
        </w:tc>
        <w:tc>
          <w:tcPr>
            <w:tcW w:w="858" w:type="pct"/>
          </w:tcPr>
          <w:p w14:paraId="778B538C" w14:textId="77777777" w:rsidR="005F3809" w:rsidRPr="00223588" w:rsidRDefault="005F3809">
            <w:pPr>
              <w:pStyle w:val="TableText0"/>
              <w:jc w:val="center"/>
              <w:rPr>
                <w:b/>
                <w:bCs w:val="0"/>
                <w:vertAlign w:val="superscript"/>
              </w:rPr>
            </w:pPr>
            <w:r w:rsidRPr="00223588">
              <w:rPr>
                <w:b/>
                <w:bCs w:val="0"/>
              </w:rPr>
              <w:t xml:space="preserve">Relative risk </w:t>
            </w:r>
            <w:r w:rsidRPr="00223588">
              <w:rPr>
                <w:b/>
                <w:bCs w:val="0"/>
              </w:rPr>
              <w:br/>
              <w:t>(95% CI)</w:t>
            </w:r>
            <w:r w:rsidRPr="00223588">
              <w:rPr>
                <w:b/>
                <w:bCs w:val="0"/>
                <w:vertAlign w:val="superscript"/>
              </w:rPr>
              <w:t>a</w:t>
            </w:r>
          </w:p>
        </w:tc>
      </w:tr>
      <w:tr w:rsidR="005F3809" w:rsidRPr="00D74203" w14:paraId="0AE387EF" w14:textId="77777777">
        <w:tc>
          <w:tcPr>
            <w:tcW w:w="1561" w:type="pct"/>
          </w:tcPr>
          <w:p w14:paraId="25AB24B4" w14:textId="454E4EF9" w:rsidR="005F3809" w:rsidRPr="00D74203" w:rsidRDefault="005F3809">
            <w:pPr>
              <w:pStyle w:val="TableText0"/>
              <w:rPr>
                <w:bCs w:val="0"/>
              </w:rPr>
            </w:pPr>
            <w:r w:rsidRPr="00D74203">
              <w:rPr>
                <w:bCs w:val="0"/>
              </w:rPr>
              <w:t>Any AE</w:t>
            </w:r>
            <w:r w:rsidR="00667E9B">
              <w:rPr>
                <w:bCs w:val="0"/>
              </w:rPr>
              <w:t>s</w:t>
            </w:r>
            <w:r w:rsidRPr="00D74203">
              <w:rPr>
                <w:bCs w:val="0"/>
              </w:rPr>
              <w:t>, n (%)</w:t>
            </w:r>
          </w:p>
        </w:tc>
        <w:tc>
          <w:tcPr>
            <w:tcW w:w="930" w:type="pct"/>
            <w:vAlign w:val="center"/>
          </w:tcPr>
          <w:p w14:paraId="31ABC37D" w14:textId="77777777" w:rsidR="005F3809" w:rsidRPr="00D74203" w:rsidRDefault="005F3809">
            <w:pPr>
              <w:pStyle w:val="TableText0"/>
              <w:jc w:val="center"/>
              <w:rPr>
                <w:bCs w:val="0"/>
              </w:rPr>
            </w:pPr>
            <w:r w:rsidRPr="00D74203">
              <w:rPr>
                <w:bCs w:val="0"/>
              </w:rPr>
              <w:t>348 (96.4)</w:t>
            </w:r>
          </w:p>
        </w:tc>
        <w:tc>
          <w:tcPr>
            <w:tcW w:w="746" w:type="pct"/>
            <w:vAlign w:val="center"/>
          </w:tcPr>
          <w:p w14:paraId="257771CC" w14:textId="77777777" w:rsidR="005F3809" w:rsidRPr="00D74203" w:rsidRDefault="005F3809">
            <w:pPr>
              <w:pStyle w:val="TableText0"/>
              <w:jc w:val="center"/>
              <w:rPr>
                <w:bCs w:val="0"/>
              </w:rPr>
            </w:pPr>
            <w:r w:rsidRPr="00D74203">
              <w:rPr>
                <w:bCs w:val="0"/>
              </w:rPr>
              <w:t>305 (96.8)</w:t>
            </w:r>
          </w:p>
        </w:tc>
        <w:tc>
          <w:tcPr>
            <w:tcW w:w="904" w:type="pct"/>
            <w:vAlign w:val="center"/>
          </w:tcPr>
          <w:p w14:paraId="72555B59" w14:textId="77777777" w:rsidR="005F3809" w:rsidRPr="00223588" w:rsidRDefault="005F3809">
            <w:pPr>
              <w:pStyle w:val="TableText0"/>
              <w:jc w:val="center"/>
              <w:rPr>
                <w:bCs w:val="0"/>
              </w:rPr>
            </w:pPr>
            <w:r w:rsidRPr="00223588">
              <w:t>0.00 (-0.03, 0.02)</w:t>
            </w:r>
          </w:p>
        </w:tc>
        <w:tc>
          <w:tcPr>
            <w:tcW w:w="858" w:type="pct"/>
            <w:vAlign w:val="center"/>
          </w:tcPr>
          <w:p w14:paraId="4F9E6708" w14:textId="77777777" w:rsidR="005F3809" w:rsidRPr="00223588" w:rsidRDefault="005F3809">
            <w:pPr>
              <w:pStyle w:val="TableText0"/>
              <w:jc w:val="center"/>
              <w:rPr>
                <w:bCs w:val="0"/>
              </w:rPr>
            </w:pPr>
            <w:r w:rsidRPr="00223588">
              <w:t>1.00 (0.97, 1.02)</w:t>
            </w:r>
          </w:p>
        </w:tc>
      </w:tr>
      <w:tr w:rsidR="005F3809" w:rsidRPr="00D74203" w14:paraId="51120B43" w14:textId="77777777">
        <w:tc>
          <w:tcPr>
            <w:tcW w:w="1561" w:type="pct"/>
          </w:tcPr>
          <w:p w14:paraId="55E29020" w14:textId="35048E6D" w:rsidR="005F3809" w:rsidRPr="00D74203" w:rsidRDefault="005F3809">
            <w:pPr>
              <w:pStyle w:val="TableText0"/>
              <w:ind w:left="220"/>
              <w:rPr>
                <w:bCs w:val="0"/>
              </w:rPr>
            </w:pPr>
            <w:r w:rsidRPr="00D74203">
              <w:rPr>
                <w:bCs w:val="0"/>
              </w:rPr>
              <w:t>Any Drug-related AE</w:t>
            </w:r>
            <w:r w:rsidR="00667E9B">
              <w:rPr>
                <w:bCs w:val="0"/>
              </w:rPr>
              <w:t>s</w:t>
            </w:r>
            <w:r w:rsidRPr="00D74203">
              <w:rPr>
                <w:bCs w:val="0"/>
              </w:rPr>
              <w:t>, n (%)</w:t>
            </w:r>
          </w:p>
        </w:tc>
        <w:tc>
          <w:tcPr>
            <w:tcW w:w="930" w:type="pct"/>
            <w:vAlign w:val="center"/>
          </w:tcPr>
          <w:p w14:paraId="6FBFED38" w14:textId="77777777" w:rsidR="005F3809" w:rsidRPr="00D74203" w:rsidRDefault="005F3809">
            <w:pPr>
              <w:pStyle w:val="TableText0"/>
              <w:jc w:val="center"/>
              <w:rPr>
                <w:bCs w:val="0"/>
              </w:rPr>
            </w:pPr>
            <w:r w:rsidRPr="00D74203">
              <w:rPr>
                <w:bCs w:val="0"/>
              </w:rPr>
              <w:t>294 (81.4)</w:t>
            </w:r>
          </w:p>
        </w:tc>
        <w:tc>
          <w:tcPr>
            <w:tcW w:w="746" w:type="pct"/>
            <w:vAlign w:val="center"/>
          </w:tcPr>
          <w:p w14:paraId="30FC7621" w14:textId="77777777" w:rsidR="005F3809" w:rsidRPr="00D74203" w:rsidRDefault="005F3809">
            <w:pPr>
              <w:pStyle w:val="TableText0"/>
              <w:jc w:val="center"/>
              <w:rPr>
                <w:bCs w:val="0"/>
              </w:rPr>
            </w:pPr>
            <w:r w:rsidRPr="00D74203">
              <w:rPr>
                <w:bCs w:val="0"/>
              </w:rPr>
              <w:t>258 (81.9)</w:t>
            </w:r>
          </w:p>
        </w:tc>
        <w:tc>
          <w:tcPr>
            <w:tcW w:w="904" w:type="pct"/>
            <w:vAlign w:val="center"/>
          </w:tcPr>
          <w:p w14:paraId="604CA255" w14:textId="77777777" w:rsidR="005F3809" w:rsidRPr="00223588" w:rsidRDefault="005F3809">
            <w:pPr>
              <w:pStyle w:val="TableText0"/>
              <w:jc w:val="center"/>
              <w:rPr>
                <w:bCs w:val="0"/>
              </w:rPr>
            </w:pPr>
            <w:r w:rsidRPr="00223588">
              <w:t>0.00 (-0.06, 0.05)</w:t>
            </w:r>
          </w:p>
        </w:tc>
        <w:tc>
          <w:tcPr>
            <w:tcW w:w="858" w:type="pct"/>
            <w:vAlign w:val="center"/>
          </w:tcPr>
          <w:p w14:paraId="76FC889E" w14:textId="77777777" w:rsidR="005F3809" w:rsidRPr="00223588" w:rsidRDefault="005F3809">
            <w:pPr>
              <w:pStyle w:val="TableText0"/>
              <w:jc w:val="center"/>
              <w:rPr>
                <w:bCs w:val="0"/>
              </w:rPr>
            </w:pPr>
            <w:r w:rsidRPr="00223588">
              <w:t>0.99 (0.93, 1.07)</w:t>
            </w:r>
          </w:p>
        </w:tc>
      </w:tr>
      <w:tr w:rsidR="005F3809" w:rsidRPr="00D74203" w14:paraId="285CF1F4" w14:textId="77777777">
        <w:tc>
          <w:tcPr>
            <w:tcW w:w="1561" w:type="pct"/>
          </w:tcPr>
          <w:p w14:paraId="3C46D88A" w14:textId="77777777" w:rsidR="005F3809" w:rsidRPr="00D74203" w:rsidRDefault="005F3809">
            <w:pPr>
              <w:pStyle w:val="TableText0"/>
              <w:rPr>
                <w:bCs w:val="0"/>
              </w:rPr>
            </w:pPr>
            <w:r w:rsidRPr="00D74203">
              <w:rPr>
                <w:bCs w:val="0"/>
              </w:rPr>
              <w:t>Grade ≥3, n (%)</w:t>
            </w:r>
          </w:p>
        </w:tc>
        <w:tc>
          <w:tcPr>
            <w:tcW w:w="930" w:type="pct"/>
            <w:vAlign w:val="center"/>
          </w:tcPr>
          <w:p w14:paraId="04EDFFC0" w14:textId="77777777" w:rsidR="005F3809" w:rsidRPr="00D74203" w:rsidRDefault="005F3809">
            <w:pPr>
              <w:pStyle w:val="TableText0"/>
              <w:jc w:val="center"/>
              <w:rPr>
                <w:bCs w:val="0"/>
              </w:rPr>
            </w:pPr>
            <w:r w:rsidRPr="00D74203">
              <w:rPr>
                <w:bCs w:val="0"/>
              </w:rPr>
              <w:t>275 (76.2)</w:t>
            </w:r>
          </w:p>
        </w:tc>
        <w:tc>
          <w:tcPr>
            <w:tcW w:w="746" w:type="pct"/>
            <w:vAlign w:val="center"/>
          </w:tcPr>
          <w:p w14:paraId="39792584" w14:textId="77777777" w:rsidR="005F3809" w:rsidRPr="00D74203" w:rsidRDefault="005F3809">
            <w:pPr>
              <w:pStyle w:val="TableText0"/>
              <w:jc w:val="center"/>
              <w:rPr>
                <w:bCs w:val="0"/>
              </w:rPr>
            </w:pPr>
            <w:r w:rsidRPr="00D74203">
              <w:rPr>
                <w:bCs w:val="0"/>
              </w:rPr>
              <w:t>233 (74.0)</w:t>
            </w:r>
          </w:p>
        </w:tc>
        <w:tc>
          <w:tcPr>
            <w:tcW w:w="904" w:type="pct"/>
            <w:vAlign w:val="center"/>
          </w:tcPr>
          <w:p w14:paraId="77A11EB4" w14:textId="77777777" w:rsidR="005F3809" w:rsidRPr="00223588" w:rsidRDefault="005F3809">
            <w:pPr>
              <w:pStyle w:val="TableText0"/>
              <w:jc w:val="center"/>
              <w:rPr>
                <w:bCs w:val="0"/>
              </w:rPr>
            </w:pPr>
            <w:r w:rsidRPr="00223588">
              <w:t>0.02 (-0.04, 0.09)</w:t>
            </w:r>
          </w:p>
        </w:tc>
        <w:tc>
          <w:tcPr>
            <w:tcW w:w="858" w:type="pct"/>
            <w:vAlign w:val="center"/>
          </w:tcPr>
          <w:p w14:paraId="7B23D2DA" w14:textId="77777777" w:rsidR="005F3809" w:rsidRPr="00223588" w:rsidRDefault="005F3809">
            <w:pPr>
              <w:pStyle w:val="TableText0"/>
              <w:jc w:val="center"/>
              <w:rPr>
                <w:bCs w:val="0"/>
              </w:rPr>
            </w:pPr>
            <w:r w:rsidRPr="00223588">
              <w:t>1.03 (0.94, 1.12)</w:t>
            </w:r>
          </w:p>
        </w:tc>
      </w:tr>
      <w:tr w:rsidR="005F3809" w:rsidRPr="00D74203" w14:paraId="033A04E7" w14:textId="77777777">
        <w:tc>
          <w:tcPr>
            <w:tcW w:w="1561" w:type="pct"/>
          </w:tcPr>
          <w:p w14:paraId="10BAE1C1" w14:textId="77777777" w:rsidR="005F3809" w:rsidRPr="00D74203" w:rsidRDefault="005F3809">
            <w:pPr>
              <w:pStyle w:val="TableText0"/>
              <w:ind w:left="220"/>
              <w:rPr>
                <w:bCs w:val="0"/>
              </w:rPr>
            </w:pPr>
            <w:r w:rsidRPr="00D74203">
              <w:rPr>
                <w:bCs w:val="0"/>
              </w:rPr>
              <w:t>Drug related Grade ≥3, n (%)</w:t>
            </w:r>
          </w:p>
        </w:tc>
        <w:tc>
          <w:tcPr>
            <w:tcW w:w="930" w:type="pct"/>
            <w:vAlign w:val="center"/>
          </w:tcPr>
          <w:p w14:paraId="6C7360DC" w14:textId="77777777" w:rsidR="005F3809" w:rsidRPr="00D74203" w:rsidRDefault="005F3809">
            <w:pPr>
              <w:pStyle w:val="TableText0"/>
              <w:jc w:val="center"/>
              <w:rPr>
                <w:bCs w:val="0"/>
              </w:rPr>
            </w:pPr>
            <w:r w:rsidRPr="00D74203">
              <w:rPr>
                <w:bCs w:val="0"/>
              </w:rPr>
              <w:t>161 (44.6)</w:t>
            </w:r>
          </w:p>
        </w:tc>
        <w:tc>
          <w:tcPr>
            <w:tcW w:w="746" w:type="pct"/>
            <w:vAlign w:val="center"/>
          </w:tcPr>
          <w:p w14:paraId="2157B728" w14:textId="77777777" w:rsidR="005F3809" w:rsidRPr="00D74203" w:rsidRDefault="005F3809">
            <w:pPr>
              <w:pStyle w:val="TableText0"/>
              <w:jc w:val="center"/>
              <w:rPr>
                <w:bCs w:val="0"/>
              </w:rPr>
            </w:pPr>
            <w:r w:rsidRPr="00D74203">
              <w:rPr>
                <w:bCs w:val="0"/>
              </w:rPr>
              <w:t>135 (42.9)</w:t>
            </w:r>
          </w:p>
        </w:tc>
        <w:tc>
          <w:tcPr>
            <w:tcW w:w="904" w:type="pct"/>
            <w:vAlign w:val="center"/>
          </w:tcPr>
          <w:p w14:paraId="3D1A4E47" w14:textId="77777777" w:rsidR="005F3809" w:rsidRPr="00223588" w:rsidRDefault="005F3809">
            <w:pPr>
              <w:pStyle w:val="TableText0"/>
              <w:jc w:val="center"/>
              <w:rPr>
                <w:bCs w:val="0"/>
              </w:rPr>
            </w:pPr>
            <w:r w:rsidRPr="00223588">
              <w:t>0.02 (-0.06, 0.09)</w:t>
            </w:r>
          </w:p>
        </w:tc>
        <w:tc>
          <w:tcPr>
            <w:tcW w:w="858" w:type="pct"/>
            <w:vAlign w:val="center"/>
          </w:tcPr>
          <w:p w14:paraId="3539BDFB" w14:textId="77777777" w:rsidR="005F3809" w:rsidRPr="00223588" w:rsidRDefault="005F3809">
            <w:pPr>
              <w:pStyle w:val="TableText0"/>
              <w:jc w:val="center"/>
              <w:rPr>
                <w:bCs w:val="0"/>
              </w:rPr>
            </w:pPr>
            <w:r w:rsidRPr="00223588">
              <w:t>1.04 (0.88, 1.24)</w:t>
            </w:r>
          </w:p>
        </w:tc>
      </w:tr>
      <w:tr w:rsidR="005F3809" w:rsidRPr="00D74203" w14:paraId="0ACF7F2C" w14:textId="77777777">
        <w:tc>
          <w:tcPr>
            <w:tcW w:w="1561" w:type="pct"/>
          </w:tcPr>
          <w:p w14:paraId="63DAC6AA" w14:textId="77777777" w:rsidR="005F3809" w:rsidRPr="00D74203" w:rsidRDefault="005F3809">
            <w:pPr>
              <w:pStyle w:val="TableText0"/>
              <w:rPr>
                <w:bCs w:val="0"/>
              </w:rPr>
            </w:pPr>
            <w:r w:rsidRPr="00D74203">
              <w:rPr>
                <w:bCs w:val="0"/>
              </w:rPr>
              <w:t>Serious AEs, n (%)</w:t>
            </w:r>
          </w:p>
        </w:tc>
        <w:tc>
          <w:tcPr>
            <w:tcW w:w="930" w:type="pct"/>
            <w:vAlign w:val="center"/>
          </w:tcPr>
          <w:p w14:paraId="5B04632A" w14:textId="77777777" w:rsidR="005F3809" w:rsidRPr="00D74203" w:rsidRDefault="005F3809">
            <w:pPr>
              <w:pStyle w:val="TableText0"/>
              <w:jc w:val="center"/>
              <w:rPr>
                <w:bCs w:val="0"/>
              </w:rPr>
            </w:pPr>
            <w:r w:rsidRPr="00D74203">
              <w:rPr>
                <w:bCs w:val="0"/>
              </w:rPr>
              <w:t>179 (49.6)</w:t>
            </w:r>
          </w:p>
        </w:tc>
        <w:tc>
          <w:tcPr>
            <w:tcW w:w="746" w:type="pct"/>
            <w:vAlign w:val="center"/>
          </w:tcPr>
          <w:p w14:paraId="525D3951" w14:textId="77777777" w:rsidR="005F3809" w:rsidRPr="00D74203" w:rsidRDefault="005F3809">
            <w:pPr>
              <w:pStyle w:val="TableText0"/>
              <w:jc w:val="center"/>
              <w:rPr>
                <w:bCs w:val="0"/>
              </w:rPr>
            </w:pPr>
            <w:r w:rsidRPr="00D74203">
              <w:rPr>
                <w:bCs w:val="0"/>
              </w:rPr>
              <w:t>116 (36.8)</w:t>
            </w:r>
          </w:p>
        </w:tc>
        <w:tc>
          <w:tcPr>
            <w:tcW w:w="904" w:type="pct"/>
            <w:vAlign w:val="center"/>
          </w:tcPr>
          <w:p w14:paraId="5D6CCA51" w14:textId="77777777" w:rsidR="005F3809" w:rsidRPr="00223588" w:rsidRDefault="005F3809">
            <w:pPr>
              <w:pStyle w:val="TableText0"/>
              <w:jc w:val="center"/>
              <w:rPr>
                <w:b/>
                <w:bCs w:val="0"/>
                <w:highlight w:val="yellow"/>
              </w:rPr>
            </w:pPr>
            <w:r w:rsidRPr="00223588">
              <w:rPr>
                <w:b/>
                <w:bCs w:val="0"/>
              </w:rPr>
              <w:t>0.13 (0.05, 0.20)</w:t>
            </w:r>
          </w:p>
        </w:tc>
        <w:tc>
          <w:tcPr>
            <w:tcW w:w="858" w:type="pct"/>
            <w:vAlign w:val="center"/>
          </w:tcPr>
          <w:p w14:paraId="319A62DD" w14:textId="77777777" w:rsidR="005F3809" w:rsidRPr="00223588" w:rsidRDefault="005F3809">
            <w:pPr>
              <w:pStyle w:val="TableText0"/>
              <w:jc w:val="center"/>
              <w:rPr>
                <w:b/>
                <w:bCs w:val="0"/>
                <w:highlight w:val="yellow"/>
              </w:rPr>
            </w:pPr>
            <w:r w:rsidRPr="00223588">
              <w:rPr>
                <w:b/>
                <w:bCs w:val="0"/>
              </w:rPr>
              <w:t>1.35 (1.13, 1.61)</w:t>
            </w:r>
          </w:p>
        </w:tc>
      </w:tr>
      <w:tr w:rsidR="005F3809" w:rsidRPr="00D74203" w14:paraId="27F0664B" w14:textId="77777777">
        <w:tc>
          <w:tcPr>
            <w:tcW w:w="1561" w:type="pct"/>
          </w:tcPr>
          <w:p w14:paraId="554E6804" w14:textId="77777777" w:rsidR="005F3809" w:rsidRPr="00D74203" w:rsidRDefault="005F3809">
            <w:pPr>
              <w:pStyle w:val="TableText0"/>
              <w:ind w:left="220"/>
              <w:rPr>
                <w:bCs w:val="0"/>
              </w:rPr>
            </w:pPr>
            <w:r w:rsidRPr="00D74203">
              <w:rPr>
                <w:bCs w:val="0"/>
              </w:rPr>
              <w:t>Drug related Serious AEs, n (%)</w:t>
            </w:r>
          </w:p>
        </w:tc>
        <w:tc>
          <w:tcPr>
            <w:tcW w:w="930" w:type="pct"/>
            <w:vAlign w:val="center"/>
          </w:tcPr>
          <w:p w14:paraId="3BF941A9" w14:textId="77777777" w:rsidR="005F3809" w:rsidRPr="00D74203" w:rsidRDefault="005F3809">
            <w:pPr>
              <w:pStyle w:val="TableText0"/>
              <w:jc w:val="center"/>
              <w:rPr>
                <w:bCs w:val="0"/>
              </w:rPr>
            </w:pPr>
            <w:r w:rsidRPr="00D74203">
              <w:rPr>
                <w:bCs w:val="0"/>
              </w:rPr>
              <w:t>69 (19.1)</w:t>
            </w:r>
          </w:p>
        </w:tc>
        <w:tc>
          <w:tcPr>
            <w:tcW w:w="746" w:type="pct"/>
            <w:vAlign w:val="center"/>
          </w:tcPr>
          <w:p w14:paraId="6458D2EC" w14:textId="77777777" w:rsidR="005F3809" w:rsidRPr="00D74203" w:rsidRDefault="005F3809">
            <w:pPr>
              <w:pStyle w:val="TableText0"/>
              <w:jc w:val="center"/>
              <w:rPr>
                <w:bCs w:val="0"/>
              </w:rPr>
            </w:pPr>
            <w:r w:rsidRPr="00D74203">
              <w:rPr>
                <w:bCs w:val="0"/>
              </w:rPr>
              <w:t>33 (10.5)</w:t>
            </w:r>
          </w:p>
        </w:tc>
        <w:tc>
          <w:tcPr>
            <w:tcW w:w="904" w:type="pct"/>
            <w:vAlign w:val="center"/>
          </w:tcPr>
          <w:p w14:paraId="3EA0A278" w14:textId="77777777" w:rsidR="005F3809" w:rsidRPr="00223588" w:rsidRDefault="005F3809">
            <w:pPr>
              <w:pStyle w:val="TableText0"/>
              <w:jc w:val="center"/>
              <w:rPr>
                <w:b/>
                <w:bCs w:val="0"/>
                <w:highlight w:val="yellow"/>
              </w:rPr>
            </w:pPr>
            <w:r w:rsidRPr="00223588">
              <w:rPr>
                <w:b/>
                <w:bCs w:val="0"/>
              </w:rPr>
              <w:t>0.09 (0.03, 0.14)</w:t>
            </w:r>
          </w:p>
        </w:tc>
        <w:tc>
          <w:tcPr>
            <w:tcW w:w="858" w:type="pct"/>
            <w:vAlign w:val="center"/>
          </w:tcPr>
          <w:p w14:paraId="33859D4D" w14:textId="77777777" w:rsidR="005F3809" w:rsidRPr="00223588" w:rsidRDefault="005F3809">
            <w:pPr>
              <w:pStyle w:val="TableText0"/>
              <w:jc w:val="center"/>
              <w:rPr>
                <w:b/>
                <w:bCs w:val="0"/>
                <w:highlight w:val="yellow"/>
              </w:rPr>
            </w:pPr>
            <w:r w:rsidRPr="00223588">
              <w:rPr>
                <w:b/>
                <w:bCs w:val="0"/>
              </w:rPr>
              <w:t>1.82 (1.24, 2.68)</w:t>
            </w:r>
          </w:p>
        </w:tc>
      </w:tr>
      <w:tr w:rsidR="005F3809" w:rsidRPr="00D74203" w14:paraId="4CFFC503" w14:textId="77777777">
        <w:tc>
          <w:tcPr>
            <w:tcW w:w="1561" w:type="pct"/>
          </w:tcPr>
          <w:p w14:paraId="4C91247C" w14:textId="77777777" w:rsidR="005F3809" w:rsidRPr="00D74203" w:rsidRDefault="005F3809">
            <w:pPr>
              <w:pStyle w:val="TableText0"/>
              <w:rPr>
                <w:bCs w:val="0"/>
              </w:rPr>
            </w:pPr>
            <w:r w:rsidRPr="00D74203">
              <w:rPr>
                <w:bCs w:val="0"/>
              </w:rPr>
              <w:t>AEs Leading to drug discontinuation, n (%)</w:t>
            </w:r>
          </w:p>
        </w:tc>
        <w:tc>
          <w:tcPr>
            <w:tcW w:w="930" w:type="pct"/>
            <w:vAlign w:val="center"/>
          </w:tcPr>
          <w:p w14:paraId="77318FB2" w14:textId="77777777" w:rsidR="005F3809" w:rsidRPr="00D74203" w:rsidRDefault="005F3809">
            <w:pPr>
              <w:pStyle w:val="TableText0"/>
              <w:jc w:val="center"/>
              <w:rPr>
                <w:bCs w:val="0"/>
              </w:rPr>
            </w:pPr>
            <w:r w:rsidRPr="00D74203">
              <w:rPr>
                <w:bCs w:val="0"/>
              </w:rPr>
              <w:t>88 (24.4)</w:t>
            </w:r>
          </w:p>
        </w:tc>
        <w:tc>
          <w:tcPr>
            <w:tcW w:w="746" w:type="pct"/>
            <w:vAlign w:val="center"/>
          </w:tcPr>
          <w:p w14:paraId="43629A06" w14:textId="77777777" w:rsidR="005F3809" w:rsidRPr="00D74203" w:rsidRDefault="005F3809">
            <w:pPr>
              <w:pStyle w:val="TableText0"/>
              <w:jc w:val="center"/>
              <w:rPr>
                <w:bCs w:val="0"/>
              </w:rPr>
            </w:pPr>
            <w:r w:rsidRPr="00D74203">
              <w:rPr>
                <w:bCs w:val="0"/>
              </w:rPr>
              <w:t>45 (14.3)</w:t>
            </w:r>
          </w:p>
        </w:tc>
        <w:tc>
          <w:tcPr>
            <w:tcW w:w="904" w:type="pct"/>
            <w:vAlign w:val="center"/>
          </w:tcPr>
          <w:p w14:paraId="38BBA37C" w14:textId="77777777" w:rsidR="005F3809" w:rsidRPr="00223588" w:rsidRDefault="005F3809">
            <w:pPr>
              <w:pStyle w:val="TableText0"/>
              <w:jc w:val="center"/>
              <w:rPr>
                <w:b/>
                <w:bCs w:val="0"/>
                <w:highlight w:val="yellow"/>
              </w:rPr>
            </w:pPr>
            <w:r w:rsidRPr="00223588">
              <w:rPr>
                <w:b/>
                <w:bCs w:val="0"/>
              </w:rPr>
              <w:t>0.10 (0.04, 0.16)</w:t>
            </w:r>
          </w:p>
        </w:tc>
        <w:tc>
          <w:tcPr>
            <w:tcW w:w="858" w:type="pct"/>
            <w:vAlign w:val="center"/>
          </w:tcPr>
          <w:p w14:paraId="117B9495" w14:textId="77777777" w:rsidR="005F3809" w:rsidRPr="00223588" w:rsidRDefault="005F3809">
            <w:pPr>
              <w:pStyle w:val="TableText0"/>
              <w:jc w:val="center"/>
              <w:rPr>
                <w:b/>
                <w:bCs w:val="0"/>
                <w:highlight w:val="yellow"/>
              </w:rPr>
            </w:pPr>
            <w:r w:rsidRPr="00223588">
              <w:rPr>
                <w:b/>
                <w:bCs w:val="0"/>
              </w:rPr>
              <w:t>1.71 (1.23, 2.36)</w:t>
            </w:r>
          </w:p>
        </w:tc>
      </w:tr>
      <w:tr w:rsidR="005F3809" w:rsidRPr="00D74203" w14:paraId="02A0CCCB" w14:textId="77777777">
        <w:tc>
          <w:tcPr>
            <w:tcW w:w="1561" w:type="pct"/>
          </w:tcPr>
          <w:p w14:paraId="0B35D65D" w14:textId="77777777" w:rsidR="005F3809" w:rsidRPr="00D74203" w:rsidRDefault="005F3809">
            <w:pPr>
              <w:pStyle w:val="TableText0"/>
              <w:ind w:left="220"/>
              <w:rPr>
                <w:bCs w:val="0"/>
              </w:rPr>
            </w:pPr>
            <w:r w:rsidRPr="00D74203">
              <w:rPr>
                <w:bCs w:val="0"/>
              </w:rPr>
              <w:t>Drug related AEs leading to discontinuation, n (%)</w:t>
            </w:r>
          </w:p>
        </w:tc>
        <w:tc>
          <w:tcPr>
            <w:tcW w:w="930" w:type="pct"/>
            <w:vAlign w:val="center"/>
          </w:tcPr>
          <w:p w14:paraId="2B6D7232" w14:textId="77777777" w:rsidR="005F3809" w:rsidRPr="00D74203" w:rsidRDefault="005F3809">
            <w:pPr>
              <w:pStyle w:val="TableText0"/>
              <w:jc w:val="center"/>
              <w:rPr>
                <w:bCs w:val="0"/>
              </w:rPr>
            </w:pPr>
            <w:r w:rsidRPr="00D74203">
              <w:rPr>
                <w:bCs w:val="0"/>
              </w:rPr>
              <w:t>64 (17.7)</w:t>
            </w:r>
          </w:p>
        </w:tc>
        <w:tc>
          <w:tcPr>
            <w:tcW w:w="746" w:type="pct"/>
            <w:vAlign w:val="center"/>
          </w:tcPr>
          <w:p w14:paraId="20C2BBC9" w14:textId="77777777" w:rsidR="005F3809" w:rsidRPr="00D74203" w:rsidRDefault="005F3809">
            <w:pPr>
              <w:pStyle w:val="TableText0"/>
              <w:jc w:val="center"/>
              <w:rPr>
                <w:bCs w:val="0"/>
              </w:rPr>
            </w:pPr>
            <w:r w:rsidRPr="00D74203">
              <w:rPr>
                <w:bCs w:val="0"/>
              </w:rPr>
              <w:t>39 (12.4)</w:t>
            </w:r>
          </w:p>
        </w:tc>
        <w:tc>
          <w:tcPr>
            <w:tcW w:w="904" w:type="pct"/>
            <w:vAlign w:val="center"/>
          </w:tcPr>
          <w:p w14:paraId="69AADCC4" w14:textId="77777777" w:rsidR="005F3809" w:rsidRPr="00223588" w:rsidRDefault="005F3809">
            <w:pPr>
              <w:pStyle w:val="TableText0"/>
              <w:jc w:val="center"/>
              <w:rPr>
                <w:bCs w:val="0"/>
                <w:highlight w:val="yellow"/>
              </w:rPr>
            </w:pPr>
            <w:r w:rsidRPr="00223588">
              <w:t>0.05 (0.00, 0.11)</w:t>
            </w:r>
          </w:p>
        </w:tc>
        <w:tc>
          <w:tcPr>
            <w:tcW w:w="858" w:type="pct"/>
            <w:vAlign w:val="center"/>
          </w:tcPr>
          <w:p w14:paraId="5AE447BC" w14:textId="77777777" w:rsidR="005F3809" w:rsidRPr="00223588" w:rsidRDefault="005F3809">
            <w:pPr>
              <w:pStyle w:val="TableText0"/>
              <w:jc w:val="center"/>
              <w:rPr>
                <w:bCs w:val="0"/>
                <w:highlight w:val="yellow"/>
              </w:rPr>
            </w:pPr>
            <w:r w:rsidRPr="00223588">
              <w:t>1.43 (0.99, 2.07)</w:t>
            </w:r>
          </w:p>
        </w:tc>
      </w:tr>
      <w:tr w:rsidR="005F3809" w:rsidRPr="00D74203" w14:paraId="34738A08" w14:textId="77777777">
        <w:tc>
          <w:tcPr>
            <w:tcW w:w="1561" w:type="pct"/>
          </w:tcPr>
          <w:p w14:paraId="6DDD44E3" w14:textId="77777777" w:rsidR="005F3809" w:rsidRPr="00D74203" w:rsidRDefault="005F3809">
            <w:pPr>
              <w:pStyle w:val="TableText0"/>
              <w:rPr>
                <w:bCs w:val="0"/>
              </w:rPr>
            </w:pPr>
            <w:r w:rsidRPr="00D74203">
              <w:rPr>
                <w:bCs w:val="0"/>
              </w:rPr>
              <w:t xml:space="preserve">Serious AEs leading to discontinuation, n (%) </w:t>
            </w:r>
          </w:p>
        </w:tc>
        <w:tc>
          <w:tcPr>
            <w:tcW w:w="930" w:type="pct"/>
            <w:vAlign w:val="center"/>
          </w:tcPr>
          <w:p w14:paraId="5CA89AB2" w14:textId="77777777" w:rsidR="005F3809" w:rsidRPr="00D74203" w:rsidRDefault="005F3809">
            <w:pPr>
              <w:pStyle w:val="TableText0"/>
              <w:jc w:val="center"/>
              <w:rPr>
                <w:bCs w:val="0"/>
              </w:rPr>
            </w:pPr>
            <w:r w:rsidRPr="00D74203">
              <w:rPr>
                <w:bCs w:val="0"/>
              </w:rPr>
              <w:t>47 (13.0)</w:t>
            </w:r>
          </w:p>
        </w:tc>
        <w:tc>
          <w:tcPr>
            <w:tcW w:w="746" w:type="pct"/>
            <w:vAlign w:val="center"/>
          </w:tcPr>
          <w:p w14:paraId="4B439487" w14:textId="77777777" w:rsidR="005F3809" w:rsidRPr="00D74203" w:rsidRDefault="005F3809">
            <w:pPr>
              <w:pStyle w:val="TableText0"/>
              <w:jc w:val="center"/>
              <w:rPr>
                <w:bCs w:val="0"/>
              </w:rPr>
            </w:pPr>
            <w:r w:rsidRPr="00D74203">
              <w:rPr>
                <w:bCs w:val="0"/>
              </w:rPr>
              <w:t>11 (3.5)</w:t>
            </w:r>
          </w:p>
        </w:tc>
        <w:tc>
          <w:tcPr>
            <w:tcW w:w="904" w:type="pct"/>
            <w:vAlign w:val="center"/>
          </w:tcPr>
          <w:p w14:paraId="7AA5CE2A" w14:textId="5197E7D9" w:rsidR="005F3809" w:rsidRPr="00223588" w:rsidRDefault="005F3809">
            <w:pPr>
              <w:pStyle w:val="TableText0"/>
              <w:jc w:val="center"/>
              <w:rPr>
                <w:b/>
                <w:bCs w:val="0"/>
                <w:highlight w:val="yellow"/>
              </w:rPr>
            </w:pPr>
            <w:r w:rsidRPr="00223588">
              <w:rPr>
                <w:b/>
                <w:bCs w:val="0"/>
              </w:rPr>
              <w:t>0.1</w:t>
            </w:r>
            <w:r w:rsidR="009C2CA7" w:rsidRPr="00223588">
              <w:rPr>
                <w:b/>
                <w:bCs w:val="0"/>
              </w:rPr>
              <w:t>0</w:t>
            </w:r>
            <w:r w:rsidRPr="00223588">
              <w:rPr>
                <w:b/>
                <w:bCs w:val="0"/>
              </w:rPr>
              <w:t xml:space="preserve"> (0.06, 0.14)</w:t>
            </w:r>
          </w:p>
        </w:tc>
        <w:tc>
          <w:tcPr>
            <w:tcW w:w="858" w:type="pct"/>
            <w:vAlign w:val="center"/>
          </w:tcPr>
          <w:p w14:paraId="45E31A44" w14:textId="77777777" w:rsidR="005F3809" w:rsidRPr="00223588" w:rsidRDefault="005F3809">
            <w:pPr>
              <w:pStyle w:val="TableText0"/>
              <w:jc w:val="center"/>
              <w:rPr>
                <w:b/>
                <w:bCs w:val="0"/>
                <w:highlight w:val="yellow"/>
              </w:rPr>
            </w:pPr>
            <w:r w:rsidRPr="00223588">
              <w:rPr>
                <w:b/>
                <w:bCs w:val="0"/>
              </w:rPr>
              <w:t>3.73 (1.97, 7.06)</w:t>
            </w:r>
          </w:p>
        </w:tc>
      </w:tr>
      <w:tr w:rsidR="005F3809" w:rsidRPr="00D74203" w14:paraId="23193DC6" w14:textId="77777777">
        <w:tc>
          <w:tcPr>
            <w:tcW w:w="1561" w:type="pct"/>
          </w:tcPr>
          <w:p w14:paraId="4F831AE3" w14:textId="77777777" w:rsidR="005F3809" w:rsidRPr="00D74203" w:rsidRDefault="005F3809">
            <w:pPr>
              <w:pStyle w:val="TableText0"/>
              <w:ind w:left="220"/>
              <w:rPr>
                <w:bCs w:val="0"/>
              </w:rPr>
            </w:pPr>
            <w:r w:rsidRPr="00D74203">
              <w:rPr>
                <w:bCs w:val="0"/>
              </w:rPr>
              <w:t>Serious drug related AEs leading to discontinuation, n (%)</w:t>
            </w:r>
          </w:p>
        </w:tc>
        <w:tc>
          <w:tcPr>
            <w:tcW w:w="930" w:type="pct"/>
            <w:vAlign w:val="center"/>
          </w:tcPr>
          <w:p w14:paraId="73AB6954" w14:textId="77777777" w:rsidR="005F3809" w:rsidRPr="00D74203" w:rsidRDefault="005F3809">
            <w:pPr>
              <w:pStyle w:val="TableText0"/>
              <w:jc w:val="center"/>
              <w:rPr>
                <w:bCs w:val="0"/>
              </w:rPr>
            </w:pPr>
            <w:r w:rsidRPr="00D74203">
              <w:rPr>
                <w:bCs w:val="0"/>
              </w:rPr>
              <w:t>27 (7.5)</w:t>
            </w:r>
          </w:p>
        </w:tc>
        <w:tc>
          <w:tcPr>
            <w:tcW w:w="746" w:type="pct"/>
            <w:vAlign w:val="center"/>
          </w:tcPr>
          <w:p w14:paraId="11F4A6D1" w14:textId="77777777" w:rsidR="005F3809" w:rsidRPr="00D74203" w:rsidRDefault="005F3809">
            <w:pPr>
              <w:pStyle w:val="TableText0"/>
              <w:jc w:val="center"/>
              <w:rPr>
                <w:bCs w:val="0"/>
              </w:rPr>
            </w:pPr>
            <w:r w:rsidRPr="00D74203">
              <w:rPr>
                <w:bCs w:val="0"/>
              </w:rPr>
              <w:t>8 (2.5)</w:t>
            </w:r>
          </w:p>
        </w:tc>
        <w:tc>
          <w:tcPr>
            <w:tcW w:w="904" w:type="pct"/>
            <w:vAlign w:val="center"/>
          </w:tcPr>
          <w:p w14:paraId="71B05798" w14:textId="77777777" w:rsidR="005F3809" w:rsidRPr="00223588" w:rsidRDefault="005F3809">
            <w:pPr>
              <w:pStyle w:val="TableText0"/>
              <w:jc w:val="center"/>
              <w:rPr>
                <w:b/>
                <w:bCs w:val="0"/>
                <w:highlight w:val="yellow"/>
              </w:rPr>
            </w:pPr>
            <w:r w:rsidRPr="00223588">
              <w:rPr>
                <w:b/>
                <w:bCs w:val="0"/>
              </w:rPr>
              <w:t>0.05 (0.02, 0.08)</w:t>
            </w:r>
          </w:p>
        </w:tc>
        <w:tc>
          <w:tcPr>
            <w:tcW w:w="858" w:type="pct"/>
            <w:vAlign w:val="center"/>
          </w:tcPr>
          <w:p w14:paraId="151D60DA" w14:textId="77777777" w:rsidR="005F3809" w:rsidRPr="00223588" w:rsidRDefault="005F3809">
            <w:pPr>
              <w:pStyle w:val="TableText0"/>
              <w:jc w:val="center"/>
              <w:rPr>
                <w:b/>
                <w:bCs w:val="0"/>
                <w:highlight w:val="yellow"/>
              </w:rPr>
            </w:pPr>
            <w:r w:rsidRPr="00223588">
              <w:rPr>
                <w:b/>
                <w:bCs w:val="0"/>
              </w:rPr>
              <w:t>2.94 (1.36, 6.39)</w:t>
            </w:r>
          </w:p>
        </w:tc>
      </w:tr>
      <w:tr w:rsidR="005F3809" w:rsidRPr="00D74203" w14:paraId="7698E556" w14:textId="77777777">
        <w:tc>
          <w:tcPr>
            <w:tcW w:w="1561" w:type="pct"/>
          </w:tcPr>
          <w:p w14:paraId="1A639FB6" w14:textId="77777777" w:rsidR="005F3809" w:rsidRPr="00D74203" w:rsidRDefault="005F3809">
            <w:pPr>
              <w:pStyle w:val="TableText0"/>
              <w:rPr>
                <w:bCs w:val="0"/>
              </w:rPr>
            </w:pPr>
            <w:r w:rsidRPr="00D74203">
              <w:rPr>
                <w:bCs w:val="0"/>
              </w:rPr>
              <w:t>AEs leading to death, n (%)</w:t>
            </w:r>
          </w:p>
        </w:tc>
        <w:tc>
          <w:tcPr>
            <w:tcW w:w="930" w:type="pct"/>
            <w:vAlign w:val="center"/>
          </w:tcPr>
          <w:p w14:paraId="7AF2C73B" w14:textId="77777777" w:rsidR="005F3809" w:rsidRPr="00D74203" w:rsidRDefault="005F3809">
            <w:pPr>
              <w:pStyle w:val="TableText0"/>
              <w:jc w:val="center"/>
              <w:rPr>
                <w:bCs w:val="0"/>
              </w:rPr>
            </w:pPr>
            <w:r w:rsidRPr="00D74203">
              <w:rPr>
                <w:bCs w:val="0"/>
              </w:rPr>
              <w:t>25 (6.9)</w:t>
            </w:r>
          </w:p>
        </w:tc>
        <w:tc>
          <w:tcPr>
            <w:tcW w:w="746" w:type="pct"/>
            <w:vAlign w:val="center"/>
          </w:tcPr>
          <w:p w14:paraId="4ED21287" w14:textId="77777777" w:rsidR="005F3809" w:rsidRPr="00D74203" w:rsidRDefault="005F3809">
            <w:pPr>
              <w:pStyle w:val="TableText0"/>
              <w:jc w:val="center"/>
              <w:rPr>
                <w:bCs w:val="0"/>
              </w:rPr>
            </w:pPr>
            <w:r w:rsidRPr="00D74203">
              <w:rPr>
                <w:bCs w:val="0"/>
              </w:rPr>
              <w:t>24 (7.6)</w:t>
            </w:r>
          </w:p>
        </w:tc>
        <w:tc>
          <w:tcPr>
            <w:tcW w:w="904" w:type="pct"/>
            <w:vAlign w:val="center"/>
          </w:tcPr>
          <w:p w14:paraId="6C1D94B0" w14:textId="77777777" w:rsidR="005F3809" w:rsidRPr="00223588" w:rsidRDefault="005F3809">
            <w:pPr>
              <w:pStyle w:val="TableText0"/>
              <w:jc w:val="center"/>
              <w:rPr>
                <w:bCs w:val="0"/>
              </w:rPr>
            </w:pPr>
            <w:r w:rsidRPr="00223588">
              <w:t>-0.01 (-0.05, 0.03)</w:t>
            </w:r>
          </w:p>
        </w:tc>
        <w:tc>
          <w:tcPr>
            <w:tcW w:w="858" w:type="pct"/>
            <w:vAlign w:val="center"/>
          </w:tcPr>
          <w:p w14:paraId="45DE275D" w14:textId="77777777" w:rsidR="005F3809" w:rsidRPr="00223588" w:rsidRDefault="005F3809">
            <w:pPr>
              <w:pStyle w:val="TableText0"/>
              <w:jc w:val="center"/>
              <w:rPr>
                <w:bCs w:val="0"/>
              </w:rPr>
            </w:pPr>
            <w:r w:rsidRPr="00223588">
              <w:t>0.91 (0.53, 1.56)</w:t>
            </w:r>
          </w:p>
        </w:tc>
      </w:tr>
      <w:tr w:rsidR="005F3809" w:rsidRPr="00D74203" w14:paraId="175D7B1A" w14:textId="77777777">
        <w:tc>
          <w:tcPr>
            <w:tcW w:w="1561" w:type="pct"/>
          </w:tcPr>
          <w:p w14:paraId="62A30A2D" w14:textId="77777777" w:rsidR="005F3809" w:rsidRPr="00D74203" w:rsidRDefault="005F3809">
            <w:pPr>
              <w:pStyle w:val="TableText0"/>
              <w:ind w:left="220"/>
              <w:rPr>
                <w:bCs w:val="0"/>
              </w:rPr>
            </w:pPr>
            <w:r w:rsidRPr="00D74203">
              <w:rPr>
                <w:bCs w:val="0"/>
              </w:rPr>
              <w:t>Drug-related AEs leading to death, n (%)</w:t>
            </w:r>
          </w:p>
        </w:tc>
        <w:tc>
          <w:tcPr>
            <w:tcW w:w="930" w:type="pct"/>
            <w:vAlign w:val="center"/>
          </w:tcPr>
          <w:p w14:paraId="23CA5CF5" w14:textId="77777777" w:rsidR="005F3809" w:rsidRPr="00D74203" w:rsidRDefault="005F3809">
            <w:pPr>
              <w:pStyle w:val="TableText0"/>
              <w:jc w:val="center"/>
              <w:rPr>
                <w:bCs w:val="0"/>
              </w:rPr>
            </w:pPr>
            <w:r w:rsidRPr="00D74203">
              <w:rPr>
                <w:bCs w:val="0"/>
              </w:rPr>
              <w:t>4 (1.1)</w:t>
            </w:r>
          </w:p>
        </w:tc>
        <w:tc>
          <w:tcPr>
            <w:tcW w:w="746" w:type="pct"/>
            <w:vAlign w:val="center"/>
          </w:tcPr>
          <w:p w14:paraId="255CD91B" w14:textId="77777777" w:rsidR="005F3809" w:rsidRPr="00D74203" w:rsidRDefault="005F3809">
            <w:pPr>
              <w:pStyle w:val="TableText0"/>
              <w:jc w:val="center"/>
              <w:rPr>
                <w:bCs w:val="0"/>
              </w:rPr>
            </w:pPr>
            <w:r w:rsidRPr="00D74203">
              <w:rPr>
                <w:bCs w:val="0"/>
              </w:rPr>
              <w:t>1 (0.3)</w:t>
            </w:r>
          </w:p>
        </w:tc>
        <w:tc>
          <w:tcPr>
            <w:tcW w:w="904" w:type="pct"/>
            <w:vAlign w:val="center"/>
          </w:tcPr>
          <w:p w14:paraId="760199D3" w14:textId="77777777" w:rsidR="005F3809" w:rsidRPr="00223588" w:rsidRDefault="005F3809">
            <w:pPr>
              <w:pStyle w:val="TableText0"/>
              <w:jc w:val="center"/>
              <w:rPr>
                <w:bCs w:val="0"/>
              </w:rPr>
            </w:pPr>
            <w:r w:rsidRPr="00223588">
              <w:t>0.01 (0.00, 0.02)</w:t>
            </w:r>
          </w:p>
        </w:tc>
        <w:tc>
          <w:tcPr>
            <w:tcW w:w="858" w:type="pct"/>
            <w:vAlign w:val="center"/>
          </w:tcPr>
          <w:p w14:paraId="36773C9F" w14:textId="77777777" w:rsidR="005F3809" w:rsidRPr="00223588" w:rsidRDefault="005F3809">
            <w:pPr>
              <w:pStyle w:val="TableText0"/>
              <w:jc w:val="center"/>
              <w:rPr>
                <w:bCs w:val="0"/>
              </w:rPr>
            </w:pPr>
            <w:r w:rsidRPr="00223588">
              <w:t>3.49 (0.39, 31.07)</w:t>
            </w:r>
          </w:p>
        </w:tc>
      </w:tr>
    </w:tbl>
    <w:p w14:paraId="6B001952" w14:textId="77777777" w:rsidR="00D014AF" w:rsidRPr="00A863EB" w:rsidRDefault="00D466E0" w:rsidP="00677261">
      <w:pPr>
        <w:pStyle w:val="TableFigureFooter"/>
        <w:rPr>
          <w:i w:val="0"/>
          <w:iCs w:val="0"/>
        </w:rPr>
      </w:pPr>
      <w:r w:rsidRPr="00A863EB">
        <w:rPr>
          <w:i w:val="0"/>
          <w:iCs w:val="0"/>
        </w:rPr>
        <w:t xml:space="preserve">Source: Table 2.5-12, p88 of the submission </w:t>
      </w:r>
    </w:p>
    <w:p w14:paraId="78485807" w14:textId="01BB43BF" w:rsidR="005F3809" w:rsidRPr="00A863EB" w:rsidRDefault="005F3809" w:rsidP="00677261">
      <w:pPr>
        <w:pStyle w:val="TableFigureFooter"/>
        <w:rPr>
          <w:i w:val="0"/>
          <w:iCs w:val="0"/>
        </w:rPr>
      </w:pPr>
      <w:r w:rsidRPr="00A863EB">
        <w:rPr>
          <w:i w:val="0"/>
          <w:iCs w:val="0"/>
        </w:rPr>
        <w:t xml:space="preserve">AEs = adverse events; </w:t>
      </w:r>
      <w:proofErr w:type="spellStart"/>
      <w:r w:rsidRPr="00A863EB">
        <w:rPr>
          <w:i w:val="0"/>
          <w:iCs w:val="0"/>
        </w:rPr>
        <w:t>APaT</w:t>
      </w:r>
      <w:proofErr w:type="spellEnd"/>
      <w:r w:rsidRPr="00A863EB">
        <w:rPr>
          <w:i w:val="0"/>
          <w:iCs w:val="0"/>
        </w:rPr>
        <w:t xml:space="preserve"> = all participants as treated; </w:t>
      </w:r>
      <w:r w:rsidR="00966CF1" w:rsidRPr="00A863EB">
        <w:rPr>
          <w:i w:val="0"/>
          <w:iCs w:val="0"/>
        </w:rPr>
        <w:t xml:space="preserve">CI = confidence interval; </w:t>
      </w:r>
      <w:r w:rsidRPr="00A863EB">
        <w:rPr>
          <w:i w:val="0"/>
          <w:iCs w:val="0"/>
        </w:rPr>
        <w:t>PEM = pembrolizumab; SoC = standard of care</w:t>
      </w:r>
    </w:p>
    <w:p w14:paraId="0A65FE9B" w14:textId="77777777" w:rsidR="005F3809" w:rsidRPr="00A863EB" w:rsidRDefault="005F3809" w:rsidP="00677261">
      <w:pPr>
        <w:pStyle w:val="TableFigureFooter"/>
        <w:rPr>
          <w:i w:val="0"/>
          <w:iCs w:val="0"/>
        </w:rPr>
      </w:pPr>
      <w:bookmarkStart w:id="79" w:name="_Hlk208480096"/>
      <w:r w:rsidRPr="00A863EB">
        <w:rPr>
          <w:i w:val="0"/>
          <w:iCs w:val="0"/>
        </w:rPr>
        <w:t xml:space="preserve">Note: Statistically significant differences are </w:t>
      </w:r>
      <w:r w:rsidRPr="00A863EB">
        <w:rPr>
          <w:b/>
          <w:bCs/>
          <w:i w:val="0"/>
          <w:iCs w:val="0"/>
        </w:rPr>
        <w:t>bolded</w:t>
      </w:r>
    </w:p>
    <w:bookmarkEnd w:id="79"/>
    <w:p w14:paraId="05E52FBE" w14:textId="77777777" w:rsidR="005F3809" w:rsidRPr="00A863EB" w:rsidRDefault="005F3809" w:rsidP="00677261">
      <w:pPr>
        <w:pStyle w:val="TableFigureFooter"/>
        <w:rPr>
          <w:i w:val="0"/>
          <w:iCs w:val="0"/>
        </w:rPr>
      </w:pPr>
      <w:r w:rsidRPr="00A863EB">
        <w:rPr>
          <w:i w:val="0"/>
          <w:iCs w:val="0"/>
          <w:vertAlign w:val="superscript"/>
        </w:rPr>
        <w:t>a</w:t>
      </w:r>
      <w:r w:rsidRPr="00A863EB">
        <w:rPr>
          <w:i w:val="0"/>
          <w:iCs w:val="0"/>
        </w:rPr>
        <w:t xml:space="preserve"> Risk differences and relative risks were calculated during the evaluation, using Stata 15</w:t>
      </w:r>
    </w:p>
    <w:p w14:paraId="44653EAD" w14:textId="2ED38CD3" w:rsidR="005F3809" w:rsidRPr="00D74203" w:rsidRDefault="005F3809" w:rsidP="005F3809">
      <w:pPr>
        <w:pStyle w:val="3-BodyText"/>
      </w:pPr>
      <w:r w:rsidRPr="00D74203">
        <w:t xml:space="preserve">The incidence of any AEs, drug-related AEs, AEs of Grade ≥ 3, </w:t>
      </w:r>
      <w:r w:rsidR="00E67BCE" w:rsidRPr="00D74203">
        <w:t xml:space="preserve">Grade ≥ 3 </w:t>
      </w:r>
      <w:r w:rsidRPr="00D74203">
        <w:t xml:space="preserve">drug-related AEs, and AEs leading to death was similar between the treatment arms. Patients receiving </w:t>
      </w:r>
      <w:proofErr w:type="spellStart"/>
      <w:r w:rsidR="006A0577">
        <w:t>PEM+SoC</w:t>
      </w:r>
      <w:proofErr w:type="spellEnd"/>
      <w:r w:rsidRPr="00D74203">
        <w:t xml:space="preserve"> had a higher risk of serious adverse events (SAEs) (49.6% vs. 36.8%), AEs leading to treatment discontinuation (24.4% vs. 14.3%), and SAEs leading to discontinuation (13.0% vs. 3.5%), compared with patients receiving SoC alone. </w:t>
      </w:r>
      <w:r w:rsidR="00E67BCE" w:rsidRPr="00E67BCE">
        <w:t>A similar trend was observed for these AE types when drug-related AEs were considered.</w:t>
      </w:r>
    </w:p>
    <w:p w14:paraId="7B224497" w14:textId="4E2CC16F" w:rsidR="005F3809" w:rsidRPr="00DE49A7" w:rsidRDefault="005F3809" w:rsidP="005F3809">
      <w:pPr>
        <w:pStyle w:val="3-BodyText"/>
      </w:pPr>
      <w:r w:rsidRPr="00D74203">
        <w:lastRenderedPageBreak/>
        <w:t xml:space="preserve">The most common AEs in the </w:t>
      </w:r>
      <w:proofErr w:type="spellStart"/>
      <w:r w:rsidR="006A0577">
        <w:t>PEM+SoC</w:t>
      </w:r>
      <w:proofErr w:type="spellEnd"/>
      <w:r w:rsidRPr="00D74203">
        <w:t xml:space="preserve"> arm were stomatitis (41.6%), radiation skin injury (39.9%), weight loss (35.7%), and anaemia (34.1%). These AEs are also the most common AEs in the comparator arm. Most of these AEs were of Grade 2 or lower. The Grade 3</w:t>
      </w:r>
      <w:r w:rsidR="00A40371">
        <w:rPr>
          <w:rFonts w:cstheme="minorHAnsi"/>
        </w:rPr>
        <w:t>−</w:t>
      </w:r>
      <w:r w:rsidRPr="00D74203">
        <w:t xml:space="preserve">5 AEs occurring in ≥10% of patients included weight decrease (13.9%), stomatitis (12.5%), dysphagia (12.2%), and anaemia (10.5%) in patients receiving </w:t>
      </w:r>
      <w:proofErr w:type="spellStart"/>
      <w:r w:rsidR="006A0577">
        <w:t>PEM+SoC</w:t>
      </w:r>
      <w:proofErr w:type="spellEnd"/>
      <w:r w:rsidRPr="00D74203">
        <w:t xml:space="preserve">, and stomatitis (13.3%), neutrophil count decrease (11.7%), lymphocyte count decrease (11.4%), anaemia (11.1%), and dysphagia (10.8%) in patients receiving </w:t>
      </w:r>
      <w:r w:rsidRPr="00DE49A7">
        <w:t>SoC. These common AEs were the known safety concern</w:t>
      </w:r>
      <w:r w:rsidR="003B743D" w:rsidRPr="00DE49A7">
        <w:t>s</w:t>
      </w:r>
      <w:r w:rsidRPr="00DE49A7">
        <w:t xml:space="preserve"> </w:t>
      </w:r>
      <w:r w:rsidR="003B743D" w:rsidRPr="00DE49A7">
        <w:t>of</w:t>
      </w:r>
      <w:r w:rsidRPr="00DE49A7">
        <w:t xml:space="preserve"> radiotherapy or </w:t>
      </w:r>
      <w:r w:rsidR="006F19B2" w:rsidRPr="00DE49A7">
        <w:t>cisplatin,</w:t>
      </w:r>
      <w:r w:rsidRPr="00DE49A7">
        <w:t xml:space="preserve"> and the incidence of these AEs did not differ greatly between the two arms.</w:t>
      </w:r>
    </w:p>
    <w:p w14:paraId="44FF9C1E" w14:textId="5DFFD083" w:rsidR="00CE30CE" w:rsidRPr="00DE49A7" w:rsidRDefault="005F3809" w:rsidP="001B7E22">
      <w:pPr>
        <w:pStyle w:val="3-BodyText"/>
      </w:pPr>
      <w:bookmarkStart w:id="80" w:name="_Ref210628512"/>
      <w:r w:rsidRPr="00D74203">
        <w:t xml:space="preserve">The drug-related AEs which occurred more frequently for </w:t>
      </w:r>
      <w:proofErr w:type="spellStart"/>
      <w:r w:rsidR="006A0577">
        <w:t>PEM+SoC</w:t>
      </w:r>
      <w:proofErr w:type="spellEnd"/>
      <w:r w:rsidRPr="00D74203">
        <w:t xml:space="preserve"> (with ≥5% difference vs. SoC) included hypothyroidism (19.4% vs. 1.9%), rash (8.0% vs. 0.0%), pruritus (8.0% vs. 0.3%), and fatigue (18.0% vs</w:t>
      </w:r>
      <w:r w:rsidR="008451D4">
        <w:t>.</w:t>
      </w:r>
      <w:r w:rsidRPr="00D74203">
        <w:t xml:space="preserve"> 13.0%). Conversely, more patients in the SoC arm reported stomatitis (52.1% vs. 38.8%), radiation skin injury (47.0% vs. 39.3%), neutrophil cell count decrease (18.7% vs. 11.6%), dysgeusia (17.8% vs. 12.7%), white blood cell decrease </w:t>
      </w:r>
      <w:r w:rsidR="00E67BCE">
        <w:t>(</w:t>
      </w:r>
      <w:r w:rsidRPr="00D74203">
        <w:t>15.9% vs. 10.8%)</w:t>
      </w:r>
      <w:r w:rsidR="00B151DC">
        <w:t>, and d</w:t>
      </w:r>
      <w:r w:rsidR="00B151DC" w:rsidRPr="00B151DC">
        <w:t>ysphagia (</w:t>
      </w:r>
      <w:r w:rsidR="00B151DC">
        <w:t xml:space="preserve">15.6% vs. </w:t>
      </w:r>
      <w:r w:rsidR="00B151DC" w:rsidRPr="00B151DC">
        <w:t>10.2</w:t>
      </w:r>
      <w:r w:rsidR="00B151DC">
        <w:t>%</w:t>
      </w:r>
      <w:r w:rsidR="00B151DC" w:rsidRPr="00B151DC">
        <w:t>)</w:t>
      </w:r>
      <w:r w:rsidR="00E06B92">
        <w:t xml:space="preserve"> (</w:t>
      </w:r>
      <w:r w:rsidR="00E06B92">
        <w:fldChar w:fldCharType="begin"/>
      </w:r>
      <w:r w:rsidR="00E06B92">
        <w:instrText xml:space="preserve"> REF _Ref208484633 \h </w:instrText>
      </w:r>
      <w:r w:rsidR="00E06B92">
        <w:fldChar w:fldCharType="separate"/>
      </w:r>
      <w:r w:rsidR="0084087D">
        <w:t xml:space="preserve">Table </w:t>
      </w:r>
      <w:r w:rsidR="0084087D">
        <w:rPr>
          <w:noProof/>
        </w:rPr>
        <w:t>7</w:t>
      </w:r>
      <w:r w:rsidR="00E06B92">
        <w:fldChar w:fldCharType="end"/>
      </w:r>
      <w:r w:rsidR="00E06B92">
        <w:t>)</w:t>
      </w:r>
      <w:r w:rsidRPr="00D74203">
        <w:t>. The most frequently reported drug-related Grade 3</w:t>
      </w:r>
      <w:r w:rsidR="00001562" w:rsidRPr="001B7E22">
        <w:rPr>
          <w:rFonts w:cstheme="minorHAnsi"/>
        </w:rPr>
        <w:t>−</w:t>
      </w:r>
      <w:r w:rsidRPr="00D74203">
        <w:t xml:space="preserve">5 AEs across </w:t>
      </w:r>
      <w:r w:rsidR="00EB5CBF">
        <w:t xml:space="preserve">the </w:t>
      </w:r>
      <w:proofErr w:type="spellStart"/>
      <w:r w:rsidR="00EB5CBF">
        <w:t>PEM+SoC</w:t>
      </w:r>
      <w:proofErr w:type="spellEnd"/>
      <w:r w:rsidR="00EB5CBF">
        <w:t xml:space="preserve"> and SoC alone</w:t>
      </w:r>
      <w:r w:rsidRPr="00D74203">
        <w:t xml:space="preserve"> arms were stomatitis (11.6% vs. 13.3%), lymphocyte count decrease (5.5% vs. 6.7%), neutrophil count decrease (5.3% vs. 11.7%), radiation skin injury (4.2% vs. 5.7%), and white blood cell decrease (3.6% vs. 8.9%). </w:t>
      </w:r>
      <w:r w:rsidRPr="00DE49A7">
        <w:t xml:space="preserve">Of the reported common drug-related AEs, hypothyroidism, rash and pruritus are known AEs associated with immunotherapy. Radiation and/or chemotherapy related AEs, such as radiation skin injury, stomatitis, neutrophil count decrease, and lymphocyte count decrease, occurred at a higher rate </w:t>
      </w:r>
      <w:r w:rsidR="003B743D" w:rsidRPr="00DE49A7">
        <w:t>with</w:t>
      </w:r>
      <w:r w:rsidRPr="00DE49A7">
        <w:t xml:space="preserve"> SoC</w:t>
      </w:r>
      <w:r w:rsidR="003B743D" w:rsidRPr="00DE49A7">
        <w:t>. Th</w:t>
      </w:r>
      <w:r w:rsidR="00606F94" w:rsidRPr="00DE49A7">
        <w:t xml:space="preserve">is </w:t>
      </w:r>
      <w:r w:rsidRPr="00DE49A7">
        <w:t xml:space="preserve">could be attributable to the less intensive SoC therapy (lower radiotherapy dose and/or lower proportion of patients receiving cisplatin) </w:t>
      </w:r>
      <w:r w:rsidR="00606F94" w:rsidRPr="00DE49A7">
        <w:t xml:space="preserve">observed </w:t>
      </w:r>
      <w:r w:rsidRPr="00DE49A7">
        <w:t>following neoadjuvant pembrolizumab</w:t>
      </w:r>
      <w:r w:rsidR="00606F94" w:rsidRPr="00DE49A7">
        <w:t xml:space="preserve"> in the </w:t>
      </w:r>
      <w:proofErr w:type="spellStart"/>
      <w:r w:rsidR="00606F94" w:rsidRPr="00DE49A7">
        <w:t>PEM+SoC</w:t>
      </w:r>
      <w:proofErr w:type="spellEnd"/>
      <w:r w:rsidR="00606F94" w:rsidRPr="00DE49A7">
        <w:t xml:space="preserve"> arm</w:t>
      </w:r>
      <w:r w:rsidRPr="00DE49A7">
        <w:t>.</w:t>
      </w:r>
      <w:bookmarkEnd w:id="80"/>
    </w:p>
    <w:p w14:paraId="77FC0704" w14:textId="3AB11D58" w:rsidR="005F3809" w:rsidRDefault="005F3809" w:rsidP="005F3809">
      <w:pPr>
        <w:pStyle w:val="3-BodyText"/>
      </w:pPr>
      <w:r w:rsidRPr="00D74203">
        <w:t>The analysis of adverse events of special interest (AEOSIs) was the primary method of assessing immune-related adverse events (</w:t>
      </w:r>
      <w:proofErr w:type="spellStart"/>
      <w:r w:rsidRPr="00D74203">
        <w:t>irAEs</w:t>
      </w:r>
      <w:proofErr w:type="spellEnd"/>
      <w:r w:rsidRPr="00D74203">
        <w:t xml:space="preserve">) and infusion-related reactions </w:t>
      </w:r>
      <w:r w:rsidR="00D02418">
        <w:t>in</w:t>
      </w:r>
      <w:r w:rsidRPr="00D74203">
        <w:t xml:space="preserve"> KN689. The incidence of AEOSIs in the </w:t>
      </w:r>
      <w:proofErr w:type="spellStart"/>
      <w:r w:rsidR="00D02418">
        <w:t>PEM+</w:t>
      </w:r>
      <w:r w:rsidRPr="00D74203">
        <w:t>SoC</w:t>
      </w:r>
      <w:proofErr w:type="spellEnd"/>
      <w:r w:rsidRPr="00D74203">
        <w:t xml:space="preserve"> </w:t>
      </w:r>
      <w:r w:rsidR="003803C4">
        <w:t xml:space="preserve">and SoC </w:t>
      </w:r>
      <w:r w:rsidRPr="00D74203">
        <w:t>group</w:t>
      </w:r>
      <w:r w:rsidR="00904475">
        <w:t>s</w:t>
      </w:r>
      <w:r w:rsidRPr="00D74203">
        <w:t xml:space="preserve"> was 43.8% and 10.8%, respectively, with drug-related AEOSI having a higher incidence in the </w:t>
      </w:r>
      <w:proofErr w:type="spellStart"/>
      <w:r w:rsidR="007962F9">
        <w:t>PEM+SoC</w:t>
      </w:r>
      <w:proofErr w:type="spellEnd"/>
      <w:r w:rsidRPr="00D74203">
        <w:t xml:space="preserve"> group (35.5% vs. 4.1%). The higher incidence of drug-related AEOSIs in the </w:t>
      </w:r>
      <w:proofErr w:type="spellStart"/>
      <w:r w:rsidR="007962F9">
        <w:t>PEM+SoC</w:t>
      </w:r>
      <w:proofErr w:type="spellEnd"/>
      <w:r w:rsidRPr="00D74203">
        <w:t xml:space="preserve"> group was driven by hypothyroidism. The most frequently reported </w:t>
      </w:r>
      <w:proofErr w:type="spellStart"/>
      <w:r w:rsidRPr="00D74203">
        <w:t>irAEs</w:t>
      </w:r>
      <w:proofErr w:type="spellEnd"/>
      <w:r w:rsidRPr="00D74203">
        <w:t xml:space="preserve"> in patients receiving </w:t>
      </w:r>
      <w:proofErr w:type="spellStart"/>
      <w:r w:rsidR="00D02418">
        <w:t>PEM</w:t>
      </w:r>
      <w:r w:rsidRPr="00D74203">
        <w:t>+SoC</w:t>
      </w:r>
      <w:proofErr w:type="spellEnd"/>
      <w:r w:rsidRPr="00D74203">
        <w:t xml:space="preserve"> were hypothyroidism (24.7%), hyperthyroidism (8.9%), pneumonitis (5.5%), severe skin reactions (2.8%), colitis (2.5%) and hepatitis (2.2%), with </w:t>
      </w:r>
      <w:r w:rsidR="00A474B2" w:rsidRPr="00D74203">
        <w:t>all</w:t>
      </w:r>
      <w:r w:rsidRPr="00D74203">
        <w:t xml:space="preserve"> these AEs reported more frequently in patients receiving </w:t>
      </w:r>
      <w:proofErr w:type="spellStart"/>
      <w:r w:rsidR="007962F9">
        <w:t>PEM+SoC</w:t>
      </w:r>
      <w:proofErr w:type="spellEnd"/>
      <w:r w:rsidR="00CE30CE">
        <w:t xml:space="preserve"> than those treated with SoC only</w:t>
      </w:r>
      <w:r w:rsidR="00E06B92">
        <w:t xml:space="preserve"> (</w:t>
      </w:r>
      <w:r w:rsidR="00E06B92">
        <w:fldChar w:fldCharType="begin"/>
      </w:r>
      <w:r w:rsidR="00E06B92">
        <w:instrText xml:space="preserve"> REF _Ref208484633 \h </w:instrText>
      </w:r>
      <w:r w:rsidR="00E06B92">
        <w:fldChar w:fldCharType="separate"/>
      </w:r>
      <w:r w:rsidR="0084087D">
        <w:t xml:space="preserve">Table </w:t>
      </w:r>
      <w:r w:rsidR="0084087D">
        <w:rPr>
          <w:noProof/>
        </w:rPr>
        <w:t>7</w:t>
      </w:r>
      <w:r w:rsidR="00E06B92">
        <w:fldChar w:fldCharType="end"/>
      </w:r>
      <w:r w:rsidR="00E06B92">
        <w:t>)</w:t>
      </w:r>
      <w:r w:rsidRPr="00D74203">
        <w:t>. Most AEOSIs were Grade 1</w:t>
      </w:r>
      <w:r w:rsidR="005222FF">
        <w:rPr>
          <w:rFonts w:cstheme="minorHAnsi"/>
        </w:rPr>
        <w:t>−</w:t>
      </w:r>
      <w:r w:rsidRPr="00D74203">
        <w:t>2 in severity. The Grade 3</w:t>
      </w:r>
      <w:r w:rsidR="005222FF">
        <w:rPr>
          <w:rFonts w:cstheme="minorHAnsi"/>
        </w:rPr>
        <w:t>−</w:t>
      </w:r>
      <w:r w:rsidRPr="00D74203">
        <w:t xml:space="preserve">5 AEOSIs which occurred in more than five patients treated with </w:t>
      </w:r>
      <w:proofErr w:type="spellStart"/>
      <w:r w:rsidR="00D02418">
        <w:t>PEM</w:t>
      </w:r>
      <w:r w:rsidRPr="00D74203">
        <w:t>+SoC</w:t>
      </w:r>
      <w:proofErr w:type="spellEnd"/>
      <w:r w:rsidRPr="00D74203">
        <w:t xml:space="preserve"> included colitis (n=8 [2.2%]), hepatitis (n=7 [1.9%]), pneumonitis (n=6 [1.7%]), </w:t>
      </w:r>
      <w:r w:rsidR="00E67BCE">
        <w:t xml:space="preserve">and </w:t>
      </w:r>
      <w:r w:rsidRPr="00D74203">
        <w:t xml:space="preserve">severe skin reaction (n=6 [1.7%]). One participant died due to a drug-related </w:t>
      </w:r>
      <w:proofErr w:type="spellStart"/>
      <w:r w:rsidRPr="00D74203">
        <w:t>irAE</w:t>
      </w:r>
      <w:proofErr w:type="spellEnd"/>
      <w:r w:rsidRPr="00D74203">
        <w:t xml:space="preserve"> (pneumonitis) in the </w:t>
      </w:r>
      <w:proofErr w:type="spellStart"/>
      <w:r w:rsidR="00CA3DE8">
        <w:t>PEM</w:t>
      </w:r>
      <w:r w:rsidRPr="00D74203">
        <w:t>+SoC</w:t>
      </w:r>
      <w:proofErr w:type="spellEnd"/>
      <w:r w:rsidRPr="00D74203">
        <w:t xml:space="preserve"> group.</w:t>
      </w:r>
    </w:p>
    <w:p w14:paraId="1EF093B4" w14:textId="08D6A03C" w:rsidR="00E06B92" w:rsidRPr="00D74203" w:rsidRDefault="00E06B92" w:rsidP="00E06B92">
      <w:pPr>
        <w:pStyle w:val="Caption"/>
      </w:pPr>
      <w:bookmarkStart w:id="81" w:name="_Ref208484633"/>
      <w:r>
        <w:lastRenderedPageBreak/>
        <w:t xml:space="preserve">Table </w:t>
      </w:r>
      <w:r w:rsidR="00972E86">
        <w:fldChar w:fldCharType="begin"/>
      </w:r>
      <w:r w:rsidR="00972E86">
        <w:instrText xml:space="preserve"> SEQ Table \* ARABIC </w:instrText>
      </w:r>
      <w:r w:rsidR="00972E86">
        <w:fldChar w:fldCharType="separate"/>
      </w:r>
      <w:r w:rsidR="0084087D">
        <w:rPr>
          <w:noProof/>
        </w:rPr>
        <w:t>7</w:t>
      </w:r>
      <w:r w:rsidR="00972E86">
        <w:rPr>
          <w:noProof/>
        </w:rPr>
        <w:fldChar w:fldCharType="end"/>
      </w:r>
      <w:bookmarkEnd w:id="81"/>
      <w:r>
        <w:t>: Drug-related AEs and AEOSIs</w:t>
      </w:r>
      <w:r w:rsidRPr="00D74203">
        <w:t xml:space="preserve"> in the KN689 trial (</w:t>
      </w:r>
      <w:proofErr w:type="spellStart"/>
      <w:r w:rsidRPr="00D74203">
        <w:t>APaT</w:t>
      </w:r>
      <w:proofErr w:type="spellEnd"/>
      <w:r w:rsidRPr="00D74203">
        <w:t xml:space="preserve"> population)</w:t>
      </w:r>
    </w:p>
    <w:tbl>
      <w:tblPr>
        <w:tblStyle w:val="TableGrid"/>
        <w:tblW w:w="5000" w:type="pct"/>
        <w:tblLook w:val="01E0" w:firstRow="1" w:lastRow="1" w:firstColumn="1" w:lastColumn="1" w:noHBand="0" w:noVBand="0"/>
        <w:tblCaption w:val="Table 7: Drug-related AEs and AEOSIs in the KN689 trial (APaT population)"/>
      </w:tblPr>
      <w:tblGrid>
        <w:gridCol w:w="4381"/>
        <w:gridCol w:w="2317"/>
        <w:gridCol w:w="2319"/>
      </w:tblGrid>
      <w:tr w:rsidR="00E06B92" w:rsidRPr="00D74203" w14:paraId="01785BBA" w14:textId="77777777">
        <w:tc>
          <w:tcPr>
            <w:tcW w:w="2429" w:type="pct"/>
          </w:tcPr>
          <w:p w14:paraId="0E5F2BA0" w14:textId="77777777" w:rsidR="00E06B92" w:rsidRPr="00D74203" w:rsidRDefault="00E06B92">
            <w:pPr>
              <w:pStyle w:val="Tabletext"/>
              <w:keepNext/>
            </w:pPr>
          </w:p>
        </w:tc>
        <w:tc>
          <w:tcPr>
            <w:tcW w:w="1285" w:type="pct"/>
          </w:tcPr>
          <w:p w14:paraId="74194B53" w14:textId="77777777" w:rsidR="00E06B92" w:rsidRPr="00D74203" w:rsidRDefault="00E06B92">
            <w:pPr>
              <w:pStyle w:val="Tabletext"/>
              <w:keepNext/>
              <w:jc w:val="center"/>
              <w:rPr>
                <w:b/>
                <w:bCs/>
              </w:rPr>
            </w:pPr>
            <w:proofErr w:type="spellStart"/>
            <w:r>
              <w:rPr>
                <w:b/>
                <w:bCs/>
              </w:rPr>
              <w:t>PEM+SoC</w:t>
            </w:r>
            <w:proofErr w:type="spellEnd"/>
            <w:r w:rsidRPr="00D74203">
              <w:rPr>
                <w:b/>
                <w:bCs/>
              </w:rPr>
              <w:br/>
              <w:t>N=361</w:t>
            </w:r>
          </w:p>
        </w:tc>
        <w:tc>
          <w:tcPr>
            <w:tcW w:w="1286" w:type="pct"/>
          </w:tcPr>
          <w:p w14:paraId="096BA3D2" w14:textId="77777777" w:rsidR="00E06B92" w:rsidRPr="00D74203" w:rsidRDefault="00E06B92">
            <w:pPr>
              <w:pStyle w:val="Tabletext"/>
              <w:keepNext/>
              <w:jc w:val="center"/>
              <w:rPr>
                <w:b/>
                <w:bCs/>
              </w:rPr>
            </w:pPr>
            <w:r w:rsidRPr="00D74203">
              <w:rPr>
                <w:b/>
                <w:bCs/>
              </w:rPr>
              <w:t>SoC</w:t>
            </w:r>
            <w:r w:rsidRPr="00D74203">
              <w:rPr>
                <w:b/>
                <w:bCs/>
              </w:rPr>
              <w:br/>
              <w:t>N=315</w:t>
            </w:r>
          </w:p>
        </w:tc>
      </w:tr>
      <w:tr w:rsidR="00E06B92" w:rsidRPr="00D74203" w14:paraId="64A5EB0B" w14:textId="77777777">
        <w:tc>
          <w:tcPr>
            <w:tcW w:w="5000" w:type="pct"/>
            <w:gridSpan w:val="3"/>
          </w:tcPr>
          <w:p w14:paraId="01639709" w14:textId="7780FBB0" w:rsidR="00E06B92" w:rsidRPr="00D74203" w:rsidRDefault="00E06B92">
            <w:pPr>
              <w:pStyle w:val="Tabletext"/>
              <w:keepNext/>
              <w:rPr>
                <w:b/>
              </w:rPr>
            </w:pPr>
            <w:r w:rsidRPr="00166C9E">
              <w:rPr>
                <w:b/>
                <w:bCs/>
              </w:rPr>
              <w:t>Drug-related AEs</w:t>
            </w:r>
            <w:r>
              <w:rPr>
                <w:b/>
                <w:bCs/>
              </w:rPr>
              <w:t xml:space="preserve"> (incidence ≥ 10% in either treatment arm or ≥ 5% difference in incidence between treatment arms)</w:t>
            </w:r>
            <w:r w:rsidR="00542E27">
              <w:rPr>
                <w:b/>
                <w:bCs/>
              </w:rPr>
              <w:t>, n (%)</w:t>
            </w:r>
          </w:p>
        </w:tc>
      </w:tr>
      <w:tr w:rsidR="00DC3C91" w:rsidRPr="00D74203" w14:paraId="06BB733F" w14:textId="77777777">
        <w:tc>
          <w:tcPr>
            <w:tcW w:w="2429" w:type="pct"/>
          </w:tcPr>
          <w:p w14:paraId="2C7C6A75" w14:textId="77777777" w:rsidR="00DC3C91" w:rsidRPr="00D74203" w:rsidRDefault="00DC3C91">
            <w:pPr>
              <w:pStyle w:val="Tabletext"/>
              <w:keepNext/>
            </w:pPr>
            <w:r>
              <w:t>R</w:t>
            </w:r>
            <w:r w:rsidRPr="00D74203">
              <w:t>adiation skin injury</w:t>
            </w:r>
          </w:p>
        </w:tc>
        <w:tc>
          <w:tcPr>
            <w:tcW w:w="1285" w:type="pct"/>
          </w:tcPr>
          <w:p w14:paraId="3C0CD881" w14:textId="77777777" w:rsidR="00DC3C91" w:rsidRPr="00D74203" w:rsidRDefault="00DC3C91">
            <w:pPr>
              <w:pStyle w:val="Tabletext"/>
              <w:keepNext/>
              <w:jc w:val="center"/>
            </w:pPr>
            <w:r w:rsidRPr="006A3B9F">
              <w:t xml:space="preserve">142 (39.3) </w:t>
            </w:r>
          </w:p>
        </w:tc>
        <w:tc>
          <w:tcPr>
            <w:tcW w:w="1286" w:type="pct"/>
          </w:tcPr>
          <w:p w14:paraId="53DAAA13" w14:textId="77777777" w:rsidR="00DC3C91" w:rsidRPr="00D74203" w:rsidRDefault="00DC3C91">
            <w:pPr>
              <w:pStyle w:val="Tabletext"/>
              <w:keepNext/>
              <w:jc w:val="center"/>
            </w:pPr>
            <w:r w:rsidRPr="006A3B9F">
              <w:t>148 (47.0)</w:t>
            </w:r>
          </w:p>
        </w:tc>
      </w:tr>
      <w:tr w:rsidR="00E06B92" w:rsidRPr="00D74203" w14:paraId="21FDAE95" w14:textId="77777777">
        <w:tc>
          <w:tcPr>
            <w:tcW w:w="2429" w:type="pct"/>
          </w:tcPr>
          <w:p w14:paraId="4C36E1DE" w14:textId="77777777" w:rsidR="00E06B92" w:rsidRPr="00D74203" w:rsidRDefault="00E06B92">
            <w:pPr>
              <w:pStyle w:val="Tabletext"/>
              <w:keepNext/>
              <w:rPr>
                <w:b/>
              </w:rPr>
            </w:pPr>
            <w:r>
              <w:t>S</w:t>
            </w:r>
            <w:r w:rsidRPr="00D74203">
              <w:t xml:space="preserve">tomatitis </w:t>
            </w:r>
          </w:p>
        </w:tc>
        <w:tc>
          <w:tcPr>
            <w:tcW w:w="1285" w:type="pct"/>
          </w:tcPr>
          <w:p w14:paraId="7083DD35" w14:textId="77777777" w:rsidR="00E06B92" w:rsidRPr="00D74203" w:rsidRDefault="00E06B92">
            <w:pPr>
              <w:pStyle w:val="Tabletext"/>
              <w:keepNext/>
              <w:jc w:val="center"/>
            </w:pPr>
            <w:r w:rsidRPr="006A3B9F">
              <w:t xml:space="preserve">140 (38.8) </w:t>
            </w:r>
          </w:p>
        </w:tc>
        <w:tc>
          <w:tcPr>
            <w:tcW w:w="1286" w:type="pct"/>
          </w:tcPr>
          <w:p w14:paraId="0DCA391C" w14:textId="77777777" w:rsidR="00E06B92" w:rsidRPr="00D74203" w:rsidRDefault="00E06B92">
            <w:pPr>
              <w:pStyle w:val="Tabletext"/>
              <w:keepNext/>
              <w:jc w:val="center"/>
            </w:pPr>
            <w:r w:rsidRPr="006A3B9F">
              <w:t>164 (52.1)</w:t>
            </w:r>
          </w:p>
        </w:tc>
      </w:tr>
      <w:tr w:rsidR="00E06B92" w:rsidRPr="00D74203" w14:paraId="04838BC9" w14:textId="77777777">
        <w:tc>
          <w:tcPr>
            <w:tcW w:w="2429" w:type="pct"/>
          </w:tcPr>
          <w:p w14:paraId="0FD14D8B" w14:textId="77777777" w:rsidR="00E06B92" w:rsidRPr="00D74203" w:rsidRDefault="00E06B92">
            <w:pPr>
              <w:pStyle w:val="Tabletext"/>
              <w:keepNext/>
              <w:rPr>
                <w:b/>
              </w:rPr>
            </w:pPr>
            <w:r>
              <w:t>H</w:t>
            </w:r>
            <w:r w:rsidRPr="00D74203">
              <w:t>ypothyroidism</w:t>
            </w:r>
          </w:p>
        </w:tc>
        <w:tc>
          <w:tcPr>
            <w:tcW w:w="1285" w:type="pct"/>
          </w:tcPr>
          <w:p w14:paraId="6B987F52" w14:textId="77777777" w:rsidR="00E06B92" w:rsidRPr="00D74203" w:rsidRDefault="00E06B92">
            <w:pPr>
              <w:pStyle w:val="Tabletext"/>
              <w:keepNext/>
              <w:jc w:val="center"/>
            </w:pPr>
            <w:r w:rsidRPr="006A3B9F">
              <w:t xml:space="preserve">70 (19.4) </w:t>
            </w:r>
          </w:p>
        </w:tc>
        <w:tc>
          <w:tcPr>
            <w:tcW w:w="1286" w:type="pct"/>
          </w:tcPr>
          <w:p w14:paraId="545964F9" w14:textId="77777777" w:rsidR="00E06B92" w:rsidRPr="00D74203" w:rsidRDefault="00E06B92">
            <w:pPr>
              <w:pStyle w:val="Tabletext"/>
              <w:keepNext/>
              <w:jc w:val="center"/>
            </w:pPr>
            <w:r w:rsidRPr="006A3B9F">
              <w:t>6 (1.9)</w:t>
            </w:r>
          </w:p>
        </w:tc>
      </w:tr>
      <w:tr w:rsidR="00E06B92" w:rsidRPr="00D74203" w14:paraId="70166D29" w14:textId="77777777">
        <w:tc>
          <w:tcPr>
            <w:tcW w:w="2429" w:type="pct"/>
          </w:tcPr>
          <w:p w14:paraId="45966401" w14:textId="77777777" w:rsidR="00E06B92" w:rsidRPr="00D74203" w:rsidRDefault="00E06B92">
            <w:pPr>
              <w:pStyle w:val="Tabletext"/>
              <w:keepNext/>
              <w:rPr>
                <w:b/>
              </w:rPr>
            </w:pPr>
            <w:r>
              <w:t>F</w:t>
            </w:r>
            <w:r w:rsidRPr="00D74203">
              <w:t>atigue</w:t>
            </w:r>
          </w:p>
        </w:tc>
        <w:tc>
          <w:tcPr>
            <w:tcW w:w="1285" w:type="pct"/>
          </w:tcPr>
          <w:p w14:paraId="358746DE" w14:textId="77777777" w:rsidR="00E06B92" w:rsidRPr="00D74203" w:rsidRDefault="00E06B92">
            <w:pPr>
              <w:pStyle w:val="Tabletext"/>
              <w:keepNext/>
              <w:jc w:val="center"/>
            </w:pPr>
            <w:r>
              <w:t xml:space="preserve">65 </w:t>
            </w:r>
            <w:r w:rsidRPr="006A3B9F">
              <w:t xml:space="preserve">(18.0) </w:t>
            </w:r>
          </w:p>
        </w:tc>
        <w:tc>
          <w:tcPr>
            <w:tcW w:w="1286" w:type="pct"/>
          </w:tcPr>
          <w:p w14:paraId="21B67796" w14:textId="77777777" w:rsidR="00E06B92" w:rsidRPr="00D74203" w:rsidRDefault="00E06B92">
            <w:pPr>
              <w:pStyle w:val="Tabletext"/>
              <w:keepNext/>
              <w:jc w:val="center"/>
            </w:pPr>
            <w:r w:rsidRPr="006A3B9F">
              <w:t>41 (13.0)</w:t>
            </w:r>
          </w:p>
        </w:tc>
      </w:tr>
      <w:tr w:rsidR="00E06B92" w:rsidRPr="00D74203" w14:paraId="5197B99C" w14:textId="77777777">
        <w:tc>
          <w:tcPr>
            <w:tcW w:w="2429" w:type="pct"/>
          </w:tcPr>
          <w:p w14:paraId="2766BC86" w14:textId="77777777" w:rsidR="00E06B92" w:rsidRPr="00D74203" w:rsidRDefault="00E06B92">
            <w:pPr>
              <w:pStyle w:val="Tabletext"/>
              <w:keepNext/>
            </w:pPr>
            <w:r>
              <w:t>Nausea</w:t>
            </w:r>
          </w:p>
        </w:tc>
        <w:tc>
          <w:tcPr>
            <w:tcW w:w="1285" w:type="pct"/>
          </w:tcPr>
          <w:p w14:paraId="2B5B399F" w14:textId="77777777" w:rsidR="00E06B92" w:rsidRPr="006A3B9F" w:rsidRDefault="00E06B92">
            <w:pPr>
              <w:pStyle w:val="Tabletext"/>
              <w:keepNext/>
              <w:jc w:val="center"/>
            </w:pPr>
            <w:r>
              <w:t xml:space="preserve">64 </w:t>
            </w:r>
            <w:r w:rsidRPr="006A3B9F">
              <w:t xml:space="preserve">(17.7) </w:t>
            </w:r>
          </w:p>
        </w:tc>
        <w:tc>
          <w:tcPr>
            <w:tcW w:w="1286" w:type="pct"/>
          </w:tcPr>
          <w:p w14:paraId="65BE538A" w14:textId="77777777" w:rsidR="00E06B92" w:rsidRPr="006A3B9F" w:rsidRDefault="00E06B92">
            <w:pPr>
              <w:pStyle w:val="Tabletext"/>
              <w:keepNext/>
              <w:jc w:val="center"/>
            </w:pPr>
            <w:r w:rsidRPr="006A3B9F">
              <w:t>67 (21.3)</w:t>
            </w:r>
          </w:p>
        </w:tc>
      </w:tr>
      <w:tr w:rsidR="00E06B92" w:rsidRPr="00D74203" w14:paraId="2567CD88" w14:textId="77777777">
        <w:tc>
          <w:tcPr>
            <w:tcW w:w="2429" w:type="pct"/>
          </w:tcPr>
          <w:p w14:paraId="44B885C4" w14:textId="77777777" w:rsidR="00E06B92" w:rsidRDefault="00E06B92">
            <w:pPr>
              <w:pStyle w:val="Tabletext"/>
              <w:keepNext/>
            </w:pPr>
            <w:r>
              <w:t>Dry mouth</w:t>
            </w:r>
          </w:p>
        </w:tc>
        <w:tc>
          <w:tcPr>
            <w:tcW w:w="1285" w:type="pct"/>
          </w:tcPr>
          <w:p w14:paraId="75F07FD9" w14:textId="77777777" w:rsidR="00E06B92" w:rsidRDefault="00E06B92">
            <w:pPr>
              <w:pStyle w:val="Tabletext"/>
              <w:keepNext/>
              <w:jc w:val="center"/>
            </w:pPr>
            <w:r w:rsidRPr="006A3B9F">
              <w:t xml:space="preserve">63 (17.5) </w:t>
            </w:r>
          </w:p>
        </w:tc>
        <w:tc>
          <w:tcPr>
            <w:tcW w:w="1286" w:type="pct"/>
          </w:tcPr>
          <w:p w14:paraId="2665AB42" w14:textId="77777777" w:rsidR="00E06B92" w:rsidRPr="006A3B9F" w:rsidRDefault="00E06B92">
            <w:pPr>
              <w:pStyle w:val="Tabletext"/>
              <w:keepNext/>
              <w:jc w:val="center"/>
            </w:pPr>
            <w:r w:rsidRPr="006A3B9F">
              <w:t>68 (21.6)</w:t>
            </w:r>
          </w:p>
        </w:tc>
      </w:tr>
      <w:tr w:rsidR="00E06B92" w:rsidRPr="00D74203" w14:paraId="466C0D0D" w14:textId="77777777">
        <w:tc>
          <w:tcPr>
            <w:tcW w:w="2429" w:type="pct"/>
          </w:tcPr>
          <w:p w14:paraId="1A44A9FC" w14:textId="77777777" w:rsidR="00E06B92" w:rsidRPr="00D74203" w:rsidRDefault="00E06B92">
            <w:pPr>
              <w:pStyle w:val="Tabletext"/>
              <w:keepNext/>
              <w:rPr>
                <w:b/>
              </w:rPr>
            </w:pPr>
            <w:r>
              <w:t>D</w:t>
            </w:r>
            <w:r w:rsidRPr="00D74203">
              <w:t>ysgeusia</w:t>
            </w:r>
          </w:p>
        </w:tc>
        <w:tc>
          <w:tcPr>
            <w:tcW w:w="1285" w:type="pct"/>
          </w:tcPr>
          <w:p w14:paraId="5739D846" w14:textId="77777777" w:rsidR="00E06B92" w:rsidRPr="00D74203" w:rsidRDefault="00E06B92">
            <w:pPr>
              <w:pStyle w:val="Tabletext"/>
              <w:keepNext/>
              <w:jc w:val="center"/>
            </w:pPr>
            <w:r w:rsidRPr="006A3B9F">
              <w:t xml:space="preserve">46 (12.7) </w:t>
            </w:r>
          </w:p>
        </w:tc>
        <w:tc>
          <w:tcPr>
            <w:tcW w:w="1286" w:type="pct"/>
          </w:tcPr>
          <w:p w14:paraId="612AEA51" w14:textId="77777777" w:rsidR="00E06B92" w:rsidRPr="00D74203" w:rsidRDefault="00E06B92">
            <w:pPr>
              <w:pStyle w:val="Tabletext"/>
              <w:keepNext/>
              <w:jc w:val="center"/>
            </w:pPr>
            <w:r w:rsidRPr="006A3B9F">
              <w:t>56 (17.8)</w:t>
            </w:r>
          </w:p>
        </w:tc>
      </w:tr>
      <w:tr w:rsidR="00E06B92" w:rsidRPr="00D74203" w14:paraId="404EDD1C" w14:textId="77777777">
        <w:tc>
          <w:tcPr>
            <w:tcW w:w="2429" w:type="pct"/>
          </w:tcPr>
          <w:p w14:paraId="3A3D8D94" w14:textId="77777777" w:rsidR="00E06B92" w:rsidRPr="00D74203" w:rsidRDefault="00E06B92">
            <w:pPr>
              <w:pStyle w:val="Tabletext"/>
              <w:keepNext/>
            </w:pPr>
            <w:r>
              <w:t>N</w:t>
            </w:r>
            <w:r w:rsidRPr="00D74203">
              <w:t>eutrophil cell count decrease</w:t>
            </w:r>
          </w:p>
        </w:tc>
        <w:tc>
          <w:tcPr>
            <w:tcW w:w="1285" w:type="pct"/>
          </w:tcPr>
          <w:p w14:paraId="666D4925" w14:textId="77777777" w:rsidR="00E06B92" w:rsidRPr="00D74203" w:rsidRDefault="00E06B92">
            <w:pPr>
              <w:pStyle w:val="Tabletext"/>
              <w:keepNext/>
              <w:jc w:val="center"/>
            </w:pPr>
            <w:r w:rsidRPr="006A3B9F">
              <w:t xml:space="preserve">42 (11.6) </w:t>
            </w:r>
          </w:p>
        </w:tc>
        <w:tc>
          <w:tcPr>
            <w:tcW w:w="1286" w:type="pct"/>
          </w:tcPr>
          <w:p w14:paraId="099BFD3E" w14:textId="77777777" w:rsidR="00E06B92" w:rsidRPr="00D74203" w:rsidRDefault="00E06B92">
            <w:pPr>
              <w:pStyle w:val="Tabletext"/>
              <w:keepNext/>
              <w:jc w:val="center"/>
            </w:pPr>
            <w:r w:rsidRPr="006A3B9F">
              <w:t>59 (18.7)</w:t>
            </w:r>
          </w:p>
        </w:tc>
      </w:tr>
      <w:tr w:rsidR="00E06B92" w:rsidRPr="00D74203" w14:paraId="54C0D8FD" w14:textId="77777777">
        <w:tc>
          <w:tcPr>
            <w:tcW w:w="2429" w:type="pct"/>
          </w:tcPr>
          <w:p w14:paraId="2C854DBF" w14:textId="77777777" w:rsidR="00E06B92" w:rsidRDefault="00E06B92">
            <w:pPr>
              <w:pStyle w:val="Tabletext"/>
              <w:keepNext/>
            </w:pPr>
            <w:r w:rsidRPr="006A3B9F">
              <w:t>Lymphocyte count decreased</w:t>
            </w:r>
          </w:p>
        </w:tc>
        <w:tc>
          <w:tcPr>
            <w:tcW w:w="1285" w:type="pct"/>
          </w:tcPr>
          <w:p w14:paraId="1104524F" w14:textId="77777777" w:rsidR="00E06B92" w:rsidRPr="006A3B9F" w:rsidRDefault="00E06B92">
            <w:pPr>
              <w:pStyle w:val="Tabletext"/>
              <w:keepNext/>
              <w:jc w:val="center"/>
            </w:pPr>
            <w:r w:rsidRPr="006A3B9F">
              <w:t xml:space="preserve">41 (11.4) </w:t>
            </w:r>
          </w:p>
        </w:tc>
        <w:tc>
          <w:tcPr>
            <w:tcW w:w="1286" w:type="pct"/>
          </w:tcPr>
          <w:p w14:paraId="6DD663D5" w14:textId="77777777" w:rsidR="00E06B92" w:rsidRPr="006A3B9F" w:rsidRDefault="00E06B92">
            <w:pPr>
              <w:pStyle w:val="Tabletext"/>
              <w:keepNext/>
              <w:jc w:val="center"/>
            </w:pPr>
            <w:r w:rsidRPr="006A3B9F">
              <w:t>28 (8.9)</w:t>
            </w:r>
          </w:p>
        </w:tc>
      </w:tr>
      <w:tr w:rsidR="00E06B92" w:rsidRPr="00D74203" w14:paraId="34F7DE51" w14:textId="77777777">
        <w:tc>
          <w:tcPr>
            <w:tcW w:w="2429" w:type="pct"/>
          </w:tcPr>
          <w:p w14:paraId="0551506F" w14:textId="77777777" w:rsidR="00E06B92" w:rsidRPr="00D74203" w:rsidRDefault="00E06B92">
            <w:pPr>
              <w:pStyle w:val="Tabletext"/>
              <w:keepNext/>
              <w:rPr>
                <w:b/>
              </w:rPr>
            </w:pPr>
            <w:r>
              <w:t>W</w:t>
            </w:r>
            <w:r w:rsidRPr="00D74203">
              <w:t>hite blood cell decrease</w:t>
            </w:r>
          </w:p>
        </w:tc>
        <w:tc>
          <w:tcPr>
            <w:tcW w:w="1285" w:type="pct"/>
          </w:tcPr>
          <w:p w14:paraId="1B8762BB" w14:textId="77777777" w:rsidR="00E06B92" w:rsidRPr="00D74203" w:rsidRDefault="00E06B92">
            <w:pPr>
              <w:pStyle w:val="Tabletext"/>
              <w:keepNext/>
              <w:jc w:val="center"/>
            </w:pPr>
            <w:r w:rsidRPr="006A3B9F">
              <w:t xml:space="preserve">39 (10.8) </w:t>
            </w:r>
          </w:p>
        </w:tc>
        <w:tc>
          <w:tcPr>
            <w:tcW w:w="1286" w:type="pct"/>
          </w:tcPr>
          <w:p w14:paraId="33E36073" w14:textId="77777777" w:rsidR="00E06B92" w:rsidRPr="00D74203" w:rsidRDefault="00E06B92">
            <w:pPr>
              <w:pStyle w:val="Tabletext"/>
              <w:keepNext/>
              <w:jc w:val="center"/>
            </w:pPr>
            <w:r w:rsidRPr="006A3B9F">
              <w:t>50 (15.9)</w:t>
            </w:r>
          </w:p>
        </w:tc>
      </w:tr>
      <w:tr w:rsidR="00E06B92" w:rsidRPr="00D74203" w14:paraId="67F0C2EE" w14:textId="77777777">
        <w:tc>
          <w:tcPr>
            <w:tcW w:w="2429" w:type="pct"/>
          </w:tcPr>
          <w:p w14:paraId="2418884B" w14:textId="77777777" w:rsidR="00E06B92" w:rsidRPr="006A3B9F" w:rsidRDefault="00E06B92">
            <w:pPr>
              <w:pStyle w:val="Tabletext"/>
              <w:keepNext/>
            </w:pPr>
            <w:r>
              <w:t>Vomiting</w:t>
            </w:r>
          </w:p>
        </w:tc>
        <w:tc>
          <w:tcPr>
            <w:tcW w:w="1285" w:type="pct"/>
          </w:tcPr>
          <w:p w14:paraId="5C3167EE" w14:textId="77777777" w:rsidR="00E06B92" w:rsidRPr="006A3B9F" w:rsidRDefault="00E06B92">
            <w:pPr>
              <w:pStyle w:val="Tabletext"/>
              <w:keepNext/>
              <w:jc w:val="center"/>
            </w:pPr>
            <w:r w:rsidRPr="006A3B9F">
              <w:t xml:space="preserve">39 (10.8) </w:t>
            </w:r>
          </w:p>
        </w:tc>
        <w:tc>
          <w:tcPr>
            <w:tcW w:w="1286" w:type="pct"/>
          </w:tcPr>
          <w:p w14:paraId="6E6D08A0" w14:textId="77777777" w:rsidR="00E06B92" w:rsidRPr="006A3B9F" w:rsidRDefault="00E06B92">
            <w:pPr>
              <w:pStyle w:val="Tabletext"/>
              <w:keepNext/>
              <w:jc w:val="center"/>
            </w:pPr>
            <w:r w:rsidRPr="006A3B9F">
              <w:t>25 (7.9)</w:t>
            </w:r>
          </w:p>
        </w:tc>
      </w:tr>
      <w:tr w:rsidR="00E06B92" w:rsidRPr="00D74203" w14:paraId="624C61AA" w14:textId="77777777">
        <w:tc>
          <w:tcPr>
            <w:tcW w:w="2429" w:type="pct"/>
          </w:tcPr>
          <w:p w14:paraId="1A731861" w14:textId="77777777" w:rsidR="00E06B92" w:rsidRDefault="00E06B92">
            <w:pPr>
              <w:pStyle w:val="Tabletext"/>
              <w:keepNext/>
            </w:pPr>
            <w:bookmarkStart w:id="82" w:name="_Hlk208491544"/>
            <w:r w:rsidRPr="006A3B9F">
              <w:t>Dysphagia</w:t>
            </w:r>
          </w:p>
        </w:tc>
        <w:tc>
          <w:tcPr>
            <w:tcW w:w="1285" w:type="pct"/>
          </w:tcPr>
          <w:p w14:paraId="4C7AF4A3" w14:textId="77777777" w:rsidR="00E06B92" w:rsidRPr="006A3B9F" w:rsidRDefault="00E06B92">
            <w:pPr>
              <w:pStyle w:val="Tabletext"/>
              <w:keepNext/>
              <w:jc w:val="center"/>
            </w:pPr>
            <w:r w:rsidRPr="006A3B9F">
              <w:t xml:space="preserve">37 (10.2) </w:t>
            </w:r>
          </w:p>
        </w:tc>
        <w:tc>
          <w:tcPr>
            <w:tcW w:w="1286" w:type="pct"/>
          </w:tcPr>
          <w:p w14:paraId="24080249" w14:textId="77777777" w:rsidR="00E06B92" w:rsidRPr="006A3B9F" w:rsidRDefault="00E06B92">
            <w:pPr>
              <w:pStyle w:val="Tabletext"/>
              <w:keepNext/>
              <w:jc w:val="center"/>
            </w:pPr>
            <w:r w:rsidRPr="006A3B9F">
              <w:t>49 (15.6)</w:t>
            </w:r>
          </w:p>
        </w:tc>
      </w:tr>
      <w:bookmarkEnd w:id="82"/>
      <w:tr w:rsidR="00E06B92" w:rsidRPr="00D74203" w14:paraId="06A7DDF7" w14:textId="77777777">
        <w:tc>
          <w:tcPr>
            <w:tcW w:w="2429" w:type="pct"/>
          </w:tcPr>
          <w:p w14:paraId="274BAAF9" w14:textId="77777777" w:rsidR="00E06B92" w:rsidRPr="006A3B9F" w:rsidRDefault="00E06B92">
            <w:pPr>
              <w:pStyle w:val="Tabletext"/>
              <w:keepNext/>
              <w:rPr>
                <w:bCs/>
              </w:rPr>
            </w:pPr>
            <w:r w:rsidRPr="006A3B9F">
              <w:rPr>
                <w:bCs/>
              </w:rPr>
              <w:t>Weight decrease</w:t>
            </w:r>
          </w:p>
        </w:tc>
        <w:tc>
          <w:tcPr>
            <w:tcW w:w="1285" w:type="pct"/>
          </w:tcPr>
          <w:p w14:paraId="1CEAE1BC" w14:textId="77777777" w:rsidR="00E06B92" w:rsidRPr="00D74203" w:rsidRDefault="00E06B92">
            <w:pPr>
              <w:pStyle w:val="Tabletext"/>
              <w:keepNext/>
              <w:jc w:val="center"/>
            </w:pPr>
            <w:r w:rsidRPr="006A3B9F">
              <w:t xml:space="preserve">35 (9.7) </w:t>
            </w:r>
          </w:p>
        </w:tc>
        <w:tc>
          <w:tcPr>
            <w:tcW w:w="1286" w:type="pct"/>
          </w:tcPr>
          <w:p w14:paraId="79E2A383" w14:textId="77777777" w:rsidR="00E06B92" w:rsidRPr="00D74203" w:rsidRDefault="00E06B92">
            <w:pPr>
              <w:pStyle w:val="Tabletext"/>
              <w:keepNext/>
              <w:jc w:val="center"/>
            </w:pPr>
            <w:r w:rsidRPr="006A3B9F">
              <w:t>34 (10.8)</w:t>
            </w:r>
          </w:p>
        </w:tc>
      </w:tr>
      <w:tr w:rsidR="00E06B92" w:rsidRPr="00D74203" w14:paraId="67D5C5A1" w14:textId="77777777">
        <w:tc>
          <w:tcPr>
            <w:tcW w:w="2429" w:type="pct"/>
          </w:tcPr>
          <w:p w14:paraId="70FB0C7E" w14:textId="77777777" w:rsidR="00E06B92" w:rsidRPr="006A3B9F" w:rsidRDefault="00E06B92">
            <w:pPr>
              <w:pStyle w:val="Tabletext"/>
              <w:keepNext/>
              <w:rPr>
                <w:bCs/>
              </w:rPr>
            </w:pPr>
            <w:r w:rsidRPr="006A3B9F">
              <w:rPr>
                <w:bCs/>
              </w:rPr>
              <w:t>Anaemia</w:t>
            </w:r>
          </w:p>
        </w:tc>
        <w:tc>
          <w:tcPr>
            <w:tcW w:w="1285" w:type="pct"/>
          </w:tcPr>
          <w:p w14:paraId="6A1B2DB7" w14:textId="77777777" w:rsidR="00E06B92" w:rsidRPr="00D74203" w:rsidRDefault="00E06B92">
            <w:pPr>
              <w:pStyle w:val="Tabletext"/>
              <w:keepNext/>
              <w:jc w:val="center"/>
            </w:pPr>
            <w:r w:rsidRPr="006A3B9F">
              <w:t xml:space="preserve">32 (8.9) </w:t>
            </w:r>
          </w:p>
        </w:tc>
        <w:tc>
          <w:tcPr>
            <w:tcW w:w="1286" w:type="pct"/>
          </w:tcPr>
          <w:p w14:paraId="2FB5ADB5" w14:textId="77777777" w:rsidR="00E06B92" w:rsidRPr="00D74203" w:rsidRDefault="00E06B92">
            <w:pPr>
              <w:pStyle w:val="Tabletext"/>
              <w:keepNext/>
              <w:jc w:val="center"/>
            </w:pPr>
            <w:r w:rsidRPr="006A3B9F">
              <w:t>34 (10.8)</w:t>
            </w:r>
          </w:p>
        </w:tc>
      </w:tr>
      <w:tr w:rsidR="00E06B92" w:rsidRPr="00D74203" w14:paraId="51EED9F4" w14:textId="77777777">
        <w:tc>
          <w:tcPr>
            <w:tcW w:w="2429" w:type="pct"/>
          </w:tcPr>
          <w:p w14:paraId="0F0B9944" w14:textId="77777777" w:rsidR="00E06B92" w:rsidRPr="006A3B9F" w:rsidRDefault="00E06B92">
            <w:pPr>
              <w:pStyle w:val="Tabletext"/>
              <w:keepNext/>
              <w:rPr>
                <w:bCs/>
              </w:rPr>
            </w:pPr>
            <w:r>
              <w:rPr>
                <w:bCs/>
              </w:rPr>
              <w:t>Pruritus</w:t>
            </w:r>
          </w:p>
        </w:tc>
        <w:tc>
          <w:tcPr>
            <w:tcW w:w="1285" w:type="pct"/>
          </w:tcPr>
          <w:p w14:paraId="4B038F22" w14:textId="77777777" w:rsidR="00E06B92" w:rsidRPr="006A3B9F" w:rsidRDefault="00E06B92">
            <w:pPr>
              <w:pStyle w:val="Tabletext"/>
              <w:keepNext/>
              <w:jc w:val="center"/>
            </w:pPr>
            <w:r w:rsidRPr="00E06B92">
              <w:t xml:space="preserve">29 (8.0) </w:t>
            </w:r>
          </w:p>
        </w:tc>
        <w:tc>
          <w:tcPr>
            <w:tcW w:w="1286" w:type="pct"/>
          </w:tcPr>
          <w:p w14:paraId="6296E57D" w14:textId="77777777" w:rsidR="00E06B92" w:rsidRPr="006A3B9F" w:rsidRDefault="00E06B92">
            <w:pPr>
              <w:pStyle w:val="Tabletext"/>
              <w:keepNext/>
              <w:jc w:val="center"/>
            </w:pPr>
            <w:r w:rsidRPr="00E06B92">
              <w:t>1 (0.3)</w:t>
            </w:r>
          </w:p>
        </w:tc>
      </w:tr>
      <w:tr w:rsidR="00E06B92" w:rsidRPr="00D74203" w14:paraId="4D452AFE" w14:textId="77777777">
        <w:tc>
          <w:tcPr>
            <w:tcW w:w="2429" w:type="pct"/>
          </w:tcPr>
          <w:p w14:paraId="532C54E9" w14:textId="77777777" w:rsidR="00E06B92" w:rsidRPr="006A3B9F" w:rsidRDefault="00E06B92">
            <w:pPr>
              <w:pStyle w:val="Tabletext"/>
              <w:keepNext/>
              <w:rPr>
                <w:bCs/>
              </w:rPr>
            </w:pPr>
            <w:r>
              <w:rPr>
                <w:bCs/>
              </w:rPr>
              <w:t>Rash</w:t>
            </w:r>
          </w:p>
        </w:tc>
        <w:tc>
          <w:tcPr>
            <w:tcW w:w="1285" w:type="pct"/>
          </w:tcPr>
          <w:p w14:paraId="66C23E5E" w14:textId="77777777" w:rsidR="00E06B92" w:rsidRPr="006A3B9F" w:rsidRDefault="00E06B92">
            <w:pPr>
              <w:pStyle w:val="Tabletext"/>
              <w:keepNext/>
              <w:jc w:val="center"/>
            </w:pPr>
            <w:r w:rsidRPr="00E06B92">
              <w:t>29 (8.0)</w:t>
            </w:r>
          </w:p>
        </w:tc>
        <w:tc>
          <w:tcPr>
            <w:tcW w:w="1286" w:type="pct"/>
          </w:tcPr>
          <w:p w14:paraId="44DF802E" w14:textId="77777777" w:rsidR="00E06B92" w:rsidRPr="006A3B9F" w:rsidRDefault="00E06B92">
            <w:pPr>
              <w:pStyle w:val="Tabletext"/>
              <w:keepNext/>
              <w:jc w:val="center"/>
            </w:pPr>
            <w:r w:rsidRPr="00E06B92">
              <w:t>0 (0.0)</w:t>
            </w:r>
          </w:p>
        </w:tc>
      </w:tr>
      <w:tr w:rsidR="00E06B92" w:rsidRPr="00CE30CE" w14:paraId="1EC9CD1F" w14:textId="77777777">
        <w:tc>
          <w:tcPr>
            <w:tcW w:w="5000" w:type="pct"/>
            <w:gridSpan w:val="3"/>
          </w:tcPr>
          <w:p w14:paraId="718F3AA5" w14:textId="520EADEA" w:rsidR="00E06B92" w:rsidRPr="00CE30CE" w:rsidRDefault="00E06B92">
            <w:pPr>
              <w:pStyle w:val="Tabletext"/>
              <w:keepNext/>
              <w:rPr>
                <w:b/>
                <w:bCs/>
              </w:rPr>
            </w:pPr>
            <w:r w:rsidRPr="00CE30CE">
              <w:rPr>
                <w:b/>
                <w:bCs/>
              </w:rPr>
              <w:t>AEOSIs</w:t>
            </w:r>
            <w:r>
              <w:rPr>
                <w:b/>
                <w:bCs/>
              </w:rPr>
              <w:t xml:space="preserve"> (incidence ≥ 2% in either treatment arm)</w:t>
            </w:r>
            <w:r w:rsidR="00542E27">
              <w:rPr>
                <w:b/>
                <w:bCs/>
              </w:rPr>
              <w:t>, n (%)</w:t>
            </w:r>
          </w:p>
        </w:tc>
      </w:tr>
      <w:tr w:rsidR="00E06B92" w:rsidRPr="00D74203" w14:paraId="5981CBB3" w14:textId="77777777">
        <w:tc>
          <w:tcPr>
            <w:tcW w:w="2429" w:type="pct"/>
          </w:tcPr>
          <w:p w14:paraId="3ECED76F" w14:textId="77777777" w:rsidR="00E06B92" w:rsidRPr="00D74203" w:rsidRDefault="00E06B92">
            <w:pPr>
              <w:pStyle w:val="Tabletext"/>
              <w:keepNext/>
            </w:pPr>
            <w:r>
              <w:t>H</w:t>
            </w:r>
            <w:r w:rsidRPr="00CE30CE">
              <w:t>ypothyroidism</w:t>
            </w:r>
          </w:p>
        </w:tc>
        <w:tc>
          <w:tcPr>
            <w:tcW w:w="1285" w:type="pct"/>
          </w:tcPr>
          <w:p w14:paraId="202B8781" w14:textId="77777777" w:rsidR="00E06B92" w:rsidRPr="00D74203" w:rsidRDefault="00E06B92">
            <w:pPr>
              <w:pStyle w:val="Tabletext"/>
              <w:keepNext/>
              <w:jc w:val="center"/>
            </w:pPr>
            <w:r>
              <w:t>89 (24.7)</w:t>
            </w:r>
          </w:p>
        </w:tc>
        <w:tc>
          <w:tcPr>
            <w:tcW w:w="1286" w:type="pct"/>
          </w:tcPr>
          <w:p w14:paraId="40FA32F6" w14:textId="77777777" w:rsidR="00E06B92" w:rsidRPr="00D74203" w:rsidRDefault="00E06B92">
            <w:pPr>
              <w:pStyle w:val="Tabletext"/>
              <w:keepNext/>
              <w:jc w:val="center"/>
            </w:pPr>
            <w:r>
              <w:t>17 (5.4)</w:t>
            </w:r>
          </w:p>
        </w:tc>
      </w:tr>
      <w:tr w:rsidR="00E06B92" w:rsidRPr="00D74203" w14:paraId="3FC80B24" w14:textId="77777777">
        <w:tc>
          <w:tcPr>
            <w:tcW w:w="2429" w:type="pct"/>
          </w:tcPr>
          <w:p w14:paraId="6370850A" w14:textId="77777777" w:rsidR="00E06B92" w:rsidRPr="00D74203" w:rsidRDefault="00E06B92">
            <w:pPr>
              <w:pStyle w:val="Tabletext"/>
              <w:keepNext/>
            </w:pPr>
            <w:r>
              <w:t>H</w:t>
            </w:r>
            <w:r w:rsidRPr="00166C9E">
              <w:t>yperthyroidism</w:t>
            </w:r>
          </w:p>
        </w:tc>
        <w:tc>
          <w:tcPr>
            <w:tcW w:w="1285" w:type="pct"/>
          </w:tcPr>
          <w:p w14:paraId="6EACC9DD" w14:textId="77777777" w:rsidR="00E06B92" w:rsidRPr="00D74203" w:rsidRDefault="00E06B92">
            <w:pPr>
              <w:pStyle w:val="Tabletext"/>
              <w:keepNext/>
              <w:jc w:val="center"/>
            </w:pPr>
            <w:r>
              <w:t>32 (</w:t>
            </w:r>
            <w:r w:rsidRPr="00166C9E">
              <w:t>8.9</w:t>
            </w:r>
            <w:r>
              <w:t>)</w:t>
            </w:r>
          </w:p>
        </w:tc>
        <w:tc>
          <w:tcPr>
            <w:tcW w:w="1286" w:type="pct"/>
          </w:tcPr>
          <w:p w14:paraId="75C91F70" w14:textId="77777777" w:rsidR="00E06B92" w:rsidRPr="00D74203" w:rsidRDefault="00E06B92">
            <w:pPr>
              <w:pStyle w:val="Tabletext"/>
              <w:keepNext/>
              <w:jc w:val="center"/>
            </w:pPr>
            <w:r>
              <w:t>10 (</w:t>
            </w:r>
            <w:r w:rsidRPr="00166C9E">
              <w:t>3.2</w:t>
            </w:r>
            <w:r>
              <w:t>)</w:t>
            </w:r>
          </w:p>
        </w:tc>
      </w:tr>
      <w:tr w:rsidR="00E06B92" w:rsidRPr="00D74203" w14:paraId="3EF2A65A" w14:textId="77777777">
        <w:tc>
          <w:tcPr>
            <w:tcW w:w="2429" w:type="pct"/>
          </w:tcPr>
          <w:p w14:paraId="78603CDD" w14:textId="77777777" w:rsidR="00E06B92" w:rsidRPr="00D74203" w:rsidRDefault="00E06B92">
            <w:pPr>
              <w:pStyle w:val="Tabletext"/>
              <w:keepNext/>
            </w:pPr>
            <w:r>
              <w:t>P</w:t>
            </w:r>
            <w:r w:rsidRPr="00166C9E">
              <w:t>neumonitis</w:t>
            </w:r>
          </w:p>
        </w:tc>
        <w:tc>
          <w:tcPr>
            <w:tcW w:w="1285" w:type="pct"/>
          </w:tcPr>
          <w:p w14:paraId="1F0BF3DB" w14:textId="77777777" w:rsidR="00E06B92" w:rsidRPr="00D74203" w:rsidRDefault="00E06B92">
            <w:pPr>
              <w:pStyle w:val="Tabletext"/>
              <w:keepNext/>
              <w:jc w:val="center"/>
            </w:pPr>
            <w:r>
              <w:t>20 (</w:t>
            </w:r>
            <w:r w:rsidRPr="00166C9E">
              <w:t>5.5</w:t>
            </w:r>
            <w:r>
              <w:t>)</w:t>
            </w:r>
          </w:p>
        </w:tc>
        <w:tc>
          <w:tcPr>
            <w:tcW w:w="1286" w:type="pct"/>
          </w:tcPr>
          <w:p w14:paraId="2896DEEB" w14:textId="77777777" w:rsidR="00E06B92" w:rsidRPr="00D74203" w:rsidRDefault="00E06B92">
            <w:pPr>
              <w:pStyle w:val="Tabletext"/>
              <w:keepNext/>
              <w:jc w:val="center"/>
            </w:pPr>
            <w:r>
              <w:t>0 (0</w:t>
            </w:r>
            <w:r w:rsidRPr="00166C9E">
              <w:t>.0</w:t>
            </w:r>
            <w:r>
              <w:t>)</w:t>
            </w:r>
          </w:p>
        </w:tc>
      </w:tr>
      <w:tr w:rsidR="00E06B92" w:rsidRPr="00D74203" w14:paraId="6A9551C2" w14:textId="77777777">
        <w:tc>
          <w:tcPr>
            <w:tcW w:w="2429" w:type="pct"/>
          </w:tcPr>
          <w:p w14:paraId="7DE4A162" w14:textId="77777777" w:rsidR="00E06B92" w:rsidRPr="00D74203" w:rsidRDefault="00E06B92">
            <w:pPr>
              <w:pStyle w:val="Tabletext"/>
              <w:keepNext/>
            </w:pPr>
            <w:r>
              <w:t>S</w:t>
            </w:r>
            <w:r w:rsidRPr="00166C9E">
              <w:t>evere skin reactions</w:t>
            </w:r>
          </w:p>
        </w:tc>
        <w:tc>
          <w:tcPr>
            <w:tcW w:w="1285" w:type="pct"/>
          </w:tcPr>
          <w:p w14:paraId="471032DF" w14:textId="77777777" w:rsidR="00E06B92" w:rsidRPr="00D74203" w:rsidRDefault="00E06B92">
            <w:pPr>
              <w:pStyle w:val="Tabletext"/>
              <w:keepNext/>
              <w:jc w:val="center"/>
            </w:pPr>
            <w:r>
              <w:t>10 (</w:t>
            </w:r>
            <w:r w:rsidRPr="00166C9E">
              <w:t>2.8</w:t>
            </w:r>
            <w:r>
              <w:t>)</w:t>
            </w:r>
          </w:p>
        </w:tc>
        <w:tc>
          <w:tcPr>
            <w:tcW w:w="1286" w:type="pct"/>
          </w:tcPr>
          <w:p w14:paraId="537C8208" w14:textId="77777777" w:rsidR="00E06B92" w:rsidRPr="00D74203" w:rsidRDefault="00E06B92">
            <w:pPr>
              <w:pStyle w:val="Tabletext"/>
              <w:keepNext/>
              <w:jc w:val="center"/>
            </w:pPr>
            <w:r>
              <w:t>2 (</w:t>
            </w:r>
            <w:r w:rsidRPr="00166C9E">
              <w:t>0.6</w:t>
            </w:r>
            <w:r>
              <w:t>)</w:t>
            </w:r>
          </w:p>
        </w:tc>
      </w:tr>
      <w:tr w:rsidR="00E06B92" w:rsidRPr="00D74203" w14:paraId="216594E0" w14:textId="77777777">
        <w:tc>
          <w:tcPr>
            <w:tcW w:w="2429" w:type="pct"/>
          </w:tcPr>
          <w:p w14:paraId="7D6E6C0B" w14:textId="77777777" w:rsidR="00E06B92" w:rsidRPr="00D74203" w:rsidRDefault="00E06B92">
            <w:pPr>
              <w:pStyle w:val="Tabletext"/>
              <w:keepNext/>
            </w:pPr>
            <w:r>
              <w:t>C</w:t>
            </w:r>
            <w:r w:rsidRPr="00166C9E">
              <w:t>olitis</w:t>
            </w:r>
          </w:p>
        </w:tc>
        <w:tc>
          <w:tcPr>
            <w:tcW w:w="1285" w:type="pct"/>
          </w:tcPr>
          <w:p w14:paraId="1033E9C5" w14:textId="77777777" w:rsidR="00E06B92" w:rsidRPr="00D74203" w:rsidRDefault="00E06B92">
            <w:pPr>
              <w:pStyle w:val="Tabletext"/>
              <w:keepNext/>
              <w:jc w:val="center"/>
            </w:pPr>
            <w:r>
              <w:t>9 (</w:t>
            </w:r>
            <w:r w:rsidRPr="00166C9E">
              <w:t>2.5</w:t>
            </w:r>
            <w:r>
              <w:t>)</w:t>
            </w:r>
          </w:p>
        </w:tc>
        <w:tc>
          <w:tcPr>
            <w:tcW w:w="1286" w:type="pct"/>
          </w:tcPr>
          <w:p w14:paraId="329BE323" w14:textId="77777777" w:rsidR="00E06B92" w:rsidRPr="00D74203" w:rsidRDefault="00E06B92">
            <w:pPr>
              <w:pStyle w:val="Tabletext"/>
              <w:keepNext/>
              <w:jc w:val="center"/>
            </w:pPr>
            <w:r>
              <w:t>1 (</w:t>
            </w:r>
            <w:r w:rsidRPr="00166C9E">
              <w:t>0.3</w:t>
            </w:r>
            <w:r>
              <w:t>)</w:t>
            </w:r>
          </w:p>
        </w:tc>
      </w:tr>
      <w:tr w:rsidR="00E06B92" w:rsidRPr="00D74203" w14:paraId="205C5ED4" w14:textId="77777777">
        <w:tc>
          <w:tcPr>
            <w:tcW w:w="2429" w:type="pct"/>
          </w:tcPr>
          <w:p w14:paraId="510D2313" w14:textId="77777777" w:rsidR="00E06B92" w:rsidRDefault="00E06B92">
            <w:pPr>
              <w:pStyle w:val="Tabletext"/>
              <w:keepNext/>
            </w:pPr>
            <w:r>
              <w:t>Hepatitis</w:t>
            </w:r>
          </w:p>
        </w:tc>
        <w:tc>
          <w:tcPr>
            <w:tcW w:w="1285" w:type="pct"/>
          </w:tcPr>
          <w:p w14:paraId="0007779B" w14:textId="7FE67D5C" w:rsidR="00E06B92" w:rsidRPr="00166C9E" w:rsidRDefault="00E06B92">
            <w:pPr>
              <w:pStyle w:val="Tabletext"/>
              <w:keepNext/>
              <w:jc w:val="center"/>
            </w:pPr>
            <w:r>
              <w:t>8 (</w:t>
            </w:r>
            <w:r w:rsidRPr="00166C9E">
              <w:t>2.2</w:t>
            </w:r>
            <w:r>
              <w:t>)</w:t>
            </w:r>
          </w:p>
        </w:tc>
        <w:tc>
          <w:tcPr>
            <w:tcW w:w="1286" w:type="pct"/>
          </w:tcPr>
          <w:p w14:paraId="398437C5" w14:textId="77777777" w:rsidR="00E06B92" w:rsidRPr="00166C9E" w:rsidRDefault="00E06B92">
            <w:pPr>
              <w:pStyle w:val="Tabletext"/>
              <w:keepNext/>
              <w:jc w:val="center"/>
            </w:pPr>
            <w:r>
              <w:t>1 (</w:t>
            </w:r>
            <w:r w:rsidRPr="00166C9E">
              <w:t>0.3</w:t>
            </w:r>
            <w:r>
              <w:t>)</w:t>
            </w:r>
          </w:p>
        </w:tc>
      </w:tr>
    </w:tbl>
    <w:p w14:paraId="12AEBF77" w14:textId="58654F16" w:rsidR="00E06B92" w:rsidRPr="00A863EB" w:rsidRDefault="00E06B92" w:rsidP="00677261">
      <w:pPr>
        <w:pStyle w:val="TableFigureFooter"/>
        <w:rPr>
          <w:i w:val="0"/>
          <w:iCs w:val="0"/>
        </w:rPr>
      </w:pPr>
      <w:r w:rsidRPr="00A863EB">
        <w:rPr>
          <w:i w:val="0"/>
          <w:iCs w:val="0"/>
        </w:rPr>
        <w:t xml:space="preserve">Source: Table </w:t>
      </w:r>
      <w:r w:rsidR="005455AB" w:rsidRPr="00A863EB">
        <w:rPr>
          <w:i w:val="0"/>
          <w:iCs w:val="0"/>
        </w:rPr>
        <w:t xml:space="preserve">2.5-14, p91 and Figure 2.5-10, p97 of the submission; </w:t>
      </w:r>
      <w:r w:rsidRPr="00A863EB">
        <w:rPr>
          <w:i w:val="0"/>
          <w:iCs w:val="0"/>
        </w:rPr>
        <w:t>Table 14.3-66, pp1242-1243 of the KN689 clinical study report (dated 9 December 2024).</w:t>
      </w:r>
    </w:p>
    <w:p w14:paraId="06E93BDC" w14:textId="511F9251" w:rsidR="00CE30CE" w:rsidRPr="00A863EB" w:rsidRDefault="00E06B92" w:rsidP="00677261">
      <w:pPr>
        <w:pStyle w:val="TableFigureFooter"/>
        <w:rPr>
          <w:i w:val="0"/>
          <w:iCs w:val="0"/>
        </w:rPr>
      </w:pPr>
      <w:r w:rsidRPr="00A863EB">
        <w:rPr>
          <w:i w:val="0"/>
          <w:iCs w:val="0"/>
        </w:rPr>
        <w:t xml:space="preserve">AEOSIs = adverse events of special interest; AEs = adverse events; </w:t>
      </w:r>
      <w:proofErr w:type="spellStart"/>
      <w:r w:rsidRPr="00A863EB">
        <w:rPr>
          <w:i w:val="0"/>
          <w:iCs w:val="0"/>
        </w:rPr>
        <w:t>APaT</w:t>
      </w:r>
      <w:proofErr w:type="spellEnd"/>
      <w:r w:rsidRPr="00A863EB">
        <w:rPr>
          <w:i w:val="0"/>
          <w:iCs w:val="0"/>
        </w:rPr>
        <w:t xml:space="preserve"> = all participants as treated; PEM = pembrolizumab; SoC = standard of care</w:t>
      </w:r>
    </w:p>
    <w:p w14:paraId="56FFBDDC" w14:textId="76AC1815" w:rsidR="00757B5D" w:rsidRPr="00477630" w:rsidRDefault="00757B5D" w:rsidP="00757B5D">
      <w:pPr>
        <w:pStyle w:val="3-BodyText"/>
        <w:rPr>
          <w:iCs/>
        </w:rPr>
      </w:pPr>
      <w:r w:rsidRPr="00477630">
        <w:rPr>
          <w:iCs/>
        </w:rPr>
        <w:t xml:space="preserve">The ESC noted there had been 4 (1.1%) drug-related AEs leading to death in the </w:t>
      </w:r>
      <w:proofErr w:type="spellStart"/>
      <w:r w:rsidRPr="00477630">
        <w:rPr>
          <w:iCs/>
        </w:rPr>
        <w:t>PEM+SoC</w:t>
      </w:r>
      <w:proofErr w:type="spellEnd"/>
      <w:r w:rsidRPr="00477630">
        <w:rPr>
          <w:iCs/>
        </w:rPr>
        <w:t xml:space="preserve"> arm compared with 1 (0.3%) in the SoC arm.</w:t>
      </w:r>
    </w:p>
    <w:p w14:paraId="1BE26289" w14:textId="3E51BF4E" w:rsidR="00AE7FAB" w:rsidRPr="00477630" w:rsidRDefault="00AE7FAB" w:rsidP="00757B5D">
      <w:pPr>
        <w:pStyle w:val="3-BodyText"/>
        <w:rPr>
          <w:iCs/>
        </w:rPr>
      </w:pPr>
      <w:r w:rsidRPr="00477630">
        <w:rPr>
          <w:iCs/>
        </w:rPr>
        <w:t xml:space="preserve">The submission did not separate the rate of AEs that occurred in the neoadjuvant and adjuvant phases of treatment. However, the </w:t>
      </w:r>
      <w:r w:rsidR="00306036" w:rsidRPr="00477630">
        <w:rPr>
          <w:iCs/>
        </w:rPr>
        <w:t>U</w:t>
      </w:r>
      <w:r w:rsidR="008D7E7E" w:rsidRPr="00477630">
        <w:rPr>
          <w:iCs/>
        </w:rPr>
        <w:t>nited States (US) Food and Drug Administration</w:t>
      </w:r>
      <w:r w:rsidR="00306036" w:rsidRPr="00477630">
        <w:rPr>
          <w:iCs/>
        </w:rPr>
        <w:t xml:space="preserve"> </w:t>
      </w:r>
      <w:r w:rsidR="008D7E7E" w:rsidRPr="00477630">
        <w:rPr>
          <w:iCs/>
        </w:rPr>
        <w:t>(</w:t>
      </w:r>
      <w:r w:rsidRPr="00477630">
        <w:rPr>
          <w:iCs/>
        </w:rPr>
        <w:t>FDA</w:t>
      </w:r>
      <w:r w:rsidR="008D7E7E" w:rsidRPr="00477630">
        <w:rPr>
          <w:iCs/>
        </w:rPr>
        <w:t>)</w:t>
      </w:r>
      <w:r w:rsidRPr="00477630">
        <w:rPr>
          <w:iCs/>
        </w:rPr>
        <w:t xml:space="preserve"> safety advice for pembrolizumab </w:t>
      </w:r>
      <w:r w:rsidR="006C4A72">
        <w:rPr>
          <w:iCs/>
        </w:rPr>
        <w:t xml:space="preserve">provides some stratification by treatment phases </w:t>
      </w:r>
      <w:r w:rsidR="000B2A67" w:rsidRPr="00477630">
        <w:rPr>
          <w:iCs/>
        </w:rPr>
        <w:t xml:space="preserve">for HNSCC. </w:t>
      </w:r>
      <w:r w:rsidR="008455DB" w:rsidRPr="00477630">
        <w:rPr>
          <w:iCs/>
        </w:rPr>
        <w:t>The ESC noted that the</w:t>
      </w:r>
      <w:r w:rsidR="000B2A67" w:rsidRPr="00477630">
        <w:rPr>
          <w:iCs/>
        </w:rPr>
        <w:t xml:space="preserve"> advice shows that the majority of common (&gt;20%) AEs in KN689 occurred during the neoadjuvant phase of treatment </w:t>
      </w:r>
      <w:r w:rsidR="00FD1FDE" w:rsidRPr="00477630">
        <w:rPr>
          <w:iCs/>
        </w:rPr>
        <w:t>(</w:t>
      </w:r>
      <w:r w:rsidR="00306036" w:rsidRPr="00477630">
        <w:rPr>
          <w:iCs/>
        </w:rPr>
        <w:t>US FDA,</w:t>
      </w:r>
      <w:r w:rsidR="00FD1FDE" w:rsidRPr="00477630">
        <w:rPr>
          <w:iCs/>
        </w:rPr>
        <w:t xml:space="preserve"> </w:t>
      </w:r>
      <w:r w:rsidR="00833F14" w:rsidRPr="00477630">
        <w:rPr>
          <w:iCs/>
        </w:rPr>
        <w:t>2014</w:t>
      </w:r>
      <w:r w:rsidR="00833F14" w:rsidRPr="00477630">
        <w:rPr>
          <w:rStyle w:val="FootnoteReference"/>
          <w:iCs/>
        </w:rPr>
        <w:footnoteReference w:id="15"/>
      </w:r>
      <w:r w:rsidR="00833F14" w:rsidRPr="00477630">
        <w:rPr>
          <w:iCs/>
        </w:rPr>
        <w:t>).</w:t>
      </w:r>
      <w:r w:rsidRPr="00477630">
        <w:rPr>
          <w:iCs/>
        </w:rPr>
        <w:t xml:space="preserve"> </w:t>
      </w:r>
    </w:p>
    <w:p w14:paraId="5EF20925" w14:textId="4D7C5596" w:rsidR="00757B5D" w:rsidRDefault="005F3809" w:rsidP="00757B5D">
      <w:pPr>
        <w:pStyle w:val="3-BodyText"/>
      </w:pPr>
      <w:r w:rsidRPr="00DE49A7">
        <w:t xml:space="preserve">Overall, the </w:t>
      </w:r>
      <w:r w:rsidR="001D6963" w:rsidRPr="00477630">
        <w:rPr>
          <w:iCs/>
        </w:rPr>
        <w:t>ESC considered that the</w:t>
      </w:r>
      <w:r w:rsidR="001D6963">
        <w:t xml:space="preserve"> </w:t>
      </w:r>
      <w:r w:rsidRPr="00DE49A7">
        <w:t xml:space="preserve">AE results reported in KN689 were consistent with the well-established safety profile of pembrolizumab, radiotherapy, and cisplatin. No new safety concerns were observed. </w:t>
      </w:r>
    </w:p>
    <w:p w14:paraId="72E49242" w14:textId="77777777" w:rsidR="005F3809" w:rsidRPr="00D74203" w:rsidRDefault="005F3809" w:rsidP="005F3809">
      <w:pPr>
        <w:pStyle w:val="4-SubsectionHeading"/>
      </w:pPr>
      <w:bookmarkStart w:id="83" w:name="_Toc22897643"/>
      <w:bookmarkStart w:id="84" w:name="_Toc206432637"/>
      <w:bookmarkStart w:id="85" w:name="_Toc209004706"/>
      <w:r w:rsidRPr="00D74203">
        <w:lastRenderedPageBreak/>
        <w:t>Benefits/harms</w:t>
      </w:r>
      <w:bookmarkEnd w:id="83"/>
      <w:bookmarkEnd w:id="84"/>
      <w:bookmarkEnd w:id="85"/>
    </w:p>
    <w:p w14:paraId="45CBE437" w14:textId="30F5AE4F" w:rsidR="005F3809" w:rsidRPr="00D74203" w:rsidRDefault="005F3809" w:rsidP="005F3809">
      <w:pPr>
        <w:pStyle w:val="3-BodyText"/>
        <w:numPr>
          <w:ilvl w:val="1"/>
          <w:numId w:val="1"/>
        </w:numPr>
        <w:spacing w:before="0" w:after="120"/>
        <w:rPr>
          <w:rFonts w:eastAsia="Calibri"/>
        </w:rPr>
      </w:pPr>
      <w:r w:rsidRPr="00D74203">
        <w:rPr>
          <w:rFonts w:eastAsia="Calibri"/>
        </w:rPr>
        <w:t xml:space="preserve">A summary of the comparative benefits and harms for perioperative </w:t>
      </w:r>
      <w:proofErr w:type="spellStart"/>
      <w:r w:rsidR="00CA3DE8">
        <w:rPr>
          <w:rFonts w:eastAsia="Calibri"/>
        </w:rPr>
        <w:t>PEM</w:t>
      </w:r>
      <w:r w:rsidRPr="00D74203">
        <w:rPr>
          <w:rFonts w:eastAsia="Calibri"/>
        </w:rPr>
        <w:t>+SoC</w:t>
      </w:r>
      <w:proofErr w:type="spellEnd"/>
      <w:r w:rsidRPr="00D74203">
        <w:rPr>
          <w:rFonts w:eastAsia="Calibri"/>
        </w:rPr>
        <w:t xml:space="preserve"> compared with SoC is presented in </w:t>
      </w:r>
      <w:r w:rsidRPr="00D74203">
        <w:rPr>
          <w:rFonts w:eastAsia="Calibri"/>
        </w:rPr>
        <w:fldChar w:fldCharType="begin"/>
      </w:r>
      <w:r w:rsidRPr="00D74203">
        <w:rPr>
          <w:rFonts w:eastAsia="Calibri"/>
        </w:rPr>
        <w:instrText xml:space="preserve"> REF _Ref121137880 \h </w:instrText>
      </w:r>
      <w:r w:rsidRPr="00D74203">
        <w:rPr>
          <w:rFonts w:eastAsia="Calibri"/>
        </w:rPr>
      </w:r>
      <w:r w:rsidRPr="00D74203">
        <w:rPr>
          <w:rFonts w:eastAsia="Calibri"/>
        </w:rPr>
        <w:fldChar w:fldCharType="separate"/>
      </w:r>
      <w:r w:rsidR="0084087D" w:rsidRPr="00D74203">
        <w:t xml:space="preserve">Table </w:t>
      </w:r>
      <w:r w:rsidR="0084087D">
        <w:rPr>
          <w:noProof/>
        </w:rPr>
        <w:t>8</w:t>
      </w:r>
      <w:r w:rsidRPr="00D74203">
        <w:rPr>
          <w:rFonts w:eastAsia="Calibri"/>
        </w:rPr>
        <w:fldChar w:fldCharType="end"/>
      </w:r>
      <w:r w:rsidRPr="00D74203">
        <w:rPr>
          <w:rFonts w:eastAsia="Calibri"/>
        </w:rPr>
        <w:t xml:space="preserve">. </w:t>
      </w:r>
    </w:p>
    <w:p w14:paraId="39FEDDBC" w14:textId="1E8B49E4" w:rsidR="005F3809" w:rsidRPr="00D74203" w:rsidRDefault="005F3809" w:rsidP="005F3809">
      <w:pPr>
        <w:pStyle w:val="Caption"/>
        <w:rPr>
          <w:rStyle w:val="CommentReference"/>
          <w:b/>
          <w:szCs w:val="24"/>
          <w:vertAlign w:val="superscript"/>
        </w:rPr>
      </w:pPr>
      <w:bookmarkStart w:id="86" w:name="_Ref121137880"/>
      <w:r w:rsidRPr="00D74203">
        <w:t xml:space="preserve">Table </w:t>
      </w:r>
      <w:r w:rsidR="00972E86">
        <w:fldChar w:fldCharType="begin"/>
      </w:r>
      <w:r w:rsidR="00972E86">
        <w:instrText xml:space="preserve"> SEQ Table \* ARABIC </w:instrText>
      </w:r>
      <w:r w:rsidR="00972E86">
        <w:fldChar w:fldCharType="separate"/>
      </w:r>
      <w:r w:rsidR="0084087D">
        <w:rPr>
          <w:noProof/>
        </w:rPr>
        <w:t>8</w:t>
      </w:r>
      <w:r w:rsidR="00972E86">
        <w:rPr>
          <w:noProof/>
        </w:rPr>
        <w:fldChar w:fldCharType="end"/>
      </w:r>
      <w:bookmarkEnd w:id="86"/>
      <w:r w:rsidRPr="00D74203">
        <w:t xml:space="preserve">: Summary of comparative benefits and harms for </w:t>
      </w:r>
      <w:proofErr w:type="spellStart"/>
      <w:r w:rsidR="00CA3DE8">
        <w:t>PEM</w:t>
      </w:r>
      <w:r w:rsidRPr="00D74203">
        <w:t>+SoC</w:t>
      </w:r>
      <w:proofErr w:type="spellEnd"/>
      <w:r w:rsidRPr="00D74203">
        <w:t xml:space="preserve"> </w:t>
      </w:r>
      <w:r w:rsidR="00CA3DE8">
        <w:t>versus</w:t>
      </w:r>
      <w:r w:rsidR="00CA3DE8" w:rsidRPr="00D74203">
        <w:t xml:space="preserve"> </w:t>
      </w:r>
      <w:proofErr w:type="spellStart"/>
      <w:r w:rsidRPr="00D74203">
        <w:t>SoC</w:t>
      </w:r>
      <w:r w:rsidRPr="00D74203">
        <w:rPr>
          <w:vertAlign w:val="superscript"/>
        </w:rPr>
        <w:t>a</w:t>
      </w:r>
      <w:proofErr w:type="spellEnd"/>
    </w:p>
    <w:tbl>
      <w:tblPr>
        <w:tblStyle w:val="TableGrid"/>
        <w:tblW w:w="5000" w:type="pct"/>
        <w:tblLayout w:type="fixed"/>
        <w:tblCellMar>
          <w:left w:w="28" w:type="dxa"/>
          <w:right w:w="28" w:type="dxa"/>
        </w:tblCellMar>
        <w:tblLook w:val="04A0" w:firstRow="1" w:lastRow="0" w:firstColumn="1" w:lastColumn="0" w:noHBand="0" w:noVBand="1"/>
        <w:tblCaption w:val="Table 8: Summary of comparative benefits and harms for PEM+SoC versus SoC"/>
      </w:tblPr>
      <w:tblGrid>
        <w:gridCol w:w="2724"/>
        <w:gridCol w:w="1666"/>
        <w:gridCol w:w="1488"/>
        <w:gridCol w:w="1713"/>
        <w:gridCol w:w="1426"/>
      </w:tblGrid>
      <w:tr w:rsidR="005F3809" w:rsidRPr="00D74203" w14:paraId="230DFB50" w14:textId="77777777" w:rsidTr="00E67BCE">
        <w:trPr>
          <w:trHeight w:val="20"/>
        </w:trPr>
        <w:tc>
          <w:tcPr>
            <w:tcW w:w="5000" w:type="pct"/>
            <w:gridSpan w:val="5"/>
            <w:tcBorders>
              <w:top w:val="single" w:sz="4" w:space="0" w:color="auto"/>
            </w:tcBorders>
          </w:tcPr>
          <w:p w14:paraId="018D4147" w14:textId="77777777" w:rsidR="005F3809" w:rsidRPr="00D74203" w:rsidRDefault="005F3809">
            <w:pPr>
              <w:pStyle w:val="In-tableHeading"/>
              <w:rPr>
                <w:lang w:val="en-AU"/>
              </w:rPr>
            </w:pPr>
            <w:r w:rsidRPr="00D74203">
              <w:rPr>
                <w:lang w:val="en-AU"/>
              </w:rPr>
              <w:t>Benefits (ITT population)</w:t>
            </w:r>
          </w:p>
        </w:tc>
      </w:tr>
      <w:tr w:rsidR="005F3809" w:rsidRPr="00D74203" w14:paraId="3F36CCBF" w14:textId="77777777" w:rsidTr="00E67BCE">
        <w:trPr>
          <w:trHeight w:val="20"/>
        </w:trPr>
        <w:tc>
          <w:tcPr>
            <w:tcW w:w="1510" w:type="pct"/>
            <w:tcBorders>
              <w:bottom w:val="single" w:sz="4" w:space="0" w:color="auto"/>
            </w:tcBorders>
          </w:tcPr>
          <w:p w14:paraId="6A6F0095" w14:textId="77777777" w:rsidR="005F3809" w:rsidRPr="00D74203" w:rsidRDefault="005F3809">
            <w:pPr>
              <w:pStyle w:val="In-tableHeading"/>
              <w:rPr>
                <w:lang w:val="en-AU"/>
              </w:rPr>
            </w:pPr>
          </w:p>
        </w:tc>
        <w:tc>
          <w:tcPr>
            <w:tcW w:w="924" w:type="pct"/>
            <w:tcBorders>
              <w:bottom w:val="single" w:sz="4" w:space="0" w:color="auto"/>
            </w:tcBorders>
          </w:tcPr>
          <w:p w14:paraId="3F763546" w14:textId="5E77677D" w:rsidR="005F3809" w:rsidRPr="00D74203" w:rsidRDefault="00517555">
            <w:pPr>
              <w:pStyle w:val="In-tableHeading"/>
              <w:jc w:val="center"/>
              <w:rPr>
                <w:lang w:val="en-AU"/>
              </w:rPr>
            </w:pPr>
            <w:proofErr w:type="spellStart"/>
            <w:r>
              <w:rPr>
                <w:lang w:val="en-AU"/>
              </w:rPr>
              <w:t>PEM+SoC</w:t>
            </w:r>
            <w:proofErr w:type="spellEnd"/>
          </w:p>
        </w:tc>
        <w:tc>
          <w:tcPr>
            <w:tcW w:w="825" w:type="pct"/>
            <w:tcBorders>
              <w:bottom w:val="single" w:sz="4" w:space="0" w:color="auto"/>
            </w:tcBorders>
          </w:tcPr>
          <w:p w14:paraId="34E69832" w14:textId="77777777" w:rsidR="005F3809" w:rsidRPr="00D74203" w:rsidRDefault="005F3809">
            <w:pPr>
              <w:pStyle w:val="In-tableHeading"/>
              <w:jc w:val="center"/>
              <w:rPr>
                <w:lang w:val="en-AU"/>
              </w:rPr>
            </w:pPr>
            <w:r w:rsidRPr="00D74203">
              <w:rPr>
                <w:lang w:val="en-AU"/>
              </w:rPr>
              <w:t>SoC</w:t>
            </w:r>
          </w:p>
        </w:tc>
        <w:tc>
          <w:tcPr>
            <w:tcW w:w="950" w:type="pct"/>
            <w:tcBorders>
              <w:bottom w:val="single" w:sz="4" w:space="0" w:color="auto"/>
            </w:tcBorders>
          </w:tcPr>
          <w:p w14:paraId="0D6980DF" w14:textId="77777777" w:rsidR="005F3809" w:rsidRPr="00D74203" w:rsidRDefault="005F3809">
            <w:pPr>
              <w:pStyle w:val="In-tableHeading"/>
              <w:jc w:val="center"/>
              <w:rPr>
                <w:rFonts w:asciiTheme="minorHAnsi" w:hAnsiTheme="minorHAnsi"/>
                <w:lang w:val="en-AU"/>
              </w:rPr>
            </w:pPr>
            <w:r w:rsidRPr="00D74203">
              <w:rPr>
                <w:lang w:val="en-AU"/>
              </w:rPr>
              <w:t>Absolute difference</w:t>
            </w:r>
          </w:p>
        </w:tc>
        <w:tc>
          <w:tcPr>
            <w:tcW w:w="791" w:type="pct"/>
            <w:tcBorders>
              <w:bottom w:val="single" w:sz="4" w:space="0" w:color="auto"/>
            </w:tcBorders>
          </w:tcPr>
          <w:p w14:paraId="2381A229" w14:textId="77777777" w:rsidR="005F3809" w:rsidRPr="00D74203" w:rsidRDefault="005F3809">
            <w:pPr>
              <w:pStyle w:val="In-tableHeading"/>
              <w:jc w:val="center"/>
              <w:rPr>
                <w:lang w:val="en-AU"/>
              </w:rPr>
            </w:pPr>
            <w:r w:rsidRPr="00D74203">
              <w:rPr>
                <w:lang w:val="en-AU"/>
              </w:rPr>
              <w:t>HR (95% CI)</w:t>
            </w:r>
          </w:p>
        </w:tc>
      </w:tr>
      <w:tr w:rsidR="005F3809" w:rsidRPr="00D74203" w14:paraId="6A2955FA" w14:textId="77777777" w:rsidTr="00E67BCE">
        <w:trPr>
          <w:trHeight w:val="20"/>
        </w:trPr>
        <w:tc>
          <w:tcPr>
            <w:tcW w:w="5000" w:type="pct"/>
            <w:gridSpan w:val="5"/>
            <w:tcBorders>
              <w:top w:val="single" w:sz="4" w:space="0" w:color="auto"/>
            </w:tcBorders>
          </w:tcPr>
          <w:p w14:paraId="34598AA9" w14:textId="77777777" w:rsidR="005F3809" w:rsidRPr="00DD4CCD" w:rsidRDefault="005F3809">
            <w:pPr>
              <w:pStyle w:val="In-tableHeading"/>
              <w:rPr>
                <w:lang w:val="en-AU"/>
              </w:rPr>
            </w:pPr>
            <w:r w:rsidRPr="00DD4CCD">
              <w:rPr>
                <w:lang w:val="en-AU"/>
              </w:rPr>
              <w:t>EFS</w:t>
            </w:r>
          </w:p>
        </w:tc>
      </w:tr>
      <w:tr w:rsidR="005F3809" w:rsidRPr="00D74203" w14:paraId="5A90664C" w14:textId="77777777" w:rsidTr="00E67BCE">
        <w:trPr>
          <w:trHeight w:val="20"/>
        </w:trPr>
        <w:tc>
          <w:tcPr>
            <w:tcW w:w="1510" w:type="pct"/>
            <w:tcBorders>
              <w:bottom w:val="single" w:sz="4" w:space="0" w:color="auto"/>
              <w:right w:val="single" w:sz="4" w:space="0" w:color="auto"/>
            </w:tcBorders>
          </w:tcPr>
          <w:p w14:paraId="4ED436D4" w14:textId="77777777" w:rsidR="005F3809" w:rsidRPr="00D74203" w:rsidRDefault="005F3809">
            <w:pPr>
              <w:pStyle w:val="TableText0"/>
              <w:widowControl w:val="0"/>
            </w:pPr>
            <w:r w:rsidRPr="00D74203">
              <w:t>EFS events, n/N (%)</w:t>
            </w:r>
          </w:p>
        </w:tc>
        <w:tc>
          <w:tcPr>
            <w:tcW w:w="924" w:type="pct"/>
            <w:tcBorders>
              <w:left w:val="single" w:sz="4" w:space="0" w:color="auto"/>
              <w:bottom w:val="single" w:sz="4" w:space="0" w:color="auto"/>
              <w:right w:val="single" w:sz="4" w:space="0" w:color="auto"/>
            </w:tcBorders>
          </w:tcPr>
          <w:p w14:paraId="3E484925" w14:textId="77777777" w:rsidR="005F3809" w:rsidRPr="00D74203" w:rsidRDefault="005F3809">
            <w:pPr>
              <w:pStyle w:val="TableText0"/>
              <w:widowControl w:val="0"/>
              <w:jc w:val="center"/>
            </w:pPr>
            <w:r w:rsidRPr="00D74203">
              <w:t>136/363 (37.5)</w:t>
            </w:r>
          </w:p>
        </w:tc>
        <w:tc>
          <w:tcPr>
            <w:tcW w:w="825" w:type="pct"/>
            <w:tcBorders>
              <w:left w:val="single" w:sz="4" w:space="0" w:color="auto"/>
              <w:bottom w:val="single" w:sz="4" w:space="0" w:color="auto"/>
              <w:right w:val="single" w:sz="4" w:space="0" w:color="auto"/>
            </w:tcBorders>
          </w:tcPr>
          <w:p w14:paraId="762ADA05" w14:textId="77777777" w:rsidR="005F3809" w:rsidRPr="00D74203" w:rsidRDefault="005F3809">
            <w:pPr>
              <w:pStyle w:val="TableText0"/>
              <w:widowControl w:val="0"/>
              <w:jc w:val="center"/>
            </w:pPr>
            <w:r w:rsidRPr="00D74203">
              <w:t>159/351 (45.3)</w:t>
            </w:r>
          </w:p>
        </w:tc>
        <w:tc>
          <w:tcPr>
            <w:tcW w:w="950" w:type="pct"/>
            <w:tcBorders>
              <w:left w:val="single" w:sz="4" w:space="0" w:color="auto"/>
              <w:bottom w:val="single" w:sz="4" w:space="0" w:color="auto"/>
              <w:right w:val="single" w:sz="4" w:space="0" w:color="auto"/>
            </w:tcBorders>
          </w:tcPr>
          <w:p w14:paraId="64FAD9E4" w14:textId="77777777" w:rsidR="005F3809" w:rsidRPr="00D74203" w:rsidRDefault="005F3809">
            <w:pPr>
              <w:pStyle w:val="TableText0"/>
              <w:widowControl w:val="0"/>
              <w:jc w:val="center"/>
            </w:pPr>
            <w:r w:rsidRPr="00D74203">
              <w:t>–</w:t>
            </w:r>
          </w:p>
        </w:tc>
        <w:tc>
          <w:tcPr>
            <w:tcW w:w="791" w:type="pct"/>
            <w:vMerge w:val="restart"/>
            <w:tcBorders>
              <w:left w:val="single" w:sz="4" w:space="0" w:color="auto"/>
            </w:tcBorders>
          </w:tcPr>
          <w:p w14:paraId="0685E536" w14:textId="77777777" w:rsidR="005F3809" w:rsidRPr="00542E27" w:rsidRDefault="005F3809">
            <w:pPr>
              <w:pStyle w:val="TableText0"/>
              <w:widowControl w:val="0"/>
              <w:jc w:val="center"/>
              <w:rPr>
                <w:b/>
                <w:bCs w:val="0"/>
                <w:szCs w:val="20"/>
              </w:rPr>
            </w:pPr>
            <w:r w:rsidRPr="00542E27">
              <w:rPr>
                <w:b/>
                <w:bCs w:val="0"/>
                <w:szCs w:val="20"/>
              </w:rPr>
              <w:t>0.73 (0.58, 0.92)</w:t>
            </w:r>
          </w:p>
          <w:p w14:paraId="59B6F2E0" w14:textId="77777777" w:rsidR="005F3809" w:rsidRPr="00D74203" w:rsidRDefault="005F3809">
            <w:pPr>
              <w:pStyle w:val="TableText0"/>
              <w:widowControl w:val="0"/>
              <w:jc w:val="center"/>
            </w:pPr>
            <w:r w:rsidRPr="00542E27">
              <w:rPr>
                <w:b/>
                <w:bCs w:val="0"/>
                <w:szCs w:val="20"/>
              </w:rPr>
              <w:t>p=0.00411</w:t>
            </w:r>
          </w:p>
        </w:tc>
      </w:tr>
      <w:tr w:rsidR="005F3809" w:rsidRPr="00D74203" w14:paraId="04827E1D" w14:textId="77777777" w:rsidTr="00E67BCE">
        <w:trPr>
          <w:trHeight w:val="20"/>
        </w:trPr>
        <w:tc>
          <w:tcPr>
            <w:tcW w:w="1510" w:type="pct"/>
            <w:tcBorders>
              <w:bottom w:val="single" w:sz="4" w:space="0" w:color="auto"/>
              <w:right w:val="single" w:sz="4" w:space="0" w:color="auto"/>
            </w:tcBorders>
          </w:tcPr>
          <w:p w14:paraId="70B1532A" w14:textId="77777777" w:rsidR="005F3809" w:rsidRPr="00D74203" w:rsidRDefault="005F3809">
            <w:pPr>
              <w:pStyle w:val="TableText0"/>
              <w:widowControl w:val="0"/>
            </w:pPr>
            <w:r w:rsidRPr="00D74203">
              <w:t>Median EFS, months (95% CI)</w:t>
            </w:r>
          </w:p>
        </w:tc>
        <w:tc>
          <w:tcPr>
            <w:tcW w:w="924" w:type="pct"/>
            <w:tcBorders>
              <w:left w:val="single" w:sz="4" w:space="0" w:color="auto"/>
              <w:bottom w:val="single" w:sz="4" w:space="0" w:color="auto"/>
              <w:right w:val="single" w:sz="4" w:space="0" w:color="auto"/>
            </w:tcBorders>
          </w:tcPr>
          <w:p w14:paraId="5DD05F21" w14:textId="77777777" w:rsidR="005F3809" w:rsidRPr="00D74203" w:rsidRDefault="005F3809">
            <w:pPr>
              <w:pStyle w:val="TableText0"/>
              <w:widowControl w:val="0"/>
              <w:jc w:val="center"/>
              <w:rPr>
                <w:rFonts w:cs="Times New Roman"/>
                <w:szCs w:val="20"/>
              </w:rPr>
            </w:pPr>
            <w:r w:rsidRPr="00D74203">
              <w:t>51.8 (37.5, NR)</w:t>
            </w:r>
          </w:p>
        </w:tc>
        <w:tc>
          <w:tcPr>
            <w:tcW w:w="825" w:type="pct"/>
            <w:tcBorders>
              <w:left w:val="single" w:sz="4" w:space="0" w:color="auto"/>
              <w:bottom w:val="single" w:sz="4" w:space="0" w:color="auto"/>
              <w:right w:val="single" w:sz="4" w:space="0" w:color="auto"/>
            </w:tcBorders>
          </w:tcPr>
          <w:p w14:paraId="1DDE4BFC" w14:textId="77777777" w:rsidR="005F3809" w:rsidRPr="00D74203" w:rsidRDefault="005F3809">
            <w:pPr>
              <w:pStyle w:val="TableText0"/>
              <w:widowControl w:val="0"/>
              <w:jc w:val="center"/>
              <w:rPr>
                <w:rFonts w:cs="Times New Roman"/>
                <w:szCs w:val="20"/>
              </w:rPr>
            </w:pPr>
            <w:r w:rsidRPr="00D74203">
              <w:t>30.4 (21.8, 50.1)</w:t>
            </w:r>
          </w:p>
        </w:tc>
        <w:tc>
          <w:tcPr>
            <w:tcW w:w="950" w:type="pct"/>
            <w:tcBorders>
              <w:left w:val="single" w:sz="4" w:space="0" w:color="auto"/>
              <w:bottom w:val="single" w:sz="4" w:space="0" w:color="auto"/>
              <w:right w:val="single" w:sz="4" w:space="0" w:color="auto"/>
            </w:tcBorders>
          </w:tcPr>
          <w:p w14:paraId="7415B199" w14:textId="77777777" w:rsidR="005F3809" w:rsidRPr="00D74203" w:rsidRDefault="005F3809">
            <w:pPr>
              <w:pStyle w:val="TableText0"/>
              <w:widowControl w:val="0"/>
              <w:jc w:val="center"/>
            </w:pPr>
            <w:r w:rsidRPr="00D74203">
              <w:t>21.4</w:t>
            </w:r>
          </w:p>
        </w:tc>
        <w:tc>
          <w:tcPr>
            <w:tcW w:w="791" w:type="pct"/>
            <w:vMerge/>
            <w:tcBorders>
              <w:left w:val="single" w:sz="4" w:space="0" w:color="auto"/>
            </w:tcBorders>
          </w:tcPr>
          <w:p w14:paraId="7F4B3D7A" w14:textId="77777777" w:rsidR="005F3809" w:rsidRPr="00D74203" w:rsidRDefault="005F3809">
            <w:pPr>
              <w:pStyle w:val="TableText0"/>
              <w:widowControl w:val="0"/>
              <w:jc w:val="center"/>
              <w:rPr>
                <w:szCs w:val="20"/>
              </w:rPr>
            </w:pPr>
          </w:p>
        </w:tc>
      </w:tr>
      <w:tr w:rsidR="006A0BE6" w:rsidRPr="00D74203" w14:paraId="1C92CCB7" w14:textId="77777777" w:rsidTr="00E67BCE">
        <w:trPr>
          <w:trHeight w:val="20"/>
        </w:trPr>
        <w:tc>
          <w:tcPr>
            <w:tcW w:w="1510" w:type="pct"/>
            <w:tcBorders>
              <w:top w:val="single" w:sz="4" w:space="0" w:color="auto"/>
              <w:bottom w:val="single" w:sz="4" w:space="0" w:color="auto"/>
              <w:right w:val="single" w:sz="4" w:space="0" w:color="auto"/>
            </w:tcBorders>
          </w:tcPr>
          <w:p w14:paraId="308CB2B5" w14:textId="77777777" w:rsidR="006A0BE6" w:rsidRDefault="006A0BE6">
            <w:pPr>
              <w:pStyle w:val="TableText0"/>
              <w:widowControl w:val="0"/>
            </w:pPr>
          </w:p>
        </w:tc>
        <w:tc>
          <w:tcPr>
            <w:tcW w:w="924" w:type="pct"/>
            <w:tcBorders>
              <w:top w:val="single" w:sz="4" w:space="0" w:color="auto"/>
              <w:left w:val="single" w:sz="4" w:space="0" w:color="auto"/>
              <w:bottom w:val="single" w:sz="4" w:space="0" w:color="auto"/>
              <w:right w:val="single" w:sz="4" w:space="0" w:color="auto"/>
            </w:tcBorders>
          </w:tcPr>
          <w:p w14:paraId="20B09FEC" w14:textId="77777777" w:rsidR="006A0BE6" w:rsidRPr="00D74203" w:rsidRDefault="006A0BE6">
            <w:pPr>
              <w:pStyle w:val="TableText0"/>
              <w:widowControl w:val="0"/>
              <w:jc w:val="center"/>
            </w:pPr>
          </w:p>
        </w:tc>
        <w:tc>
          <w:tcPr>
            <w:tcW w:w="825" w:type="pct"/>
            <w:tcBorders>
              <w:top w:val="single" w:sz="4" w:space="0" w:color="auto"/>
              <w:left w:val="single" w:sz="4" w:space="0" w:color="auto"/>
              <w:bottom w:val="single" w:sz="4" w:space="0" w:color="auto"/>
              <w:right w:val="single" w:sz="4" w:space="0" w:color="auto"/>
            </w:tcBorders>
          </w:tcPr>
          <w:p w14:paraId="32F3F63B" w14:textId="77777777" w:rsidR="006A0BE6" w:rsidRPr="00D74203" w:rsidRDefault="006A0BE6">
            <w:pPr>
              <w:pStyle w:val="TableText0"/>
              <w:widowControl w:val="0"/>
              <w:jc w:val="center"/>
            </w:pPr>
          </w:p>
        </w:tc>
        <w:tc>
          <w:tcPr>
            <w:tcW w:w="950" w:type="pct"/>
            <w:tcBorders>
              <w:top w:val="single" w:sz="4" w:space="0" w:color="auto"/>
              <w:left w:val="single" w:sz="4" w:space="0" w:color="auto"/>
              <w:bottom w:val="single" w:sz="4" w:space="0" w:color="auto"/>
              <w:right w:val="single" w:sz="4" w:space="0" w:color="auto"/>
            </w:tcBorders>
          </w:tcPr>
          <w:p w14:paraId="5439F293" w14:textId="77777777" w:rsidR="006A0BE6" w:rsidRPr="00D74203" w:rsidRDefault="006A0BE6">
            <w:pPr>
              <w:pStyle w:val="TableText0"/>
              <w:widowControl w:val="0"/>
              <w:jc w:val="center"/>
            </w:pPr>
          </w:p>
        </w:tc>
        <w:tc>
          <w:tcPr>
            <w:tcW w:w="791" w:type="pct"/>
            <w:vMerge/>
            <w:tcBorders>
              <w:left w:val="single" w:sz="4" w:space="0" w:color="auto"/>
              <w:bottom w:val="nil"/>
            </w:tcBorders>
          </w:tcPr>
          <w:p w14:paraId="4E1BD3A2" w14:textId="77777777" w:rsidR="006A0BE6" w:rsidRPr="00D74203" w:rsidRDefault="006A0BE6">
            <w:pPr>
              <w:pStyle w:val="TableText0"/>
              <w:widowControl w:val="0"/>
              <w:jc w:val="center"/>
            </w:pPr>
          </w:p>
        </w:tc>
      </w:tr>
      <w:tr w:rsidR="006A0BE6" w:rsidRPr="00D74203" w14:paraId="6F52450D" w14:textId="77777777" w:rsidTr="00E67BCE">
        <w:trPr>
          <w:trHeight w:val="20"/>
        </w:trPr>
        <w:tc>
          <w:tcPr>
            <w:tcW w:w="1510" w:type="pct"/>
            <w:tcBorders>
              <w:top w:val="single" w:sz="4" w:space="0" w:color="auto"/>
              <w:bottom w:val="single" w:sz="4" w:space="0" w:color="auto"/>
              <w:right w:val="single" w:sz="4" w:space="0" w:color="auto"/>
            </w:tcBorders>
          </w:tcPr>
          <w:p w14:paraId="451D4A48" w14:textId="7F6CD54D" w:rsidR="006A0BE6" w:rsidRDefault="006A0BE6">
            <w:pPr>
              <w:pStyle w:val="TableText0"/>
              <w:widowControl w:val="0"/>
            </w:pPr>
            <w:r>
              <w:t>E</w:t>
            </w:r>
            <w:r w:rsidRPr="00D74203">
              <w:t xml:space="preserve">FS at </w:t>
            </w:r>
            <w:r>
              <w:t>12</w:t>
            </w:r>
            <w:r w:rsidRPr="00D74203">
              <w:t xml:space="preserve"> months, % (95% CI)</w:t>
            </w:r>
          </w:p>
        </w:tc>
        <w:tc>
          <w:tcPr>
            <w:tcW w:w="924" w:type="pct"/>
            <w:tcBorders>
              <w:top w:val="single" w:sz="4" w:space="0" w:color="auto"/>
              <w:left w:val="single" w:sz="4" w:space="0" w:color="auto"/>
              <w:bottom w:val="single" w:sz="4" w:space="0" w:color="auto"/>
              <w:right w:val="single" w:sz="4" w:space="0" w:color="auto"/>
            </w:tcBorders>
          </w:tcPr>
          <w:p w14:paraId="0FB788D9" w14:textId="6EC282CD" w:rsidR="006A0BE6" w:rsidRPr="00D74203" w:rsidRDefault="00DC04C1">
            <w:pPr>
              <w:pStyle w:val="TableText0"/>
              <w:widowControl w:val="0"/>
              <w:jc w:val="center"/>
            </w:pPr>
            <w:r w:rsidRPr="00DC04C1">
              <w:t>75.1 (70.0, 79.4)</w:t>
            </w:r>
          </w:p>
        </w:tc>
        <w:tc>
          <w:tcPr>
            <w:tcW w:w="825" w:type="pct"/>
            <w:tcBorders>
              <w:top w:val="single" w:sz="4" w:space="0" w:color="auto"/>
              <w:left w:val="single" w:sz="4" w:space="0" w:color="auto"/>
              <w:bottom w:val="single" w:sz="4" w:space="0" w:color="auto"/>
              <w:right w:val="single" w:sz="4" w:space="0" w:color="auto"/>
            </w:tcBorders>
          </w:tcPr>
          <w:p w14:paraId="0F099466" w14:textId="2D43E2EF" w:rsidR="006A0BE6" w:rsidRPr="00D74203" w:rsidRDefault="00DC04C1">
            <w:pPr>
              <w:pStyle w:val="TableText0"/>
              <w:widowControl w:val="0"/>
              <w:jc w:val="center"/>
            </w:pPr>
            <w:r w:rsidRPr="00DC04C1">
              <w:t>62.5 (56.9, 67.5</w:t>
            </w:r>
            <w:r>
              <w:t>)</w:t>
            </w:r>
          </w:p>
        </w:tc>
        <w:tc>
          <w:tcPr>
            <w:tcW w:w="950" w:type="pct"/>
            <w:tcBorders>
              <w:top w:val="single" w:sz="4" w:space="0" w:color="auto"/>
              <w:left w:val="single" w:sz="4" w:space="0" w:color="auto"/>
              <w:bottom w:val="single" w:sz="4" w:space="0" w:color="auto"/>
              <w:right w:val="single" w:sz="4" w:space="0" w:color="auto"/>
            </w:tcBorders>
          </w:tcPr>
          <w:p w14:paraId="7D8EBCEE" w14:textId="56E9BCBD" w:rsidR="006A0BE6" w:rsidRPr="00D74203" w:rsidRDefault="00F50255">
            <w:pPr>
              <w:pStyle w:val="TableText0"/>
              <w:widowControl w:val="0"/>
              <w:jc w:val="center"/>
            </w:pPr>
            <w:r>
              <w:t>12.6</w:t>
            </w:r>
          </w:p>
        </w:tc>
        <w:tc>
          <w:tcPr>
            <w:tcW w:w="791" w:type="pct"/>
            <w:vMerge/>
            <w:tcBorders>
              <w:left w:val="single" w:sz="4" w:space="0" w:color="auto"/>
              <w:bottom w:val="nil"/>
            </w:tcBorders>
          </w:tcPr>
          <w:p w14:paraId="67F2F949" w14:textId="77777777" w:rsidR="006A0BE6" w:rsidRPr="00D74203" w:rsidRDefault="006A0BE6">
            <w:pPr>
              <w:pStyle w:val="TableText0"/>
              <w:widowControl w:val="0"/>
              <w:jc w:val="center"/>
            </w:pPr>
          </w:p>
        </w:tc>
      </w:tr>
      <w:tr w:rsidR="006A0BE6" w:rsidRPr="00D74203" w14:paraId="535EA9D0" w14:textId="77777777" w:rsidTr="00E67BCE">
        <w:trPr>
          <w:trHeight w:val="20"/>
        </w:trPr>
        <w:tc>
          <w:tcPr>
            <w:tcW w:w="1510" w:type="pct"/>
            <w:tcBorders>
              <w:top w:val="single" w:sz="4" w:space="0" w:color="auto"/>
              <w:bottom w:val="single" w:sz="4" w:space="0" w:color="auto"/>
              <w:right w:val="single" w:sz="4" w:space="0" w:color="auto"/>
            </w:tcBorders>
          </w:tcPr>
          <w:p w14:paraId="6C352D1C" w14:textId="56C11D0D" w:rsidR="006A0BE6" w:rsidRDefault="006A0BE6">
            <w:pPr>
              <w:pStyle w:val="TableText0"/>
              <w:widowControl w:val="0"/>
            </w:pPr>
            <w:r>
              <w:t>E</w:t>
            </w:r>
            <w:r w:rsidRPr="00D74203">
              <w:t xml:space="preserve">FS at </w:t>
            </w:r>
            <w:r>
              <w:t>24</w:t>
            </w:r>
            <w:r w:rsidRPr="00D74203">
              <w:t xml:space="preserve"> months, % (95% CI)</w:t>
            </w:r>
          </w:p>
        </w:tc>
        <w:tc>
          <w:tcPr>
            <w:tcW w:w="924" w:type="pct"/>
            <w:tcBorders>
              <w:top w:val="single" w:sz="4" w:space="0" w:color="auto"/>
              <w:left w:val="single" w:sz="4" w:space="0" w:color="auto"/>
              <w:bottom w:val="single" w:sz="4" w:space="0" w:color="auto"/>
              <w:right w:val="single" w:sz="4" w:space="0" w:color="auto"/>
            </w:tcBorders>
          </w:tcPr>
          <w:p w14:paraId="4F107831" w14:textId="0BC13FAC" w:rsidR="006A0BE6" w:rsidRPr="00D74203" w:rsidRDefault="00DC04C1">
            <w:pPr>
              <w:pStyle w:val="TableText0"/>
              <w:widowControl w:val="0"/>
              <w:jc w:val="center"/>
            </w:pPr>
            <w:r w:rsidRPr="00DC04C1">
              <w:t>65.0 (59.4, 70.1)</w:t>
            </w:r>
          </w:p>
        </w:tc>
        <w:tc>
          <w:tcPr>
            <w:tcW w:w="825" w:type="pct"/>
            <w:tcBorders>
              <w:top w:val="single" w:sz="4" w:space="0" w:color="auto"/>
              <w:left w:val="single" w:sz="4" w:space="0" w:color="auto"/>
              <w:bottom w:val="single" w:sz="4" w:space="0" w:color="auto"/>
              <w:right w:val="single" w:sz="4" w:space="0" w:color="auto"/>
            </w:tcBorders>
          </w:tcPr>
          <w:p w14:paraId="45DFD4BB" w14:textId="5290CAFB" w:rsidR="006A0BE6" w:rsidRPr="00D74203" w:rsidRDefault="0039063E">
            <w:pPr>
              <w:pStyle w:val="TableText0"/>
              <w:widowControl w:val="0"/>
              <w:jc w:val="center"/>
            </w:pPr>
            <w:r w:rsidRPr="0039063E">
              <w:t>54.6 (48.7, 60.1)</w:t>
            </w:r>
          </w:p>
        </w:tc>
        <w:tc>
          <w:tcPr>
            <w:tcW w:w="950" w:type="pct"/>
            <w:tcBorders>
              <w:top w:val="single" w:sz="4" w:space="0" w:color="auto"/>
              <w:left w:val="single" w:sz="4" w:space="0" w:color="auto"/>
              <w:bottom w:val="single" w:sz="4" w:space="0" w:color="auto"/>
              <w:right w:val="single" w:sz="4" w:space="0" w:color="auto"/>
            </w:tcBorders>
          </w:tcPr>
          <w:p w14:paraId="36F0D71C" w14:textId="549561B6" w:rsidR="006A0BE6" w:rsidRPr="00D74203" w:rsidRDefault="00A831DD">
            <w:pPr>
              <w:pStyle w:val="TableText0"/>
              <w:widowControl w:val="0"/>
              <w:jc w:val="center"/>
            </w:pPr>
            <w:r>
              <w:t>10.4</w:t>
            </w:r>
          </w:p>
        </w:tc>
        <w:tc>
          <w:tcPr>
            <w:tcW w:w="791" w:type="pct"/>
            <w:vMerge/>
            <w:tcBorders>
              <w:left w:val="single" w:sz="4" w:space="0" w:color="auto"/>
              <w:bottom w:val="nil"/>
            </w:tcBorders>
          </w:tcPr>
          <w:p w14:paraId="50792A75" w14:textId="77777777" w:rsidR="006A0BE6" w:rsidRPr="00D74203" w:rsidRDefault="006A0BE6">
            <w:pPr>
              <w:pStyle w:val="TableText0"/>
              <w:widowControl w:val="0"/>
              <w:jc w:val="center"/>
            </w:pPr>
          </w:p>
        </w:tc>
      </w:tr>
      <w:tr w:rsidR="006D5E22" w:rsidRPr="00D74203" w14:paraId="5D064B78" w14:textId="77777777" w:rsidTr="00E67BCE">
        <w:trPr>
          <w:trHeight w:val="20"/>
        </w:trPr>
        <w:tc>
          <w:tcPr>
            <w:tcW w:w="1510" w:type="pct"/>
            <w:tcBorders>
              <w:top w:val="single" w:sz="4" w:space="0" w:color="auto"/>
              <w:bottom w:val="single" w:sz="4" w:space="0" w:color="auto"/>
              <w:right w:val="single" w:sz="4" w:space="0" w:color="auto"/>
            </w:tcBorders>
          </w:tcPr>
          <w:p w14:paraId="357C39D2" w14:textId="60418620" w:rsidR="006D5E22" w:rsidRDefault="006A0BE6">
            <w:pPr>
              <w:pStyle w:val="TableText0"/>
              <w:widowControl w:val="0"/>
            </w:pPr>
            <w:r>
              <w:t>E</w:t>
            </w:r>
            <w:r w:rsidRPr="00D74203">
              <w:t xml:space="preserve">FS at </w:t>
            </w:r>
            <w:r>
              <w:t>36</w:t>
            </w:r>
            <w:r w:rsidRPr="00D74203">
              <w:t xml:space="preserve"> months, % (95% CI)</w:t>
            </w:r>
          </w:p>
        </w:tc>
        <w:tc>
          <w:tcPr>
            <w:tcW w:w="924" w:type="pct"/>
            <w:tcBorders>
              <w:top w:val="single" w:sz="4" w:space="0" w:color="auto"/>
              <w:left w:val="single" w:sz="4" w:space="0" w:color="auto"/>
              <w:bottom w:val="single" w:sz="4" w:space="0" w:color="auto"/>
              <w:right w:val="single" w:sz="4" w:space="0" w:color="auto"/>
            </w:tcBorders>
          </w:tcPr>
          <w:p w14:paraId="79C30C5F" w14:textId="4642A8D9" w:rsidR="006D5E22" w:rsidRPr="00D74203" w:rsidRDefault="00DC04C1">
            <w:pPr>
              <w:pStyle w:val="TableText0"/>
              <w:widowControl w:val="0"/>
              <w:jc w:val="center"/>
            </w:pPr>
            <w:r w:rsidRPr="00DC04C1">
              <w:t>57.6 (51.5, 63.3)</w:t>
            </w:r>
          </w:p>
        </w:tc>
        <w:tc>
          <w:tcPr>
            <w:tcW w:w="825" w:type="pct"/>
            <w:tcBorders>
              <w:top w:val="single" w:sz="4" w:space="0" w:color="auto"/>
              <w:left w:val="single" w:sz="4" w:space="0" w:color="auto"/>
              <w:bottom w:val="single" w:sz="4" w:space="0" w:color="auto"/>
              <w:right w:val="single" w:sz="4" w:space="0" w:color="auto"/>
            </w:tcBorders>
          </w:tcPr>
          <w:p w14:paraId="4ABE859B" w14:textId="5758D4B1" w:rsidR="006D5E22" w:rsidRPr="00D74203" w:rsidRDefault="0039063E">
            <w:pPr>
              <w:pStyle w:val="TableText0"/>
              <w:widowControl w:val="0"/>
              <w:jc w:val="center"/>
            </w:pPr>
            <w:r w:rsidRPr="0039063E">
              <w:t>46.4 (40.0, 52.5)</w:t>
            </w:r>
          </w:p>
        </w:tc>
        <w:tc>
          <w:tcPr>
            <w:tcW w:w="950" w:type="pct"/>
            <w:tcBorders>
              <w:top w:val="single" w:sz="4" w:space="0" w:color="auto"/>
              <w:left w:val="single" w:sz="4" w:space="0" w:color="auto"/>
              <w:bottom w:val="single" w:sz="4" w:space="0" w:color="auto"/>
              <w:right w:val="single" w:sz="4" w:space="0" w:color="auto"/>
            </w:tcBorders>
          </w:tcPr>
          <w:p w14:paraId="0A187722" w14:textId="10F67E7C" w:rsidR="006D5E22" w:rsidRPr="00D74203" w:rsidRDefault="00A831DD">
            <w:pPr>
              <w:pStyle w:val="TableText0"/>
              <w:widowControl w:val="0"/>
              <w:jc w:val="center"/>
            </w:pPr>
            <w:r>
              <w:t>11.2</w:t>
            </w:r>
          </w:p>
        </w:tc>
        <w:tc>
          <w:tcPr>
            <w:tcW w:w="791" w:type="pct"/>
            <w:vMerge/>
            <w:tcBorders>
              <w:left w:val="single" w:sz="4" w:space="0" w:color="auto"/>
              <w:bottom w:val="nil"/>
            </w:tcBorders>
          </w:tcPr>
          <w:p w14:paraId="679F1570" w14:textId="77777777" w:rsidR="006D5E22" w:rsidRPr="00D74203" w:rsidRDefault="006D5E22">
            <w:pPr>
              <w:pStyle w:val="TableText0"/>
              <w:widowControl w:val="0"/>
              <w:jc w:val="center"/>
            </w:pPr>
          </w:p>
        </w:tc>
      </w:tr>
      <w:tr w:rsidR="005F3809" w:rsidRPr="00D74203" w14:paraId="696F5B2F" w14:textId="77777777" w:rsidTr="00E67BCE">
        <w:trPr>
          <w:trHeight w:val="20"/>
        </w:trPr>
        <w:tc>
          <w:tcPr>
            <w:tcW w:w="1510" w:type="pct"/>
            <w:tcBorders>
              <w:top w:val="single" w:sz="4" w:space="0" w:color="auto"/>
              <w:bottom w:val="single" w:sz="4" w:space="0" w:color="auto"/>
              <w:right w:val="single" w:sz="4" w:space="0" w:color="auto"/>
            </w:tcBorders>
          </w:tcPr>
          <w:p w14:paraId="1D2CDDB4" w14:textId="0E823EEB" w:rsidR="005F3809" w:rsidRPr="00D74203" w:rsidRDefault="000E4A32">
            <w:pPr>
              <w:pStyle w:val="TableText0"/>
              <w:widowControl w:val="0"/>
            </w:pPr>
            <w:r>
              <w:t>E</w:t>
            </w:r>
            <w:r w:rsidR="005F3809" w:rsidRPr="00D74203">
              <w:t>FS at 48 months, % (95% CI)</w:t>
            </w:r>
          </w:p>
        </w:tc>
        <w:tc>
          <w:tcPr>
            <w:tcW w:w="924" w:type="pct"/>
            <w:tcBorders>
              <w:top w:val="single" w:sz="4" w:space="0" w:color="auto"/>
              <w:left w:val="single" w:sz="4" w:space="0" w:color="auto"/>
              <w:bottom w:val="single" w:sz="4" w:space="0" w:color="auto"/>
              <w:right w:val="single" w:sz="4" w:space="0" w:color="auto"/>
            </w:tcBorders>
          </w:tcPr>
          <w:p w14:paraId="5D41FA96" w14:textId="411BCE34" w:rsidR="005F3809" w:rsidRPr="00D74203" w:rsidRDefault="00DC04C1">
            <w:pPr>
              <w:pStyle w:val="TableText0"/>
              <w:widowControl w:val="0"/>
              <w:jc w:val="center"/>
            </w:pPr>
            <w:r w:rsidRPr="00DC04C1">
              <w:t>52.0 (45.1, 58.4)</w:t>
            </w:r>
          </w:p>
        </w:tc>
        <w:tc>
          <w:tcPr>
            <w:tcW w:w="825" w:type="pct"/>
            <w:tcBorders>
              <w:top w:val="single" w:sz="4" w:space="0" w:color="auto"/>
              <w:left w:val="single" w:sz="4" w:space="0" w:color="auto"/>
              <w:bottom w:val="single" w:sz="4" w:space="0" w:color="auto"/>
              <w:right w:val="single" w:sz="4" w:space="0" w:color="auto"/>
            </w:tcBorders>
          </w:tcPr>
          <w:p w14:paraId="47372F2C" w14:textId="7763BCF0" w:rsidR="005F3809" w:rsidRPr="00D74203" w:rsidRDefault="0039063E">
            <w:pPr>
              <w:pStyle w:val="TableText0"/>
              <w:widowControl w:val="0"/>
              <w:jc w:val="center"/>
              <w:rPr>
                <w:szCs w:val="20"/>
              </w:rPr>
            </w:pPr>
            <w:r w:rsidRPr="0039063E">
              <w:rPr>
                <w:szCs w:val="20"/>
              </w:rPr>
              <w:t>44.2 (37.5, 50.8)</w:t>
            </w:r>
          </w:p>
        </w:tc>
        <w:tc>
          <w:tcPr>
            <w:tcW w:w="950" w:type="pct"/>
            <w:tcBorders>
              <w:top w:val="single" w:sz="4" w:space="0" w:color="auto"/>
              <w:left w:val="single" w:sz="4" w:space="0" w:color="auto"/>
              <w:bottom w:val="single" w:sz="4" w:space="0" w:color="auto"/>
              <w:right w:val="single" w:sz="4" w:space="0" w:color="auto"/>
            </w:tcBorders>
          </w:tcPr>
          <w:p w14:paraId="2B198D4B" w14:textId="04283F36" w:rsidR="005F3809" w:rsidRPr="00D74203" w:rsidRDefault="00A831DD">
            <w:pPr>
              <w:pStyle w:val="TableText0"/>
              <w:widowControl w:val="0"/>
              <w:jc w:val="center"/>
            </w:pPr>
            <w:r>
              <w:t>7.8</w:t>
            </w:r>
          </w:p>
        </w:tc>
        <w:tc>
          <w:tcPr>
            <w:tcW w:w="791" w:type="pct"/>
            <w:vMerge/>
            <w:tcBorders>
              <w:left w:val="single" w:sz="4" w:space="0" w:color="auto"/>
              <w:bottom w:val="nil"/>
            </w:tcBorders>
          </w:tcPr>
          <w:p w14:paraId="0E4E35B7" w14:textId="77777777" w:rsidR="005F3809" w:rsidRPr="00D74203" w:rsidRDefault="005F3809">
            <w:pPr>
              <w:pStyle w:val="TableText0"/>
              <w:widowControl w:val="0"/>
              <w:jc w:val="center"/>
            </w:pPr>
          </w:p>
        </w:tc>
      </w:tr>
      <w:tr w:rsidR="005F3809" w:rsidRPr="00D74203" w14:paraId="4D79B4A8" w14:textId="77777777" w:rsidTr="00E67BCE">
        <w:trPr>
          <w:trHeight w:val="20"/>
        </w:trPr>
        <w:tc>
          <w:tcPr>
            <w:tcW w:w="5000" w:type="pct"/>
            <w:gridSpan w:val="5"/>
            <w:tcBorders>
              <w:top w:val="single" w:sz="4" w:space="0" w:color="auto"/>
              <w:left w:val="single" w:sz="4" w:space="0" w:color="auto"/>
              <w:bottom w:val="single" w:sz="4" w:space="0" w:color="auto"/>
              <w:right w:val="single" w:sz="4" w:space="0" w:color="auto"/>
            </w:tcBorders>
          </w:tcPr>
          <w:p w14:paraId="700A12A2" w14:textId="77777777" w:rsidR="005F3809" w:rsidRPr="00DD4CCD" w:rsidRDefault="005F3809">
            <w:pPr>
              <w:pStyle w:val="In-tableHeading"/>
              <w:rPr>
                <w:lang w:val="en-AU"/>
              </w:rPr>
            </w:pPr>
            <w:r w:rsidRPr="00DD4CCD">
              <w:rPr>
                <w:lang w:val="en-AU"/>
              </w:rPr>
              <w:t xml:space="preserve">OS </w:t>
            </w:r>
          </w:p>
        </w:tc>
      </w:tr>
      <w:tr w:rsidR="005F3809" w:rsidRPr="00D74203" w14:paraId="713CA3B3" w14:textId="77777777" w:rsidTr="00E67BCE">
        <w:trPr>
          <w:trHeight w:val="20"/>
        </w:trPr>
        <w:tc>
          <w:tcPr>
            <w:tcW w:w="1510" w:type="pct"/>
            <w:tcBorders>
              <w:top w:val="single" w:sz="4" w:space="0" w:color="auto"/>
              <w:left w:val="single" w:sz="4" w:space="0" w:color="auto"/>
              <w:bottom w:val="single" w:sz="4" w:space="0" w:color="auto"/>
              <w:right w:val="single" w:sz="4" w:space="0" w:color="auto"/>
            </w:tcBorders>
          </w:tcPr>
          <w:p w14:paraId="511468C6" w14:textId="77777777" w:rsidR="005F3809" w:rsidRPr="00D74203" w:rsidRDefault="005F3809">
            <w:pPr>
              <w:pStyle w:val="TableText0"/>
              <w:widowControl w:val="0"/>
            </w:pPr>
            <w:r w:rsidRPr="00D74203">
              <w:t xml:space="preserve">Deaths, n/N (%) </w:t>
            </w:r>
          </w:p>
        </w:tc>
        <w:tc>
          <w:tcPr>
            <w:tcW w:w="924" w:type="pct"/>
            <w:tcBorders>
              <w:top w:val="single" w:sz="4" w:space="0" w:color="auto"/>
              <w:left w:val="single" w:sz="4" w:space="0" w:color="auto"/>
              <w:bottom w:val="single" w:sz="4" w:space="0" w:color="auto"/>
              <w:right w:val="single" w:sz="4" w:space="0" w:color="auto"/>
            </w:tcBorders>
          </w:tcPr>
          <w:p w14:paraId="1704424F" w14:textId="77777777" w:rsidR="005F3809" w:rsidRPr="00D74203" w:rsidRDefault="005F3809">
            <w:pPr>
              <w:pStyle w:val="TableText0"/>
              <w:widowControl w:val="0"/>
              <w:jc w:val="center"/>
            </w:pPr>
            <w:r w:rsidRPr="00D74203">
              <w:t>113/363 (31.1)</w:t>
            </w:r>
          </w:p>
        </w:tc>
        <w:tc>
          <w:tcPr>
            <w:tcW w:w="825" w:type="pct"/>
            <w:tcBorders>
              <w:top w:val="single" w:sz="4" w:space="0" w:color="auto"/>
              <w:left w:val="single" w:sz="4" w:space="0" w:color="auto"/>
              <w:bottom w:val="single" w:sz="4" w:space="0" w:color="auto"/>
              <w:right w:val="single" w:sz="4" w:space="0" w:color="auto"/>
            </w:tcBorders>
          </w:tcPr>
          <w:p w14:paraId="19708407" w14:textId="77777777" w:rsidR="005F3809" w:rsidRPr="00D74203" w:rsidRDefault="005F3809">
            <w:pPr>
              <w:pStyle w:val="TableText0"/>
              <w:widowControl w:val="0"/>
              <w:jc w:val="center"/>
            </w:pPr>
            <w:r w:rsidRPr="00D74203">
              <w:t>131/351 (37.3)</w:t>
            </w:r>
          </w:p>
        </w:tc>
        <w:tc>
          <w:tcPr>
            <w:tcW w:w="950" w:type="pct"/>
            <w:tcBorders>
              <w:top w:val="single" w:sz="4" w:space="0" w:color="auto"/>
              <w:left w:val="single" w:sz="4" w:space="0" w:color="auto"/>
              <w:bottom w:val="single" w:sz="4" w:space="0" w:color="auto"/>
              <w:right w:val="single" w:sz="4" w:space="0" w:color="auto"/>
            </w:tcBorders>
          </w:tcPr>
          <w:p w14:paraId="0C85C448" w14:textId="77777777" w:rsidR="005F3809" w:rsidRPr="00D74203" w:rsidRDefault="005F3809">
            <w:pPr>
              <w:pStyle w:val="TableText0"/>
              <w:widowControl w:val="0"/>
              <w:jc w:val="center"/>
            </w:pPr>
            <w:r w:rsidRPr="00D74203">
              <w:t>–</w:t>
            </w:r>
          </w:p>
        </w:tc>
        <w:tc>
          <w:tcPr>
            <w:tcW w:w="791" w:type="pct"/>
            <w:vMerge w:val="restart"/>
            <w:tcBorders>
              <w:top w:val="single" w:sz="4" w:space="0" w:color="auto"/>
              <w:left w:val="single" w:sz="4" w:space="0" w:color="auto"/>
              <w:right w:val="single" w:sz="4" w:space="0" w:color="auto"/>
            </w:tcBorders>
          </w:tcPr>
          <w:p w14:paraId="02C7B96E" w14:textId="77777777" w:rsidR="005F3809" w:rsidRPr="00D74203" w:rsidRDefault="005F3809">
            <w:pPr>
              <w:pStyle w:val="TableText0"/>
              <w:widowControl w:val="0"/>
              <w:jc w:val="center"/>
              <w:rPr>
                <w:szCs w:val="20"/>
              </w:rPr>
            </w:pPr>
            <w:r w:rsidRPr="00D74203">
              <w:t xml:space="preserve">0.76 (0.59, 0.98) </w:t>
            </w:r>
          </w:p>
          <w:p w14:paraId="43215813" w14:textId="77777777" w:rsidR="005F3809" w:rsidRPr="00D74203" w:rsidRDefault="005F3809">
            <w:pPr>
              <w:pStyle w:val="TableText0"/>
              <w:widowControl w:val="0"/>
              <w:jc w:val="center"/>
            </w:pPr>
            <w:r w:rsidRPr="00D74203">
              <w:rPr>
                <w:szCs w:val="20"/>
              </w:rPr>
              <w:t>Nominal p=</w:t>
            </w:r>
            <w:r w:rsidRPr="00D74203">
              <w:t xml:space="preserve">0.01529 </w:t>
            </w:r>
          </w:p>
        </w:tc>
      </w:tr>
      <w:tr w:rsidR="005F3809" w:rsidRPr="00D74203" w14:paraId="49D499ED" w14:textId="77777777" w:rsidTr="00E67BCE">
        <w:trPr>
          <w:trHeight w:val="20"/>
        </w:trPr>
        <w:tc>
          <w:tcPr>
            <w:tcW w:w="1510" w:type="pct"/>
            <w:tcBorders>
              <w:top w:val="single" w:sz="4" w:space="0" w:color="auto"/>
              <w:left w:val="single" w:sz="4" w:space="0" w:color="auto"/>
              <w:bottom w:val="single" w:sz="4" w:space="0" w:color="auto"/>
              <w:right w:val="single" w:sz="4" w:space="0" w:color="auto"/>
            </w:tcBorders>
          </w:tcPr>
          <w:p w14:paraId="3E60EFDB" w14:textId="77777777" w:rsidR="005F3809" w:rsidRPr="00D74203" w:rsidRDefault="005F3809">
            <w:pPr>
              <w:pStyle w:val="TableText0"/>
              <w:widowControl w:val="0"/>
            </w:pPr>
            <w:r w:rsidRPr="00D74203">
              <w:t>Median OS, months (95% CI)</w:t>
            </w:r>
          </w:p>
        </w:tc>
        <w:tc>
          <w:tcPr>
            <w:tcW w:w="924" w:type="pct"/>
            <w:tcBorders>
              <w:top w:val="single" w:sz="4" w:space="0" w:color="auto"/>
              <w:left w:val="single" w:sz="4" w:space="0" w:color="auto"/>
              <w:bottom w:val="single" w:sz="4" w:space="0" w:color="auto"/>
              <w:right w:val="single" w:sz="4" w:space="0" w:color="auto"/>
            </w:tcBorders>
          </w:tcPr>
          <w:p w14:paraId="27DE78B4" w14:textId="77777777" w:rsidR="005F3809" w:rsidRPr="00D74203" w:rsidRDefault="005F3809">
            <w:pPr>
              <w:pStyle w:val="TableText0"/>
              <w:widowControl w:val="0"/>
              <w:jc w:val="center"/>
              <w:rPr>
                <w:rFonts w:cs="Times New Roman"/>
                <w:szCs w:val="20"/>
              </w:rPr>
            </w:pPr>
            <w:r w:rsidRPr="00D74203">
              <w:t>NR (61.9, NR)</w:t>
            </w:r>
          </w:p>
        </w:tc>
        <w:tc>
          <w:tcPr>
            <w:tcW w:w="825" w:type="pct"/>
            <w:tcBorders>
              <w:top w:val="single" w:sz="4" w:space="0" w:color="auto"/>
              <w:left w:val="single" w:sz="4" w:space="0" w:color="auto"/>
              <w:bottom w:val="single" w:sz="4" w:space="0" w:color="auto"/>
              <w:right w:val="single" w:sz="4" w:space="0" w:color="auto"/>
            </w:tcBorders>
          </w:tcPr>
          <w:p w14:paraId="1CC96A8F" w14:textId="77777777" w:rsidR="005F3809" w:rsidRPr="00D74203" w:rsidRDefault="005F3809">
            <w:pPr>
              <w:pStyle w:val="TableText0"/>
              <w:widowControl w:val="0"/>
              <w:jc w:val="center"/>
              <w:rPr>
                <w:rFonts w:cs="Times New Roman"/>
                <w:szCs w:val="20"/>
              </w:rPr>
            </w:pPr>
            <w:r w:rsidRPr="00D74203">
              <w:t>61.8 (50.1, NR)</w:t>
            </w:r>
          </w:p>
        </w:tc>
        <w:tc>
          <w:tcPr>
            <w:tcW w:w="950" w:type="pct"/>
            <w:tcBorders>
              <w:top w:val="single" w:sz="4" w:space="0" w:color="auto"/>
              <w:left w:val="single" w:sz="4" w:space="0" w:color="auto"/>
              <w:bottom w:val="single" w:sz="4" w:space="0" w:color="auto"/>
              <w:right w:val="single" w:sz="4" w:space="0" w:color="auto"/>
            </w:tcBorders>
          </w:tcPr>
          <w:p w14:paraId="7609A944" w14:textId="77777777" w:rsidR="005F3809" w:rsidRPr="00D74203" w:rsidRDefault="005F3809">
            <w:pPr>
              <w:pStyle w:val="TableText0"/>
              <w:widowControl w:val="0"/>
              <w:jc w:val="center"/>
            </w:pPr>
            <w:r w:rsidRPr="00D74203">
              <w:t>NE</w:t>
            </w:r>
          </w:p>
        </w:tc>
        <w:tc>
          <w:tcPr>
            <w:tcW w:w="791" w:type="pct"/>
            <w:vMerge/>
            <w:tcBorders>
              <w:left w:val="single" w:sz="4" w:space="0" w:color="auto"/>
              <w:right w:val="single" w:sz="4" w:space="0" w:color="auto"/>
            </w:tcBorders>
          </w:tcPr>
          <w:p w14:paraId="6BAF942E" w14:textId="77777777" w:rsidR="005F3809" w:rsidRPr="00D74203" w:rsidRDefault="005F3809">
            <w:pPr>
              <w:pStyle w:val="TableText0"/>
              <w:widowControl w:val="0"/>
              <w:jc w:val="center"/>
              <w:rPr>
                <w:szCs w:val="20"/>
              </w:rPr>
            </w:pPr>
          </w:p>
        </w:tc>
      </w:tr>
      <w:tr w:rsidR="006D5E22" w:rsidRPr="00D74203" w14:paraId="3C61F6E6" w14:textId="77777777" w:rsidTr="00E67BCE">
        <w:trPr>
          <w:trHeight w:val="20"/>
        </w:trPr>
        <w:tc>
          <w:tcPr>
            <w:tcW w:w="1510" w:type="pct"/>
            <w:tcBorders>
              <w:top w:val="single" w:sz="4" w:space="0" w:color="auto"/>
              <w:left w:val="single" w:sz="4" w:space="0" w:color="auto"/>
              <w:bottom w:val="single" w:sz="4" w:space="0" w:color="auto"/>
              <w:right w:val="single" w:sz="4" w:space="0" w:color="auto"/>
            </w:tcBorders>
          </w:tcPr>
          <w:p w14:paraId="7807E0CC" w14:textId="77777777" w:rsidR="006D5E22" w:rsidRPr="00D74203" w:rsidRDefault="006D5E22">
            <w:pPr>
              <w:pStyle w:val="TableText0"/>
              <w:widowControl w:val="0"/>
            </w:pPr>
          </w:p>
        </w:tc>
        <w:tc>
          <w:tcPr>
            <w:tcW w:w="924" w:type="pct"/>
            <w:tcBorders>
              <w:top w:val="single" w:sz="4" w:space="0" w:color="auto"/>
              <w:left w:val="single" w:sz="4" w:space="0" w:color="auto"/>
              <w:bottom w:val="single" w:sz="4" w:space="0" w:color="auto"/>
              <w:right w:val="single" w:sz="4" w:space="0" w:color="auto"/>
            </w:tcBorders>
          </w:tcPr>
          <w:p w14:paraId="6147FA54" w14:textId="77777777" w:rsidR="006D5E22" w:rsidRPr="00D74203" w:rsidRDefault="006D5E22">
            <w:pPr>
              <w:pStyle w:val="TableText0"/>
              <w:widowControl w:val="0"/>
              <w:jc w:val="center"/>
            </w:pPr>
          </w:p>
        </w:tc>
        <w:tc>
          <w:tcPr>
            <w:tcW w:w="825" w:type="pct"/>
            <w:tcBorders>
              <w:top w:val="single" w:sz="4" w:space="0" w:color="auto"/>
              <w:left w:val="single" w:sz="4" w:space="0" w:color="auto"/>
              <w:bottom w:val="single" w:sz="4" w:space="0" w:color="auto"/>
              <w:right w:val="single" w:sz="4" w:space="0" w:color="auto"/>
            </w:tcBorders>
          </w:tcPr>
          <w:p w14:paraId="215B4B0C" w14:textId="77777777" w:rsidR="006D5E22" w:rsidRPr="00D74203" w:rsidRDefault="006D5E22">
            <w:pPr>
              <w:pStyle w:val="TableText0"/>
              <w:widowControl w:val="0"/>
              <w:jc w:val="center"/>
            </w:pPr>
          </w:p>
        </w:tc>
        <w:tc>
          <w:tcPr>
            <w:tcW w:w="950" w:type="pct"/>
            <w:tcBorders>
              <w:top w:val="single" w:sz="4" w:space="0" w:color="auto"/>
              <w:left w:val="single" w:sz="4" w:space="0" w:color="auto"/>
              <w:bottom w:val="single" w:sz="4" w:space="0" w:color="auto"/>
              <w:right w:val="single" w:sz="4" w:space="0" w:color="auto"/>
            </w:tcBorders>
          </w:tcPr>
          <w:p w14:paraId="465ADFBB" w14:textId="77777777" w:rsidR="006D5E22" w:rsidRPr="00D74203" w:rsidRDefault="006D5E22">
            <w:pPr>
              <w:pStyle w:val="TableText0"/>
              <w:widowControl w:val="0"/>
              <w:jc w:val="center"/>
            </w:pPr>
          </w:p>
        </w:tc>
        <w:tc>
          <w:tcPr>
            <w:tcW w:w="791" w:type="pct"/>
            <w:vMerge/>
            <w:tcBorders>
              <w:left w:val="single" w:sz="4" w:space="0" w:color="auto"/>
              <w:bottom w:val="single" w:sz="4" w:space="0" w:color="auto"/>
              <w:right w:val="single" w:sz="4" w:space="0" w:color="auto"/>
            </w:tcBorders>
          </w:tcPr>
          <w:p w14:paraId="2745D0A4" w14:textId="77777777" w:rsidR="006D5E22" w:rsidRPr="00D74203" w:rsidRDefault="006D5E22">
            <w:pPr>
              <w:pStyle w:val="TableText0"/>
              <w:widowControl w:val="0"/>
              <w:jc w:val="center"/>
            </w:pPr>
          </w:p>
        </w:tc>
      </w:tr>
      <w:tr w:rsidR="00B92E18" w:rsidRPr="00D74203" w14:paraId="17C1DAA7" w14:textId="77777777" w:rsidTr="00E67BCE">
        <w:trPr>
          <w:trHeight w:val="20"/>
        </w:trPr>
        <w:tc>
          <w:tcPr>
            <w:tcW w:w="1510" w:type="pct"/>
            <w:tcBorders>
              <w:top w:val="single" w:sz="4" w:space="0" w:color="auto"/>
              <w:left w:val="single" w:sz="4" w:space="0" w:color="auto"/>
              <w:bottom w:val="single" w:sz="4" w:space="0" w:color="auto"/>
              <w:right w:val="single" w:sz="4" w:space="0" w:color="auto"/>
            </w:tcBorders>
          </w:tcPr>
          <w:p w14:paraId="52FF9914" w14:textId="7B7825AE" w:rsidR="00B92E18" w:rsidRPr="00D74203" w:rsidRDefault="00B92E18">
            <w:pPr>
              <w:pStyle w:val="TableText0"/>
              <w:widowControl w:val="0"/>
            </w:pPr>
            <w:r w:rsidRPr="00D74203">
              <w:t xml:space="preserve">Alive at </w:t>
            </w:r>
            <w:r w:rsidR="00043032">
              <w:t>12</w:t>
            </w:r>
            <w:r w:rsidRPr="00D74203">
              <w:t xml:space="preserve"> months, % (95% CI)</w:t>
            </w:r>
          </w:p>
        </w:tc>
        <w:tc>
          <w:tcPr>
            <w:tcW w:w="924" w:type="pct"/>
            <w:tcBorders>
              <w:top w:val="single" w:sz="4" w:space="0" w:color="auto"/>
              <w:left w:val="single" w:sz="4" w:space="0" w:color="auto"/>
              <w:bottom w:val="single" w:sz="4" w:space="0" w:color="auto"/>
              <w:right w:val="single" w:sz="4" w:space="0" w:color="auto"/>
            </w:tcBorders>
          </w:tcPr>
          <w:p w14:paraId="32A06903" w14:textId="696E86EB" w:rsidR="00B92E18" w:rsidRPr="00D74203" w:rsidRDefault="009572C8">
            <w:pPr>
              <w:pStyle w:val="TableText0"/>
              <w:widowControl w:val="0"/>
              <w:jc w:val="center"/>
            </w:pPr>
            <w:r w:rsidRPr="009572C8">
              <w:t>86.7 (82.7, 89.8)</w:t>
            </w:r>
          </w:p>
        </w:tc>
        <w:tc>
          <w:tcPr>
            <w:tcW w:w="825" w:type="pct"/>
            <w:tcBorders>
              <w:top w:val="single" w:sz="4" w:space="0" w:color="auto"/>
              <w:left w:val="single" w:sz="4" w:space="0" w:color="auto"/>
              <w:bottom w:val="single" w:sz="4" w:space="0" w:color="auto"/>
              <w:right w:val="single" w:sz="4" w:space="0" w:color="auto"/>
            </w:tcBorders>
          </w:tcPr>
          <w:p w14:paraId="4EE95C46" w14:textId="23B53390" w:rsidR="00B92E18" w:rsidRPr="00D74203" w:rsidRDefault="00043032">
            <w:pPr>
              <w:pStyle w:val="TableText0"/>
              <w:widowControl w:val="0"/>
              <w:jc w:val="center"/>
            </w:pPr>
            <w:r w:rsidRPr="00043032">
              <w:t>77.9 (73.2, 81.9)</w:t>
            </w:r>
          </w:p>
        </w:tc>
        <w:tc>
          <w:tcPr>
            <w:tcW w:w="950" w:type="pct"/>
            <w:tcBorders>
              <w:top w:val="single" w:sz="4" w:space="0" w:color="auto"/>
              <w:left w:val="single" w:sz="4" w:space="0" w:color="auto"/>
              <w:bottom w:val="single" w:sz="4" w:space="0" w:color="auto"/>
              <w:right w:val="single" w:sz="4" w:space="0" w:color="auto"/>
            </w:tcBorders>
          </w:tcPr>
          <w:p w14:paraId="6985CE81" w14:textId="0BCE969D" w:rsidR="00B92E18" w:rsidRPr="00D74203" w:rsidRDefault="00FC381F">
            <w:pPr>
              <w:pStyle w:val="TableText0"/>
              <w:widowControl w:val="0"/>
              <w:jc w:val="center"/>
            </w:pPr>
            <w:r>
              <w:t>8.8</w:t>
            </w:r>
          </w:p>
        </w:tc>
        <w:tc>
          <w:tcPr>
            <w:tcW w:w="791" w:type="pct"/>
            <w:vMerge/>
            <w:tcBorders>
              <w:left w:val="single" w:sz="4" w:space="0" w:color="auto"/>
              <w:bottom w:val="single" w:sz="4" w:space="0" w:color="auto"/>
              <w:right w:val="single" w:sz="4" w:space="0" w:color="auto"/>
            </w:tcBorders>
          </w:tcPr>
          <w:p w14:paraId="4D502C57" w14:textId="77777777" w:rsidR="00B92E18" w:rsidRPr="00D74203" w:rsidRDefault="00B92E18">
            <w:pPr>
              <w:pStyle w:val="TableText0"/>
              <w:widowControl w:val="0"/>
              <w:jc w:val="center"/>
            </w:pPr>
          </w:p>
        </w:tc>
      </w:tr>
      <w:tr w:rsidR="00B92E18" w:rsidRPr="00D74203" w14:paraId="0CDA4347" w14:textId="77777777" w:rsidTr="00E67BCE">
        <w:trPr>
          <w:trHeight w:val="20"/>
        </w:trPr>
        <w:tc>
          <w:tcPr>
            <w:tcW w:w="1510" w:type="pct"/>
            <w:tcBorders>
              <w:top w:val="single" w:sz="4" w:space="0" w:color="auto"/>
              <w:left w:val="single" w:sz="4" w:space="0" w:color="auto"/>
              <w:bottom w:val="single" w:sz="4" w:space="0" w:color="auto"/>
              <w:right w:val="single" w:sz="4" w:space="0" w:color="auto"/>
            </w:tcBorders>
          </w:tcPr>
          <w:p w14:paraId="09701973" w14:textId="1471847C" w:rsidR="00B92E18" w:rsidRPr="00D74203" w:rsidRDefault="00B92E18">
            <w:pPr>
              <w:pStyle w:val="TableText0"/>
              <w:widowControl w:val="0"/>
            </w:pPr>
            <w:r w:rsidRPr="00D74203">
              <w:t xml:space="preserve">Alive at </w:t>
            </w:r>
            <w:r w:rsidR="00043032">
              <w:t>24</w:t>
            </w:r>
            <w:r w:rsidRPr="00D74203">
              <w:t xml:space="preserve"> months, % (95% CI)</w:t>
            </w:r>
          </w:p>
        </w:tc>
        <w:tc>
          <w:tcPr>
            <w:tcW w:w="924" w:type="pct"/>
            <w:tcBorders>
              <w:top w:val="single" w:sz="4" w:space="0" w:color="auto"/>
              <w:left w:val="single" w:sz="4" w:space="0" w:color="auto"/>
              <w:bottom w:val="single" w:sz="4" w:space="0" w:color="auto"/>
              <w:right w:val="single" w:sz="4" w:space="0" w:color="auto"/>
            </w:tcBorders>
          </w:tcPr>
          <w:p w14:paraId="2C8CF485" w14:textId="3928745D" w:rsidR="00B92E18" w:rsidRPr="00D74203" w:rsidRDefault="009572C8">
            <w:pPr>
              <w:pStyle w:val="TableText0"/>
              <w:widowControl w:val="0"/>
              <w:jc w:val="center"/>
            </w:pPr>
            <w:r w:rsidRPr="009572C8">
              <w:t>75.9 (70.9, 80.1)</w:t>
            </w:r>
          </w:p>
        </w:tc>
        <w:tc>
          <w:tcPr>
            <w:tcW w:w="825" w:type="pct"/>
            <w:tcBorders>
              <w:top w:val="single" w:sz="4" w:space="0" w:color="auto"/>
              <w:left w:val="single" w:sz="4" w:space="0" w:color="auto"/>
              <w:bottom w:val="single" w:sz="4" w:space="0" w:color="auto"/>
              <w:right w:val="single" w:sz="4" w:space="0" w:color="auto"/>
            </w:tcBorders>
          </w:tcPr>
          <w:p w14:paraId="368D5E72" w14:textId="79B942EA" w:rsidR="00B92E18" w:rsidRPr="00D74203" w:rsidRDefault="009572C8">
            <w:pPr>
              <w:pStyle w:val="TableText0"/>
              <w:widowControl w:val="0"/>
              <w:jc w:val="center"/>
            </w:pPr>
            <w:r w:rsidRPr="009572C8">
              <w:t>67.9 (62.5, 72.7)</w:t>
            </w:r>
          </w:p>
        </w:tc>
        <w:tc>
          <w:tcPr>
            <w:tcW w:w="950" w:type="pct"/>
            <w:tcBorders>
              <w:top w:val="single" w:sz="4" w:space="0" w:color="auto"/>
              <w:left w:val="single" w:sz="4" w:space="0" w:color="auto"/>
              <w:bottom w:val="single" w:sz="4" w:space="0" w:color="auto"/>
              <w:right w:val="single" w:sz="4" w:space="0" w:color="auto"/>
            </w:tcBorders>
          </w:tcPr>
          <w:p w14:paraId="686D03DE" w14:textId="054FB9B7" w:rsidR="00B92E18" w:rsidRPr="00D74203" w:rsidRDefault="00FC381F">
            <w:pPr>
              <w:pStyle w:val="TableText0"/>
              <w:widowControl w:val="0"/>
              <w:jc w:val="center"/>
            </w:pPr>
            <w:r>
              <w:t>8.0</w:t>
            </w:r>
          </w:p>
        </w:tc>
        <w:tc>
          <w:tcPr>
            <w:tcW w:w="791" w:type="pct"/>
            <w:vMerge/>
            <w:tcBorders>
              <w:left w:val="single" w:sz="4" w:space="0" w:color="auto"/>
              <w:bottom w:val="single" w:sz="4" w:space="0" w:color="auto"/>
              <w:right w:val="single" w:sz="4" w:space="0" w:color="auto"/>
            </w:tcBorders>
          </w:tcPr>
          <w:p w14:paraId="393A4E4A" w14:textId="77777777" w:rsidR="00B92E18" w:rsidRPr="00D74203" w:rsidRDefault="00B92E18">
            <w:pPr>
              <w:pStyle w:val="TableText0"/>
              <w:widowControl w:val="0"/>
              <w:jc w:val="center"/>
            </w:pPr>
          </w:p>
        </w:tc>
      </w:tr>
      <w:tr w:rsidR="00B92E18" w:rsidRPr="00D74203" w14:paraId="396626D8" w14:textId="77777777" w:rsidTr="00E67BCE">
        <w:trPr>
          <w:trHeight w:val="20"/>
        </w:trPr>
        <w:tc>
          <w:tcPr>
            <w:tcW w:w="1510" w:type="pct"/>
            <w:tcBorders>
              <w:top w:val="single" w:sz="4" w:space="0" w:color="auto"/>
              <w:left w:val="single" w:sz="4" w:space="0" w:color="auto"/>
              <w:bottom w:val="single" w:sz="4" w:space="0" w:color="auto"/>
              <w:right w:val="single" w:sz="4" w:space="0" w:color="auto"/>
            </w:tcBorders>
          </w:tcPr>
          <w:p w14:paraId="5DA7F347" w14:textId="4C768E21" w:rsidR="00B92E18" w:rsidRPr="00D74203" w:rsidRDefault="00B92E18">
            <w:pPr>
              <w:pStyle w:val="TableText0"/>
              <w:widowControl w:val="0"/>
            </w:pPr>
            <w:r w:rsidRPr="00D74203">
              <w:t xml:space="preserve">Alive at </w:t>
            </w:r>
            <w:r w:rsidR="00043032">
              <w:t>36</w:t>
            </w:r>
            <w:r w:rsidRPr="00D74203">
              <w:t xml:space="preserve"> months, % (95% CI)</w:t>
            </w:r>
          </w:p>
        </w:tc>
        <w:tc>
          <w:tcPr>
            <w:tcW w:w="924" w:type="pct"/>
            <w:tcBorders>
              <w:top w:val="single" w:sz="4" w:space="0" w:color="auto"/>
              <w:left w:val="single" w:sz="4" w:space="0" w:color="auto"/>
              <w:bottom w:val="single" w:sz="4" w:space="0" w:color="auto"/>
              <w:right w:val="single" w:sz="4" w:space="0" w:color="auto"/>
            </w:tcBorders>
          </w:tcPr>
          <w:p w14:paraId="0F2CDF03" w14:textId="3BFAD620" w:rsidR="00B92E18" w:rsidRPr="00D74203" w:rsidRDefault="009572C8">
            <w:pPr>
              <w:pStyle w:val="TableText0"/>
              <w:widowControl w:val="0"/>
              <w:jc w:val="center"/>
            </w:pPr>
            <w:r w:rsidRPr="009572C8">
              <w:t>68.4 (62.9, 73.3)</w:t>
            </w:r>
          </w:p>
        </w:tc>
        <w:tc>
          <w:tcPr>
            <w:tcW w:w="825" w:type="pct"/>
            <w:tcBorders>
              <w:top w:val="single" w:sz="4" w:space="0" w:color="auto"/>
              <w:left w:val="single" w:sz="4" w:space="0" w:color="auto"/>
              <w:bottom w:val="single" w:sz="4" w:space="0" w:color="auto"/>
              <w:right w:val="single" w:sz="4" w:space="0" w:color="auto"/>
            </w:tcBorders>
          </w:tcPr>
          <w:p w14:paraId="47741F00" w14:textId="75746D11" w:rsidR="00B92E18" w:rsidRPr="00D74203" w:rsidRDefault="009572C8">
            <w:pPr>
              <w:pStyle w:val="TableText0"/>
              <w:widowControl w:val="0"/>
              <w:jc w:val="center"/>
            </w:pPr>
            <w:r w:rsidRPr="009572C8">
              <w:t>61.1 (55.1, 66.5)</w:t>
            </w:r>
          </w:p>
        </w:tc>
        <w:tc>
          <w:tcPr>
            <w:tcW w:w="950" w:type="pct"/>
            <w:tcBorders>
              <w:top w:val="single" w:sz="4" w:space="0" w:color="auto"/>
              <w:left w:val="single" w:sz="4" w:space="0" w:color="auto"/>
              <w:bottom w:val="single" w:sz="4" w:space="0" w:color="auto"/>
              <w:right w:val="single" w:sz="4" w:space="0" w:color="auto"/>
            </w:tcBorders>
          </w:tcPr>
          <w:p w14:paraId="4CD62395" w14:textId="09F36F50" w:rsidR="00B92E18" w:rsidRPr="00D74203" w:rsidRDefault="00FC381F">
            <w:pPr>
              <w:pStyle w:val="TableText0"/>
              <w:widowControl w:val="0"/>
              <w:jc w:val="center"/>
            </w:pPr>
            <w:r>
              <w:t>7.3</w:t>
            </w:r>
          </w:p>
        </w:tc>
        <w:tc>
          <w:tcPr>
            <w:tcW w:w="791" w:type="pct"/>
            <w:vMerge/>
            <w:tcBorders>
              <w:left w:val="single" w:sz="4" w:space="0" w:color="auto"/>
              <w:bottom w:val="single" w:sz="4" w:space="0" w:color="auto"/>
              <w:right w:val="single" w:sz="4" w:space="0" w:color="auto"/>
            </w:tcBorders>
          </w:tcPr>
          <w:p w14:paraId="4E1FEA23" w14:textId="77777777" w:rsidR="00B92E18" w:rsidRPr="00D74203" w:rsidRDefault="00B92E18">
            <w:pPr>
              <w:pStyle w:val="TableText0"/>
              <w:widowControl w:val="0"/>
              <w:jc w:val="center"/>
            </w:pPr>
          </w:p>
        </w:tc>
      </w:tr>
      <w:tr w:rsidR="00B92E18" w:rsidRPr="00D74203" w14:paraId="55D19613" w14:textId="77777777" w:rsidTr="00E67BCE">
        <w:trPr>
          <w:trHeight w:val="20"/>
        </w:trPr>
        <w:tc>
          <w:tcPr>
            <w:tcW w:w="1510" w:type="pct"/>
            <w:tcBorders>
              <w:top w:val="single" w:sz="4" w:space="0" w:color="auto"/>
              <w:left w:val="single" w:sz="4" w:space="0" w:color="auto"/>
              <w:bottom w:val="single" w:sz="4" w:space="0" w:color="auto"/>
              <w:right w:val="single" w:sz="4" w:space="0" w:color="auto"/>
            </w:tcBorders>
          </w:tcPr>
          <w:p w14:paraId="07E39788" w14:textId="5DC7A4E4" w:rsidR="00B92E18" w:rsidRPr="00D74203" w:rsidRDefault="00B92E18">
            <w:pPr>
              <w:pStyle w:val="TableText0"/>
              <w:widowControl w:val="0"/>
            </w:pPr>
            <w:r w:rsidRPr="00D74203">
              <w:t xml:space="preserve">Alive at </w:t>
            </w:r>
            <w:r w:rsidR="00043032">
              <w:t>48</w:t>
            </w:r>
            <w:r w:rsidRPr="00D74203">
              <w:t xml:space="preserve"> months, % (95% CI)</w:t>
            </w:r>
          </w:p>
        </w:tc>
        <w:tc>
          <w:tcPr>
            <w:tcW w:w="924" w:type="pct"/>
            <w:tcBorders>
              <w:top w:val="single" w:sz="4" w:space="0" w:color="auto"/>
              <w:left w:val="single" w:sz="4" w:space="0" w:color="auto"/>
              <w:bottom w:val="single" w:sz="4" w:space="0" w:color="auto"/>
              <w:right w:val="single" w:sz="4" w:space="0" w:color="auto"/>
            </w:tcBorders>
          </w:tcPr>
          <w:p w14:paraId="4138ECCF" w14:textId="5EF8268E" w:rsidR="00B92E18" w:rsidRPr="00D74203" w:rsidRDefault="00C31678">
            <w:pPr>
              <w:pStyle w:val="TableText0"/>
              <w:widowControl w:val="0"/>
              <w:jc w:val="center"/>
            </w:pPr>
            <w:r w:rsidRPr="00C31678">
              <w:t>63.6 (57.4, 69.1)</w:t>
            </w:r>
          </w:p>
        </w:tc>
        <w:tc>
          <w:tcPr>
            <w:tcW w:w="825" w:type="pct"/>
            <w:tcBorders>
              <w:top w:val="single" w:sz="4" w:space="0" w:color="auto"/>
              <w:left w:val="single" w:sz="4" w:space="0" w:color="auto"/>
              <w:bottom w:val="single" w:sz="4" w:space="0" w:color="auto"/>
              <w:right w:val="single" w:sz="4" w:space="0" w:color="auto"/>
            </w:tcBorders>
          </w:tcPr>
          <w:p w14:paraId="3FE1A813" w14:textId="0B0C48EF" w:rsidR="00B92E18" w:rsidRPr="00D74203" w:rsidRDefault="009572C8">
            <w:pPr>
              <w:pStyle w:val="TableText0"/>
              <w:widowControl w:val="0"/>
              <w:jc w:val="center"/>
            </w:pPr>
            <w:r w:rsidRPr="009572C8">
              <w:t>58.0 (51.6, 63.9)</w:t>
            </w:r>
          </w:p>
        </w:tc>
        <w:tc>
          <w:tcPr>
            <w:tcW w:w="950" w:type="pct"/>
            <w:tcBorders>
              <w:top w:val="single" w:sz="4" w:space="0" w:color="auto"/>
              <w:left w:val="single" w:sz="4" w:space="0" w:color="auto"/>
              <w:bottom w:val="single" w:sz="4" w:space="0" w:color="auto"/>
              <w:right w:val="single" w:sz="4" w:space="0" w:color="auto"/>
            </w:tcBorders>
          </w:tcPr>
          <w:p w14:paraId="4EF9C9CD" w14:textId="2D88168C" w:rsidR="00B92E18" w:rsidRPr="00D74203" w:rsidRDefault="00FC381F">
            <w:pPr>
              <w:pStyle w:val="TableText0"/>
              <w:widowControl w:val="0"/>
              <w:jc w:val="center"/>
            </w:pPr>
            <w:r>
              <w:t>5.6</w:t>
            </w:r>
          </w:p>
        </w:tc>
        <w:tc>
          <w:tcPr>
            <w:tcW w:w="791" w:type="pct"/>
            <w:vMerge/>
            <w:tcBorders>
              <w:left w:val="single" w:sz="4" w:space="0" w:color="auto"/>
              <w:bottom w:val="single" w:sz="4" w:space="0" w:color="auto"/>
              <w:right w:val="single" w:sz="4" w:space="0" w:color="auto"/>
            </w:tcBorders>
          </w:tcPr>
          <w:p w14:paraId="5FBFA2B3" w14:textId="77777777" w:rsidR="00B92E18" w:rsidRPr="00D74203" w:rsidRDefault="00B92E18">
            <w:pPr>
              <w:pStyle w:val="TableText0"/>
              <w:widowControl w:val="0"/>
              <w:jc w:val="center"/>
            </w:pPr>
          </w:p>
        </w:tc>
      </w:tr>
      <w:tr w:rsidR="005F3809" w:rsidRPr="00D74203" w14:paraId="0B362B43" w14:textId="77777777" w:rsidTr="00E67BCE">
        <w:trPr>
          <w:trHeight w:val="20"/>
        </w:trPr>
        <w:tc>
          <w:tcPr>
            <w:tcW w:w="1510" w:type="pct"/>
            <w:tcBorders>
              <w:top w:val="single" w:sz="4" w:space="0" w:color="auto"/>
              <w:left w:val="single" w:sz="4" w:space="0" w:color="auto"/>
              <w:bottom w:val="single" w:sz="4" w:space="0" w:color="auto"/>
              <w:right w:val="single" w:sz="4" w:space="0" w:color="auto"/>
            </w:tcBorders>
          </w:tcPr>
          <w:p w14:paraId="7C22049E" w14:textId="77777777" w:rsidR="005F3809" w:rsidRPr="00D74203" w:rsidRDefault="005F3809">
            <w:pPr>
              <w:pStyle w:val="TableText0"/>
              <w:widowControl w:val="0"/>
            </w:pPr>
            <w:r w:rsidRPr="00D74203">
              <w:t>Alive at 60 months, % (95% CI)</w:t>
            </w:r>
          </w:p>
        </w:tc>
        <w:tc>
          <w:tcPr>
            <w:tcW w:w="924" w:type="pct"/>
            <w:tcBorders>
              <w:top w:val="single" w:sz="4" w:space="0" w:color="auto"/>
              <w:left w:val="single" w:sz="4" w:space="0" w:color="auto"/>
              <w:bottom w:val="single" w:sz="4" w:space="0" w:color="auto"/>
              <w:right w:val="single" w:sz="4" w:space="0" w:color="auto"/>
            </w:tcBorders>
          </w:tcPr>
          <w:p w14:paraId="40181457" w14:textId="77777777" w:rsidR="005F3809" w:rsidRPr="00D74203" w:rsidRDefault="005F3809">
            <w:pPr>
              <w:pStyle w:val="TableText0"/>
              <w:widowControl w:val="0"/>
              <w:jc w:val="center"/>
              <w:rPr>
                <w:szCs w:val="20"/>
              </w:rPr>
            </w:pPr>
            <w:r w:rsidRPr="00D74203">
              <w:t>59.8 (52.4, 66.4)</w:t>
            </w:r>
          </w:p>
        </w:tc>
        <w:tc>
          <w:tcPr>
            <w:tcW w:w="825" w:type="pct"/>
            <w:tcBorders>
              <w:top w:val="single" w:sz="4" w:space="0" w:color="auto"/>
              <w:left w:val="single" w:sz="4" w:space="0" w:color="auto"/>
              <w:bottom w:val="single" w:sz="4" w:space="0" w:color="auto"/>
              <w:right w:val="single" w:sz="4" w:space="0" w:color="auto"/>
            </w:tcBorders>
          </w:tcPr>
          <w:p w14:paraId="76D119A8" w14:textId="77777777" w:rsidR="005F3809" w:rsidRPr="00D74203" w:rsidRDefault="005F3809">
            <w:pPr>
              <w:pStyle w:val="TableText0"/>
              <w:widowControl w:val="0"/>
              <w:jc w:val="center"/>
              <w:rPr>
                <w:szCs w:val="20"/>
              </w:rPr>
            </w:pPr>
            <w:r w:rsidRPr="00D74203">
              <w:t>52.9 (45.2, 60.0)</w:t>
            </w:r>
          </w:p>
        </w:tc>
        <w:tc>
          <w:tcPr>
            <w:tcW w:w="950" w:type="pct"/>
            <w:tcBorders>
              <w:top w:val="single" w:sz="4" w:space="0" w:color="auto"/>
              <w:left w:val="single" w:sz="4" w:space="0" w:color="auto"/>
              <w:bottom w:val="single" w:sz="4" w:space="0" w:color="auto"/>
              <w:right w:val="single" w:sz="4" w:space="0" w:color="auto"/>
            </w:tcBorders>
          </w:tcPr>
          <w:p w14:paraId="4ED229E2" w14:textId="77777777" w:rsidR="005F3809" w:rsidRPr="00D74203" w:rsidRDefault="005F3809">
            <w:pPr>
              <w:pStyle w:val="TableText0"/>
              <w:widowControl w:val="0"/>
              <w:jc w:val="center"/>
            </w:pPr>
            <w:r w:rsidRPr="00D74203">
              <w:t>6.9</w:t>
            </w:r>
          </w:p>
        </w:tc>
        <w:tc>
          <w:tcPr>
            <w:tcW w:w="791" w:type="pct"/>
            <w:vMerge/>
            <w:tcBorders>
              <w:left w:val="single" w:sz="4" w:space="0" w:color="auto"/>
              <w:bottom w:val="single" w:sz="4" w:space="0" w:color="auto"/>
              <w:right w:val="single" w:sz="4" w:space="0" w:color="auto"/>
            </w:tcBorders>
          </w:tcPr>
          <w:p w14:paraId="6F9D93A6" w14:textId="77777777" w:rsidR="005F3809" w:rsidRPr="00D74203" w:rsidRDefault="005F3809">
            <w:pPr>
              <w:pStyle w:val="TableText0"/>
              <w:widowControl w:val="0"/>
              <w:jc w:val="center"/>
            </w:pPr>
          </w:p>
        </w:tc>
      </w:tr>
    </w:tbl>
    <w:tbl>
      <w:tblPr>
        <w:tblW w:w="5000" w:type="pct"/>
        <w:tblLayout w:type="fixed"/>
        <w:tblCellMar>
          <w:left w:w="28" w:type="dxa"/>
          <w:right w:w="28" w:type="dxa"/>
        </w:tblCellMar>
        <w:tblLook w:val="04A0" w:firstRow="1" w:lastRow="0" w:firstColumn="1" w:lastColumn="0" w:noHBand="0" w:noVBand="1"/>
      </w:tblPr>
      <w:tblGrid>
        <w:gridCol w:w="1282"/>
        <w:gridCol w:w="1145"/>
        <w:gridCol w:w="1145"/>
        <w:gridCol w:w="1600"/>
        <w:gridCol w:w="1145"/>
        <w:gridCol w:w="1266"/>
        <w:gridCol w:w="1434"/>
      </w:tblGrid>
      <w:tr w:rsidR="005F3809" w:rsidRPr="00D74203" w14:paraId="348F7AE8" w14:textId="77777777" w:rsidTr="00E67BCE">
        <w:tc>
          <w:tcPr>
            <w:tcW w:w="5000" w:type="pct"/>
            <w:gridSpan w:val="7"/>
            <w:tcBorders>
              <w:top w:val="double" w:sz="4" w:space="0" w:color="auto"/>
              <w:left w:val="single" w:sz="4" w:space="0" w:color="auto"/>
              <w:bottom w:val="single" w:sz="4" w:space="0" w:color="auto"/>
              <w:right w:val="single" w:sz="4" w:space="0" w:color="auto"/>
            </w:tcBorders>
            <w:vAlign w:val="center"/>
          </w:tcPr>
          <w:p w14:paraId="382668CE" w14:textId="77777777" w:rsidR="005F3809" w:rsidRPr="00D74203" w:rsidRDefault="005F3809">
            <w:pPr>
              <w:pStyle w:val="In-tableHeading"/>
              <w:rPr>
                <w:lang w:val="en-AU"/>
              </w:rPr>
            </w:pPr>
            <w:r w:rsidRPr="00D74203">
              <w:rPr>
                <w:lang w:val="en-AU"/>
              </w:rPr>
              <w:t>Harms (</w:t>
            </w:r>
            <w:proofErr w:type="spellStart"/>
            <w:r w:rsidRPr="00D74203">
              <w:rPr>
                <w:lang w:val="en-AU"/>
              </w:rPr>
              <w:t>APaT</w:t>
            </w:r>
            <w:proofErr w:type="spellEnd"/>
            <w:r w:rsidRPr="00D74203">
              <w:rPr>
                <w:lang w:val="en-AU"/>
              </w:rPr>
              <w:t xml:space="preserve"> population) </w:t>
            </w:r>
          </w:p>
        </w:tc>
      </w:tr>
      <w:tr w:rsidR="005F3809" w:rsidRPr="00D74203" w14:paraId="06C600D6" w14:textId="77777777" w:rsidTr="00542E27">
        <w:trPr>
          <w:trHeight w:val="70"/>
        </w:trPr>
        <w:tc>
          <w:tcPr>
            <w:tcW w:w="711" w:type="pct"/>
            <w:vMerge w:val="restart"/>
            <w:tcBorders>
              <w:top w:val="single" w:sz="4" w:space="0" w:color="auto"/>
              <w:left w:val="single" w:sz="4" w:space="0" w:color="auto"/>
              <w:bottom w:val="single" w:sz="4" w:space="0" w:color="auto"/>
              <w:right w:val="single" w:sz="4" w:space="0" w:color="auto"/>
            </w:tcBorders>
            <w:vAlign w:val="center"/>
          </w:tcPr>
          <w:p w14:paraId="7F6AE879" w14:textId="77777777" w:rsidR="005F3809" w:rsidRPr="00D74203" w:rsidRDefault="005F3809">
            <w:pPr>
              <w:pStyle w:val="In-tableHeading"/>
              <w:rPr>
                <w:lang w:val="en-AU"/>
              </w:rPr>
            </w:pPr>
          </w:p>
        </w:tc>
        <w:tc>
          <w:tcPr>
            <w:tcW w:w="635" w:type="pct"/>
            <w:vMerge w:val="restart"/>
            <w:tcBorders>
              <w:top w:val="single" w:sz="4" w:space="0" w:color="auto"/>
              <w:left w:val="single" w:sz="4" w:space="0" w:color="auto"/>
              <w:bottom w:val="single" w:sz="4" w:space="0" w:color="auto"/>
              <w:right w:val="single" w:sz="4" w:space="0" w:color="auto"/>
            </w:tcBorders>
            <w:vAlign w:val="center"/>
          </w:tcPr>
          <w:p w14:paraId="43657420" w14:textId="51FF82D8" w:rsidR="005F3809" w:rsidRPr="00D74203" w:rsidRDefault="00517555">
            <w:pPr>
              <w:pStyle w:val="In-tableHeading"/>
              <w:jc w:val="center"/>
              <w:rPr>
                <w:lang w:val="en-AU"/>
              </w:rPr>
            </w:pPr>
            <w:proofErr w:type="spellStart"/>
            <w:r>
              <w:rPr>
                <w:lang w:val="en-AU"/>
              </w:rPr>
              <w:t>PEM+SoC</w:t>
            </w:r>
            <w:proofErr w:type="spellEnd"/>
          </w:p>
          <w:p w14:paraId="2624C75E" w14:textId="77777777" w:rsidR="005F3809" w:rsidRPr="00D74203" w:rsidRDefault="005F3809">
            <w:pPr>
              <w:pStyle w:val="In-tableHeading"/>
              <w:jc w:val="center"/>
              <w:rPr>
                <w:lang w:val="en-AU"/>
              </w:rPr>
            </w:pPr>
            <w:r w:rsidRPr="00D74203">
              <w:rPr>
                <w:lang w:val="en-AU"/>
              </w:rPr>
              <w:t>n/N</w:t>
            </w:r>
          </w:p>
        </w:tc>
        <w:tc>
          <w:tcPr>
            <w:tcW w:w="635" w:type="pct"/>
            <w:vMerge w:val="restart"/>
            <w:tcBorders>
              <w:top w:val="single" w:sz="4" w:space="0" w:color="auto"/>
              <w:left w:val="single" w:sz="4" w:space="0" w:color="auto"/>
              <w:bottom w:val="single" w:sz="4" w:space="0" w:color="auto"/>
              <w:right w:val="single" w:sz="4" w:space="0" w:color="auto"/>
            </w:tcBorders>
            <w:vAlign w:val="center"/>
          </w:tcPr>
          <w:p w14:paraId="6C012F85" w14:textId="77777777" w:rsidR="005F3809" w:rsidRPr="00D74203" w:rsidRDefault="005F3809">
            <w:pPr>
              <w:pStyle w:val="In-tableHeading"/>
              <w:jc w:val="center"/>
              <w:rPr>
                <w:lang w:val="en-AU"/>
              </w:rPr>
            </w:pPr>
            <w:r w:rsidRPr="00D74203">
              <w:rPr>
                <w:lang w:val="en-AU"/>
              </w:rPr>
              <w:t>SoC</w:t>
            </w:r>
          </w:p>
          <w:p w14:paraId="0489015F" w14:textId="77777777" w:rsidR="005F3809" w:rsidRPr="00D74203" w:rsidRDefault="005F3809">
            <w:pPr>
              <w:pStyle w:val="In-tableHeading"/>
              <w:jc w:val="center"/>
              <w:rPr>
                <w:lang w:val="en-AU"/>
              </w:rPr>
            </w:pPr>
            <w:r w:rsidRPr="00D74203">
              <w:rPr>
                <w:lang w:val="en-AU"/>
              </w:rPr>
              <w:t>n/N</w:t>
            </w:r>
          </w:p>
        </w:tc>
        <w:tc>
          <w:tcPr>
            <w:tcW w:w="887" w:type="pct"/>
            <w:vMerge w:val="restart"/>
            <w:tcBorders>
              <w:top w:val="single" w:sz="4" w:space="0" w:color="auto"/>
              <w:left w:val="single" w:sz="4" w:space="0" w:color="auto"/>
              <w:bottom w:val="single" w:sz="4" w:space="0" w:color="auto"/>
              <w:right w:val="single" w:sz="4" w:space="0" w:color="auto"/>
            </w:tcBorders>
            <w:vAlign w:val="center"/>
          </w:tcPr>
          <w:p w14:paraId="17065D53" w14:textId="77777777" w:rsidR="005F3809" w:rsidRPr="00D74203" w:rsidRDefault="005F3809">
            <w:pPr>
              <w:pStyle w:val="In-tableHeading"/>
              <w:jc w:val="center"/>
              <w:rPr>
                <w:lang w:val="en-AU"/>
              </w:rPr>
            </w:pPr>
            <w:r w:rsidRPr="00D74203">
              <w:rPr>
                <w:lang w:val="en-AU"/>
              </w:rPr>
              <w:t>RR</w:t>
            </w:r>
          </w:p>
          <w:p w14:paraId="6A36FB63" w14:textId="77777777" w:rsidR="005F3809" w:rsidRPr="00D74203" w:rsidRDefault="005F3809">
            <w:pPr>
              <w:pStyle w:val="In-tableHeading"/>
              <w:jc w:val="center"/>
              <w:rPr>
                <w:lang w:val="en-AU"/>
              </w:rPr>
            </w:pPr>
            <w:r w:rsidRPr="00D74203">
              <w:rPr>
                <w:lang w:val="en-AU"/>
              </w:rPr>
              <w:t>(95% CI)</w:t>
            </w:r>
          </w:p>
        </w:tc>
        <w:tc>
          <w:tcPr>
            <w:tcW w:w="1337" w:type="pct"/>
            <w:gridSpan w:val="2"/>
            <w:tcBorders>
              <w:top w:val="single" w:sz="4" w:space="0" w:color="auto"/>
              <w:left w:val="single" w:sz="4" w:space="0" w:color="auto"/>
              <w:bottom w:val="single" w:sz="4" w:space="0" w:color="auto"/>
              <w:right w:val="single" w:sz="4" w:space="0" w:color="auto"/>
            </w:tcBorders>
            <w:vAlign w:val="center"/>
          </w:tcPr>
          <w:p w14:paraId="5A56F4AF" w14:textId="77777777" w:rsidR="005F3809" w:rsidRPr="00D74203" w:rsidRDefault="005F3809">
            <w:pPr>
              <w:pStyle w:val="In-tableHeading"/>
              <w:jc w:val="center"/>
              <w:rPr>
                <w:lang w:val="en-AU"/>
              </w:rPr>
            </w:pPr>
            <w:r w:rsidRPr="00D74203">
              <w:rPr>
                <w:lang w:val="en-AU"/>
              </w:rPr>
              <w:t>Event rate/100 patients</w:t>
            </w:r>
          </w:p>
        </w:tc>
        <w:tc>
          <w:tcPr>
            <w:tcW w:w="795" w:type="pct"/>
            <w:vMerge w:val="restart"/>
            <w:tcBorders>
              <w:top w:val="single" w:sz="4" w:space="0" w:color="auto"/>
              <w:left w:val="single" w:sz="4" w:space="0" w:color="auto"/>
              <w:bottom w:val="single" w:sz="4" w:space="0" w:color="auto"/>
              <w:right w:val="single" w:sz="4" w:space="0" w:color="auto"/>
            </w:tcBorders>
            <w:vAlign w:val="center"/>
          </w:tcPr>
          <w:p w14:paraId="54F5B0BE" w14:textId="77777777" w:rsidR="005F3809" w:rsidRPr="00D74203" w:rsidRDefault="005F3809">
            <w:pPr>
              <w:pStyle w:val="In-tableHeading"/>
              <w:jc w:val="center"/>
              <w:rPr>
                <w:lang w:val="en-AU"/>
              </w:rPr>
            </w:pPr>
            <w:r w:rsidRPr="00D74203">
              <w:rPr>
                <w:lang w:val="en-AU"/>
              </w:rPr>
              <w:t>RD</w:t>
            </w:r>
          </w:p>
          <w:p w14:paraId="708A5AB0" w14:textId="77777777" w:rsidR="005F3809" w:rsidRPr="00D74203" w:rsidRDefault="005F3809">
            <w:pPr>
              <w:pStyle w:val="In-tableHeading"/>
              <w:jc w:val="center"/>
              <w:rPr>
                <w:lang w:val="en-AU"/>
              </w:rPr>
            </w:pPr>
            <w:r w:rsidRPr="00D74203">
              <w:rPr>
                <w:lang w:val="en-AU"/>
              </w:rPr>
              <w:t>(95% CI)</w:t>
            </w:r>
          </w:p>
        </w:tc>
      </w:tr>
      <w:tr w:rsidR="005F3809" w:rsidRPr="00D74203" w14:paraId="0F67B795" w14:textId="77777777" w:rsidTr="00542E27">
        <w:trPr>
          <w:trHeight w:val="54"/>
        </w:trPr>
        <w:tc>
          <w:tcPr>
            <w:tcW w:w="711" w:type="pct"/>
            <w:vMerge/>
            <w:tcBorders>
              <w:top w:val="single" w:sz="4" w:space="0" w:color="auto"/>
              <w:left w:val="single" w:sz="4" w:space="0" w:color="auto"/>
              <w:bottom w:val="single" w:sz="4" w:space="0" w:color="auto"/>
              <w:right w:val="single" w:sz="4" w:space="0" w:color="auto"/>
            </w:tcBorders>
            <w:vAlign w:val="center"/>
          </w:tcPr>
          <w:p w14:paraId="751ABE9F" w14:textId="77777777" w:rsidR="005F3809" w:rsidRPr="00D74203" w:rsidRDefault="005F3809">
            <w:pPr>
              <w:pStyle w:val="In-tableHeading"/>
              <w:rPr>
                <w:lang w:val="en-AU"/>
              </w:rPr>
            </w:pPr>
          </w:p>
        </w:tc>
        <w:tc>
          <w:tcPr>
            <w:tcW w:w="635" w:type="pct"/>
            <w:vMerge/>
            <w:tcBorders>
              <w:top w:val="single" w:sz="4" w:space="0" w:color="auto"/>
              <w:left w:val="single" w:sz="4" w:space="0" w:color="auto"/>
              <w:bottom w:val="single" w:sz="4" w:space="0" w:color="auto"/>
              <w:right w:val="single" w:sz="4" w:space="0" w:color="auto"/>
            </w:tcBorders>
            <w:vAlign w:val="center"/>
          </w:tcPr>
          <w:p w14:paraId="1E0FD266" w14:textId="77777777" w:rsidR="005F3809" w:rsidRPr="00D74203" w:rsidRDefault="005F3809">
            <w:pPr>
              <w:pStyle w:val="In-tableHeading"/>
              <w:rPr>
                <w:lang w:val="en-AU"/>
              </w:rPr>
            </w:pPr>
          </w:p>
        </w:tc>
        <w:tc>
          <w:tcPr>
            <w:tcW w:w="635" w:type="pct"/>
            <w:vMerge/>
            <w:tcBorders>
              <w:top w:val="single" w:sz="4" w:space="0" w:color="auto"/>
              <w:left w:val="single" w:sz="4" w:space="0" w:color="auto"/>
              <w:bottom w:val="single" w:sz="4" w:space="0" w:color="auto"/>
              <w:right w:val="single" w:sz="4" w:space="0" w:color="auto"/>
            </w:tcBorders>
            <w:vAlign w:val="center"/>
          </w:tcPr>
          <w:p w14:paraId="6007579D" w14:textId="77777777" w:rsidR="005F3809" w:rsidRPr="00D74203" w:rsidRDefault="005F3809">
            <w:pPr>
              <w:pStyle w:val="In-tableHeading"/>
              <w:rPr>
                <w:lang w:val="en-AU"/>
              </w:rPr>
            </w:pPr>
          </w:p>
        </w:tc>
        <w:tc>
          <w:tcPr>
            <w:tcW w:w="887" w:type="pct"/>
            <w:vMerge/>
            <w:tcBorders>
              <w:top w:val="single" w:sz="4" w:space="0" w:color="auto"/>
              <w:left w:val="single" w:sz="4" w:space="0" w:color="auto"/>
              <w:bottom w:val="single" w:sz="4" w:space="0" w:color="auto"/>
              <w:right w:val="single" w:sz="4" w:space="0" w:color="auto"/>
            </w:tcBorders>
            <w:vAlign w:val="center"/>
          </w:tcPr>
          <w:p w14:paraId="14B90398" w14:textId="77777777" w:rsidR="005F3809" w:rsidRPr="00D74203" w:rsidRDefault="005F3809">
            <w:pPr>
              <w:pStyle w:val="In-tableHeading"/>
              <w:rPr>
                <w:lang w:val="en-AU"/>
              </w:rPr>
            </w:pPr>
          </w:p>
        </w:tc>
        <w:tc>
          <w:tcPr>
            <w:tcW w:w="635" w:type="pct"/>
            <w:tcBorders>
              <w:top w:val="single" w:sz="4" w:space="0" w:color="auto"/>
              <w:left w:val="single" w:sz="4" w:space="0" w:color="auto"/>
              <w:bottom w:val="single" w:sz="4" w:space="0" w:color="auto"/>
              <w:right w:val="single" w:sz="4" w:space="0" w:color="auto"/>
            </w:tcBorders>
            <w:vAlign w:val="center"/>
          </w:tcPr>
          <w:p w14:paraId="18CBA4BB" w14:textId="3313F662" w:rsidR="005F3809" w:rsidRPr="00D74203" w:rsidRDefault="00517555">
            <w:pPr>
              <w:pStyle w:val="In-tableHeading"/>
              <w:jc w:val="center"/>
              <w:rPr>
                <w:lang w:val="en-AU"/>
              </w:rPr>
            </w:pPr>
            <w:proofErr w:type="spellStart"/>
            <w:r>
              <w:rPr>
                <w:lang w:val="en-AU"/>
              </w:rPr>
              <w:t>PEM+SoC</w:t>
            </w:r>
            <w:proofErr w:type="spellEnd"/>
          </w:p>
        </w:tc>
        <w:tc>
          <w:tcPr>
            <w:tcW w:w="702" w:type="pct"/>
            <w:tcBorders>
              <w:top w:val="single" w:sz="4" w:space="0" w:color="auto"/>
              <w:left w:val="single" w:sz="4" w:space="0" w:color="auto"/>
              <w:bottom w:val="single" w:sz="4" w:space="0" w:color="auto"/>
              <w:right w:val="single" w:sz="4" w:space="0" w:color="auto"/>
            </w:tcBorders>
            <w:vAlign w:val="center"/>
          </w:tcPr>
          <w:p w14:paraId="577B4A7C" w14:textId="77777777" w:rsidR="005F3809" w:rsidRPr="00D74203" w:rsidRDefault="005F3809">
            <w:pPr>
              <w:pStyle w:val="In-tableHeading"/>
              <w:jc w:val="center"/>
              <w:rPr>
                <w:lang w:val="en-AU"/>
              </w:rPr>
            </w:pPr>
            <w:r w:rsidRPr="00D74203">
              <w:rPr>
                <w:lang w:val="en-AU"/>
              </w:rPr>
              <w:t>SoC</w:t>
            </w:r>
          </w:p>
        </w:tc>
        <w:tc>
          <w:tcPr>
            <w:tcW w:w="795" w:type="pct"/>
            <w:vMerge/>
            <w:tcBorders>
              <w:top w:val="single" w:sz="4" w:space="0" w:color="auto"/>
              <w:left w:val="single" w:sz="4" w:space="0" w:color="auto"/>
              <w:bottom w:val="single" w:sz="4" w:space="0" w:color="auto"/>
              <w:right w:val="single" w:sz="4" w:space="0" w:color="auto"/>
            </w:tcBorders>
            <w:vAlign w:val="center"/>
          </w:tcPr>
          <w:p w14:paraId="2FE56BDD" w14:textId="77777777" w:rsidR="005F3809" w:rsidRPr="00D74203" w:rsidRDefault="005F3809">
            <w:pPr>
              <w:pStyle w:val="In-tableHeading"/>
              <w:rPr>
                <w:lang w:val="en-AU"/>
              </w:rPr>
            </w:pPr>
          </w:p>
        </w:tc>
      </w:tr>
      <w:tr w:rsidR="005F3809" w:rsidRPr="00D74203" w14:paraId="553626AA" w14:textId="77777777" w:rsidTr="00542E27">
        <w:tc>
          <w:tcPr>
            <w:tcW w:w="711" w:type="pct"/>
            <w:tcBorders>
              <w:top w:val="single" w:sz="4" w:space="0" w:color="auto"/>
              <w:left w:val="single" w:sz="4" w:space="0" w:color="auto"/>
              <w:bottom w:val="single" w:sz="4" w:space="0" w:color="auto"/>
              <w:right w:val="single" w:sz="4" w:space="0" w:color="auto"/>
            </w:tcBorders>
            <w:vAlign w:val="center"/>
          </w:tcPr>
          <w:p w14:paraId="18FA8EBF" w14:textId="77777777" w:rsidR="005F3809" w:rsidRPr="00D74203" w:rsidRDefault="005F3809">
            <w:pPr>
              <w:pStyle w:val="TableText0"/>
            </w:pPr>
            <w:r w:rsidRPr="00D74203">
              <w:t>SAEs</w:t>
            </w:r>
          </w:p>
        </w:tc>
        <w:tc>
          <w:tcPr>
            <w:tcW w:w="635" w:type="pct"/>
            <w:tcBorders>
              <w:top w:val="single" w:sz="4" w:space="0" w:color="auto"/>
              <w:left w:val="single" w:sz="4" w:space="0" w:color="auto"/>
              <w:bottom w:val="single" w:sz="4" w:space="0" w:color="auto"/>
              <w:right w:val="single" w:sz="4" w:space="0" w:color="auto"/>
            </w:tcBorders>
          </w:tcPr>
          <w:p w14:paraId="5F42F107" w14:textId="77777777" w:rsidR="005F3809" w:rsidRPr="00542E27" w:rsidRDefault="005F3809">
            <w:pPr>
              <w:pStyle w:val="TableText0"/>
              <w:jc w:val="center"/>
            </w:pPr>
            <w:r w:rsidRPr="00542E27">
              <w:t>179/361</w:t>
            </w:r>
          </w:p>
        </w:tc>
        <w:tc>
          <w:tcPr>
            <w:tcW w:w="635" w:type="pct"/>
            <w:tcBorders>
              <w:top w:val="single" w:sz="4" w:space="0" w:color="auto"/>
              <w:left w:val="single" w:sz="4" w:space="0" w:color="auto"/>
              <w:bottom w:val="single" w:sz="4" w:space="0" w:color="auto"/>
              <w:right w:val="single" w:sz="4" w:space="0" w:color="auto"/>
            </w:tcBorders>
          </w:tcPr>
          <w:p w14:paraId="262589DD" w14:textId="77777777" w:rsidR="005F3809" w:rsidRPr="00542E27" w:rsidRDefault="005F3809">
            <w:pPr>
              <w:pStyle w:val="TableText0"/>
              <w:jc w:val="center"/>
            </w:pPr>
            <w:r w:rsidRPr="00542E27">
              <w:t xml:space="preserve">116/315 </w:t>
            </w:r>
          </w:p>
        </w:tc>
        <w:tc>
          <w:tcPr>
            <w:tcW w:w="887" w:type="pct"/>
            <w:tcBorders>
              <w:top w:val="single" w:sz="4" w:space="0" w:color="auto"/>
              <w:left w:val="single" w:sz="4" w:space="0" w:color="auto"/>
              <w:bottom w:val="single" w:sz="4" w:space="0" w:color="auto"/>
              <w:right w:val="single" w:sz="4" w:space="0" w:color="auto"/>
            </w:tcBorders>
            <w:vAlign w:val="center"/>
          </w:tcPr>
          <w:p w14:paraId="0926A17B" w14:textId="77777777" w:rsidR="005F3809" w:rsidRPr="00542E27" w:rsidRDefault="005F3809">
            <w:pPr>
              <w:pStyle w:val="TableText0"/>
              <w:jc w:val="center"/>
              <w:rPr>
                <w:b/>
                <w:bCs w:val="0"/>
              </w:rPr>
            </w:pPr>
            <w:r w:rsidRPr="00542E27">
              <w:rPr>
                <w:b/>
                <w:bCs w:val="0"/>
              </w:rPr>
              <w:t>1.35 (1.13, 1.61)</w:t>
            </w:r>
          </w:p>
        </w:tc>
        <w:tc>
          <w:tcPr>
            <w:tcW w:w="635" w:type="pct"/>
            <w:tcBorders>
              <w:top w:val="single" w:sz="4" w:space="0" w:color="auto"/>
              <w:left w:val="single" w:sz="4" w:space="0" w:color="auto"/>
              <w:bottom w:val="single" w:sz="4" w:space="0" w:color="auto"/>
              <w:right w:val="single" w:sz="4" w:space="0" w:color="auto"/>
            </w:tcBorders>
            <w:vAlign w:val="center"/>
          </w:tcPr>
          <w:p w14:paraId="2A0D9605" w14:textId="77777777" w:rsidR="005F3809" w:rsidRPr="00542E27" w:rsidRDefault="005F3809">
            <w:pPr>
              <w:pStyle w:val="TableText0"/>
              <w:jc w:val="center"/>
            </w:pPr>
            <w:r w:rsidRPr="00542E27">
              <w:t>49.6</w:t>
            </w:r>
          </w:p>
        </w:tc>
        <w:tc>
          <w:tcPr>
            <w:tcW w:w="702" w:type="pct"/>
            <w:tcBorders>
              <w:top w:val="single" w:sz="4" w:space="0" w:color="auto"/>
              <w:left w:val="single" w:sz="4" w:space="0" w:color="auto"/>
              <w:bottom w:val="single" w:sz="4" w:space="0" w:color="auto"/>
              <w:right w:val="single" w:sz="4" w:space="0" w:color="auto"/>
            </w:tcBorders>
            <w:vAlign w:val="center"/>
          </w:tcPr>
          <w:p w14:paraId="66410958" w14:textId="77777777" w:rsidR="005F3809" w:rsidRPr="00542E27" w:rsidRDefault="005F3809">
            <w:pPr>
              <w:pStyle w:val="TableText0"/>
              <w:jc w:val="center"/>
            </w:pPr>
            <w:r w:rsidRPr="00542E27">
              <w:t>36.8</w:t>
            </w:r>
          </w:p>
        </w:tc>
        <w:tc>
          <w:tcPr>
            <w:tcW w:w="795" w:type="pct"/>
            <w:tcBorders>
              <w:top w:val="single" w:sz="4" w:space="0" w:color="auto"/>
              <w:left w:val="single" w:sz="4" w:space="0" w:color="auto"/>
              <w:bottom w:val="single" w:sz="4" w:space="0" w:color="auto"/>
              <w:right w:val="single" w:sz="4" w:space="0" w:color="auto"/>
            </w:tcBorders>
            <w:vAlign w:val="center"/>
          </w:tcPr>
          <w:p w14:paraId="68105267" w14:textId="77777777" w:rsidR="005F3809" w:rsidRPr="00542E27" w:rsidRDefault="005F3809">
            <w:pPr>
              <w:pStyle w:val="TableText0"/>
              <w:jc w:val="center"/>
              <w:rPr>
                <w:b/>
                <w:bCs w:val="0"/>
              </w:rPr>
            </w:pPr>
            <w:r w:rsidRPr="00542E27">
              <w:rPr>
                <w:b/>
                <w:bCs w:val="0"/>
              </w:rPr>
              <w:t>0.13 (0.05, 0.20)</w:t>
            </w:r>
          </w:p>
        </w:tc>
      </w:tr>
      <w:tr w:rsidR="005F3809" w:rsidRPr="00D74203" w14:paraId="7B3B0E91" w14:textId="77777777" w:rsidTr="00542E27">
        <w:tc>
          <w:tcPr>
            <w:tcW w:w="711" w:type="pct"/>
            <w:tcBorders>
              <w:top w:val="single" w:sz="4" w:space="0" w:color="auto"/>
              <w:left w:val="single" w:sz="4" w:space="0" w:color="auto"/>
              <w:bottom w:val="single" w:sz="4" w:space="0" w:color="auto"/>
              <w:right w:val="single" w:sz="4" w:space="0" w:color="auto"/>
            </w:tcBorders>
            <w:vAlign w:val="center"/>
          </w:tcPr>
          <w:p w14:paraId="19761B28" w14:textId="77777777" w:rsidR="005F3809" w:rsidRPr="00D74203" w:rsidRDefault="005F3809">
            <w:pPr>
              <w:pStyle w:val="TableText0"/>
            </w:pPr>
            <w:r w:rsidRPr="00D74203">
              <w:t>AEs leading to discontinuation</w:t>
            </w:r>
          </w:p>
        </w:tc>
        <w:tc>
          <w:tcPr>
            <w:tcW w:w="635" w:type="pct"/>
            <w:tcBorders>
              <w:top w:val="single" w:sz="4" w:space="0" w:color="auto"/>
              <w:left w:val="single" w:sz="4" w:space="0" w:color="auto"/>
              <w:bottom w:val="single" w:sz="4" w:space="0" w:color="auto"/>
              <w:right w:val="single" w:sz="4" w:space="0" w:color="auto"/>
            </w:tcBorders>
            <w:vAlign w:val="center"/>
          </w:tcPr>
          <w:p w14:paraId="62FC8760" w14:textId="77777777" w:rsidR="005F3809" w:rsidRPr="00542E27" w:rsidRDefault="005F3809">
            <w:pPr>
              <w:pStyle w:val="TableText0"/>
              <w:jc w:val="center"/>
            </w:pPr>
            <w:r w:rsidRPr="00542E27">
              <w:t>88/361</w:t>
            </w:r>
          </w:p>
        </w:tc>
        <w:tc>
          <w:tcPr>
            <w:tcW w:w="635" w:type="pct"/>
            <w:tcBorders>
              <w:top w:val="single" w:sz="4" w:space="0" w:color="auto"/>
              <w:left w:val="single" w:sz="4" w:space="0" w:color="auto"/>
              <w:bottom w:val="single" w:sz="4" w:space="0" w:color="auto"/>
              <w:right w:val="single" w:sz="4" w:space="0" w:color="auto"/>
            </w:tcBorders>
            <w:vAlign w:val="center"/>
          </w:tcPr>
          <w:p w14:paraId="0CE25069" w14:textId="77777777" w:rsidR="005F3809" w:rsidRPr="00542E27" w:rsidRDefault="005F3809">
            <w:pPr>
              <w:pStyle w:val="TableText0"/>
              <w:jc w:val="center"/>
            </w:pPr>
            <w:r w:rsidRPr="00542E27">
              <w:t>45/315</w:t>
            </w:r>
          </w:p>
        </w:tc>
        <w:tc>
          <w:tcPr>
            <w:tcW w:w="887" w:type="pct"/>
            <w:tcBorders>
              <w:top w:val="single" w:sz="4" w:space="0" w:color="auto"/>
              <w:left w:val="single" w:sz="4" w:space="0" w:color="auto"/>
              <w:bottom w:val="single" w:sz="4" w:space="0" w:color="auto"/>
              <w:right w:val="single" w:sz="4" w:space="0" w:color="auto"/>
            </w:tcBorders>
            <w:vAlign w:val="center"/>
          </w:tcPr>
          <w:p w14:paraId="61337A26" w14:textId="77777777" w:rsidR="005F3809" w:rsidRPr="00542E27" w:rsidRDefault="005F3809">
            <w:pPr>
              <w:pStyle w:val="TableText0"/>
              <w:jc w:val="center"/>
              <w:rPr>
                <w:b/>
                <w:bCs w:val="0"/>
              </w:rPr>
            </w:pPr>
            <w:r w:rsidRPr="00542E27">
              <w:rPr>
                <w:b/>
                <w:bCs w:val="0"/>
              </w:rPr>
              <w:t>1.71 (1.23, 2.36)</w:t>
            </w:r>
          </w:p>
        </w:tc>
        <w:tc>
          <w:tcPr>
            <w:tcW w:w="635" w:type="pct"/>
            <w:tcBorders>
              <w:top w:val="single" w:sz="4" w:space="0" w:color="auto"/>
              <w:left w:val="single" w:sz="4" w:space="0" w:color="auto"/>
              <w:bottom w:val="single" w:sz="4" w:space="0" w:color="auto"/>
              <w:right w:val="single" w:sz="4" w:space="0" w:color="auto"/>
            </w:tcBorders>
            <w:vAlign w:val="center"/>
          </w:tcPr>
          <w:p w14:paraId="0EE1F1E1" w14:textId="77777777" w:rsidR="005F3809" w:rsidRPr="00542E27" w:rsidRDefault="005F3809">
            <w:pPr>
              <w:pStyle w:val="TableText0"/>
              <w:jc w:val="center"/>
            </w:pPr>
            <w:r w:rsidRPr="00542E27">
              <w:t>24.4</w:t>
            </w:r>
          </w:p>
        </w:tc>
        <w:tc>
          <w:tcPr>
            <w:tcW w:w="702" w:type="pct"/>
            <w:tcBorders>
              <w:top w:val="single" w:sz="4" w:space="0" w:color="auto"/>
              <w:left w:val="single" w:sz="4" w:space="0" w:color="auto"/>
              <w:bottom w:val="single" w:sz="4" w:space="0" w:color="auto"/>
              <w:right w:val="single" w:sz="4" w:space="0" w:color="auto"/>
            </w:tcBorders>
            <w:vAlign w:val="center"/>
          </w:tcPr>
          <w:p w14:paraId="0D08F1B3" w14:textId="77777777" w:rsidR="005F3809" w:rsidRPr="00542E27" w:rsidRDefault="005F3809">
            <w:pPr>
              <w:pStyle w:val="TableText0"/>
              <w:jc w:val="center"/>
            </w:pPr>
            <w:r w:rsidRPr="00542E27">
              <w:t>14.3</w:t>
            </w:r>
          </w:p>
        </w:tc>
        <w:tc>
          <w:tcPr>
            <w:tcW w:w="795" w:type="pct"/>
            <w:tcBorders>
              <w:top w:val="single" w:sz="4" w:space="0" w:color="auto"/>
              <w:left w:val="single" w:sz="4" w:space="0" w:color="auto"/>
              <w:bottom w:val="single" w:sz="4" w:space="0" w:color="auto"/>
              <w:right w:val="single" w:sz="4" w:space="0" w:color="auto"/>
            </w:tcBorders>
            <w:vAlign w:val="center"/>
          </w:tcPr>
          <w:p w14:paraId="2B2D12E8" w14:textId="77777777" w:rsidR="005F3809" w:rsidRPr="00542E27" w:rsidRDefault="005F3809">
            <w:pPr>
              <w:pStyle w:val="TableText0"/>
              <w:jc w:val="center"/>
              <w:rPr>
                <w:b/>
                <w:bCs w:val="0"/>
              </w:rPr>
            </w:pPr>
            <w:r w:rsidRPr="00542E27">
              <w:rPr>
                <w:b/>
                <w:bCs w:val="0"/>
              </w:rPr>
              <w:t>0.10 (0.04, 0.16)</w:t>
            </w:r>
          </w:p>
        </w:tc>
      </w:tr>
      <w:tr w:rsidR="00711D5D" w:rsidRPr="00D74203" w14:paraId="3FAF9133" w14:textId="77777777" w:rsidTr="00542E27">
        <w:tc>
          <w:tcPr>
            <w:tcW w:w="711" w:type="pct"/>
            <w:tcBorders>
              <w:top w:val="single" w:sz="4" w:space="0" w:color="auto"/>
              <w:left w:val="single" w:sz="4" w:space="0" w:color="auto"/>
              <w:bottom w:val="single" w:sz="4" w:space="0" w:color="auto"/>
              <w:right w:val="single" w:sz="4" w:space="0" w:color="auto"/>
            </w:tcBorders>
            <w:vAlign w:val="center"/>
          </w:tcPr>
          <w:p w14:paraId="21467413" w14:textId="04A6E66A" w:rsidR="00711D5D" w:rsidRDefault="00711D5D">
            <w:pPr>
              <w:pStyle w:val="TableText0"/>
            </w:pPr>
            <w:r>
              <w:t>Drug-related AEs</w:t>
            </w:r>
          </w:p>
        </w:tc>
        <w:tc>
          <w:tcPr>
            <w:tcW w:w="635" w:type="pct"/>
            <w:tcBorders>
              <w:top w:val="single" w:sz="4" w:space="0" w:color="auto"/>
              <w:left w:val="single" w:sz="4" w:space="0" w:color="auto"/>
              <w:bottom w:val="single" w:sz="4" w:space="0" w:color="auto"/>
              <w:right w:val="single" w:sz="4" w:space="0" w:color="auto"/>
            </w:tcBorders>
            <w:vAlign w:val="center"/>
          </w:tcPr>
          <w:p w14:paraId="26DFCF2D" w14:textId="1D6EB0DA" w:rsidR="00711D5D" w:rsidRDefault="00711D5D">
            <w:pPr>
              <w:pStyle w:val="TableText0"/>
              <w:jc w:val="center"/>
              <w:rPr>
                <w:bCs w:val="0"/>
              </w:rPr>
            </w:pPr>
            <w:r w:rsidRPr="00711D5D">
              <w:rPr>
                <w:bCs w:val="0"/>
              </w:rPr>
              <w:t>275</w:t>
            </w:r>
            <w:r>
              <w:rPr>
                <w:bCs w:val="0"/>
              </w:rPr>
              <w:t>/361</w:t>
            </w:r>
            <w:r w:rsidRPr="00711D5D">
              <w:rPr>
                <w:bCs w:val="0"/>
              </w:rPr>
              <w:t xml:space="preserve"> </w:t>
            </w:r>
          </w:p>
        </w:tc>
        <w:tc>
          <w:tcPr>
            <w:tcW w:w="635" w:type="pct"/>
            <w:tcBorders>
              <w:top w:val="single" w:sz="4" w:space="0" w:color="auto"/>
              <w:left w:val="single" w:sz="4" w:space="0" w:color="auto"/>
              <w:bottom w:val="single" w:sz="4" w:space="0" w:color="auto"/>
              <w:right w:val="single" w:sz="4" w:space="0" w:color="auto"/>
            </w:tcBorders>
            <w:vAlign w:val="center"/>
          </w:tcPr>
          <w:p w14:paraId="731BB5C1" w14:textId="7665B6AA" w:rsidR="00711D5D" w:rsidRDefault="00711D5D">
            <w:pPr>
              <w:pStyle w:val="TableText0"/>
              <w:jc w:val="center"/>
              <w:rPr>
                <w:bCs w:val="0"/>
              </w:rPr>
            </w:pPr>
            <w:r w:rsidRPr="00711D5D">
              <w:rPr>
                <w:bCs w:val="0"/>
              </w:rPr>
              <w:t>233</w:t>
            </w:r>
            <w:r>
              <w:rPr>
                <w:bCs w:val="0"/>
              </w:rPr>
              <w:t>/315</w:t>
            </w:r>
          </w:p>
        </w:tc>
        <w:tc>
          <w:tcPr>
            <w:tcW w:w="887" w:type="pct"/>
            <w:tcBorders>
              <w:top w:val="single" w:sz="4" w:space="0" w:color="auto"/>
              <w:left w:val="single" w:sz="4" w:space="0" w:color="auto"/>
              <w:bottom w:val="single" w:sz="4" w:space="0" w:color="auto"/>
              <w:right w:val="single" w:sz="4" w:space="0" w:color="auto"/>
            </w:tcBorders>
            <w:vAlign w:val="center"/>
          </w:tcPr>
          <w:p w14:paraId="0918A71A" w14:textId="1BDF3955" w:rsidR="00711D5D" w:rsidRPr="00542E27" w:rsidRDefault="00711D5D">
            <w:pPr>
              <w:pStyle w:val="TableText0"/>
              <w:jc w:val="center"/>
            </w:pPr>
            <w:r w:rsidRPr="00711D5D">
              <w:rPr>
                <w:bCs w:val="0"/>
              </w:rPr>
              <w:t>1.03 (0.94, 1.12)</w:t>
            </w:r>
          </w:p>
        </w:tc>
        <w:tc>
          <w:tcPr>
            <w:tcW w:w="635" w:type="pct"/>
            <w:tcBorders>
              <w:top w:val="single" w:sz="4" w:space="0" w:color="auto"/>
              <w:left w:val="single" w:sz="4" w:space="0" w:color="auto"/>
              <w:bottom w:val="single" w:sz="4" w:space="0" w:color="auto"/>
              <w:right w:val="single" w:sz="4" w:space="0" w:color="auto"/>
            </w:tcBorders>
            <w:vAlign w:val="center"/>
          </w:tcPr>
          <w:p w14:paraId="11CF38D6" w14:textId="3B1E347C" w:rsidR="00711D5D" w:rsidRPr="00542E27" w:rsidRDefault="00711D5D">
            <w:pPr>
              <w:pStyle w:val="TableText0"/>
              <w:jc w:val="center"/>
            </w:pPr>
            <w:r w:rsidRPr="00711D5D">
              <w:rPr>
                <w:bCs w:val="0"/>
              </w:rPr>
              <w:t>76.2</w:t>
            </w:r>
          </w:p>
        </w:tc>
        <w:tc>
          <w:tcPr>
            <w:tcW w:w="702" w:type="pct"/>
            <w:tcBorders>
              <w:top w:val="single" w:sz="4" w:space="0" w:color="auto"/>
              <w:left w:val="single" w:sz="4" w:space="0" w:color="auto"/>
              <w:bottom w:val="single" w:sz="4" w:space="0" w:color="auto"/>
              <w:right w:val="single" w:sz="4" w:space="0" w:color="auto"/>
            </w:tcBorders>
            <w:vAlign w:val="center"/>
          </w:tcPr>
          <w:p w14:paraId="55C4198C" w14:textId="3FF34A4F" w:rsidR="00711D5D" w:rsidRPr="00542E27" w:rsidRDefault="00711D5D">
            <w:pPr>
              <w:pStyle w:val="TableText0"/>
              <w:jc w:val="center"/>
            </w:pPr>
            <w:r w:rsidRPr="00711D5D">
              <w:rPr>
                <w:bCs w:val="0"/>
              </w:rPr>
              <w:t>74.0</w:t>
            </w:r>
          </w:p>
        </w:tc>
        <w:tc>
          <w:tcPr>
            <w:tcW w:w="795" w:type="pct"/>
            <w:tcBorders>
              <w:top w:val="single" w:sz="4" w:space="0" w:color="auto"/>
              <w:left w:val="single" w:sz="4" w:space="0" w:color="auto"/>
              <w:bottom w:val="single" w:sz="4" w:space="0" w:color="auto"/>
              <w:right w:val="single" w:sz="4" w:space="0" w:color="auto"/>
            </w:tcBorders>
            <w:vAlign w:val="center"/>
          </w:tcPr>
          <w:p w14:paraId="5F14E55A" w14:textId="106A768F" w:rsidR="00711D5D" w:rsidRPr="00542E27" w:rsidRDefault="00711D5D">
            <w:pPr>
              <w:pStyle w:val="TableText0"/>
              <w:jc w:val="center"/>
            </w:pPr>
            <w:r w:rsidRPr="00711D5D">
              <w:rPr>
                <w:bCs w:val="0"/>
              </w:rPr>
              <w:t>0.02 (-0.04, 0.09)</w:t>
            </w:r>
          </w:p>
        </w:tc>
      </w:tr>
      <w:tr w:rsidR="00542E27" w:rsidRPr="00D74203" w14:paraId="3E471DD9" w14:textId="77777777" w:rsidTr="00542E27">
        <w:tc>
          <w:tcPr>
            <w:tcW w:w="711" w:type="pct"/>
            <w:tcBorders>
              <w:top w:val="single" w:sz="4" w:space="0" w:color="auto"/>
              <w:left w:val="single" w:sz="4" w:space="0" w:color="auto"/>
              <w:bottom w:val="single" w:sz="4" w:space="0" w:color="auto"/>
              <w:right w:val="single" w:sz="4" w:space="0" w:color="auto"/>
            </w:tcBorders>
            <w:vAlign w:val="center"/>
          </w:tcPr>
          <w:p w14:paraId="0E6ECDDD" w14:textId="468283F9" w:rsidR="00542E27" w:rsidRPr="00D74203" w:rsidRDefault="00542E27">
            <w:pPr>
              <w:pStyle w:val="TableText0"/>
            </w:pPr>
            <w:r>
              <w:t>Grade ≥ 3 drug-related AEs</w:t>
            </w:r>
          </w:p>
        </w:tc>
        <w:tc>
          <w:tcPr>
            <w:tcW w:w="635" w:type="pct"/>
            <w:tcBorders>
              <w:top w:val="single" w:sz="4" w:space="0" w:color="auto"/>
              <w:left w:val="single" w:sz="4" w:space="0" w:color="auto"/>
              <w:bottom w:val="single" w:sz="4" w:space="0" w:color="auto"/>
              <w:right w:val="single" w:sz="4" w:space="0" w:color="auto"/>
            </w:tcBorders>
            <w:vAlign w:val="center"/>
          </w:tcPr>
          <w:p w14:paraId="4BDC56AD" w14:textId="79F62E23" w:rsidR="00542E27" w:rsidRPr="00D74203" w:rsidRDefault="00542E27">
            <w:pPr>
              <w:pStyle w:val="TableText0"/>
              <w:jc w:val="center"/>
              <w:rPr>
                <w:bCs w:val="0"/>
              </w:rPr>
            </w:pPr>
            <w:r>
              <w:rPr>
                <w:bCs w:val="0"/>
              </w:rPr>
              <w:t>161/361</w:t>
            </w:r>
          </w:p>
        </w:tc>
        <w:tc>
          <w:tcPr>
            <w:tcW w:w="635" w:type="pct"/>
            <w:tcBorders>
              <w:top w:val="single" w:sz="4" w:space="0" w:color="auto"/>
              <w:left w:val="single" w:sz="4" w:space="0" w:color="auto"/>
              <w:bottom w:val="single" w:sz="4" w:space="0" w:color="auto"/>
              <w:right w:val="single" w:sz="4" w:space="0" w:color="auto"/>
            </w:tcBorders>
            <w:vAlign w:val="center"/>
          </w:tcPr>
          <w:p w14:paraId="5EF5F7F3" w14:textId="164CDABE" w:rsidR="00542E27" w:rsidRPr="00D74203" w:rsidRDefault="00542E27">
            <w:pPr>
              <w:pStyle w:val="TableText0"/>
              <w:jc w:val="center"/>
              <w:rPr>
                <w:bCs w:val="0"/>
              </w:rPr>
            </w:pPr>
            <w:r>
              <w:rPr>
                <w:bCs w:val="0"/>
              </w:rPr>
              <w:t>135/315</w:t>
            </w:r>
          </w:p>
        </w:tc>
        <w:tc>
          <w:tcPr>
            <w:tcW w:w="887" w:type="pct"/>
            <w:tcBorders>
              <w:top w:val="single" w:sz="4" w:space="0" w:color="auto"/>
              <w:left w:val="single" w:sz="4" w:space="0" w:color="auto"/>
              <w:bottom w:val="single" w:sz="4" w:space="0" w:color="auto"/>
              <w:right w:val="single" w:sz="4" w:space="0" w:color="auto"/>
            </w:tcBorders>
            <w:vAlign w:val="center"/>
          </w:tcPr>
          <w:p w14:paraId="1D35FB99" w14:textId="10E74163" w:rsidR="00542E27" w:rsidRPr="00D74203" w:rsidRDefault="00542E27">
            <w:pPr>
              <w:pStyle w:val="TableText0"/>
              <w:jc w:val="center"/>
            </w:pPr>
            <w:r w:rsidRPr="00542E27">
              <w:t>1.04 (0.88, 1.24)</w:t>
            </w:r>
          </w:p>
        </w:tc>
        <w:tc>
          <w:tcPr>
            <w:tcW w:w="635" w:type="pct"/>
            <w:tcBorders>
              <w:top w:val="single" w:sz="4" w:space="0" w:color="auto"/>
              <w:left w:val="single" w:sz="4" w:space="0" w:color="auto"/>
              <w:bottom w:val="single" w:sz="4" w:space="0" w:color="auto"/>
              <w:right w:val="single" w:sz="4" w:space="0" w:color="auto"/>
            </w:tcBorders>
            <w:vAlign w:val="center"/>
          </w:tcPr>
          <w:p w14:paraId="3B01D9A6" w14:textId="461D9E61" w:rsidR="00542E27" w:rsidRPr="00542E27" w:rsidRDefault="00542E27">
            <w:pPr>
              <w:pStyle w:val="TableText0"/>
              <w:jc w:val="center"/>
            </w:pPr>
            <w:r w:rsidRPr="00542E27">
              <w:t>44.6</w:t>
            </w:r>
          </w:p>
        </w:tc>
        <w:tc>
          <w:tcPr>
            <w:tcW w:w="702" w:type="pct"/>
            <w:tcBorders>
              <w:top w:val="single" w:sz="4" w:space="0" w:color="auto"/>
              <w:left w:val="single" w:sz="4" w:space="0" w:color="auto"/>
              <w:bottom w:val="single" w:sz="4" w:space="0" w:color="auto"/>
              <w:right w:val="single" w:sz="4" w:space="0" w:color="auto"/>
            </w:tcBorders>
            <w:vAlign w:val="center"/>
          </w:tcPr>
          <w:p w14:paraId="51079091" w14:textId="3DEA5BAD" w:rsidR="00542E27" w:rsidRPr="00542E27" w:rsidRDefault="00542E27">
            <w:pPr>
              <w:pStyle w:val="TableText0"/>
              <w:jc w:val="center"/>
            </w:pPr>
            <w:r w:rsidRPr="00542E27">
              <w:t>42.9</w:t>
            </w:r>
          </w:p>
        </w:tc>
        <w:tc>
          <w:tcPr>
            <w:tcW w:w="795" w:type="pct"/>
            <w:tcBorders>
              <w:top w:val="single" w:sz="4" w:space="0" w:color="auto"/>
              <w:left w:val="single" w:sz="4" w:space="0" w:color="auto"/>
              <w:bottom w:val="single" w:sz="4" w:space="0" w:color="auto"/>
              <w:right w:val="single" w:sz="4" w:space="0" w:color="auto"/>
            </w:tcBorders>
            <w:vAlign w:val="center"/>
          </w:tcPr>
          <w:p w14:paraId="2A41EDA8" w14:textId="2EF91CC8" w:rsidR="00542E27" w:rsidRPr="00D74203" w:rsidRDefault="00542E27">
            <w:pPr>
              <w:pStyle w:val="TableText0"/>
              <w:jc w:val="center"/>
            </w:pPr>
            <w:r w:rsidRPr="00542E27">
              <w:t>0.02 (-0.06, 0.09)</w:t>
            </w:r>
          </w:p>
        </w:tc>
      </w:tr>
      <w:tr w:rsidR="005F3809" w:rsidRPr="00D74203" w14:paraId="1336CF05" w14:textId="77777777" w:rsidTr="00542E27">
        <w:tc>
          <w:tcPr>
            <w:tcW w:w="711" w:type="pct"/>
            <w:tcBorders>
              <w:top w:val="single" w:sz="4" w:space="0" w:color="auto"/>
              <w:left w:val="single" w:sz="4" w:space="0" w:color="auto"/>
              <w:bottom w:val="single" w:sz="4" w:space="0" w:color="auto"/>
              <w:right w:val="single" w:sz="4" w:space="0" w:color="auto"/>
            </w:tcBorders>
            <w:vAlign w:val="center"/>
          </w:tcPr>
          <w:p w14:paraId="23AACB09" w14:textId="77777777" w:rsidR="005F3809" w:rsidRPr="00D74203" w:rsidRDefault="005F3809">
            <w:pPr>
              <w:pStyle w:val="TableText0"/>
            </w:pPr>
            <w:r w:rsidRPr="00D74203">
              <w:t>AEOSIs</w:t>
            </w:r>
          </w:p>
        </w:tc>
        <w:tc>
          <w:tcPr>
            <w:tcW w:w="635" w:type="pct"/>
            <w:tcBorders>
              <w:top w:val="single" w:sz="4" w:space="0" w:color="auto"/>
              <w:left w:val="single" w:sz="4" w:space="0" w:color="auto"/>
              <w:bottom w:val="single" w:sz="4" w:space="0" w:color="auto"/>
              <w:right w:val="single" w:sz="4" w:space="0" w:color="auto"/>
            </w:tcBorders>
          </w:tcPr>
          <w:p w14:paraId="6A3BE392" w14:textId="77777777" w:rsidR="005F3809" w:rsidRPr="00542E27" w:rsidRDefault="005F3809">
            <w:pPr>
              <w:pStyle w:val="TableText0"/>
              <w:jc w:val="center"/>
            </w:pPr>
            <w:r w:rsidRPr="00542E27">
              <w:t>158/361</w:t>
            </w:r>
          </w:p>
        </w:tc>
        <w:tc>
          <w:tcPr>
            <w:tcW w:w="635" w:type="pct"/>
            <w:tcBorders>
              <w:top w:val="single" w:sz="4" w:space="0" w:color="auto"/>
              <w:left w:val="single" w:sz="4" w:space="0" w:color="auto"/>
              <w:bottom w:val="single" w:sz="4" w:space="0" w:color="auto"/>
              <w:right w:val="single" w:sz="4" w:space="0" w:color="auto"/>
            </w:tcBorders>
          </w:tcPr>
          <w:p w14:paraId="169646F0" w14:textId="77777777" w:rsidR="005F3809" w:rsidRPr="00542E27" w:rsidRDefault="005F3809">
            <w:pPr>
              <w:pStyle w:val="TableText0"/>
              <w:jc w:val="center"/>
            </w:pPr>
            <w:r w:rsidRPr="00542E27">
              <w:t>34/315</w:t>
            </w:r>
          </w:p>
        </w:tc>
        <w:tc>
          <w:tcPr>
            <w:tcW w:w="887" w:type="pct"/>
            <w:tcBorders>
              <w:top w:val="single" w:sz="4" w:space="0" w:color="auto"/>
              <w:left w:val="single" w:sz="4" w:space="0" w:color="auto"/>
              <w:bottom w:val="single" w:sz="4" w:space="0" w:color="auto"/>
              <w:right w:val="single" w:sz="4" w:space="0" w:color="auto"/>
            </w:tcBorders>
            <w:vAlign w:val="center"/>
          </w:tcPr>
          <w:p w14:paraId="1E2C1212" w14:textId="77777777" w:rsidR="005F3809" w:rsidRPr="00542E27" w:rsidRDefault="005F3809">
            <w:pPr>
              <w:pStyle w:val="TableText0"/>
              <w:jc w:val="center"/>
              <w:rPr>
                <w:b/>
                <w:bCs w:val="0"/>
              </w:rPr>
            </w:pPr>
            <w:r w:rsidRPr="00542E27">
              <w:rPr>
                <w:b/>
                <w:bCs w:val="0"/>
              </w:rPr>
              <w:t>4.05 (2.89, 5.69)</w:t>
            </w:r>
          </w:p>
        </w:tc>
        <w:tc>
          <w:tcPr>
            <w:tcW w:w="635" w:type="pct"/>
            <w:tcBorders>
              <w:top w:val="single" w:sz="4" w:space="0" w:color="auto"/>
              <w:left w:val="single" w:sz="4" w:space="0" w:color="auto"/>
              <w:bottom w:val="single" w:sz="4" w:space="0" w:color="auto"/>
              <w:right w:val="single" w:sz="4" w:space="0" w:color="auto"/>
            </w:tcBorders>
            <w:vAlign w:val="center"/>
          </w:tcPr>
          <w:p w14:paraId="1BBE0ED0" w14:textId="77777777" w:rsidR="005F3809" w:rsidRPr="00542E27" w:rsidRDefault="005F3809">
            <w:pPr>
              <w:pStyle w:val="TableText0"/>
              <w:jc w:val="center"/>
            </w:pPr>
            <w:r w:rsidRPr="00542E27">
              <w:t>43.8</w:t>
            </w:r>
          </w:p>
        </w:tc>
        <w:tc>
          <w:tcPr>
            <w:tcW w:w="702" w:type="pct"/>
            <w:tcBorders>
              <w:top w:val="single" w:sz="4" w:space="0" w:color="auto"/>
              <w:left w:val="single" w:sz="4" w:space="0" w:color="auto"/>
              <w:bottom w:val="single" w:sz="4" w:space="0" w:color="auto"/>
              <w:right w:val="single" w:sz="4" w:space="0" w:color="auto"/>
            </w:tcBorders>
            <w:vAlign w:val="center"/>
          </w:tcPr>
          <w:p w14:paraId="654B05F8" w14:textId="77777777" w:rsidR="005F3809" w:rsidRPr="00542E27" w:rsidRDefault="005F3809">
            <w:pPr>
              <w:pStyle w:val="TableText0"/>
              <w:jc w:val="center"/>
            </w:pPr>
            <w:r w:rsidRPr="00542E27">
              <w:t>10.8</w:t>
            </w:r>
          </w:p>
        </w:tc>
        <w:tc>
          <w:tcPr>
            <w:tcW w:w="795" w:type="pct"/>
            <w:tcBorders>
              <w:top w:val="single" w:sz="4" w:space="0" w:color="auto"/>
              <w:left w:val="single" w:sz="4" w:space="0" w:color="auto"/>
              <w:bottom w:val="single" w:sz="4" w:space="0" w:color="auto"/>
              <w:right w:val="single" w:sz="4" w:space="0" w:color="auto"/>
            </w:tcBorders>
            <w:vAlign w:val="center"/>
          </w:tcPr>
          <w:p w14:paraId="0A30F515" w14:textId="77777777" w:rsidR="005F3809" w:rsidRPr="00542E27" w:rsidRDefault="005F3809">
            <w:pPr>
              <w:pStyle w:val="TableText0"/>
              <w:jc w:val="center"/>
              <w:rPr>
                <w:b/>
                <w:bCs w:val="0"/>
              </w:rPr>
            </w:pPr>
            <w:r w:rsidRPr="00542E27">
              <w:rPr>
                <w:b/>
                <w:bCs w:val="0"/>
              </w:rPr>
              <w:t>0.33 (0.27, 0.39)</w:t>
            </w:r>
          </w:p>
        </w:tc>
      </w:tr>
    </w:tbl>
    <w:p w14:paraId="6E2905D1" w14:textId="59346DF4" w:rsidR="00D014AF" w:rsidRPr="00A863EB" w:rsidRDefault="00966CF1" w:rsidP="00677261">
      <w:pPr>
        <w:pStyle w:val="TableFigureFooter"/>
        <w:rPr>
          <w:i w:val="0"/>
          <w:iCs w:val="0"/>
        </w:rPr>
      </w:pPr>
      <w:r w:rsidRPr="00A863EB">
        <w:rPr>
          <w:i w:val="0"/>
          <w:iCs w:val="0"/>
        </w:rPr>
        <w:t>Source: Table 2.5-1, p69, Table 2.5-3, p74, Table 2.5-12, p88, and Table 2.5-20, p96 of the submission.</w:t>
      </w:r>
      <w:r w:rsidRPr="00A863EB">
        <w:rPr>
          <w:i w:val="0"/>
          <w:iCs w:val="0"/>
        </w:rPr>
        <w:br/>
      </w:r>
      <w:r w:rsidR="00D466E0" w:rsidRPr="00A863EB">
        <w:rPr>
          <w:i w:val="0"/>
          <w:iCs w:val="0"/>
        </w:rPr>
        <w:t xml:space="preserve">AEs = adverse events; </w:t>
      </w:r>
      <w:r w:rsidRPr="00A863EB">
        <w:rPr>
          <w:i w:val="0"/>
          <w:iCs w:val="0"/>
        </w:rPr>
        <w:t xml:space="preserve">AEOSIs = adverse events of special interest; </w:t>
      </w:r>
      <w:proofErr w:type="spellStart"/>
      <w:r w:rsidR="00D466E0" w:rsidRPr="00A863EB">
        <w:rPr>
          <w:i w:val="0"/>
          <w:iCs w:val="0"/>
        </w:rPr>
        <w:t>APaT</w:t>
      </w:r>
      <w:proofErr w:type="spellEnd"/>
      <w:r w:rsidR="00D466E0" w:rsidRPr="00A863EB">
        <w:rPr>
          <w:i w:val="0"/>
          <w:iCs w:val="0"/>
        </w:rPr>
        <w:t xml:space="preserve"> = all participants as treated; CI = </w:t>
      </w:r>
      <w:r w:rsidRPr="00A863EB">
        <w:rPr>
          <w:i w:val="0"/>
          <w:iCs w:val="0"/>
        </w:rPr>
        <w:t>c</w:t>
      </w:r>
      <w:r w:rsidR="00D466E0" w:rsidRPr="00A863EB">
        <w:rPr>
          <w:i w:val="0"/>
          <w:iCs w:val="0"/>
        </w:rPr>
        <w:t xml:space="preserve">onfidence </w:t>
      </w:r>
      <w:r w:rsidRPr="00A863EB">
        <w:rPr>
          <w:i w:val="0"/>
          <w:iCs w:val="0"/>
        </w:rPr>
        <w:t>i</w:t>
      </w:r>
      <w:r w:rsidR="00D466E0" w:rsidRPr="00A863EB">
        <w:rPr>
          <w:i w:val="0"/>
          <w:iCs w:val="0"/>
        </w:rPr>
        <w:t xml:space="preserve">nterval; </w:t>
      </w:r>
      <w:r w:rsidRPr="00A863EB">
        <w:rPr>
          <w:i w:val="0"/>
          <w:iCs w:val="0"/>
        </w:rPr>
        <w:t xml:space="preserve">EFS = event-free survival; HR = hazard ratio; NE = not estimable; NR = not reached; OS = overall survival; </w:t>
      </w:r>
      <w:r w:rsidR="00D466E0" w:rsidRPr="00A863EB">
        <w:rPr>
          <w:i w:val="0"/>
          <w:iCs w:val="0"/>
        </w:rPr>
        <w:t>PEM = pembrolizumab</w:t>
      </w:r>
      <w:r w:rsidRPr="00A863EB">
        <w:rPr>
          <w:i w:val="0"/>
          <w:iCs w:val="0"/>
        </w:rPr>
        <w:t xml:space="preserve">; </w:t>
      </w:r>
      <w:r w:rsidR="00D466E0" w:rsidRPr="00A863EB">
        <w:rPr>
          <w:i w:val="0"/>
          <w:iCs w:val="0"/>
        </w:rPr>
        <w:t>RD = risk difference; RR = relative risk; SAE</w:t>
      </w:r>
      <w:r w:rsidRPr="00A863EB">
        <w:rPr>
          <w:i w:val="0"/>
          <w:iCs w:val="0"/>
        </w:rPr>
        <w:t>s</w:t>
      </w:r>
      <w:r w:rsidR="00D466E0" w:rsidRPr="00A863EB">
        <w:rPr>
          <w:i w:val="0"/>
          <w:iCs w:val="0"/>
        </w:rPr>
        <w:t xml:space="preserve"> = serious adverse event</w:t>
      </w:r>
      <w:r w:rsidRPr="00A863EB">
        <w:rPr>
          <w:i w:val="0"/>
          <w:iCs w:val="0"/>
        </w:rPr>
        <w:t>s</w:t>
      </w:r>
      <w:r w:rsidR="00D466E0" w:rsidRPr="00A863EB">
        <w:rPr>
          <w:i w:val="0"/>
          <w:iCs w:val="0"/>
        </w:rPr>
        <w:t>; SoC = standard of care</w:t>
      </w:r>
    </w:p>
    <w:p w14:paraId="1F9A3D47" w14:textId="77777777" w:rsidR="00542E27" w:rsidRPr="00A863EB" w:rsidRDefault="00542E27" w:rsidP="00677261">
      <w:pPr>
        <w:pStyle w:val="TableFigureFooter"/>
        <w:rPr>
          <w:i w:val="0"/>
          <w:iCs w:val="0"/>
        </w:rPr>
      </w:pPr>
      <w:r w:rsidRPr="00A863EB">
        <w:rPr>
          <w:i w:val="0"/>
          <w:iCs w:val="0"/>
        </w:rPr>
        <w:t xml:space="preserve">Statistically significant differences are </w:t>
      </w:r>
      <w:r w:rsidRPr="00A863EB">
        <w:rPr>
          <w:b/>
          <w:bCs/>
          <w:i w:val="0"/>
          <w:iCs w:val="0"/>
        </w:rPr>
        <w:t>bolded</w:t>
      </w:r>
    </w:p>
    <w:p w14:paraId="46DB5B24" w14:textId="2D4C574D" w:rsidR="009C2CA7" w:rsidRPr="00A863EB" w:rsidRDefault="009C2CA7" w:rsidP="00677261">
      <w:pPr>
        <w:pStyle w:val="TableFigureFooter"/>
        <w:rPr>
          <w:i w:val="0"/>
          <w:iCs w:val="0"/>
        </w:rPr>
      </w:pPr>
      <w:r w:rsidRPr="00A863EB">
        <w:rPr>
          <w:i w:val="0"/>
          <w:iCs w:val="0"/>
          <w:vertAlign w:val="superscript"/>
        </w:rPr>
        <w:t>a</w:t>
      </w:r>
      <w:r w:rsidRPr="00A863EB">
        <w:rPr>
          <w:i w:val="0"/>
          <w:iCs w:val="0"/>
        </w:rPr>
        <w:t xml:space="preserve"> Efficacy and safety data were from the KN689 trial at IA1, with a median follow-up of 30.0 months for </w:t>
      </w:r>
      <w:proofErr w:type="spellStart"/>
      <w:r w:rsidR="00CA3DE8" w:rsidRPr="00A863EB">
        <w:rPr>
          <w:i w:val="0"/>
          <w:iCs w:val="0"/>
        </w:rPr>
        <w:t>PEM</w:t>
      </w:r>
      <w:r w:rsidRPr="00A863EB">
        <w:rPr>
          <w:i w:val="0"/>
          <w:iCs w:val="0"/>
        </w:rPr>
        <w:t>+SoC</w:t>
      </w:r>
      <w:proofErr w:type="spellEnd"/>
      <w:r w:rsidRPr="00A863EB">
        <w:rPr>
          <w:i w:val="0"/>
          <w:iCs w:val="0"/>
        </w:rPr>
        <w:t xml:space="preserve"> and 23.4 months for SoC (pooled 27.1 months)</w:t>
      </w:r>
    </w:p>
    <w:p w14:paraId="6B5B8341" w14:textId="66B0DA69" w:rsidR="005F3809" w:rsidRPr="00D74203" w:rsidRDefault="005F3809" w:rsidP="005F3809">
      <w:pPr>
        <w:pStyle w:val="3-BodyText"/>
      </w:pPr>
      <w:r w:rsidRPr="00D74203">
        <w:t>On the basis of direct evidence presented by the submission, for every 100 patients treated with pembrolizumab, as neoadjuvant therapy followed by post-surgery adjuvant therapy in combination with SoC, in comparison with SoC, over a median follow-up of 27.2 months:</w:t>
      </w:r>
    </w:p>
    <w:p w14:paraId="1D7F33BD" w14:textId="04227F3C" w:rsidR="00081FF8" w:rsidRDefault="00887CDC" w:rsidP="005F3809">
      <w:pPr>
        <w:pStyle w:val="ListParagraph"/>
        <w:ind w:left="1134"/>
      </w:pPr>
      <w:r>
        <w:t xml:space="preserve">Approximately </w:t>
      </w:r>
      <w:r w:rsidR="00B92E18">
        <w:t>1</w:t>
      </w:r>
      <w:r w:rsidR="00423ED5">
        <w:t>1</w:t>
      </w:r>
      <w:r w:rsidR="00575EE5">
        <w:t xml:space="preserve"> additional patients will be event</w:t>
      </w:r>
      <w:r w:rsidR="00081FF8">
        <w:t>-</w:t>
      </w:r>
      <w:r w:rsidR="00575EE5">
        <w:t xml:space="preserve">free </w:t>
      </w:r>
      <w:r w:rsidR="00081FF8">
        <w:t xml:space="preserve">(disease recurrence, disease progression or death) at </w:t>
      </w:r>
      <w:r w:rsidR="00B92E18">
        <w:t>36</w:t>
      </w:r>
      <w:r w:rsidR="00081FF8">
        <w:t xml:space="preserve"> months</w:t>
      </w:r>
      <w:r w:rsidR="00C707D7">
        <w:t>.</w:t>
      </w:r>
    </w:p>
    <w:p w14:paraId="7AB8628C" w14:textId="65956627" w:rsidR="00081FF8" w:rsidRPr="00D74203" w:rsidRDefault="00081FF8" w:rsidP="005F3809">
      <w:pPr>
        <w:pStyle w:val="ListParagraph"/>
        <w:ind w:left="1134"/>
      </w:pPr>
      <w:r>
        <w:t xml:space="preserve">Approximately </w:t>
      </w:r>
      <w:r w:rsidR="00F522BE">
        <w:t>6</w:t>
      </w:r>
      <w:r w:rsidR="00E316AF">
        <w:t xml:space="preserve"> additional patients will be alive at </w:t>
      </w:r>
      <w:r w:rsidR="00F522BE">
        <w:t>48</w:t>
      </w:r>
      <w:r w:rsidR="00E316AF">
        <w:t xml:space="preserve"> months</w:t>
      </w:r>
      <w:r w:rsidR="00C707D7">
        <w:t>.</w:t>
      </w:r>
    </w:p>
    <w:p w14:paraId="2D8B05D9" w14:textId="1C3F70E4" w:rsidR="005F3809" w:rsidRPr="00D74203" w:rsidRDefault="005F3809" w:rsidP="005F3809">
      <w:pPr>
        <w:pStyle w:val="ListParagraph"/>
        <w:ind w:left="1134"/>
      </w:pPr>
      <w:r w:rsidRPr="00D74203">
        <w:t xml:space="preserve">Approximately 13 additional patients will experience a </w:t>
      </w:r>
      <w:r w:rsidR="009C2CA7">
        <w:t>serious adverse event</w:t>
      </w:r>
      <w:r w:rsidRPr="00D74203">
        <w:t>.</w:t>
      </w:r>
    </w:p>
    <w:p w14:paraId="496C2E06" w14:textId="636E37DC" w:rsidR="005F3809" w:rsidRPr="00D74203" w:rsidRDefault="005F3809" w:rsidP="005F3809">
      <w:pPr>
        <w:pStyle w:val="ListParagraph"/>
        <w:ind w:left="1134"/>
      </w:pPr>
      <w:r w:rsidRPr="00D74203">
        <w:lastRenderedPageBreak/>
        <w:t xml:space="preserve">Approximately 33 </w:t>
      </w:r>
      <w:r w:rsidR="00202460">
        <w:t xml:space="preserve">additional </w:t>
      </w:r>
      <w:r w:rsidRPr="00D74203">
        <w:t xml:space="preserve">patients will experience an </w:t>
      </w:r>
      <w:r w:rsidR="009C2CA7">
        <w:t>immune-related adverse event</w:t>
      </w:r>
      <w:r w:rsidRPr="00D74203">
        <w:t xml:space="preserve"> or infusion-related reaction.</w:t>
      </w:r>
    </w:p>
    <w:p w14:paraId="7A1772B6" w14:textId="23BB3145" w:rsidR="00B60939" w:rsidRPr="00D74203" w:rsidRDefault="00B60939" w:rsidP="00E9094A">
      <w:pPr>
        <w:pStyle w:val="4-SubsectionHeading"/>
      </w:pPr>
      <w:bookmarkStart w:id="87" w:name="_Toc206432638"/>
      <w:bookmarkStart w:id="88" w:name="_Toc209004707"/>
      <w:r w:rsidRPr="00D74203">
        <w:t>Clinical claim</w:t>
      </w:r>
      <w:bookmarkEnd w:id="4"/>
      <w:bookmarkEnd w:id="87"/>
      <w:bookmarkEnd w:id="88"/>
    </w:p>
    <w:p w14:paraId="3C7385A2" w14:textId="25EAB9B7" w:rsidR="005F3809" w:rsidRPr="00DE49A7" w:rsidRDefault="005F3809" w:rsidP="005F3809">
      <w:pPr>
        <w:pStyle w:val="3-BodyText"/>
        <w:rPr>
          <w:rFonts w:eastAsia="Calibri"/>
        </w:rPr>
      </w:pPr>
      <w:r w:rsidRPr="00DE49A7">
        <w:rPr>
          <w:rFonts w:eastAsia="Calibri"/>
        </w:rPr>
        <w:t xml:space="preserve">The submission described </w:t>
      </w:r>
      <w:proofErr w:type="spellStart"/>
      <w:r w:rsidR="006A0577" w:rsidRPr="00DE49A7">
        <w:rPr>
          <w:rFonts w:eastAsia="Calibri"/>
        </w:rPr>
        <w:t>PEM+SoC</w:t>
      </w:r>
      <w:proofErr w:type="spellEnd"/>
      <w:r w:rsidRPr="00DE49A7">
        <w:rPr>
          <w:rFonts w:eastAsia="Calibri"/>
        </w:rPr>
        <w:t xml:space="preserve"> as superior in terms of </w:t>
      </w:r>
      <w:r w:rsidR="00F81422">
        <w:rPr>
          <w:rFonts w:eastAsia="Calibri"/>
        </w:rPr>
        <w:t>efficacy</w:t>
      </w:r>
      <w:r w:rsidR="00F81422" w:rsidRPr="00DE49A7">
        <w:rPr>
          <w:rFonts w:eastAsia="Calibri"/>
        </w:rPr>
        <w:t xml:space="preserve"> </w:t>
      </w:r>
      <w:r w:rsidRPr="00DE49A7">
        <w:rPr>
          <w:rFonts w:eastAsia="Calibri"/>
        </w:rPr>
        <w:t xml:space="preserve">and inferior </w:t>
      </w:r>
      <w:r w:rsidR="00772147" w:rsidRPr="00477630">
        <w:rPr>
          <w:rFonts w:eastAsia="Calibri"/>
          <w:iCs/>
        </w:rPr>
        <w:t>but manageable</w:t>
      </w:r>
      <w:r w:rsidR="00772147">
        <w:rPr>
          <w:rFonts w:eastAsia="Calibri"/>
        </w:rPr>
        <w:t xml:space="preserve"> </w:t>
      </w:r>
      <w:r w:rsidRPr="00DE49A7">
        <w:rPr>
          <w:rFonts w:eastAsia="Calibri"/>
        </w:rPr>
        <w:t xml:space="preserve">in terms of safety compared to SoC alone. </w:t>
      </w:r>
    </w:p>
    <w:p w14:paraId="76BE1428" w14:textId="1A1511A9" w:rsidR="005F3809" w:rsidRPr="00DE49A7" w:rsidRDefault="005F3809" w:rsidP="005F3809">
      <w:pPr>
        <w:pStyle w:val="3-BodyText"/>
        <w:rPr>
          <w:rFonts w:eastAsia="Calibri"/>
        </w:rPr>
      </w:pPr>
      <w:bookmarkStart w:id="89" w:name="_Ref213769185"/>
      <w:bookmarkStart w:id="90" w:name="_Ref206062655"/>
      <w:r w:rsidRPr="001E3730">
        <w:rPr>
          <w:rFonts w:eastAsia="Calibri"/>
        </w:rPr>
        <w:t>The</w:t>
      </w:r>
      <w:r w:rsidR="00850C42" w:rsidRPr="001E3730">
        <w:rPr>
          <w:rFonts w:eastAsia="Calibri"/>
        </w:rPr>
        <w:t xml:space="preserve"> </w:t>
      </w:r>
      <w:r w:rsidR="001445FF" w:rsidRPr="00477630">
        <w:rPr>
          <w:rFonts w:eastAsia="Calibri"/>
          <w:iCs/>
        </w:rPr>
        <w:t>ESC</w:t>
      </w:r>
      <w:r w:rsidR="00850C42" w:rsidRPr="00477630">
        <w:rPr>
          <w:rFonts w:eastAsia="Calibri"/>
          <w:iCs/>
        </w:rPr>
        <w:t xml:space="preserve"> considered that the</w:t>
      </w:r>
      <w:r w:rsidRPr="00477630">
        <w:rPr>
          <w:rFonts w:eastAsia="Calibri"/>
          <w:iCs/>
        </w:rPr>
        <w:t xml:space="preserve"> </w:t>
      </w:r>
      <w:r w:rsidR="00F81422" w:rsidRPr="00477630">
        <w:rPr>
          <w:rFonts w:eastAsia="Calibri"/>
          <w:iCs/>
        </w:rPr>
        <w:t>claim of superior efficacy</w:t>
      </w:r>
      <w:r w:rsidR="00C10D74" w:rsidRPr="00477630">
        <w:rPr>
          <w:rFonts w:eastAsia="Calibri"/>
          <w:iCs/>
        </w:rPr>
        <w:t xml:space="preserve"> </w:t>
      </w:r>
      <w:r w:rsidR="00C10D74" w:rsidRPr="00477630">
        <w:rPr>
          <w:iCs/>
          <w:lang w:eastAsia="en-US"/>
        </w:rPr>
        <w:t xml:space="preserve">of </w:t>
      </w:r>
      <w:proofErr w:type="spellStart"/>
      <w:r w:rsidR="00C10D74" w:rsidRPr="00477630">
        <w:rPr>
          <w:iCs/>
          <w:lang w:eastAsia="en-US"/>
        </w:rPr>
        <w:t>PEM+SoC</w:t>
      </w:r>
      <w:proofErr w:type="spellEnd"/>
      <w:r w:rsidR="00772147" w:rsidRPr="00477630">
        <w:rPr>
          <w:rFonts w:eastAsia="Calibri"/>
          <w:iCs/>
        </w:rPr>
        <w:t xml:space="preserve"> compared with SoC</w:t>
      </w:r>
      <w:r w:rsidR="00F81422" w:rsidRPr="00477630">
        <w:rPr>
          <w:rFonts w:eastAsia="Calibri"/>
          <w:iCs/>
        </w:rPr>
        <w:t xml:space="preserve"> was </w:t>
      </w:r>
      <w:r w:rsidR="001445FF" w:rsidRPr="00477630">
        <w:rPr>
          <w:rFonts w:eastAsia="Calibri"/>
          <w:iCs/>
        </w:rPr>
        <w:t>partially</w:t>
      </w:r>
      <w:r w:rsidR="001445FF">
        <w:rPr>
          <w:rFonts w:eastAsia="Calibri"/>
        </w:rPr>
        <w:t xml:space="preserve"> </w:t>
      </w:r>
      <w:r w:rsidRPr="00DE49A7">
        <w:rPr>
          <w:rFonts w:eastAsia="Calibri"/>
        </w:rPr>
        <w:t>supported by the evidence presented in the submission</w:t>
      </w:r>
      <w:r w:rsidR="00BF53A7" w:rsidRPr="00477630">
        <w:rPr>
          <w:rFonts w:eastAsia="Calibri"/>
          <w:iCs/>
        </w:rPr>
        <w:t xml:space="preserve"> and considered that the </w:t>
      </w:r>
      <w:r w:rsidR="009C731F" w:rsidRPr="00477630">
        <w:rPr>
          <w:rFonts w:eastAsia="Calibri"/>
          <w:iCs/>
        </w:rPr>
        <w:t>magnitude</w:t>
      </w:r>
      <w:r w:rsidR="00BF53A7" w:rsidRPr="00477630">
        <w:rPr>
          <w:rFonts w:eastAsia="Calibri"/>
          <w:iCs/>
        </w:rPr>
        <w:t xml:space="preserve"> of </w:t>
      </w:r>
      <w:r w:rsidR="00925A84" w:rsidRPr="00477630">
        <w:rPr>
          <w:rFonts w:eastAsia="Calibri"/>
          <w:iCs/>
        </w:rPr>
        <w:t xml:space="preserve">clinical </w:t>
      </w:r>
      <w:r w:rsidR="00BF53A7" w:rsidRPr="00477630">
        <w:rPr>
          <w:rFonts w:eastAsia="Calibri"/>
          <w:iCs/>
        </w:rPr>
        <w:t xml:space="preserve">benefit </w:t>
      </w:r>
      <w:r w:rsidR="00925A84" w:rsidRPr="00477630">
        <w:rPr>
          <w:rFonts w:eastAsia="Calibri"/>
          <w:iCs/>
        </w:rPr>
        <w:t>had</w:t>
      </w:r>
      <w:r w:rsidR="00BF53A7" w:rsidRPr="00477630">
        <w:rPr>
          <w:rFonts w:eastAsia="Calibri"/>
          <w:iCs/>
        </w:rPr>
        <w:t xml:space="preserve"> </w:t>
      </w:r>
      <w:r w:rsidR="00925A84" w:rsidRPr="00477630">
        <w:rPr>
          <w:rFonts w:eastAsia="Calibri"/>
          <w:iCs/>
        </w:rPr>
        <w:t>been</w:t>
      </w:r>
      <w:r w:rsidR="00BF53A7" w:rsidRPr="00477630">
        <w:rPr>
          <w:rFonts w:eastAsia="Calibri"/>
          <w:iCs/>
        </w:rPr>
        <w:t xml:space="preserve"> </w:t>
      </w:r>
      <w:r w:rsidR="00DA4CC7" w:rsidRPr="00477630">
        <w:rPr>
          <w:rFonts w:eastAsia="Calibri"/>
          <w:iCs/>
        </w:rPr>
        <w:t>overestimated</w:t>
      </w:r>
      <w:r w:rsidR="009C731F" w:rsidRPr="00477630">
        <w:rPr>
          <w:rFonts w:eastAsia="Calibri"/>
          <w:iCs/>
        </w:rPr>
        <w:t xml:space="preserve"> for the following reasons:</w:t>
      </w:r>
      <w:bookmarkEnd w:id="89"/>
      <w:r w:rsidRPr="00DE49A7">
        <w:rPr>
          <w:rFonts w:eastAsia="Calibri"/>
        </w:rPr>
        <w:t xml:space="preserve"> </w:t>
      </w:r>
      <w:bookmarkEnd w:id="90"/>
    </w:p>
    <w:p w14:paraId="3A896DA0" w14:textId="1F16C36B" w:rsidR="009E404A" w:rsidRPr="00117BFB" w:rsidRDefault="005F3809" w:rsidP="00234453">
      <w:pPr>
        <w:pStyle w:val="ListParagraph"/>
        <w:numPr>
          <w:ilvl w:val="0"/>
          <w:numId w:val="8"/>
        </w:numPr>
        <w:ind w:left="993"/>
        <w:rPr>
          <w:rFonts w:ascii="Arial" w:hAnsi="Arial"/>
          <w:bCs/>
          <w:iCs/>
          <w:sz w:val="22"/>
          <w:szCs w:val="22"/>
        </w:rPr>
      </w:pPr>
      <w:r w:rsidRPr="00DE49A7">
        <w:rPr>
          <w:rFonts w:eastAsia="Calibri"/>
        </w:rPr>
        <w:t xml:space="preserve">The immaturity of the OS data at the IA1 DCO of KN689. </w:t>
      </w:r>
      <w:r w:rsidR="009C2CA7" w:rsidRPr="00DE49A7">
        <w:rPr>
          <w:rFonts w:eastAsia="Calibri"/>
        </w:rPr>
        <w:t>Longer-term data are required to determine whether the observed improvement in EFS translates into a statistically significant and clinically meaningful OS benefit.</w:t>
      </w:r>
      <w:r w:rsidR="00DD7916">
        <w:rPr>
          <w:rFonts w:eastAsia="Calibri"/>
        </w:rPr>
        <w:t xml:space="preserve"> </w:t>
      </w:r>
    </w:p>
    <w:p w14:paraId="1691A2AF" w14:textId="7A85165F" w:rsidR="0011086A" w:rsidRPr="008E1D06" w:rsidRDefault="005F3809" w:rsidP="008E1D06">
      <w:pPr>
        <w:pStyle w:val="ListParagraph"/>
        <w:numPr>
          <w:ilvl w:val="0"/>
          <w:numId w:val="8"/>
        </w:numPr>
        <w:ind w:left="993"/>
        <w:rPr>
          <w:rFonts w:eastAsia="Calibri"/>
        </w:rPr>
      </w:pPr>
      <w:r w:rsidRPr="00DE49A7">
        <w:rPr>
          <w:rFonts w:eastAsia="Calibri"/>
        </w:rPr>
        <w:t xml:space="preserve">The applicability of the comparator SoC arm of the trial to Australian clinical practice. Pembrolizumab and nivolumab are currently listed on the PBS for the treatment of recurrent or metastatic HNSCC. </w:t>
      </w:r>
      <w:r w:rsidR="00C930CC" w:rsidRPr="00477630">
        <w:rPr>
          <w:rFonts w:eastAsia="Calibri"/>
          <w:iCs/>
        </w:rPr>
        <w:t>The ESC considered that i</w:t>
      </w:r>
      <w:r w:rsidRPr="00477630">
        <w:rPr>
          <w:rFonts w:eastAsia="Calibri"/>
          <w:iCs/>
        </w:rPr>
        <w:t>n</w:t>
      </w:r>
      <w:r w:rsidRPr="00DE49A7">
        <w:rPr>
          <w:rFonts w:eastAsia="Calibri"/>
        </w:rPr>
        <w:t xml:space="preserve"> KN689, the proportion of patients in the SoC who experienced disease progression/recurrence and subsequently received immunotherapy </w:t>
      </w:r>
      <w:r w:rsidR="00C930CC" w:rsidRPr="00477630">
        <w:rPr>
          <w:rFonts w:eastAsia="Calibri"/>
          <w:iCs/>
        </w:rPr>
        <w:t>was much</w:t>
      </w:r>
      <w:r w:rsidR="00C930CC">
        <w:rPr>
          <w:rFonts w:eastAsia="Calibri"/>
        </w:rPr>
        <w:t xml:space="preserve"> </w:t>
      </w:r>
      <w:r w:rsidRPr="00DE49A7">
        <w:rPr>
          <w:rFonts w:eastAsia="Calibri"/>
        </w:rPr>
        <w:t xml:space="preserve">lower than that expected in the Australian setting. Consequently, </w:t>
      </w:r>
      <w:r w:rsidR="004866BC" w:rsidRPr="00DE49A7">
        <w:rPr>
          <w:rFonts w:eastAsia="Calibri"/>
        </w:rPr>
        <w:t xml:space="preserve">OS estimates from </w:t>
      </w:r>
      <w:r w:rsidRPr="00DE49A7">
        <w:rPr>
          <w:rFonts w:eastAsia="Calibri"/>
        </w:rPr>
        <w:t xml:space="preserve">KN689 may </w:t>
      </w:r>
      <w:r w:rsidR="004866BC" w:rsidRPr="00DE49A7">
        <w:rPr>
          <w:rFonts w:eastAsia="Calibri"/>
        </w:rPr>
        <w:t>not reflect</w:t>
      </w:r>
      <w:r w:rsidRPr="00DE49A7">
        <w:rPr>
          <w:rFonts w:eastAsia="Calibri"/>
        </w:rPr>
        <w:t xml:space="preserve"> Australian clinical practice, and </w:t>
      </w:r>
      <w:r w:rsidR="004866BC" w:rsidRPr="00DE49A7">
        <w:rPr>
          <w:rFonts w:eastAsia="Calibri"/>
        </w:rPr>
        <w:t xml:space="preserve">so </w:t>
      </w:r>
      <w:r w:rsidRPr="00DE49A7">
        <w:rPr>
          <w:rFonts w:eastAsia="Calibri"/>
        </w:rPr>
        <w:t xml:space="preserve">the </w:t>
      </w:r>
      <w:r w:rsidR="004866BC" w:rsidRPr="00DE49A7">
        <w:rPr>
          <w:rFonts w:eastAsia="Calibri"/>
        </w:rPr>
        <w:t xml:space="preserve">proposed </w:t>
      </w:r>
      <w:r w:rsidRPr="00DE49A7">
        <w:rPr>
          <w:rFonts w:eastAsia="Calibri"/>
        </w:rPr>
        <w:t xml:space="preserve">comparative survival gain </w:t>
      </w:r>
      <w:r w:rsidR="004866BC" w:rsidRPr="00DE49A7">
        <w:rPr>
          <w:rFonts w:eastAsia="Calibri"/>
        </w:rPr>
        <w:t>will have been</w:t>
      </w:r>
      <w:r w:rsidRPr="00DE49A7">
        <w:rPr>
          <w:rFonts w:eastAsia="Calibri"/>
        </w:rPr>
        <w:t xml:space="preserve"> overestimated.</w:t>
      </w:r>
    </w:p>
    <w:p w14:paraId="49AEE56D" w14:textId="29457392" w:rsidR="00AC2C35" w:rsidRPr="006A0219" w:rsidRDefault="00AC2C35" w:rsidP="00AC2C35">
      <w:pPr>
        <w:pStyle w:val="3-BodyText"/>
        <w:rPr>
          <w:lang w:eastAsia="en-US"/>
        </w:rPr>
      </w:pPr>
      <w:r w:rsidRPr="00477630">
        <w:rPr>
          <w:iCs/>
          <w:lang w:eastAsia="en-US"/>
        </w:rPr>
        <w:t>The ESC considered that</w:t>
      </w:r>
      <w:r w:rsidR="00273A9E" w:rsidRPr="00477630">
        <w:rPr>
          <w:iCs/>
          <w:lang w:eastAsia="en-US"/>
        </w:rPr>
        <w:t xml:space="preserve"> the claim of inferior safet</w:t>
      </w:r>
      <w:r w:rsidR="00772147" w:rsidRPr="00477630">
        <w:rPr>
          <w:iCs/>
          <w:lang w:eastAsia="en-US"/>
        </w:rPr>
        <w:t xml:space="preserve">y of </w:t>
      </w:r>
      <w:proofErr w:type="spellStart"/>
      <w:r w:rsidR="00772147" w:rsidRPr="00477630">
        <w:rPr>
          <w:iCs/>
          <w:lang w:eastAsia="en-US"/>
        </w:rPr>
        <w:t>PEM+SoC</w:t>
      </w:r>
      <w:proofErr w:type="spellEnd"/>
      <w:r w:rsidR="00772147" w:rsidRPr="00477630">
        <w:rPr>
          <w:iCs/>
          <w:lang w:eastAsia="en-US"/>
        </w:rPr>
        <w:t xml:space="preserve"> compared with SoC alone was supported by the evidence presented in the submission</w:t>
      </w:r>
      <w:r w:rsidR="001B4537" w:rsidRPr="00477630">
        <w:rPr>
          <w:iCs/>
          <w:lang w:eastAsia="en-US"/>
        </w:rPr>
        <w:t xml:space="preserve">. </w:t>
      </w:r>
    </w:p>
    <w:p w14:paraId="06EB6DAC" w14:textId="0F6B6DAF" w:rsidR="006A0219" w:rsidRPr="00530B4A" w:rsidRDefault="006A0219" w:rsidP="006A0219">
      <w:pPr>
        <w:pStyle w:val="3-BodyText"/>
        <w:rPr>
          <w:snapToGrid w:val="0"/>
        </w:rPr>
      </w:pPr>
      <w:bookmarkStart w:id="91" w:name="_Hlk76376200"/>
      <w:r w:rsidRPr="00530B4A">
        <w:rPr>
          <w:iCs/>
          <w:snapToGrid w:val="0"/>
        </w:rPr>
        <w:t>The</w:t>
      </w:r>
      <w:r w:rsidRPr="00530B4A">
        <w:rPr>
          <w:snapToGrid w:val="0"/>
        </w:rPr>
        <w:t xml:space="preserve"> PBAC considered that the claim of superior comparative effectiveness was reasonable</w:t>
      </w:r>
      <w:r w:rsidR="00D15861">
        <w:rPr>
          <w:snapToGrid w:val="0"/>
        </w:rPr>
        <w:t xml:space="preserve">, </w:t>
      </w:r>
      <w:r w:rsidR="00D15861">
        <w:t xml:space="preserve">noting that </w:t>
      </w:r>
      <w:r w:rsidR="00D15861" w:rsidRPr="00864272">
        <w:rPr>
          <w:iCs/>
        </w:rPr>
        <w:t xml:space="preserve">the observed difference in OS in </w:t>
      </w:r>
      <w:r w:rsidR="00D15861" w:rsidRPr="00D74203">
        <w:t>KN689</w:t>
      </w:r>
      <w:r w:rsidR="00D15861">
        <w:t xml:space="preserve"> </w:t>
      </w:r>
      <w:r w:rsidR="00D15861" w:rsidRPr="00864272">
        <w:rPr>
          <w:iCs/>
        </w:rPr>
        <w:t>would likely to be smaller in the Australian clinical setting.</w:t>
      </w:r>
    </w:p>
    <w:p w14:paraId="3EF4827B" w14:textId="6AADE886" w:rsidR="006A0219" w:rsidRPr="0097081C" w:rsidRDefault="006A0219" w:rsidP="006A0219">
      <w:pPr>
        <w:pStyle w:val="3-BodyText"/>
        <w:rPr>
          <w:snapToGrid w:val="0"/>
        </w:rPr>
      </w:pPr>
      <w:r w:rsidRPr="0097081C">
        <w:rPr>
          <w:snapToGrid w:val="0"/>
        </w:rPr>
        <w:t xml:space="preserve">The PBAC considered that </w:t>
      </w:r>
      <w:r w:rsidR="004C4A04">
        <w:rPr>
          <w:snapToGrid w:val="0"/>
        </w:rPr>
        <w:t>a</w:t>
      </w:r>
      <w:r w:rsidRPr="0097081C">
        <w:rPr>
          <w:snapToGrid w:val="0"/>
        </w:rPr>
        <w:t xml:space="preserve"> claim of inferior comparative safety was reasonable</w:t>
      </w:r>
      <w:r w:rsidR="0097081C" w:rsidRPr="0097081C">
        <w:rPr>
          <w:snapToGrid w:val="0"/>
        </w:rPr>
        <w:t>.</w:t>
      </w:r>
      <w:bookmarkEnd w:id="91"/>
    </w:p>
    <w:p w14:paraId="41F115F7" w14:textId="77777777" w:rsidR="001C684B" w:rsidRPr="00D74203" w:rsidRDefault="001C684B" w:rsidP="001C684B">
      <w:pPr>
        <w:pStyle w:val="4-SubsectionHeading"/>
      </w:pPr>
      <w:bookmarkStart w:id="92" w:name="_Toc22897645"/>
      <w:bookmarkStart w:id="93" w:name="_Toc202884179"/>
      <w:bookmarkStart w:id="94" w:name="_Toc206432639"/>
      <w:bookmarkStart w:id="95" w:name="_Toc209004708"/>
      <w:r w:rsidRPr="00D74203">
        <w:t>Economic analysis</w:t>
      </w:r>
      <w:bookmarkEnd w:id="92"/>
      <w:bookmarkEnd w:id="93"/>
      <w:bookmarkEnd w:id="94"/>
      <w:bookmarkEnd w:id="95"/>
      <w:r w:rsidRPr="00D74203">
        <w:t xml:space="preserve"> </w:t>
      </w:r>
    </w:p>
    <w:p w14:paraId="1078F0C0" w14:textId="77777777" w:rsidR="00032D12" w:rsidRPr="00E54C74" w:rsidRDefault="00032D12" w:rsidP="00234453">
      <w:pPr>
        <w:numPr>
          <w:ilvl w:val="1"/>
          <w:numId w:val="7"/>
        </w:numPr>
        <w:spacing w:before="60" w:after="60"/>
        <w:rPr>
          <w:rFonts w:asciiTheme="minorHAnsi" w:eastAsiaTheme="minorHAnsi" w:hAnsiTheme="minorHAnsi" w:cstheme="minorBidi"/>
          <w:szCs w:val="22"/>
        </w:rPr>
      </w:pPr>
      <w:bookmarkStart w:id="96" w:name="_Toc22897646"/>
      <w:bookmarkStart w:id="97" w:name="_Toc22897647"/>
      <w:bookmarkStart w:id="98" w:name="_Toc205411821"/>
      <w:bookmarkStart w:id="99" w:name="_Toc206432641"/>
      <w:bookmarkStart w:id="100" w:name="_Toc22897650"/>
      <w:r w:rsidRPr="00E54C74">
        <w:rPr>
          <w:rFonts w:asciiTheme="minorHAnsi" w:eastAsiaTheme="minorHAnsi" w:hAnsiTheme="minorHAnsi" w:cstheme="minorBidi"/>
          <w:szCs w:val="22"/>
        </w:rPr>
        <w:t xml:space="preserve">The submission presented a stepped economic evaluation for the use of </w:t>
      </w:r>
      <w:proofErr w:type="spellStart"/>
      <w:r w:rsidRPr="00E54C74">
        <w:rPr>
          <w:rFonts w:asciiTheme="minorHAnsi" w:eastAsiaTheme="minorHAnsi" w:hAnsiTheme="minorHAnsi" w:cstheme="minorBidi"/>
          <w:szCs w:val="22"/>
        </w:rPr>
        <w:t>PEM+SoC</w:t>
      </w:r>
      <w:proofErr w:type="spellEnd"/>
      <w:r w:rsidRPr="00E54C74">
        <w:rPr>
          <w:rFonts w:asciiTheme="minorHAnsi" w:eastAsiaTheme="minorHAnsi" w:hAnsiTheme="minorHAnsi" w:cstheme="minorBidi"/>
          <w:szCs w:val="22"/>
        </w:rPr>
        <w:t xml:space="preserve"> for the treatment of LA HNSCC based on the direct, randomised KN689 trial that compared </w:t>
      </w:r>
      <w:proofErr w:type="spellStart"/>
      <w:r w:rsidRPr="00E54C74">
        <w:rPr>
          <w:rFonts w:asciiTheme="minorHAnsi" w:eastAsiaTheme="minorHAnsi" w:hAnsiTheme="minorHAnsi" w:cstheme="minorBidi"/>
          <w:szCs w:val="22"/>
        </w:rPr>
        <w:t>PEM+SoC</w:t>
      </w:r>
      <w:proofErr w:type="spellEnd"/>
      <w:r w:rsidRPr="00E54C74">
        <w:rPr>
          <w:rFonts w:asciiTheme="minorHAnsi" w:eastAsiaTheme="minorHAnsi" w:hAnsiTheme="minorHAnsi" w:cstheme="minorBidi"/>
          <w:szCs w:val="22"/>
        </w:rPr>
        <w:t xml:space="preserve"> to SoC alone. </w:t>
      </w:r>
    </w:p>
    <w:p w14:paraId="0AB8BBF6" w14:textId="0FC7CE28" w:rsidR="00032D12" w:rsidRPr="00E54C74" w:rsidRDefault="00032D12" w:rsidP="00234453">
      <w:pPr>
        <w:numPr>
          <w:ilvl w:val="1"/>
          <w:numId w:val="7"/>
        </w:numPr>
        <w:spacing w:before="60" w:after="60"/>
        <w:rPr>
          <w:rFonts w:asciiTheme="minorHAnsi" w:eastAsiaTheme="minorHAnsi" w:hAnsiTheme="minorHAnsi" w:cstheme="minorBidi"/>
          <w:szCs w:val="22"/>
        </w:rPr>
      </w:pPr>
      <w:r w:rsidRPr="00E54C74">
        <w:rPr>
          <w:rFonts w:asciiTheme="minorHAnsi" w:eastAsiaTheme="minorHAnsi" w:hAnsiTheme="minorHAnsi" w:cstheme="minorBidi"/>
          <w:szCs w:val="22"/>
        </w:rPr>
        <w:t xml:space="preserve">The key components of the economic evaluation are summarised in </w:t>
      </w:r>
      <w:r w:rsidRPr="00E54C74">
        <w:rPr>
          <w:rFonts w:asciiTheme="minorHAnsi" w:eastAsiaTheme="minorHAnsi" w:hAnsiTheme="minorHAnsi" w:cstheme="minorBidi"/>
          <w:szCs w:val="22"/>
        </w:rPr>
        <w:fldChar w:fldCharType="begin"/>
      </w:r>
      <w:r w:rsidRPr="00E54C74">
        <w:rPr>
          <w:rFonts w:asciiTheme="minorHAnsi" w:eastAsiaTheme="minorHAnsi" w:hAnsiTheme="minorHAnsi" w:cstheme="minorBidi"/>
          <w:szCs w:val="22"/>
        </w:rPr>
        <w:instrText xml:space="preserve"> REF _Ref205653752 \h  \* MERGEFORMAT </w:instrText>
      </w:r>
      <w:r w:rsidRPr="00E54C74">
        <w:rPr>
          <w:rFonts w:asciiTheme="minorHAnsi" w:eastAsiaTheme="minorHAnsi" w:hAnsiTheme="minorHAnsi" w:cstheme="minorBidi"/>
          <w:szCs w:val="22"/>
        </w:rPr>
      </w:r>
      <w:r w:rsidRPr="00E54C74">
        <w:rPr>
          <w:rFonts w:asciiTheme="minorHAnsi" w:eastAsiaTheme="minorHAnsi" w:hAnsiTheme="minorHAnsi" w:cstheme="minorBidi"/>
          <w:szCs w:val="22"/>
        </w:rPr>
        <w:fldChar w:fldCharType="separate"/>
      </w:r>
      <w:r w:rsidR="0084087D" w:rsidRPr="0084087D">
        <w:rPr>
          <w:rFonts w:asciiTheme="minorHAnsi" w:eastAsiaTheme="minorHAnsi" w:hAnsiTheme="minorHAnsi" w:cstheme="minorBidi"/>
          <w:szCs w:val="22"/>
        </w:rPr>
        <w:t>Table 9</w:t>
      </w:r>
      <w:r w:rsidRPr="00E54C74">
        <w:rPr>
          <w:rFonts w:asciiTheme="minorHAnsi" w:eastAsiaTheme="minorHAnsi" w:hAnsiTheme="minorHAnsi" w:cstheme="minorBidi"/>
          <w:szCs w:val="22"/>
        </w:rPr>
        <w:fldChar w:fldCharType="end"/>
      </w:r>
      <w:r w:rsidRPr="00E54C74">
        <w:rPr>
          <w:rFonts w:asciiTheme="minorHAnsi" w:eastAsiaTheme="minorHAnsi" w:hAnsiTheme="minorHAnsi" w:cstheme="minorBidi"/>
          <w:szCs w:val="22"/>
        </w:rPr>
        <w:t xml:space="preserve">. </w:t>
      </w:r>
    </w:p>
    <w:p w14:paraId="6C0F8769" w14:textId="466BC13E" w:rsidR="00032D12" w:rsidRPr="00E54C74" w:rsidRDefault="00032D12" w:rsidP="00582B12">
      <w:pPr>
        <w:keepNext/>
        <w:keepLines/>
        <w:widowControl w:val="0"/>
        <w:rPr>
          <w:rFonts w:ascii="Arial Narrow" w:hAnsi="Arial Narrow"/>
          <w:b/>
          <w:bCs/>
          <w:sz w:val="20"/>
          <w:szCs w:val="18"/>
        </w:rPr>
      </w:pPr>
      <w:bookmarkStart w:id="101" w:name="_Ref205653752"/>
      <w:r w:rsidRPr="00E54C74">
        <w:rPr>
          <w:rFonts w:ascii="Arial Narrow" w:hAnsi="Arial Narrow"/>
          <w:b/>
          <w:bCs/>
          <w:sz w:val="20"/>
          <w:szCs w:val="18"/>
        </w:rPr>
        <w:lastRenderedPageBreak/>
        <w:t xml:space="preserve">Table </w:t>
      </w:r>
      <w:r w:rsidRPr="00E54C74">
        <w:rPr>
          <w:rFonts w:ascii="Arial Narrow" w:hAnsi="Arial Narrow"/>
          <w:b/>
          <w:bCs/>
          <w:sz w:val="20"/>
          <w:szCs w:val="18"/>
        </w:rPr>
        <w:fldChar w:fldCharType="begin"/>
      </w:r>
      <w:r w:rsidRPr="00E54C74">
        <w:rPr>
          <w:rFonts w:ascii="Arial Narrow" w:hAnsi="Arial Narrow"/>
          <w:b/>
          <w:bCs/>
          <w:sz w:val="20"/>
          <w:szCs w:val="18"/>
        </w:rPr>
        <w:instrText xml:space="preserve"> SEQ Table \* ARABIC </w:instrText>
      </w:r>
      <w:r w:rsidRPr="00E54C74">
        <w:rPr>
          <w:rFonts w:ascii="Arial Narrow" w:hAnsi="Arial Narrow"/>
          <w:b/>
          <w:bCs/>
          <w:sz w:val="20"/>
          <w:szCs w:val="18"/>
        </w:rPr>
        <w:fldChar w:fldCharType="separate"/>
      </w:r>
      <w:r w:rsidR="0084087D">
        <w:rPr>
          <w:rFonts w:ascii="Arial Narrow" w:hAnsi="Arial Narrow"/>
          <w:b/>
          <w:bCs/>
          <w:noProof/>
          <w:sz w:val="20"/>
          <w:szCs w:val="18"/>
        </w:rPr>
        <w:t>9</w:t>
      </w:r>
      <w:r w:rsidRPr="00E54C74">
        <w:rPr>
          <w:rFonts w:ascii="Arial Narrow" w:hAnsi="Arial Narrow"/>
          <w:b/>
          <w:bCs/>
          <w:sz w:val="20"/>
          <w:szCs w:val="18"/>
        </w:rPr>
        <w:fldChar w:fldCharType="end"/>
      </w:r>
      <w:bookmarkEnd w:id="101"/>
      <w:r w:rsidRPr="00E54C74">
        <w:rPr>
          <w:rFonts w:ascii="Arial Narrow" w:hAnsi="Arial Narrow"/>
          <w:b/>
          <w:bCs/>
          <w:sz w:val="20"/>
          <w:szCs w:val="18"/>
        </w:rPr>
        <w:t xml:space="preserve">: </w:t>
      </w:r>
      <w:r w:rsidRPr="00E54C74">
        <w:rPr>
          <w:rFonts w:ascii="Arial Narrow" w:hAnsi="Arial Narrow"/>
          <w:b/>
          <w:bCs/>
          <w:sz w:val="20"/>
        </w:rPr>
        <w:t>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9: Summary of model structure, key inputs and rationale"/>
      </w:tblPr>
      <w:tblGrid>
        <w:gridCol w:w="1838"/>
        <w:gridCol w:w="7179"/>
      </w:tblGrid>
      <w:tr w:rsidR="00032D12" w:rsidRPr="00E54C74" w14:paraId="5A81FF2B" w14:textId="77777777">
        <w:trPr>
          <w:tblHeader/>
        </w:trPr>
        <w:tc>
          <w:tcPr>
            <w:tcW w:w="1019" w:type="pct"/>
            <w:vAlign w:val="center"/>
          </w:tcPr>
          <w:p w14:paraId="2ACAA615" w14:textId="77777777" w:rsidR="00032D12" w:rsidRPr="00E54C74" w:rsidRDefault="00032D12" w:rsidP="00582B12">
            <w:pPr>
              <w:keepNext/>
              <w:keepLines/>
              <w:widowControl w:val="0"/>
              <w:jc w:val="center"/>
              <w:rPr>
                <w:rFonts w:ascii="Arial Narrow" w:eastAsiaTheme="majorEastAsia" w:hAnsi="Arial Narrow" w:cs="Times New Roman"/>
                <w:b/>
                <w:sz w:val="20"/>
              </w:rPr>
            </w:pPr>
            <w:r w:rsidRPr="00E54C74">
              <w:rPr>
                <w:rFonts w:ascii="Arial Narrow" w:eastAsiaTheme="majorEastAsia" w:hAnsi="Arial Narrow" w:cs="Times New Roman"/>
                <w:b/>
                <w:sz w:val="20"/>
              </w:rPr>
              <w:t>Component</w:t>
            </w:r>
          </w:p>
        </w:tc>
        <w:tc>
          <w:tcPr>
            <w:tcW w:w="3981" w:type="pct"/>
            <w:vAlign w:val="center"/>
          </w:tcPr>
          <w:p w14:paraId="3B522C80" w14:textId="77777777" w:rsidR="00032D12" w:rsidRPr="00E54C74" w:rsidRDefault="00032D12" w:rsidP="00582B12">
            <w:pPr>
              <w:keepNext/>
              <w:keepLines/>
              <w:widowControl w:val="0"/>
              <w:jc w:val="center"/>
              <w:rPr>
                <w:rFonts w:ascii="Arial Narrow" w:eastAsiaTheme="majorEastAsia" w:hAnsi="Arial Narrow" w:cs="Times New Roman"/>
                <w:b/>
                <w:sz w:val="20"/>
              </w:rPr>
            </w:pPr>
            <w:r w:rsidRPr="00E54C74">
              <w:rPr>
                <w:rFonts w:ascii="Arial Narrow" w:eastAsiaTheme="majorEastAsia" w:hAnsi="Arial Narrow" w:cs="Times New Roman"/>
                <w:b/>
                <w:sz w:val="20"/>
              </w:rPr>
              <w:t>Summary</w:t>
            </w:r>
          </w:p>
        </w:tc>
      </w:tr>
      <w:tr w:rsidR="00032D12" w:rsidRPr="00E54C74" w14:paraId="723EAB4E" w14:textId="77777777">
        <w:tc>
          <w:tcPr>
            <w:tcW w:w="1019" w:type="pct"/>
            <w:vAlign w:val="center"/>
          </w:tcPr>
          <w:p w14:paraId="4826F833" w14:textId="77777777" w:rsidR="00032D12" w:rsidRPr="00E54C74" w:rsidRDefault="00032D12" w:rsidP="00582B12">
            <w:pPr>
              <w:keepNext/>
              <w:keepLines/>
              <w:widowControl w:val="0"/>
              <w:jc w:val="left"/>
              <w:rPr>
                <w:rFonts w:ascii="Arial Narrow" w:eastAsiaTheme="majorEastAsia" w:hAnsi="Arial Narrow" w:cstheme="majorBidi"/>
                <w:bCs/>
                <w:sz w:val="20"/>
              </w:rPr>
            </w:pPr>
            <w:r w:rsidRPr="00E54C74">
              <w:rPr>
                <w:rFonts w:ascii="Arial Narrow" w:eastAsiaTheme="majorEastAsia" w:hAnsi="Arial Narrow" w:cstheme="majorBidi"/>
                <w:bCs/>
                <w:sz w:val="20"/>
              </w:rPr>
              <w:t>Treatments</w:t>
            </w:r>
          </w:p>
        </w:tc>
        <w:tc>
          <w:tcPr>
            <w:tcW w:w="3981" w:type="pct"/>
            <w:vAlign w:val="center"/>
          </w:tcPr>
          <w:p w14:paraId="1A0CA5BB" w14:textId="77777777" w:rsidR="00032D12" w:rsidRPr="00E54C74" w:rsidRDefault="00032D12" w:rsidP="00582B12">
            <w:pPr>
              <w:keepNext/>
              <w:keepLines/>
              <w:widowControl w:val="0"/>
              <w:jc w:val="left"/>
              <w:rPr>
                <w:rFonts w:ascii="Arial Narrow" w:eastAsiaTheme="majorEastAsia" w:hAnsi="Arial Narrow" w:cstheme="majorBidi"/>
                <w:bCs/>
                <w:sz w:val="20"/>
              </w:rPr>
            </w:pPr>
            <w:r w:rsidRPr="00E54C74">
              <w:rPr>
                <w:rFonts w:ascii="Arial Narrow" w:eastAsiaTheme="majorEastAsia" w:hAnsi="Arial Narrow" w:cstheme="majorBidi"/>
                <w:bCs/>
                <w:sz w:val="20"/>
              </w:rPr>
              <w:t>Pembrolizumab + SoC versus SoC only</w:t>
            </w:r>
          </w:p>
        </w:tc>
      </w:tr>
      <w:tr w:rsidR="00032D12" w:rsidRPr="00E54C74" w14:paraId="0EAD19D4" w14:textId="77777777">
        <w:tc>
          <w:tcPr>
            <w:tcW w:w="1019" w:type="pct"/>
            <w:vAlign w:val="center"/>
          </w:tcPr>
          <w:p w14:paraId="693ECE43" w14:textId="77777777" w:rsidR="00032D12" w:rsidRPr="00E54C74" w:rsidRDefault="00032D12" w:rsidP="00582B12">
            <w:pPr>
              <w:keepNext/>
              <w:keepLines/>
              <w:widowControl w:val="0"/>
              <w:jc w:val="left"/>
              <w:rPr>
                <w:rFonts w:ascii="Arial Narrow" w:eastAsiaTheme="majorEastAsia" w:hAnsi="Arial Narrow" w:cstheme="majorBidi"/>
                <w:bCs/>
                <w:sz w:val="20"/>
              </w:rPr>
            </w:pPr>
            <w:r w:rsidRPr="00E54C74">
              <w:rPr>
                <w:rFonts w:ascii="Arial Narrow" w:eastAsiaTheme="majorEastAsia" w:hAnsi="Arial Narrow" w:cstheme="majorBidi"/>
                <w:bCs/>
                <w:sz w:val="20"/>
              </w:rPr>
              <w:t>Time horizon</w:t>
            </w:r>
          </w:p>
        </w:tc>
        <w:tc>
          <w:tcPr>
            <w:tcW w:w="3981" w:type="pct"/>
          </w:tcPr>
          <w:p w14:paraId="297BD528" w14:textId="0B19C4B6" w:rsidR="00032D12" w:rsidRPr="00E54C74" w:rsidRDefault="00032D12" w:rsidP="00582B12">
            <w:pPr>
              <w:keepNext/>
              <w:keepLines/>
              <w:widowControl w:val="0"/>
              <w:jc w:val="left"/>
              <w:rPr>
                <w:rFonts w:ascii="Arial Narrow" w:eastAsiaTheme="majorEastAsia" w:hAnsi="Arial Narrow" w:cstheme="majorBidi"/>
                <w:bCs/>
                <w:sz w:val="20"/>
              </w:rPr>
            </w:pPr>
            <w:r w:rsidRPr="00E54C74">
              <w:rPr>
                <w:rFonts w:ascii="Arial Narrow" w:eastAsiaTheme="majorEastAsia" w:hAnsi="Arial Narrow" w:cstheme="majorBidi"/>
                <w:bCs/>
                <w:sz w:val="20"/>
              </w:rPr>
              <w:t xml:space="preserve">25 years in the base case vs a median follow-up for OS of 27.1 months in KN689. </w:t>
            </w:r>
          </w:p>
        </w:tc>
      </w:tr>
      <w:tr w:rsidR="00032D12" w:rsidRPr="00E54C74" w14:paraId="452EAD17" w14:textId="77777777">
        <w:tc>
          <w:tcPr>
            <w:tcW w:w="1019" w:type="pct"/>
            <w:vAlign w:val="center"/>
          </w:tcPr>
          <w:p w14:paraId="21C499A2" w14:textId="77777777" w:rsidR="00032D12" w:rsidRPr="00E54C74" w:rsidRDefault="00032D12" w:rsidP="00582B12">
            <w:pPr>
              <w:keepNext/>
              <w:keepLines/>
              <w:widowControl w:val="0"/>
              <w:jc w:val="left"/>
              <w:rPr>
                <w:rFonts w:ascii="Arial Narrow" w:eastAsiaTheme="majorEastAsia" w:hAnsi="Arial Narrow" w:cstheme="majorBidi"/>
                <w:bCs/>
                <w:sz w:val="20"/>
              </w:rPr>
            </w:pPr>
            <w:r w:rsidRPr="00E54C74">
              <w:rPr>
                <w:rFonts w:ascii="Arial Narrow" w:eastAsiaTheme="majorEastAsia" w:hAnsi="Arial Narrow" w:cstheme="majorBidi"/>
                <w:bCs/>
                <w:sz w:val="20"/>
              </w:rPr>
              <w:t>Outcomes</w:t>
            </w:r>
          </w:p>
        </w:tc>
        <w:tc>
          <w:tcPr>
            <w:tcW w:w="3981" w:type="pct"/>
          </w:tcPr>
          <w:p w14:paraId="0E46977F" w14:textId="77777777" w:rsidR="00032D12" w:rsidRPr="00E54C74" w:rsidRDefault="00032D12" w:rsidP="00582B12">
            <w:pPr>
              <w:keepNext/>
              <w:keepLines/>
              <w:widowControl w:val="0"/>
              <w:jc w:val="left"/>
              <w:rPr>
                <w:rFonts w:ascii="Arial Narrow" w:eastAsiaTheme="majorEastAsia" w:hAnsi="Arial Narrow" w:cstheme="majorBidi"/>
                <w:bCs/>
                <w:sz w:val="20"/>
              </w:rPr>
            </w:pPr>
            <w:r w:rsidRPr="00E54C74">
              <w:rPr>
                <w:rFonts w:ascii="Arial Narrow" w:eastAsiaTheme="majorEastAsia" w:hAnsi="Arial Narrow" w:cstheme="majorBidi"/>
                <w:bCs/>
                <w:sz w:val="20"/>
              </w:rPr>
              <w:t>LYs gained, QALYs gained</w:t>
            </w:r>
          </w:p>
        </w:tc>
      </w:tr>
      <w:tr w:rsidR="00032D12" w:rsidRPr="00E54C74" w14:paraId="7295D17E" w14:textId="77777777">
        <w:tc>
          <w:tcPr>
            <w:tcW w:w="1019" w:type="pct"/>
            <w:vAlign w:val="center"/>
          </w:tcPr>
          <w:p w14:paraId="2AB32FE9" w14:textId="77777777" w:rsidR="00032D12" w:rsidRPr="00E54C74" w:rsidRDefault="00032D12" w:rsidP="00582B12">
            <w:pPr>
              <w:keepNext/>
              <w:keepLines/>
              <w:widowControl w:val="0"/>
              <w:jc w:val="left"/>
              <w:rPr>
                <w:rFonts w:ascii="Arial Narrow" w:eastAsiaTheme="majorEastAsia" w:hAnsi="Arial Narrow" w:cstheme="majorBidi"/>
                <w:bCs/>
                <w:sz w:val="20"/>
              </w:rPr>
            </w:pPr>
            <w:r w:rsidRPr="00E54C74">
              <w:rPr>
                <w:rFonts w:ascii="Arial Narrow" w:eastAsiaTheme="majorEastAsia" w:hAnsi="Arial Narrow" w:cstheme="majorBidi"/>
                <w:bCs/>
                <w:sz w:val="20"/>
              </w:rPr>
              <w:t>Methods used to generate results</w:t>
            </w:r>
          </w:p>
        </w:tc>
        <w:tc>
          <w:tcPr>
            <w:tcW w:w="3981" w:type="pct"/>
            <w:vAlign w:val="center"/>
          </w:tcPr>
          <w:p w14:paraId="3741CE58" w14:textId="77777777" w:rsidR="00032D12" w:rsidRPr="00E54C74" w:rsidRDefault="00032D12" w:rsidP="00582B12">
            <w:pPr>
              <w:keepNext/>
              <w:keepLines/>
              <w:widowControl w:val="0"/>
              <w:jc w:val="left"/>
              <w:rPr>
                <w:rFonts w:ascii="Arial Narrow" w:eastAsiaTheme="majorEastAsia" w:hAnsi="Arial Narrow" w:cstheme="majorBidi"/>
                <w:bCs/>
                <w:sz w:val="20"/>
              </w:rPr>
            </w:pPr>
            <w:r w:rsidRPr="00E54C74">
              <w:rPr>
                <w:rFonts w:ascii="Arial Narrow" w:eastAsiaTheme="majorEastAsia" w:hAnsi="Arial Narrow" w:cstheme="majorBidi"/>
                <w:bCs/>
                <w:sz w:val="20"/>
              </w:rPr>
              <w:t>Markov cohort model</w:t>
            </w:r>
          </w:p>
        </w:tc>
      </w:tr>
      <w:tr w:rsidR="00032D12" w:rsidRPr="00E54C74" w14:paraId="5FA45BDC" w14:textId="77777777">
        <w:tc>
          <w:tcPr>
            <w:tcW w:w="1019" w:type="pct"/>
            <w:vAlign w:val="center"/>
          </w:tcPr>
          <w:p w14:paraId="7892D292" w14:textId="77777777" w:rsidR="00032D12" w:rsidRPr="00E54C74" w:rsidRDefault="00032D12" w:rsidP="00582B12">
            <w:pPr>
              <w:keepNext/>
              <w:keepLines/>
              <w:widowControl w:val="0"/>
              <w:jc w:val="left"/>
              <w:rPr>
                <w:rFonts w:ascii="Arial Narrow" w:eastAsiaTheme="majorEastAsia" w:hAnsi="Arial Narrow" w:cstheme="majorBidi"/>
                <w:bCs/>
                <w:sz w:val="20"/>
              </w:rPr>
            </w:pPr>
            <w:r w:rsidRPr="00E54C74">
              <w:rPr>
                <w:rFonts w:ascii="Arial Narrow" w:eastAsiaTheme="majorEastAsia" w:hAnsi="Arial Narrow" w:cstheme="majorBidi"/>
                <w:bCs/>
                <w:sz w:val="20"/>
              </w:rPr>
              <w:t>Health states</w:t>
            </w:r>
          </w:p>
        </w:tc>
        <w:tc>
          <w:tcPr>
            <w:tcW w:w="3981" w:type="pct"/>
            <w:vAlign w:val="center"/>
          </w:tcPr>
          <w:p w14:paraId="33A5185C" w14:textId="77777777" w:rsidR="00032D12" w:rsidRPr="00E54C74" w:rsidRDefault="00032D12" w:rsidP="00582B12">
            <w:pPr>
              <w:keepNext/>
              <w:keepLines/>
              <w:widowControl w:val="0"/>
              <w:jc w:val="left"/>
              <w:rPr>
                <w:rFonts w:ascii="Arial Narrow" w:eastAsiaTheme="majorEastAsia" w:hAnsi="Arial Narrow" w:cstheme="majorBidi"/>
                <w:bCs/>
                <w:sz w:val="20"/>
              </w:rPr>
            </w:pPr>
            <w:r w:rsidRPr="00E54C74">
              <w:rPr>
                <w:rFonts w:ascii="Arial Narrow" w:eastAsiaTheme="majorEastAsia" w:hAnsi="Arial Narrow" w:cstheme="majorBidi"/>
                <w:bCs/>
                <w:sz w:val="20"/>
              </w:rPr>
              <w:t xml:space="preserve">Four health states: event free (EF), local recurrence (LR), incurable recurrence or progression (IRP) and dead (D).  </w:t>
            </w:r>
          </w:p>
        </w:tc>
      </w:tr>
      <w:tr w:rsidR="00032D12" w:rsidRPr="00E54C74" w14:paraId="124ADD89" w14:textId="77777777">
        <w:tc>
          <w:tcPr>
            <w:tcW w:w="1019" w:type="pct"/>
            <w:vAlign w:val="center"/>
          </w:tcPr>
          <w:p w14:paraId="3F64E9FA" w14:textId="77777777" w:rsidR="00032D12" w:rsidRPr="00E54C74" w:rsidRDefault="00032D12" w:rsidP="00582B12">
            <w:pPr>
              <w:keepNext/>
              <w:keepLines/>
              <w:widowControl w:val="0"/>
              <w:jc w:val="left"/>
              <w:rPr>
                <w:rFonts w:ascii="Arial Narrow" w:eastAsiaTheme="majorEastAsia" w:hAnsi="Arial Narrow" w:cstheme="majorBidi"/>
                <w:bCs/>
                <w:sz w:val="20"/>
              </w:rPr>
            </w:pPr>
            <w:r w:rsidRPr="00E54C74">
              <w:rPr>
                <w:rFonts w:ascii="Arial Narrow" w:eastAsiaTheme="majorEastAsia" w:hAnsi="Arial Narrow" w:cstheme="majorBidi"/>
                <w:bCs/>
                <w:sz w:val="20"/>
              </w:rPr>
              <w:t>Cycle length</w:t>
            </w:r>
          </w:p>
        </w:tc>
        <w:tc>
          <w:tcPr>
            <w:tcW w:w="3981" w:type="pct"/>
            <w:vAlign w:val="center"/>
          </w:tcPr>
          <w:p w14:paraId="1D70FA9B" w14:textId="77777777" w:rsidR="00032D12" w:rsidRPr="00E54C74" w:rsidRDefault="00032D12" w:rsidP="00582B12">
            <w:pPr>
              <w:keepNext/>
              <w:keepLines/>
              <w:widowControl w:val="0"/>
              <w:jc w:val="left"/>
              <w:rPr>
                <w:rFonts w:ascii="Arial Narrow" w:eastAsiaTheme="majorEastAsia" w:hAnsi="Arial Narrow" w:cstheme="majorBidi"/>
                <w:bCs/>
                <w:sz w:val="20"/>
              </w:rPr>
            </w:pPr>
            <w:r w:rsidRPr="00E54C74">
              <w:rPr>
                <w:rFonts w:ascii="Arial Narrow" w:eastAsiaTheme="majorEastAsia" w:hAnsi="Arial Narrow" w:cstheme="majorBidi"/>
                <w:bCs/>
                <w:sz w:val="20"/>
              </w:rPr>
              <w:t xml:space="preserve">1 week, with half cycle correction for outcomes and costs.  </w:t>
            </w:r>
          </w:p>
        </w:tc>
      </w:tr>
      <w:tr w:rsidR="00032D12" w:rsidRPr="00E54C74" w14:paraId="68101A5D" w14:textId="77777777">
        <w:tc>
          <w:tcPr>
            <w:tcW w:w="1019" w:type="pct"/>
            <w:vAlign w:val="center"/>
          </w:tcPr>
          <w:p w14:paraId="5D218059" w14:textId="77777777" w:rsidR="00032D12" w:rsidRPr="00E54C74" w:rsidRDefault="00032D12" w:rsidP="00582B12">
            <w:pPr>
              <w:keepNext/>
              <w:keepLines/>
              <w:widowControl w:val="0"/>
              <w:jc w:val="left"/>
              <w:rPr>
                <w:rFonts w:ascii="Arial Narrow" w:eastAsiaTheme="majorEastAsia" w:hAnsi="Arial Narrow" w:cstheme="majorBidi"/>
                <w:bCs/>
                <w:sz w:val="20"/>
              </w:rPr>
            </w:pPr>
            <w:r w:rsidRPr="00E54C74">
              <w:rPr>
                <w:rFonts w:ascii="Arial Narrow" w:eastAsiaTheme="majorEastAsia" w:hAnsi="Arial Narrow" w:cstheme="majorBidi"/>
                <w:bCs/>
                <w:sz w:val="20"/>
              </w:rPr>
              <w:t>Transition probabilities and extrapolation</w:t>
            </w:r>
          </w:p>
        </w:tc>
        <w:tc>
          <w:tcPr>
            <w:tcW w:w="3981" w:type="pct"/>
            <w:vAlign w:val="center"/>
          </w:tcPr>
          <w:p w14:paraId="6945BD48" w14:textId="2321E2B4" w:rsidR="00032D12" w:rsidRPr="00E54C74" w:rsidRDefault="00032D12" w:rsidP="00582B12">
            <w:pPr>
              <w:keepNext/>
              <w:keepLines/>
              <w:widowControl w:val="0"/>
              <w:jc w:val="left"/>
              <w:rPr>
                <w:rFonts w:ascii="Arial Narrow" w:eastAsiaTheme="majorEastAsia" w:hAnsi="Arial Narrow" w:cstheme="majorBidi"/>
                <w:bCs/>
                <w:sz w:val="20"/>
              </w:rPr>
            </w:pPr>
            <w:r w:rsidRPr="00E54C74">
              <w:rPr>
                <w:rFonts w:ascii="Arial Narrow" w:eastAsiaTheme="majorEastAsia" w:hAnsi="Arial Narrow" w:cstheme="majorBidi"/>
                <w:bCs/>
                <w:sz w:val="20"/>
              </w:rPr>
              <w:t xml:space="preserve">A multistate parametric modelling approach was used to derive the transition probabilities. This was based on patient level data from </w:t>
            </w:r>
            <w:r w:rsidR="007A55AA">
              <w:rPr>
                <w:rFonts w:ascii="Arial Narrow" w:eastAsiaTheme="majorEastAsia" w:hAnsi="Arial Narrow" w:cstheme="majorBidi"/>
                <w:bCs/>
                <w:sz w:val="20"/>
              </w:rPr>
              <w:t>IA</w:t>
            </w:r>
            <w:r>
              <w:rPr>
                <w:rFonts w:ascii="Arial Narrow" w:eastAsiaTheme="majorEastAsia" w:hAnsi="Arial Narrow" w:cstheme="majorBidi"/>
                <w:bCs/>
                <w:sz w:val="20"/>
              </w:rPr>
              <w:t xml:space="preserve">1 of the </w:t>
            </w:r>
            <w:r w:rsidRPr="00E54C74">
              <w:rPr>
                <w:rFonts w:ascii="Arial Narrow" w:eastAsiaTheme="majorEastAsia" w:hAnsi="Arial Narrow" w:cstheme="majorBidi"/>
                <w:bCs/>
                <w:sz w:val="20"/>
              </w:rPr>
              <w:t xml:space="preserve">KN689 trial, July 2024 data cut for all health states. </w:t>
            </w:r>
          </w:p>
          <w:p w14:paraId="337B6306" w14:textId="77777777" w:rsidR="00032D12" w:rsidRPr="00E54C74" w:rsidRDefault="00032D12" w:rsidP="00582B12">
            <w:pPr>
              <w:keepNext/>
              <w:keepLines/>
              <w:widowControl w:val="0"/>
              <w:jc w:val="left"/>
              <w:rPr>
                <w:rFonts w:ascii="Arial Narrow" w:eastAsiaTheme="majorEastAsia" w:hAnsi="Arial Narrow" w:cstheme="majorBidi"/>
                <w:bCs/>
                <w:sz w:val="20"/>
              </w:rPr>
            </w:pPr>
          </w:p>
          <w:p w14:paraId="53C209A5" w14:textId="1A7A533A" w:rsidR="00B648B5" w:rsidRDefault="00032D12" w:rsidP="00582B12">
            <w:pPr>
              <w:keepNext/>
              <w:keepLines/>
              <w:widowControl w:val="0"/>
              <w:jc w:val="left"/>
              <w:rPr>
                <w:rFonts w:ascii="Arial Narrow" w:eastAsiaTheme="majorEastAsia" w:hAnsi="Arial Narrow" w:cstheme="majorBidi"/>
                <w:bCs/>
                <w:sz w:val="20"/>
              </w:rPr>
            </w:pPr>
            <w:r w:rsidRPr="00E54C74">
              <w:rPr>
                <w:rFonts w:ascii="Arial Narrow" w:eastAsiaTheme="majorEastAsia" w:hAnsi="Arial Narrow" w:cstheme="majorBidi"/>
                <w:bCs/>
                <w:sz w:val="20"/>
              </w:rPr>
              <w:t>Time varying transition probabilities from the EFS health state were derived from extrapolations of individual patient-level data for both arms of the KN689 trial. Parametric functions were fitted</w:t>
            </w:r>
            <w:r>
              <w:rPr>
                <w:rFonts w:ascii="Arial Narrow" w:eastAsiaTheme="majorEastAsia" w:hAnsi="Arial Narrow" w:cstheme="majorBidi"/>
                <w:bCs/>
                <w:sz w:val="20"/>
              </w:rPr>
              <w:t xml:space="preserve"> to the observed KM data</w:t>
            </w:r>
            <w:r w:rsidRPr="00E54C74">
              <w:rPr>
                <w:rFonts w:ascii="Arial Narrow" w:eastAsiaTheme="majorEastAsia" w:hAnsi="Arial Narrow" w:cstheme="majorBidi"/>
                <w:bCs/>
                <w:sz w:val="20"/>
              </w:rPr>
              <w:t xml:space="preserve"> and chosen based on clinical plausibility, visual fit and goodness of fit using the MSE method. In the base case, </w:t>
            </w:r>
            <w:r>
              <w:rPr>
                <w:rFonts w:ascii="Arial Narrow" w:eastAsiaTheme="majorEastAsia" w:hAnsi="Arial Narrow" w:cstheme="majorBidi"/>
                <w:bCs/>
                <w:sz w:val="20"/>
              </w:rPr>
              <w:t xml:space="preserve">transitions were modelled using </w:t>
            </w:r>
            <w:r w:rsidRPr="00E54C74">
              <w:rPr>
                <w:rFonts w:ascii="Arial Narrow" w:eastAsiaTheme="majorEastAsia" w:hAnsi="Arial Narrow" w:cstheme="majorBidi"/>
                <w:bCs/>
                <w:sz w:val="20"/>
              </w:rPr>
              <w:t xml:space="preserve">the log-logistic (EF </w:t>
            </w:r>
            <w:r w:rsidRPr="00E54C74">
              <w:rPr>
                <w:rFonts w:ascii="Wingdings" w:eastAsiaTheme="majorEastAsia" w:hAnsi="Wingdings" w:cstheme="majorBidi"/>
                <w:sz w:val="20"/>
              </w:rPr>
              <w:t>à</w:t>
            </w:r>
            <w:r w:rsidRPr="00E54C74">
              <w:rPr>
                <w:rFonts w:ascii="Arial Narrow" w:eastAsiaTheme="majorEastAsia" w:hAnsi="Arial Narrow" w:cstheme="majorBidi"/>
                <w:bCs/>
                <w:sz w:val="20"/>
              </w:rPr>
              <w:t xml:space="preserve"> LR), Gompertz (EF </w:t>
            </w:r>
            <w:r w:rsidRPr="00E54C74">
              <w:rPr>
                <w:rFonts w:ascii="Wingdings" w:eastAsiaTheme="majorEastAsia" w:hAnsi="Wingdings" w:cstheme="majorBidi"/>
                <w:sz w:val="20"/>
              </w:rPr>
              <w:t>à</w:t>
            </w:r>
            <w:r w:rsidRPr="00E54C74">
              <w:rPr>
                <w:rFonts w:ascii="Arial Narrow" w:eastAsiaTheme="majorEastAsia" w:hAnsi="Arial Narrow" w:cstheme="majorBidi"/>
                <w:bCs/>
                <w:sz w:val="20"/>
              </w:rPr>
              <w:t xml:space="preserve"> IRP) and generalised gamma (EF </w:t>
            </w:r>
            <w:r w:rsidRPr="00E54C74">
              <w:rPr>
                <w:rFonts w:ascii="Wingdings" w:eastAsiaTheme="majorEastAsia" w:hAnsi="Wingdings" w:cstheme="majorBidi"/>
                <w:sz w:val="20"/>
              </w:rPr>
              <w:t>à</w:t>
            </w:r>
            <w:r w:rsidRPr="00E54C74">
              <w:rPr>
                <w:rFonts w:ascii="Arial Narrow" w:eastAsiaTheme="majorEastAsia" w:hAnsi="Arial Narrow" w:cstheme="majorBidi"/>
                <w:bCs/>
                <w:sz w:val="20"/>
              </w:rPr>
              <w:t>death)</w:t>
            </w:r>
            <w:r w:rsidR="00E85D64">
              <w:rPr>
                <w:rFonts w:ascii="Arial Narrow" w:eastAsiaTheme="majorEastAsia" w:hAnsi="Arial Narrow" w:cstheme="majorBidi"/>
                <w:bCs/>
                <w:sz w:val="20"/>
              </w:rPr>
              <w:t xml:space="preserve"> parametric functions</w:t>
            </w:r>
            <w:r w:rsidRPr="00E54C74">
              <w:rPr>
                <w:rFonts w:ascii="Arial Narrow" w:eastAsiaTheme="majorEastAsia" w:hAnsi="Arial Narrow" w:cstheme="majorBidi"/>
                <w:bCs/>
                <w:sz w:val="20"/>
              </w:rPr>
              <w:t xml:space="preserve">. For transitions from the LR and IRP health states (LR </w:t>
            </w:r>
            <w:r w:rsidRPr="00E54C74">
              <w:rPr>
                <w:rFonts w:ascii="Wingdings" w:eastAsiaTheme="majorEastAsia" w:hAnsi="Wingdings" w:cstheme="majorBidi"/>
                <w:sz w:val="20"/>
              </w:rPr>
              <w:t>à</w:t>
            </w:r>
            <w:r w:rsidRPr="00E54C74">
              <w:rPr>
                <w:rFonts w:ascii="Arial Narrow" w:eastAsiaTheme="majorEastAsia" w:hAnsi="Arial Narrow" w:cstheme="majorBidi"/>
                <w:bCs/>
                <w:sz w:val="20"/>
              </w:rPr>
              <w:t xml:space="preserve">  IRP &amp; death; IRP </w:t>
            </w:r>
            <w:r w:rsidRPr="00E54C74">
              <w:rPr>
                <w:rFonts w:ascii="Wingdings" w:eastAsiaTheme="majorEastAsia" w:hAnsi="Wingdings" w:cstheme="majorBidi"/>
                <w:sz w:val="20"/>
              </w:rPr>
              <w:t>à</w:t>
            </w:r>
            <w:r w:rsidRPr="00E54C74">
              <w:rPr>
                <w:rFonts w:ascii="Arial Narrow" w:eastAsiaTheme="majorEastAsia" w:hAnsi="Arial Narrow" w:cstheme="majorBidi"/>
                <w:bCs/>
                <w:sz w:val="20"/>
              </w:rPr>
              <w:t xml:space="preserve"> death), exponential rates of the underlying hazard functions based on patient level data were applied. All transitions to the death health state were </w:t>
            </w:r>
            <w:r>
              <w:rPr>
                <w:rFonts w:ascii="Arial Narrow" w:eastAsiaTheme="majorEastAsia" w:hAnsi="Arial Narrow" w:cstheme="majorBidi"/>
                <w:bCs/>
                <w:sz w:val="20"/>
              </w:rPr>
              <w:t xml:space="preserve">supplemented </w:t>
            </w:r>
            <w:r w:rsidRPr="00E54C74">
              <w:rPr>
                <w:rFonts w:ascii="Arial Narrow" w:eastAsiaTheme="majorEastAsia" w:hAnsi="Arial Narrow" w:cstheme="majorBidi"/>
                <w:bCs/>
                <w:sz w:val="20"/>
              </w:rPr>
              <w:t xml:space="preserve">by background mortality. </w:t>
            </w:r>
          </w:p>
          <w:p w14:paraId="1DB83F9A" w14:textId="77777777" w:rsidR="008B7226" w:rsidRPr="00477630" w:rsidRDefault="008B7226" w:rsidP="00582B12">
            <w:pPr>
              <w:keepNext/>
              <w:keepLines/>
              <w:widowControl w:val="0"/>
              <w:jc w:val="left"/>
              <w:rPr>
                <w:rFonts w:ascii="Arial Narrow" w:eastAsiaTheme="majorEastAsia" w:hAnsi="Arial Narrow" w:cstheme="majorBidi"/>
                <w:bCs/>
                <w:iCs/>
                <w:sz w:val="20"/>
              </w:rPr>
            </w:pPr>
          </w:p>
          <w:p w14:paraId="1F92BE4A" w14:textId="7EB189BF" w:rsidR="00032D12" w:rsidRPr="00E54C74" w:rsidRDefault="00032D12" w:rsidP="00582B12">
            <w:pPr>
              <w:keepNext/>
              <w:keepLines/>
              <w:widowControl w:val="0"/>
              <w:jc w:val="left"/>
              <w:rPr>
                <w:rFonts w:ascii="Arial Narrow" w:eastAsiaTheme="majorEastAsia" w:hAnsi="Arial Narrow" w:cstheme="majorBidi"/>
                <w:bCs/>
                <w:sz w:val="20"/>
              </w:rPr>
            </w:pPr>
            <w:r w:rsidRPr="00B648B5">
              <w:rPr>
                <w:rFonts w:ascii="Arial Narrow" w:eastAsiaTheme="majorEastAsia" w:hAnsi="Arial Narrow" w:cstheme="majorBidi"/>
                <w:bCs/>
                <w:sz w:val="20"/>
              </w:rPr>
              <w:t>Observed KM data were not directly used in the economic model and the economic model did not allow for the use of KM data.</w:t>
            </w:r>
          </w:p>
          <w:p w14:paraId="5B9ADFF1" w14:textId="77777777" w:rsidR="00032D12" w:rsidRDefault="00032D12" w:rsidP="00582B12">
            <w:pPr>
              <w:keepNext/>
              <w:keepLines/>
              <w:widowControl w:val="0"/>
              <w:jc w:val="left"/>
              <w:rPr>
                <w:rFonts w:ascii="Arial Narrow" w:eastAsiaTheme="majorEastAsia" w:hAnsi="Arial Narrow" w:cstheme="majorBidi"/>
                <w:bCs/>
                <w:sz w:val="20"/>
              </w:rPr>
            </w:pPr>
          </w:p>
          <w:p w14:paraId="5F8E1031" w14:textId="10C80BAE" w:rsidR="00032D12" w:rsidRPr="0052441D" w:rsidRDefault="008B7226" w:rsidP="00582B12">
            <w:pPr>
              <w:keepNext/>
              <w:keepLines/>
              <w:widowControl w:val="0"/>
              <w:jc w:val="left"/>
              <w:rPr>
                <w:rFonts w:ascii="Arial Narrow" w:eastAsiaTheme="majorEastAsia" w:hAnsi="Arial Narrow" w:cstheme="majorBidi"/>
                <w:bCs/>
                <w:i/>
                <w:iCs/>
                <w:sz w:val="20"/>
              </w:rPr>
            </w:pPr>
            <w:r w:rsidRPr="00477630">
              <w:rPr>
                <w:rFonts w:ascii="Arial Narrow" w:eastAsiaTheme="majorEastAsia" w:hAnsi="Arial Narrow" w:cstheme="majorBidi"/>
                <w:bCs/>
                <w:iCs/>
                <w:sz w:val="20"/>
              </w:rPr>
              <w:t xml:space="preserve">Treatment waning was applied to EFS from Year 7 to Year 10 in the base case analysis. This was done by converging the transition probabilities (from the EF health state) in the </w:t>
            </w:r>
            <w:proofErr w:type="spellStart"/>
            <w:r w:rsidRPr="00477630">
              <w:rPr>
                <w:rFonts w:ascii="Arial Narrow" w:eastAsiaTheme="majorEastAsia" w:hAnsi="Arial Narrow" w:cstheme="majorBidi"/>
                <w:bCs/>
                <w:iCs/>
                <w:sz w:val="20"/>
              </w:rPr>
              <w:t>PEM+SoC</w:t>
            </w:r>
            <w:proofErr w:type="spellEnd"/>
            <w:r w:rsidRPr="00477630">
              <w:rPr>
                <w:rFonts w:ascii="Arial Narrow" w:eastAsiaTheme="majorEastAsia" w:hAnsi="Arial Narrow" w:cstheme="majorBidi"/>
                <w:bCs/>
                <w:iCs/>
                <w:sz w:val="20"/>
              </w:rPr>
              <w:t xml:space="preserve"> arm to that of the SoC arm. </w:t>
            </w:r>
            <w:r w:rsidR="00032D12" w:rsidRPr="00406F5B">
              <w:rPr>
                <w:rFonts w:ascii="Arial Narrow" w:eastAsiaTheme="majorEastAsia" w:hAnsi="Arial Narrow" w:cstheme="majorBidi"/>
                <w:bCs/>
                <w:sz w:val="20"/>
              </w:rPr>
              <w:t xml:space="preserve"> </w:t>
            </w:r>
          </w:p>
        </w:tc>
      </w:tr>
      <w:tr w:rsidR="00032D12" w:rsidRPr="00E54C74" w14:paraId="6638F829" w14:textId="77777777">
        <w:tc>
          <w:tcPr>
            <w:tcW w:w="1019" w:type="pct"/>
            <w:vAlign w:val="center"/>
          </w:tcPr>
          <w:p w14:paraId="4CD05792" w14:textId="77777777" w:rsidR="00032D12" w:rsidRPr="00E54C74" w:rsidRDefault="00032D12" w:rsidP="00582B12">
            <w:pPr>
              <w:keepNext/>
              <w:keepLines/>
              <w:widowControl w:val="0"/>
              <w:jc w:val="left"/>
              <w:rPr>
                <w:rFonts w:ascii="Arial Narrow" w:eastAsiaTheme="majorEastAsia" w:hAnsi="Arial Narrow" w:cstheme="majorBidi"/>
                <w:bCs/>
                <w:sz w:val="20"/>
              </w:rPr>
            </w:pPr>
            <w:r w:rsidRPr="00E54C74">
              <w:rPr>
                <w:rFonts w:ascii="Arial Narrow" w:eastAsiaTheme="majorEastAsia" w:hAnsi="Arial Narrow" w:cstheme="majorBidi"/>
                <w:bCs/>
                <w:sz w:val="20"/>
              </w:rPr>
              <w:t>Health related quality of life</w:t>
            </w:r>
          </w:p>
        </w:tc>
        <w:tc>
          <w:tcPr>
            <w:tcW w:w="3981" w:type="pct"/>
            <w:vAlign w:val="center"/>
          </w:tcPr>
          <w:p w14:paraId="6FBC6A8E" w14:textId="1EE1A028" w:rsidR="00032D12" w:rsidRPr="00041E91" w:rsidRDefault="00032D12" w:rsidP="00582B12">
            <w:pPr>
              <w:keepNext/>
              <w:keepLines/>
              <w:widowControl w:val="0"/>
              <w:jc w:val="left"/>
              <w:rPr>
                <w:rFonts w:ascii="Arial Narrow" w:eastAsiaTheme="majorEastAsia" w:hAnsi="Arial Narrow" w:cstheme="majorBidi"/>
                <w:bCs/>
                <w:sz w:val="20"/>
              </w:rPr>
            </w:pPr>
            <w:r w:rsidRPr="00041E91">
              <w:rPr>
                <w:rFonts w:ascii="Arial Narrow" w:eastAsiaTheme="majorEastAsia" w:hAnsi="Arial Narrow" w:cstheme="majorBidi"/>
                <w:bCs/>
                <w:sz w:val="20"/>
              </w:rPr>
              <w:t>Utility values for the EF, LR and IRP health states were derived using EQ-5D-5L data from the KN689 trial and were translated using the Canadian (base case) and Australian (scenario analysis) preference sets. To avoid double counting (as disutility due to AEs was included in the base case), the utility value for the EF health state was based on HRQoL data of patients who were progression-free and not experiencing a grade 3+ AE from the KN689 trial.</w:t>
            </w:r>
          </w:p>
          <w:p w14:paraId="77E44181" w14:textId="2AAF782B" w:rsidR="00032D12" w:rsidRDefault="00032D12" w:rsidP="00582B12">
            <w:pPr>
              <w:keepNext/>
              <w:keepLines/>
              <w:widowControl w:val="0"/>
              <w:jc w:val="left"/>
              <w:rPr>
                <w:rFonts w:ascii="Arial Narrow" w:eastAsiaTheme="majorEastAsia" w:hAnsi="Arial Narrow" w:cstheme="majorBidi"/>
                <w:bCs/>
                <w:sz w:val="20"/>
              </w:rPr>
            </w:pPr>
            <w:r w:rsidRPr="00041E91">
              <w:rPr>
                <w:rFonts w:ascii="Arial Narrow" w:eastAsiaTheme="majorEastAsia" w:hAnsi="Arial Narrow" w:cstheme="majorBidi"/>
                <w:bCs/>
                <w:sz w:val="20"/>
              </w:rPr>
              <w:t xml:space="preserve">EF = 0.834; LR = 0.767; IRP = 0.753. </w:t>
            </w:r>
          </w:p>
          <w:p w14:paraId="40CC6A3D" w14:textId="77777777" w:rsidR="00BC6B9C" w:rsidRPr="00477630" w:rsidRDefault="00BC6B9C" w:rsidP="00582B12">
            <w:pPr>
              <w:keepNext/>
              <w:keepLines/>
              <w:widowControl w:val="0"/>
              <w:jc w:val="left"/>
              <w:rPr>
                <w:rFonts w:ascii="Arial Narrow" w:eastAsiaTheme="majorEastAsia" w:hAnsi="Arial Narrow" w:cstheme="majorBidi"/>
                <w:bCs/>
                <w:iCs/>
                <w:sz w:val="20"/>
              </w:rPr>
            </w:pPr>
          </w:p>
          <w:p w14:paraId="0AB1E8B4" w14:textId="50C9DA06" w:rsidR="00032D12" w:rsidRPr="00041E91" w:rsidRDefault="00126338" w:rsidP="00582B12">
            <w:pPr>
              <w:keepNext/>
              <w:keepLines/>
              <w:widowControl w:val="0"/>
              <w:jc w:val="left"/>
              <w:rPr>
                <w:rFonts w:ascii="Arial Narrow" w:eastAsiaTheme="majorEastAsia" w:hAnsi="Arial Narrow" w:cstheme="majorBidi"/>
                <w:bCs/>
                <w:i/>
                <w:iCs/>
                <w:sz w:val="20"/>
              </w:rPr>
            </w:pPr>
            <w:r w:rsidRPr="00477630">
              <w:rPr>
                <w:rFonts w:ascii="Arial Narrow" w:eastAsiaTheme="majorEastAsia" w:hAnsi="Arial Narrow" w:cstheme="majorBidi"/>
                <w:bCs/>
                <w:iCs/>
                <w:sz w:val="20"/>
              </w:rPr>
              <w:t>W</w:t>
            </w:r>
            <w:r w:rsidR="00041E91" w:rsidRPr="00477630">
              <w:rPr>
                <w:rFonts w:ascii="Arial Narrow" w:eastAsiaTheme="majorEastAsia" w:hAnsi="Arial Narrow" w:cstheme="majorBidi"/>
                <w:bCs/>
                <w:iCs/>
                <w:sz w:val="20"/>
              </w:rPr>
              <w:t>eighted disutilit</w:t>
            </w:r>
            <w:r w:rsidRPr="00477630">
              <w:rPr>
                <w:rFonts w:ascii="Arial Narrow" w:eastAsiaTheme="majorEastAsia" w:hAnsi="Arial Narrow" w:cstheme="majorBidi"/>
                <w:bCs/>
                <w:iCs/>
                <w:sz w:val="20"/>
              </w:rPr>
              <w:t>ies</w:t>
            </w:r>
            <w:r w:rsidR="00041E91" w:rsidRPr="00477630">
              <w:rPr>
                <w:rFonts w:ascii="Arial Narrow" w:eastAsiaTheme="majorEastAsia" w:hAnsi="Arial Narrow" w:cstheme="majorBidi"/>
                <w:bCs/>
                <w:iCs/>
                <w:sz w:val="20"/>
              </w:rPr>
              <w:t xml:space="preserve"> of -0.01959 and -0.01868, for AEs of grade 3+, were applied in the first cycle of the model across the </w:t>
            </w:r>
            <w:proofErr w:type="spellStart"/>
            <w:r w:rsidR="00041E91" w:rsidRPr="00477630">
              <w:rPr>
                <w:rFonts w:ascii="Arial Narrow" w:eastAsiaTheme="majorEastAsia" w:hAnsi="Arial Narrow" w:cstheme="majorBidi"/>
                <w:bCs/>
                <w:iCs/>
                <w:sz w:val="20"/>
              </w:rPr>
              <w:t>PEM+SoC</w:t>
            </w:r>
            <w:proofErr w:type="spellEnd"/>
            <w:r w:rsidR="00041E91" w:rsidRPr="00477630">
              <w:rPr>
                <w:rFonts w:ascii="Arial Narrow" w:eastAsiaTheme="majorEastAsia" w:hAnsi="Arial Narrow" w:cstheme="majorBidi"/>
                <w:bCs/>
                <w:iCs/>
                <w:sz w:val="20"/>
              </w:rPr>
              <w:t xml:space="preserve"> and SoC arms, respectivel</w:t>
            </w:r>
            <w:r w:rsidR="006E076A" w:rsidRPr="00477630">
              <w:rPr>
                <w:rFonts w:ascii="Arial Narrow" w:eastAsiaTheme="majorEastAsia" w:hAnsi="Arial Narrow" w:cstheme="majorBidi"/>
                <w:bCs/>
                <w:iCs/>
                <w:sz w:val="20"/>
              </w:rPr>
              <w:t>y. T</w:t>
            </w:r>
            <w:r w:rsidR="00D8792A" w:rsidRPr="00477630">
              <w:rPr>
                <w:rFonts w:ascii="Arial Narrow" w:eastAsiaTheme="majorEastAsia" w:hAnsi="Arial Narrow" w:cstheme="majorBidi"/>
                <w:bCs/>
                <w:iCs/>
                <w:sz w:val="20"/>
              </w:rPr>
              <w:t xml:space="preserve">his weighting was </w:t>
            </w:r>
            <w:r w:rsidR="00041E91" w:rsidRPr="00477630">
              <w:rPr>
                <w:rFonts w:ascii="Arial Narrow" w:eastAsiaTheme="majorEastAsia" w:hAnsi="Arial Narrow" w:cstheme="majorBidi"/>
                <w:bCs/>
                <w:iCs/>
                <w:sz w:val="20"/>
              </w:rPr>
              <w:t>based on the incidence of AEs observed in the KN689 trial</w:t>
            </w:r>
            <w:r w:rsidR="00647DAA" w:rsidRPr="00477630">
              <w:rPr>
                <w:rFonts w:ascii="Arial Narrow" w:eastAsiaTheme="majorEastAsia" w:hAnsi="Arial Narrow" w:cstheme="majorBidi"/>
                <w:bCs/>
                <w:iCs/>
                <w:sz w:val="20"/>
              </w:rPr>
              <w:t>, the mean duration of each episode</w:t>
            </w:r>
            <w:r w:rsidR="00987AEF">
              <w:rPr>
                <w:rFonts w:ascii="Arial Narrow" w:eastAsiaTheme="majorEastAsia" w:hAnsi="Arial Narrow" w:cstheme="majorBidi"/>
                <w:bCs/>
                <w:iCs/>
                <w:sz w:val="20"/>
              </w:rPr>
              <w:t>,</w:t>
            </w:r>
            <w:r w:rsidR="00041E91" w:rsidRPr="00477630">
              <w:rPr>
                <w:rFonts w:ascii="Arial Narrow" w:eastAsiaTheme="majorEastAsia" w:hAnsi="Arial Narrow" w:cstheme="majorBidi"/>
                <w:bCs/>
                <w:iCs/>
                <w:sz w:val="20"/>
              </w:rPr>
              <w:t xml:space="preserve"> and a</w:t>
            </w:r>
            <w:r w:rsidR="00D8792A" w:rsidRPr="00477630">
              <w:rPr>
                <w:rFonts w:ascii="Arial Narrow" w:eastAsiaTheme="majorEastAsia" w:hAnsi="Arial Narrow" w:cstheme="majorBidi"/>
                <w:bCs/>
                <w:iCs/>
                <w:sz w:val="20"/>
              </w:rPr>
              <w:t xml:space="preserve"> </w:t>
            </w:r>
            <w:r w:rsidR="00041E91" w:rsidRPr="00477630">
              <w:rPr>
                <w:rFonts w:ascii="Arial Narrow" w:eastAsiaTheme="majorEastAsia" w:hAnsi="Arial Narrow" w:cstheme="majorBidi"/>
                <w:bCs/>
                <w:iCs/>
                <w:sz w:val="20"/>
              </w:rPr>
              <w:t xml:space="preserve">disutility of -0.031 </w:t>
            </w:r>
            <w:r w:rsidR="00D8792A" w:rsidRPr="00477630">
              <w:rPr>
                <w:rFonts w:ascii="Arial Narrow" w:eastAsiaTheme="majorEastAsia" w:hAnsi="Arial Narrow" w:cstheme="majorBidi"/>
                <w:bCs/>
                <w:iCs/>
                <w:sz w:val="20"/>
              </w:rPr>
              <w:t xml:space="preserve">(assumed </w:t>
            </w:r>
            <w:r w:rsidR="00041E91" w:rsidRPr="00477630">
              <w:rPr>
                <w:rFonts w:ascii="Arial Narrow" w:eastAsiaTheme="majorEastAsia" w:hAnsi="Arial Narrow" w:cstheme="majorBidi"/>
                <w:bCs/>
                <w:iCs/>
                <w:sz w:val="20"/>
              </w:rPr>
              <w:t>for all grade 3+ AEs</w:t>
            </w:r>
            <w:r w:rsidR="00D8792A" w:rsidRPr="00477630">
              <w:rPr>
                <w:rFonts w:ascii="Arial Narrow" w:eastAsiaTheme="majorEastAsia" w:hAnsi="Arial Narrow" w:cstheme="majorBidi"/>
                <w:bCs/>
                <w:iCs/>
                <w:sz w:val="20"/>
              </w:rPr>
              <w:t>)</w:t>
            </w:r>
            <w:r w:rsidR="00041E91" w:rsidRPr="00477630">
              <w:rPr>
                <w:rFonts w:ascii="Arial Narrow" w:eastAsiaTheme="majorEastAsia" w:hAnsi="Arial Narrow" w:cstheme="majorBidi"/>
                <w:bCs/>
                <w:iCs/>
                <w:sz w:val="20"/>
              </w:rPr>
              <w:t>.</w:t>
            </w:r>
          </w:p>
        </w:tc>
      </w:tr>
      <w:tr w:rsidR="00032D12" w:rsidRPr="00E54C74" w14:paraId="12612E6A" w14:textId="77777777">
        <w:tc>
          <w:tcPr>
            <w:tcW w:w="1019" w:type="pct"/>
            <w:vAlign w:val="center"/>
          </w:tcPr>
          <w:p w14:paraId="329534A2" w14:textId="35351097" w:rsidR="00032D12" w:rsidRPr="00E54C74" w:rsidRDefault="00032D12" w:rsidP="00582B12">
            <w:pPr>
              <w:keepNext/>
              <w:keepLines/>
              <w:widowControl w:val="0"/>
              <w:jc w:val="left"/>
              <w:rPr>
                <w:rFonts w:ascii="Arial Narrow" w:eastAsiaTheme="majorEastAsia" w:hAnsi="Arial Narrow" w:cstheme="majorBidi"/>
                <w:bCs/>
                <w:sz w:val="20"/>
              </w:rPr>
            </w:pPr>
            <w:r w:rsidRPr="00E54C74">
              <w:rPr>
                <w:rFonts w:ascii="Arial Narrow" w:eastAsiaTheme="majorEastAsia" w:hAnsi="Arial Narrow" w:cstheme="majorBidi"/>
                <w:bCs/>
                <w:sz w:val="20"/>
              </w:rPr>
              <w:t xml:space="preserve">Subsequent treatment </w:t>
            </w:r>
            <w:r w:rsidR="003D2B79">
              <w:rPr>
                <w:rFonts w:ascii="Arial Narrow" w:eastAsiaTheme="majorEastAsia" w:hAnsi="Arial Narrow" w:cstheme="majorBidi"/>
                <w:bCs/>
                <w:sz w:val="20"/>
              </w:rPr>
              <w:t>assumptions</w:t>
            </w:r>
          </w:p>
        </w:tc>
        <w:tc>
          <w:tcPr>
            <w:tcW w:w="3981" w:type="pct"/>
            <w:vAlign w:val="center"/>
          </w:tcPr>
          <w:p w14:paraId="7DBE8E2C" w14:textId="446D8EFD" w:rsidR="00032D12" w:rsidRPr="00E54C74" w:rsidRDefault="00032D12" w:rsidP="00582B12">
            <w:pPr>
              <w:keepNext/>
              <w:keepLines/>
              <w:widowControl w:val="0"/>
              <w:jc w:val="left"/>
              <w:rPr>
                <w:rFonts w:ascii="Arial Narrow" w:hAnsi="Arial Narrow" w:cs="Times New Roman"/>
                <w:b/>
                <w:i/>
                <w:iCs/>
                <w:sz w:val="20"/>
                <w:szCs w:val="16"/>
              </w:rPr>
            </w:pPr>
            <w:r w:rsidRPr="00E54C74">
              <w:rPr>
                <w:rFonts w:ascii="Arial Narrow" w:eastAsiaTheme="majorEastAsia" w:hAnsi="Arial Narrow" w:cstheme="majorBidi"/>
                <w:bCs/>
                <w:sz w:val="20"/>
              </w:rPr>
              <w:t>Costs for subsequent treatment were included in both arms</w:t>
            </w:r>
            <w:r>
              <w:rPr>
                <w:rFonts w:ascii="Arial Narrow" w:eastAsiaTheme="majorEastAsia" w:hAnsi="Arial Narrow" w:cstheme="majorBidi"/>
                <w:bCs/>
                <w:sz w:val="20"/>
              </w:rPr>
              <w:t xml:space="preserve"> as a one-time cost upon entry into the IRP health state</w:t>
            </w:r>
            <w:r w:rsidRPr="00E54C74">
              <w:rPr>
                <w:rFonts w:ascii="Arial Narrow" w:eastAsiaTheme="majorEastAsia" w:hAnsi="Arial Narrow" w:cstheme="majorBidi"/>
                <w:bCs/>
                <w:sz w:val="20"/>
              </w:rPr>
              <w:t>.</w:t>
            </w:r>
            <w:r>
              <w:rPr>
                <w:rFonts w:ascii="Arial Narrow" w:eastAsiaTheme="majorEastAsia" w:hAnsi="Arial Narrow" w:cstheme="majorBidi"/>
                <w:bCs/>
                <w:sz w:val="20"/>
              </w:rPr>
              <w:t xml:space="preserve"> </w:t>
            </w:r>
            <w:r w:rsidRPr="005B6A39">
              <w:rPr>
                <w:rFonts w:ascii="Arial Narrow" w:eastAsiaTheme="majorEastAsia" w:hAnsi="Arial Narrow" w:cstheme="majorBidi"/>
                <w:bCs/>
                <w:sz w:val="20"/>
              </w:rPr>
              <w:t xml:space="preserve">The model </w:t>
            </w:r>
            <w:r>
              <w:rPr>
                <w:rFonts w:ascii="Arial Narrow" w:eastAsiaTheme="majorEastAsia" w:hAnsi="Arial Narrow" w:cstheme="majorBidi"/>
                <w:bCs/>
                <w:sz w:val="20"/>
              </w:rPr>
              <w:t>included</w:t>
            </w:r>
            <w:r w:rsidRPr="005B6A39">
              <w:rPr>
                <w:rFonts w:ascii="Arial Narrow" w:eastAsiaTheme="majorEastAsia" w:hAnsi="Arial Narrow" w:cstheme="majorBidi"/>
                <w:bCs/>
                <w:sz w:val="20"/>
              </w:rPr>
              <w:t xml:space="preserve"> first-line and later-line treatment options based on treatment regimens that are available on the PBS.</w:t>
            </w:r>
            <w:r w:rsidRPr="00E54C74">
              <w:rPr>
                <w:rFonts w:ascii="Arial Narrow" w:eastAsiaTheme="majorEastAsia" w:hAnsi="Arial Narrow" w:cstheme="majorBidi"/>
                <w:bCs/>
                <w:sz w:val="20"/>
              </w:rPr>
              <w:t xml:space="preserve"> The submission assumed that 100% and 35% of patients that progressed to the IRP health state would receive 1L and 2L subsequent treatments</w:t>
            </w:r>
            <w:r w:rsidR="00A07FFB">
              <w:rPr>
                <w:rFonts w:ascii="Arial Narrow" w:eastAsiaTheme="majorEastAsia" w:hAnsi="Arial Narrow" w:cstheme="majorBidi"/>
                <w:bCs/>
                <w:sz w:val="20"/>
              </w:rPr>
              <w:t>, respectively</w:t>
            </w:r>
            <w:r w:rsidRPr="00E54C74">
              <w:rPr>
                <w:rFonts w:ascii="Arial Narrow" w:eastAsiaTheme="majorEastAsia" w:hAnsi="Arial Narrow" w:cstheme="majorBidi"/>
                <w:bCs/>
                <w:sz w:val="20"/>
              </w:rPr>
              <w:t xml:space="preserve"> (1L treatment following progression to recurrent/metastatic disease and 2L treatment following progression of recurrent/metastatic disease). </w:t>
            </w:r>
            <w:r>
              <w:rPr>
                <w:rFonts w:ascii="Arial Narrow" w:eastAsiaTheme="majorEastAsia" w:hAnsi="Arial Narrow" w:cstheme="majorBidi"/>
                <w:bCs/>
                <w:sz w:val="20"/>
              </w:rPr>
              <w:t xml:space="preserve">Immunotherapies (nivolumab and pembrolizumab) were included as 1L treatments while chemotherapy regimens were included as 2L subsequent treatments in the SoC arm. Only chemotherapy regimens were included as subsequent treatments (1L and 2L) in the </w:t>
            </w:r>
            <w:proofErr w:type="spellStart"/>
            <w:r>
              <w:rPr>
                <w:rFonts w:ascii="Arial Narrow" w:eastAsiaTheme="majorEastAsia" w:hAnsi="Arial Narrow" w:cstheme="majorBidi"/>
                <w:bCs/>
                <w:sz w:val="20"/>
              </w:rPr>
              <w:t>PEM+SoC</w:t>
            </w:r>
            <w:proofErr w:type="spellEnd"/>
            <w:r>
              <w:rPr>
                <w:rFonts w:ascii="Arial Narrow" w:eastAsiaTheme="majorEastAsia" w:hAnsi="Arial Narrow" w:cstheme="majorBidi"/>
                <w:bCs/>
                <w:sz w:val="20"/>
              </w:rPr>
              <w:t xml:space="preserve"> arm </w:t>
            </w:r>
            <w:r w:rsidRPr="00415114">
              <w:rPr>
                <w:rFonts w:ascii="Arial Narrow" w:eastAsiaTheme="majorEastAsia" w:hAnsi="Arial Narrow" w:cstheme="majorBidi"/>
                <w:bCs/>
                <w:sz w:val="20"/>
              </w:rPr>
              <w:t>in line with the “once in a lifetime rule” for</w:t>
            </w:r>
            <w:r w:rsidR="003E4EAB">
              <w:rPr>
                <w:rFonts w:ascii="Arial Narrow" w:eastAsiaTheme="majorEastAsia" w:hAnsi="Arial Narrow" w:cstheme="majorBidi"/>
                <w:bCs/>
                <w:sz w:val="20"/>
              </w:rPr>
              <w:t xml:space="preserve"> the majority of</w:t>
            </w:r>
            <w:r w:rsidRPr="00415114">
              <w:rPr>
                <w:rFonts w:ascii="Arial Narrow" w:eastAsiaTheme="majorEastAsia" w:hAnsi="Arial Narrow" w:cstheme="majorBidi"/>
                <w:bCs/>
                <w:sz w:val="20"/>
              </w:rPr>
              <w:t xml:space="preserve"> immunotherapies</w:t>
            </w:r>
            <w:r w:rsidR="003E1F59">
              <w:rPr>
                <w:rFonts w:ascii="Arial Narrow" w:eastAsiaTheme="majorEastAsia" w:hAnsi="Arial Narrow" w:cstheme="majorBidi"/>
                <w:bCs/>
                <w:sz w:val="20"/>
              </w:rPr>
              <w:t xml:space="preserve"> that are PBS listed</w:t>
            </w:r>
            <w:r w:rsidRPr="00415114">
              <w:rPr>
                <w:rFonts w:ascii="Arial Narrow" w:eastAsiaTheme="majorEastAsia" w:hAnsi="Arial Narrow" w:cstheme="majorBidi"/>
                <w:bCs/>
                <w:sz w:val="20"/>
              </w:rPr>
              <w:t xml:space="preserve"> in Australia.</w:t>
            </w:r>
            <w:r>
              <w:rPr>
                <w:rFonts w:ascii="Arial Narrow" w:eastAsiaTheme="majorEastAsia" w:hAnsi="Arial Narrow" w:cstheme="majorBidi"/>
                <w:bCs/>
                <w:sz w:val="20"/>
              </w:rPr>
              <w:t xml:space="preserve"> </w:t>
            </w:r>
          </w:p>
        </w:tc>
      </w:tr>
      <w:tr w:rsidR="00032D12" w:rsidRPr="00E54C74" w14:paraId="562A66ED" w14:textId="77777777">
        <w:tc>
          <w:tcPr>
            <w:tcW w:w="1019" w:type="pct"/>
            <w:vAlign w:val="center"/>
          </w:tcPr>
          <w:p w14:paraId="353E58DF" w14:textId="77777777" w:rsidR="00032D12" w:rsidRDefault="00032D12" w:rsidP="00582B12">
            <w:pPr>
              <w:keepNext/>
              <w:keepLines/>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 xml:space="preserve">Costs </w:t>
            </w:r>
          </w:p>
        </w:tc>
        <w:tc>
          <w:tcPr>
            <w:tcW w:w="3981" w:type="pct"/>
            <w:vAlign w:val="center"/>
          </w:tcPr>
          <w:p w14:paraId="33E43DFA" w14:textId="0840B237" w:rsidR="00032D12" w:rsidRPr="008E1846" w:rsidRDefault="00032D12" w:rsidP="00582B12">
            <w:pPr>
              <w:keepNext/>
              <w:keepLines/>
              <w:widowControl w:val="0"/>
              <w:jc w:val="left"/>
              <w:rPr>
                <w:rFonts w:ascii="Arial Narrow" w:eastAsiaTheme="majorEastAsia" w:hAnsi="Arial Narrow" w:cstheme="majorBidi"/>
                <w:b/>
                <w:i/>
                <w:iCs/>
                <w:sz w:val="20"/>
              </w:rPr>
            </w:pPr>
            <w:r w:rsidRPr="00E54C74">
              <w:rPr>
                <w:rFonts w:ascii="Arial Narrow" w:eastAsiaTheme="majorEastAsia" w:hAnsi="Arial Narrow" w:cstheme="majorBidi"/>
                <w:bCs/>
                <w:sz w:val="20"/>
              </w:rPr>
              <w:t>Direct treatment costs, costs for disease management, subsequent treatment</w:t>
            </w:r>
            <w:r>
              <w:rPr>
                <w:rFonts w:ascii="Arial Narrow" w:eastAsiaTheme="majorEastAsia" w:hAnsi="Arial Narrow" w:cstheme="majorBidi"/>
                <w:bCs/>
                <w:sz w:val="20"/>
              </w:rPr>
              <w:t xml:space="preserve"> costs</w:t>
            </w:r>
            <w:r w:rsidRPr="00E54C74">
              <w:rPr>
                <w:rFonts w:ascii="Arial Narrow" w:eastAsiaTheme="majorEastAsia" w:hAnsi="Arial Narrow" w:cstheme="majorBidi"/>
                <w:bCs/>
                <w:sz w:val="20"/>
              </w:rPr>
              <w:t>, costs for treatment of AEs and terminal care costs were included.</w:t>
            </w:r>
            <w:r>
              <w:rPr>
                <w:rFonts w:ascii="Arial Narrow" w:eastAsiaTheme="majorEastAsia" w:hAnsi="Arial Narrow" w:cstheme="majorBidi"/>
                <w:bCs/>
                <w:sz w:val="20"/>
              </w:rPr>
              <w:t xml:space="preserve"> </w:t>
            </w:r>
          </w:p>
        </w:tc>
      </w:tr>
    </w:tbl>
    <w:p w14:paraId="33BB7A66" w14:textId="77777777" w:rsidR="00032D12" w:rsidRPr="00821A1E" w:rsidRDefault="00032D12" w:rsidP="00032D12">
      <w:pPr>
        <w:keepLines/>
        <w:spacing w:after="120"/>
        <w:contextualSpacing/>
        <w:jc w:val="left"/>
        <w:rPr>
          <w:rFonts w:ascii="Arial Narrow" w:hAnsi="Arial Narrow"/>
          <w:iCs/>
          <w:sz w:val="18"/>
        </w:rPr>
      </w:pPr>
      <w:r w:rsidRPr="00821A1E">
        <w:rPr>
          <w:rFonts w:ascii="Arial Narrow" w:hAnsi="Arial Narrow"/>
          <w:iCs/>
          <w:sz w:val="18"/>
        </w:rPr>
        <w:t xml:space="preserve">Source: tabulated during the evaluation. </w:t>
      </w:r>
    </w:p>
    <w:p w14:paraId="3A536EE6" w14:textId="77777777" w:rsidR="00032D12" w:rsidRPr="00E54C74" w:rsidRDefault="00032D12" w:rsidP="00032D12">
      <w:pPr>
        <w:keepLines/>
        <w:spacing w:after="120"/>
        <w:contextualSpacing/>
        <w:jc w:val="left"/>
        <w:rPr>
          <w:rFonts w:ascii="Arial Narrow" w:hAnsi="Arial Narrow"/>
          <w:snapToGrid w:val="0"/>
          <w:sz w:val="18"/>
          <w:szCs w:val="22"/>
        </w:rPr>
      </w:pPr>
      <w:r w:rsidRPr="00E54C74">
        <w:rPr>
          <w:rFonts w:ascii="Arial Narrow" w:hAnsi="Arial Narrow"/>
          <w:snapToGrid w:val="0"/>
          <w:sz w:val="18"/>
          <w:szCs w:val="22"/>
        </w:rPr>
        <w:lastRenderedPageBreak/>
        <w:t xml:space="preserve">1L = first line; 2L = second line; AE = adverse event; AEs = adverse events; EF = event free; EFS = event-free survival; EQ-5D-5L = EuroQoL 5-dimension  5-level; </w:t>
      </w:r>
      <w:proofErr w:type="spellStart"/>
      <w:r w:rsidRPr="00E54C74">
        <w:rPr>
          <w:rFonts w:ascii="Arial Narrow" w:hAnsi="Arial Narrow"/>
          <w:snapToGrid w:val="0"/>
          <w:sz w:val="18"/>
          <w:szCs w:val="22"/>
        </w:rPr>
        <w:t>HRQoL</w:t>
      </w:r>
      <w:proofErr w:type="spellEnd"/>
      <w:r w:rsidRPr="00E54C74">
        <w:rPr>
          <w:rFonts w:ascii="Arial Narrow" w:hAnsi="Arial Narrow"/>
          <w:snapToGrid w:val="0"/>
          <w:sz w:val="18"/>
          <w:szCs w:val="22"/>
        </w:rPr>
        <w:t xml:space="preserve"> = health-related quality of life; ICER = incremental cost-effectiveness ratio; IRP = incurable recurrence or progression; KM = Kaplan-Meier; LR  = local recurrence; LY = life year; MSE = mean squared error; OS = overall survival; QALY = quality adjusted life year ; SoC = standard of care</w:t>
      </w:r>
    </w:p>
    <w:p w14:paraId="2DD25136" w14:textId="77777777" w:rsidR="00032D12" w:rsidRPr="00E54C74" w:rsidRDefault="00032D12" w:rsidP="00032D12">
      <w:pPr>
        <w:keepLines/>
        <w:spacing w:after="120"/>
        <w:contextualSpacing/>
        <w:jc w:val="left"/>
        <w:rPr>
          <w:rFonts w:ascii="Arial Narrow" w:hAnsi="Arial Narrow"/>
          <w:snapToGrid w:val="0"/>
          <w:sz w:val="18"/>
          <w:szCs w:val="22"/>
        </w:rPr>
      </w:pPr>
      <w:r w:rsidRPr="00E54C74">
        <w:rPr>
          <w:rFonts w:ascii="Arial Narrow" w:hAnsi="Arial Narrow"/>
          <w:snapToGrid w:val="0"/>
          <w:sz w:val="18"/>
          <w:szCs w:val="22"/>
          <w:vertAlign w:val="superscript"/>
        </w:rPr>
        <w:t xml:space="preserve">a </w:t>
      </w:r>
      <w:r w:rsidRPr="00E54C74">
        <w:rPr>
          <w:rFonts w:ascii="Arial Narrow" w:hAnsi="Arial Narrow"/>
          <w:snapToGrid w:val="0"/>
          <w:sz w:val="18"/>
          <w:szCs w:val="22"/>
        </w:rPr>
        <w:t xml:space="preserve">Norman R, Mulhern B, </w:t>
      </w:r>
      <w:proofErr w:type="spellStart"/>
      <w:r w:rsidRPr="00E54C74">
        <w:rPr>
          <w:rFonts w:ascii="Arial Narrow" w:hAnsi="Arial Narrow"/>
          <w:snapToGrid w:val="0"/>
          <w:sz w:val="18"/>
          <w:szCs w:val="22"/>
        </w:rPr>
        <w:t>Lancsar</w:t>
      </w:r>
      <w:proofErr w:type="spellEnd"/>
      <w:r w:rsidRPr="00E54C74">
        <w:rPr>
          <w:rFonts w:ascii="Arial Narrow" w:hAnsi="Arial Narrow"/>
          <w:snapToGrid w:val="0"/>
          <w:sz w:val="18"/>
          <w:szCs w:val="22"/>
        </w:rPr>
        <w:t xml:space="preserve"> E, </w:t>
      </w:r>
      <w:proofErr w:type="spellStart"/>
      <w:r w:rsidRPr="00E54C74">
        <w:rPr>
          <w:rFonts w:ascii="Arial Narrow" w:hAnsi="Arial Narrow"/>
          <w:snapToGrid w:val="0"/>
          <w:sz w:val="18"/>
          <w:szCs w:val="22"/>
        </w:rPr>
        <w:t>Lorgelly</w:t>
      </w:r>
      <w:proofErr w:type="spellEnd"/>
      <w:r w:rsidRPr="00E54C74">
        <w:rPr>
          <w:rFonts w:ascii="Arial Narrow" w:hAnsi="Arial Narrow"/>
          <w:snapToGrid w:val="0"/>
          <w:sz w:val="18"/>
          <w:szCs w:val="22"/>
        </w:rPr>
        <w:t xml:space="preserve"> P, Ratcliffe J, Street D, Viney R. The Use of a Discrete Choice Experiment Including Both Duration and Dead for the Development of an EQ-5D-5L Value Set for Australia. Pharmacoeconomics. 2023 Apr;41(4):427-38.</w:t>
      </w:r>
    </w:p>
    <w:p w14:paraId="78824E6B" w14:textId="77777777" w:rsidR="00032D12" w:rsidRPr="00E54C74" w:rsidRDefault="00032D12" w:rsidP="00032D12">
      <w:pPr>
        <w:keepLines/>
        <w:spacing w:after="120"/>
        <w:contextualSpacing/>
        <w:jc w:val="left"/>
        <w:rPr>
          <w:rFonts w:ascii="Arial Narrow" w:hAnsi="Arial Narrow"/>
          <w:snapToGrid w:val="0"/>
          <w:sz w:val="18"/>
          <w:szCs w:val="22"/>
        </w:rPr>
      </w:pPr>
    </w:p>
    <w:p w14:paraId="3A075BDA" w14:textId="2BD3D457" w:rsidR="00032D12" w:rsidRPr="00DE49A7" w:rsidRDefault="00032D12" w:rsidP="00234453">
      <w:pPr>
        <w:numPr>
          <w:ilvl w:val="1"/>
          <w:numId w:val="7"/>
        </w:numPr>
        <w:spacing w:before="60" w:after="60"/>
        <w:rPr>
          <w:rFonts w:asciiTheme="minorHAnsi" w:eastAsiaTheme="minorHAnsi" w:hAnsiTheme="minorHAnsi" w:cstheme="minorBidi"/>
          <w:szCs w:val="22"/>
        </w:rPr>
      </w:pPr>
      <w:bookmarkStart w:id="102" w:name="_Ref213933210"/>
      <w:r w:rsidRPr="00DE49A7">
        <w:rPr>
          <w:rFonts w:asciiTheme="minorHAnsi" w:eastAsiaTheme="minorHAnsi" w:hAnsiTheme="minorHAnsi" w:cstheme="minorBidi"/>
          <w:szCs w:val="22"/>
        </w:rPr>
        <w:t>The submission constructed a Markov model which included four health states: event-free (EF), local recurrence (LR), incurable recurrence/progression (IRP) and death. All patients entered the model in the EF health state and receive</w:t>
      </w:r>
      <w:r w:rsidR="001C1E3F">
        <w:rPr>
          <w:rFonts w:asciiTheme="minorHAnsi" w:eastAsiaTheme="minorHAnsi" w:hAnsiTheme="minorHAnsi" w:cstheme="minorBidi"/>
          <w:szCs w:val="22"/>
        </w:rPr>
        <w:t>d</w:t>
      </w:r>
      <w:r w:rsidRPr="00DE49A7">
        <w:rPr>
          <w:rFonts w:asciiTheme="minorHAnsi" w:eastAsiaTheme="minorHAnsi" w:hAnsiTheme="minorHAnsi" w:cstheme="minorBidi"/>
          <w:szCs w:val="22"/>
        </w:rPr>
        <w:t xml:space="preserve"> either </w:t>
      </w:r>
      <w:proofErr w:type="spellStart"/>
      <w:r w:rsidRPr="00DE49A7">
        <w:rPr>
          <w:rFonts w:asciiTheme="minorHAnsi" w:eastAsiaTheme="minorHAnsi" w:hAnsiTheme="minorHAnsi" w:cstheme="minorBidi"/>
          <w:szCs w:val="22"/>
        </w:rPr>
        <w:t>PEM+SoC</w:t>
      </w:r>
      <w:proofErr w:type="spellEnd"/>
      <w:r w:rsidRPr="00DE49A7">
        <w:rPr>
          <w:rFonts w:asciiTheme="minorHAnsi" w:eastAsiaTheme="minorHAnsi" w:hAnsiTheme="minorHAnsi" w:cstheme="minorBidi"/>
          <w:szCs w:val="22"/>
        </w:rPr>
        <w:t xml:space="preserve"> or </w:t>
      </w:r>
      <w:proofErr w:type="spellStart"/>
      <w:r w:rsidRPr="00DE49A7">
        <w:rPr>
          <w:rFonts w:asciiTheme="minorHAnsi" w:eastAsiaTheme="minorHAnsi" w:hAnsiTheme="minorHAnsi" w:cstheme="minorBidi"/>
          <w:szCs w:val="22"/>
        </w:rPr>
        <w:t>SoC.</w:t>
      </w:r>
      <w:proofErr w:type="spellEnd"/>
      <w:r w:rsidRPr="00DE49A7">
        <w:rPr>
          <w:rFonts w:asciiTheme="minorHAnsi" w:eastAsiaTheme="minorHAnsi" w:hAnsiTheme="minorHAnsi" w:cstheme="minorBidi"/>
          <w:szCs w:val="22"/>
        </w:rPr>
        <w:t xml:space="preserve"> A time horizon of 25 years was nominated in the base case analysis, based on a median follow-up for OS of 27.1 months in the KN689 trial. The </w:t>
      </w:r>
      <w:r w:rsidR="00BA3085" w:rsidRPr="00477630">
        <w:rPr>
          <w:rFonts w:asciiTheme="minorHAnsi" w:eastAsiaTheme="minorHAnsi" w:hAnsiTheme="minorHAnsi" w:cstheme="minorBidi"/>
          <w:iCs/>
          <w:szCs w:val="22"/>
        </w:rPr>
        <w:t>ESC</w:t>
      </w:r>
      <w:r w:rsidR="00CA6577" w:rsidRPr="00477630">
        <w:rPr>
          <w:rFonts w:asciiTheme="minorHAnsi" w:eastAsiaTheme="minorHAnsi" w:hAnsiTheme="minorHAnsi" w:cstheme="minorBidi"/>
          <w:iCs/>
          <w:szCs w:val="22"/>
        </w:rPr>
        <w:t xml:space="preserve"> </w:t>
      </w:r>
      <w:r w:rsidR="003D23EE" w:rsidRPr="00477630">
        <w:rPr>
          <w:rFonts w:asciiTheme="minorHAnsi" w:eastAsiaTheme="minorHAnsi" w:hAnsiTheme="minorHAnsi" w:cstheme="minorBidi"/>
          <w:iCs/>
          <w:szCs w:val="22"/>
        </w:rPr>
        <w:t>noted that the median age of diagnosis is 6</w:t>
      </w:r>
      <w:r w:rsidR="00E1779F" w:rsidRPr="00477630">
        <w:rPr>
          <w:rFonts w:asciiTheme="minorHAnsi" w:eastAsiaTheme="minorHAnsi" w:hAnsiTheme="minorHAnsi" w:cstheme="minorBidi"/>
          <w:iCs/>
          <w:szCs w:val="22"/>
        </w:rPr>
        <w:t>5</w:t>
      </w:r>
      <w:r w:rsidR="003D23EE" w:rsidRPr="00477630">
        <w:rPr>
          <w:rFonts w:asciiTheme="minorHAnsi" w:eastAsiaTheme="minorHAnsi" w:hAnsiTheme="minorHAnsi" w:cstheme="minorBidi"/>
          <w:iCs/>
          <w:szCs w:val="22"/>
        </w:rPr>
        <w:t xml:space="preserve"> </w:t>
      </w:r>
      <w:r w:rsidR="00096337" w:rsidRPr="00477630">
        <w:rPr>
          <w:rFonts w:asciiTheme="minorHAnsi" w:eastAsiaTheme="minorHAnsi" w:hAnsiTheme="minorHAnsi" w:cstheme="minorBidi"/>
          <w:iCs/>
          <w:szCs w:val="22"/>
        </w:rPr>
        <w:t xml:space="preserve">years </w:t>
      </w:r>
      <w:r w:rsidR="003D23EE" w:rsidRPr="00477630">
        <w:rPr>
          <w:rFonts w:asciiTheme="minorHAnsi" w:eastAsiaTheme="minorHAnsi" w:hAnsiTheme="minorHAnsi" w:cstheme="minorBidi"/>
          <w:iCs/>
          <w:szCs w:val="22"/>
        </w:rPr>
        <w:t xml:space="preserve">and that this patient population often </w:t>
      </w:r>
      <w:r w:rsidR="00633627" w:rsidRPr="00477630">
        <w:rPr>
          <w:rFonts w:asciiTheme="minorHAnsi" w:eastAsiaTheme="minorHAnsi" w:hAnsiTheme="minorHAnsi" w:cstheme="minorBidi"/>
          <w:iCs/>
          <w:szCs w:val="22"/>
        </w:rPr>
        <w:t>has</w:t>
      </w:r>
      <w:r w:rsidR="003D23EE" w:rsidRPr="00477630">
        <w:rPr>
          <w:rFonts w:asciiTheme="minorHAnsi" w:eastAsiaTheme="minorHAnsi" w:hAnsiTheme="minorHAnsi" w:cstheme="minorBidi"/>
          <w:iCs/>
          <w:szCs w:val="22"/>
        </w:rPr>
        <w:t xml:space="preserve"> multiple comorbidities. For </w:t>
      </w:r>
      <w:r w:rsidR="00633627" w:rsidRPr="00477630">
        <w:rPr>
          <w:rFonts w:asciiTheme="minorHAnsi" w:eastAsiaTheme="minorHAnsi" w:hAnsiTheme="minorHAnsi" w:cstheme="minorBidi"/>
          <w:iCs/>
          <w:szCs w:val="22"/>
        </w:rPr>
        <w:t>these</w:t>
      </w:r>
      <w:r w:rsidR="003D23EE" w:rsidRPr="00477630">
        <w:rPr>
          <w:rFonts w:asciiTheme="minorHAnsi" w:eastAsiaTheme="minorHAnsi" w:hAnsiTheme="minorHAnsi" w:cstheme="minorBidi"/>
          <w:iCs/>
          <w:szCs w:val="22"/>
        </w:rPr>
        <w:t xml:space="preserve"> reason</w:t>
      </w:r>
      <w:r w:rsidR="00EB7941" w:rsidRPr="00477630">
        <w:rPr>
          <w:rFonts w:asciiTheme="minorHAnsi" w:eastAsiaTheme="minorHAnsi" w:hAnsiTheme="minorHAnsi" w:cstheme="minorBidi"/>
          <w:iCs/>
          <w:szCs w:val="22"/>
        </w:rPr>
        <w:t>s</w:t>
      </w:r>
      <w:r w:rsidR="003D23EE" w:rsidRPr="00477630">
        <w:rPr>
          <w:rFonts w:asciiTheme="minorHAnsi" w:eastAsiaTheme="minorHAnsi" w:hAnsiTheme="minorHAnsi" w:cstheme="minorBidi"/>
          <w:iCs/>
          <w:szCs w:val="22"/>
        </w:rPr>
        <w:t xml:space="preserve">, the ESC considered a time horizon of 15 years may be more appropriate. </w:t>
      </w:r>
      <w:r w:rsidRPr="00DE49A7">
        <w:rPr>
          <w:rFonts w:asciiTheme="minorHAnsi" w:eastAsiaTheme="minorHAnsi" w:hAnsiTheme="minorHAnsi" w:cstheme="minorBidi"/>
          <w:szCs w:val="22"/>
        </w:rPr>
        <w:t xml:space="preserve"> </w:t>
      </w:r>
      <w:r w:rsidR="005129C6">
        <w:rPr>
          <w:rFonts w:asciiTheme="minorHAnsi" w:eastAsiaTheme="minorHAnsi" w:hAnsiTheme="minorHAnsi" w:cstheme="minorBidi"/>
          <w:szCs w:val="22"/>
        </w:rPr>
        <w:t xml:space="preserve">The </w:t>
      </w:r>
      <w:r w:rsidR="00E1197A">
        <w:rPr>
          <w:rFonts w:asciiTheme="minorHAnsi" w:eastAsiaTheme="minorHAnsi" w:hAnsiTheme="minorHAnsi" w:cstheme="minorBidi"/>
          <w:szCs w:val="22"/>
        </w:rPr>
        <w:t>p</w:t>
      </w:r>
      <w:r w:rsidR="005129C6">
        <w:rPr>
          <w:rFonts w:asciiTheme="minorHAnsi" w:eastAsiaTheme="minorHAnsi" w:hAnsiTheme="minorHAnsi" w:cstheme="minorBidi"/>
          <w:szCs w:val="22"/>
        </w:rPr>
        <w:t xml:space="preserve">re-PBAC </w:t>
      </w:r>
      <w:r w:rsidR="00E1197A">
        <w:rPr>
          <w:rFonts w:asciiTheme="minorHAnsi" w:eastAsiaTheme="minorHAnsi" w:hAnsiTheme="minorHAnsi" w:cstheme="minorBidi"/>
          <w:szCs w:val="22"/>
        </w:rPr>
        <w:t>R</w:t>
      </w:r>
      <w:r w:rsidR="005129C6">
        <w:rPr>
          <w:rFonts w:asciiTheme="minorHAnsi" w:eastAsiaTheme="minorHAnsi" w:hAnsiTheme="minorHAnsi" w:cstheme="minorBidi"/>
          <w:szCs w:val="22"/>
        </w:rPr>
        <w:t xml:space="preserve">esponse provided a revised base case </w:t>
      </w:r>
      <w:r w:rsidR="00D33A46">
        <w:rPr>
          <w:rFonts w:asciiTheme="minorHAnsi" w:eastAsiaTheme="minorHAnsi" w:hAnsiTheme="minorHAnsi" w:cstheme="minorBidi"/>
          <w:szCs w:val="22"/>
        </w:rPr>
        <w:t>that</w:t>
      </w:r>
      <w:r w:rsidR="005129C6">
        <w:rPr>
          <w:rFonts w:asciiTheme="minorHAnsi" w:eastAsiaTheme="minorHAnsi" w:hAnsiTheme="minorHAnsi" w:cstheme="minorBidi"/>
          <w:szCs w:val="22"/>
        </w:rPr>
        <w:t xml:space="preserve"> included a </w:t>
      </w:r>
      <w:r w:rsidR="008436CB">
        <w:rPr>
          <w:rFonts w:asciiTheme="minorHAnsi" w:eastAsiaTheme="minorHAnsi" w:hAnsiTheme="minorHAnsi" w:cstheme="minorBidi"/>
          <w:szCs w:val="22"/>
        </w:rPr>
        <w:t>shorter</w:t>
      </w:r>
      <w:r w:rsidR="005129C6">
        <w:rPr>
          <w:rFonts w:asciiTheme="minorHAnsi" w:eastAsiaTheme="minorHAnsi" w:hAnsiTheme="minorHAnsi" w:cstheme="minorBidi"/>
          <w:szCs w:val="22"/>
        </w:rPr>
        <w:t xml:space="preserve"> time horizon of 20 years</w:t>
      </w:r>
      <w:r w:rsidR="00D347CF">
        <w:rPr>
          <w:rFonts w:asciiTheme="minorHAnsi" w:eastAsiaTheme="minorHAnsi" w:hAnsiTheme="minorHAnsi" w:cstheme="minorBidi"/>
          <w:szCs w:val="22"/>
        </w:rPr>
        <w:t xml:space="preserve"> (see </w:t>
      </w:r>
      <w:r w:rsidR="00D347CF" w:rsidRPr="00C07C11">
        <w:rPr>
          <w:rFonts w:asciiTheme="minorHAnsi" w:eastAsiaTheme="minorHAnsi" w:hAnsiTheme="minorHAnsi" w:cstheme="minorBidi"/>
          <w:szCs w:val="22"/>
        </w:rPr>
        <w:t xml:space="preserve">paragraph </w:t>
      </w:r>
      <w:r w:rsidR="00C07C11" w:rsidRPr="00C07C11">
        <w:rPr>
          <w:rFonts w:asciiTheme="minorHAnsi" w:eastAsiaTheme="minorHAnsi" w:hAnsiTheme="minorHAnsi" w:cstheme="minorBidi"/>
          <w:szCs w:val="22"/>
        </w:rPr>
        <w:fldChar w:fldCharType="begin"/>
      </w:r>
      <w:r w:rsidR="00C07C11" w:rsidRPr="00C07C11">
        <w:rPr>
          <w:rFonts w:asciiTheme="minorHAnsi" w:eastAsiaTheme="minorHAnsi" w:hAnsiTheme="minorHAnsi" w:cstheme="minorBidi"/>
          <w:szCs w:val="22"/>
        </w:rPr>
        <w:instrText xml:space="preserve"> REF _Ref213926867 \r \h </w:instrText>
      </w:r>
      <w:r w:rsidR="00C07C11">
        <w:rPr>
          <w:rFonts w:asciiTheme="minorHAnsi" w:eastAsiaTheme="minorHAnsi" w:hAnsiTheme="minorHAnsi" w:cstheme="minorBidi"/>
          <w:szCs w:val="22"/>
        </w:rPr>
        <w:instrText xml:space="preserve"> \* MERGEFORMAT </w:instrText>
      </w:r>
      <w:r w:rsidR="00C07C11" w:rsidRPr="00C07C11">
        <w:rPr>
          <w:rFonts w:asciiTheme="minorHAnsi" w:eastAsiaTheme="minorHAnsi" w:hAnsiTheme="minorHAnsi" w:cstheme="minorBidi"/>
          <w:szCs w:val="22"/>
        </w:rPr>
      </w:r>
      <w:r w:rsidR="00C07C11" w:rsidRPr="00C07C11">
        <w:rPr>
          <w:rFonts w:asciiTheme="minorHAnsi" w:eastAsiaTheme="minorHAnsi" w:hAnsiTheme="minorHAnsi" w:cstheme="minorBidi"/>
          <w:szCs w:val="22"/>
        </w:rPr>
        <w:fldChar w:fldCharType="separate"/>
      </w:r>
      <w:r w:rsidR="0084087D">
        <w:rPr>
          <w:rFonts w:asciiTheme="minorHAnsi" w:eastAsiaTheme="minorHAnsi" w:hAnsiTheme="minorHAnsi" w:cstheme="minorBidi"/>
          <w:szCs w:val="22"/>
        </w:rPr>
        <w:t>6.66</w:t>
      </w:r>
      <w:r w:rsidR="00C07C11" w:rsidRPr="00C07C11">
        <w:rPr>
          <w:rFonts w:asciiTheme="minorHAnsi" w:eastAsiaTheme="minorHAnsi" w:hAnsiTheme="minorHAnsi" w:cstheme="minorBidi"/>
          <w:szCs w:val="22"/>
        </w:rPr>
        <w:fldChar w:fldCharType="end"/>
      </w:r>
      <w:r w:rsidR="00C07C11">
        <w:rPr>
          <w:rFonts w:asciiTheme="minorHAnsi" w:eastAsiaTheme="minorHAnsi" w:hAnsiTheme="minorHAnsi" w:cstheme="minorBidi"/>
          <w:szCs w:val="22"/>
        </w:rPr>
        <w:t xml:space="preserve"> and </w:t>
      </w:r>
      <w:r w:rsidR="00C07C11" w:rsidRPr="00C07C11">
        <w:rPr>
          <w:rFonts w:asciiTheme="minorHAnsi" w:eastAsiaTheme="minorHAnsi" w:hAnsiTheme="minorHAnsi" w:cstheme="minorBidi"/>
          <w:szCs w:val="22"/>
        </w:rPr>
        <w:fldChar w:fldCharType="begin"/>
      </w:r>
      <w:r w:rsidR="00C07C11">
        <w:rPr>
          <w:rFonts w:asciiTheme="minorHAnsi" w:eastAsiaTheme="minorHAnsi" w:hAnsiTheme="minorHAnsi" w:cstheme="minorBidi"/>
          <w:szCs w:val="22"/>
        </w:rPr>
        <w:instrText xml:space="preserve"> REF _Ref213924305 \h  \* MERGEFORMAT </w:instrText>
      </w:r>
      <w:r w:rsidR="00C07C11" w:rsidRPr="00C07C11">
        <w:rPr>
          <w:rFonts w:asciiTheme="minorHAnsi" w:eastAsiaTheme="minorHAnsi" w:hAnsiTheme="minorHAnsi" w:cstheme="minorBidi"/>
          <w:szCs w:val="22"/>
        </w:rPr>
      </w:r>
      <w:r w:rsidR="00C07C11" w:rsidRPr="00C07C11">
        <w:rPr>
          <w:rFonts w:asciiTheme="minorHAnsi" w:eastAsiaTheme="minorHAnsi" w:hAnsiTheme="minorHAnsi" w:cstheme="minorBidi"/>
          <w:szCs w:val="22"/>
        </w:rPr>
        <w:fldChar w:fldCharType="separate"/>
      </w:r>
      <w:r w:rsidR="0084087D" w:rsidRPr="0084087D">
        <w:rPr>
          <w:rFonts w:asciiTheme="minorHAnsi" w:eastAsiaTheme="minorHAnsi" w:hAnsiTheme="minorHAnsi" w:cstheme="minorBidi"/>
          <w:szCs w:val="22"/>
        </w:rPr>
        <w:t>Table 14</w:t>
      </w:r>
      <w:r w:rsidR="00C07C11" w:rsidRPr="00C07C11">
        <w:rPr>
          <w:rFonts w:asciiTheme="minorHAnsi" w:eastAsiaTheme="minorHAnsi" w:hAnsiTheme="minorHAnsi" w:cstheme="minorBidi"/>
          <w:szCs w:val="22"/>
        </w:rPr>
        <w:fldChar w:fldCharType="end"/>
      </w:r>
      <w:r w:rsidR="00D347CF">
        <w:rPr>
          <w:rFonts w:asciiTheme="minorHAnsi" w:eastAsiaTheme="minorHAnsi" w:hAnsiTheme="minorHAnsi" w:cstheme="minorBidi"/>
          <w:szCs w:val="22"/>
        </w:rPr>
        <w:t>)</w:t>
      </w:r>
      <w:r w:rsidR="005129C6">
        <w:rPr>
          <w:rFonts w:asciiTheme="minorHAnsi" w:eastAsiaTheme="minorHAnsi" w:hAnsiTheme="minorHAnsi" w:cstheme="minorBidi"/>
          <w:szCs w:val="22"/>
        </w:rPr>
        <w:t>.</w:t>
      </w:r>
      <w:r w:rsidR="000C2019">
        <w:rPr>
          <w:rFonts w:asciiTheme="minorHAnsi" w:eastAsiaTheme="minorHAnsi" w:hAnsiTheme="minorHAnsi" w:cstheme="minorBidi"/>
          <w:szCs w:val="22"/>
        </w:rPr>
        <w:t xml:space="preserve"> The </w:t>
      </w:r>
      <w:r w:rsidR="00D33A46">
        <w:rPr>
          <w:rFonts w:asciiTheme="minorHAnsi" w:eastAsiaTheme="minorHAnsi" w:hAnsiTheme="minorHAnsi" w:cstheme="minorBidi"/>
          <w:szCs w:val="22"/>
        </w:rPr>
        <w:t>p</w:t>
      </w:r>
      <w:r w:rsidR="00AD5D19">
        <w:rPr>
          <w:rFonts w:asciiTheme="minorHAnsi" w:eastAsiaTheme="minorHAnsi" w:hAnsiTheme="minorHAnsi" w:cstheme="minorBidi"/>
          <w:szCs w:val="22"/>
        </w:rPr>
        <w:t xml:space="preserve">re-PBAC </w:t>
      </w:r>
      <w:r w:rsidR="00D33A46">
        <w:rPr>
          <w:rFonts w:asciiTheme="minorHAnsi" w:eastAsiaTheme="minorHAnsi" w:hAnsiTheme="minorHAnsi" w:cstheme="minorBidi"/>
          <w:szCs w:val="22"/>
        </w:rPr>
        <w:t>R</w:t>
      </w:r>
      <w:r w:rsidR="00AD5D19">
        <w:rPr>
          <w:rFonts w:asciiTheme="minorHAnsi" w:eastAsiaTheme="minorHAnsi" w:hAnsiTheme="minorHAnsi" w:cstheme="minorBidi"/>
          <w:szCs w:val="22"/>
        </w:rPr>
        <w:t xml:space="preserve">esponse </w:t>
      </w:r>
      <w:r w:rsidR="008436CB">
        <w:rPr>
          <w:rFonts w:asciiTheme="minorHAnsi" w:eastAsiaTheme="minorHAnsi" w:hAnsiTheme="minorHAnsi" w:cstheme="minorBidi"/>
          <w:szCs w:val="22"/>
        </w:rPr>
        <w:t>considered</w:t>
      </w:r>
      <w:r w:rsidR="001F78EC">
        <w:rPr>
          <w:rFonts w:asciiTheme="minorHAnsi" w:eastAsiaTheme="minorHAnsi" w:hAnsiTheme="minorHAnsi" w:cstheme="minorBidi"/>
          <w:szCs w:val="22"/>
        </w:rPr>
        <w:t xml:space="preserve"> that</w:t>
      </w:r>
      <w:r w:rsidR="000C2019">
        <w:rPr>
          <w:rFonts w:asciiTheme="minorHAnsi" w:eastAsiaTheme="minorHAnsi" w:hAnsiTheme="minorHAnsi" w:cstheme="minorBidi"/>
          <w:szCs w:val="22"/>
        </w:rPr>
        <w:t xml:space="preserve"> a 15-year time horizon</w:t>
      </w:r>
      <w:r w:rsidR="001F78EC">
        <w:rPr>
          <w:rFonts w:asciiTheme="minorHAnsi" w:eastAsiaTheme="minorHAnsi" w:hAnsiTheme="minorHAnsi" w:cstheme="minorBidi"/>
          <w:szCs w:val="22"/>
        </w:rPr>
        <w:t xml:space="preserve"> would be</w:t>
      </w:r>
      <w:r w:rsidR="000C2019">
        <w:rPr>
          <w:rFonts w:asciiTheme="minorHAnsi" w:eastAsiaTheme="minorHAnsi" w:hAnsiTheme="minorHAnsi" w:cstheme="minorBidi"/>
          <w:szCs w:val="22"/>
        </w:rPr>
        <w:t xml:space="preserve"> </w:t>
      </w:r>
      <w:r w:rsidR="000C2019" w:rsidRPr="000C2019">
        <w:rPr>
          <w:rFonts w:asciiTheme="minorHAnsi" w:eastAsiaTheme="minorHAnsi" w:hAnsiTheme="minorHAnsi" w:cstheme="minorBidi"/>
          <w:szCs w:val="22"/>
        </w:rPr>
        <w:t>overly conservative given the early setting</w:t>
      </w:r>
      <w:r w:rsidR="00AD5D19">
        <w:rPr>
          <w:rFonts w:asciiTheme="minorHAnsi" w:eastAsiaTheme="minorHAnsi" w:hAnsiTheme="minorHAnsi" w:cstheme="minorBidi"/>
          <w:szCs w:val="22"/>
        </w:rPr>
        <w:t xml:space="preserve"> of disease</w:t>
      </w:r>
      <w:r w:rsidR="000C2019" w:rsidRPr="000C2019">
        <w:rPr>
          <w:rFonts w:asciiTheme="minorHAnsi" w:eastAsiaTheme="minorHAnsi" w:hAnsiTheme="minorHAnsi" w:cstheme="minorBidi"/>
          <w:szCs w:val="22"/>
        </w:rPr>
        <w:t xml:space="preserve"> and </w:t>
      </w:r>
      <w:r w:rsidR="005B7997">
        <w:rPr>
          <w:rFonts w:asciiTheme="minorHAnsi" w:eastAsiaTheme="minorHAnsi" w:hAnsiTheme="minorHAnsi" w:cstheme="minorBidi"/>
          <w:szCs w:val="22"/>
        </w:rPr>
        <w:t>also considered</w:t>
      </w:r>
      <w:r w:rsidR="002E47EF">
        <w:rPr>
          <w:rFonts w:asciiTheme="minorHAnsi" w:eastAsiaTheme="minorHAnsi" w:hAnsiTheme="minorHAnsi" w:cstheme="minorBidi"/>
          <w:szCs w:val="22"/>
        </w:rPr>
        <w:t xml:space="preserve"> that it </w:t>
      </w:r>
      <w:r w:rsidR="001F78EC">
        <w:rPr>
          <w:rFonts w:asciiTheme="minorHAnsi" w:eastAsiaTheme="minorHAnsi" w:hAnsiTheme="minorHAnsi" w:cstheme="minorBidi"/>
          <w:szCs w:val="22"/>
        </w:rPr>
        <w:t>would be</w:t>
      </w:r>
      <w:r w:rsidR="002E47EF">
        <w:rPr>
          <w:rFonts w:asciiTheme="minorHAnsi" w:eastAsiaTheme="minorHAnsi" w:hAnsiTheme="minorHAnsi" w:cstheme="minorBidi"/>
          <w:szCs w:val="22"/>
        </w:rPr>
        <w:t xml:space="preserve"> </w:t>
      </w:r>
      <w:r w:rsidR="000C2019" w:rsidRPr="000C2019">
        <w:rPr>
          <w:rFonts w:asciiTheme="minorHAnsi" w:eastAsiaTheme="minorHAnsi" w:hAnsiTheme="minorHAnsi" w:cstheme="minorBidi"/>
          <w:szCs w:val="22"/>
        </w:rPr>
        <w:t>inconsistent with</w:t>
      </w:r>
      <w:r w:rsidR="005B7997">
        <w:rPr>
          <w:rFonts w:asciiTheme="minorHAnsi" w:eastAsiaTheme="minorHAnsi" w:hAnsiTheme="minorHAnsi" w:cstheme="minorBidi"/>
          <w:szCs w:val="22"/>
        </w:rPr>
        <w:t xml:space="preserve"> previous</w:t>
      </w:r>
      <w:r w:rsidR="000C2019" w:rsidRPr="000C2019">
        <w:rPr>
          <w:rFonts w:asciiTheme="minorHAnsi" w:eastAsiaTheme="minorHAnsi" w:hAnsiTheme="minorHAnsi" w:cstheme="minorBidi"/>
          <w:szCs w:val="22"/>
        </w:rPr>
        <w:t xml:space="preserve"> </w:t>
      </w:r>
      <w:r w:rsidR="001F78EC">
        <w:rPr>
          <w:rFonts w:asciiTheme="minorHAnsi" w:eastAsiaTheme="minorHAnsi" w:hAnsiTheme="minorHAnsi" w:cstheme="minorBidi"/>
          <w:szCs w:val="22"/>
        </w:rPr>
        <w:t xml:space="preserve">economic </w:t>
      </w:r>
      <w:r w:rsidR="005B7997">
        <w:rPr>
          <w:rFonts w:asciiTheme="minorHAnsi" w:eastAsiaTheme="minorHAnsi" w:hAnsiTheme="minorHAnsi" w:cstheme="minorBidi"/>
          <w:szCs w:val="22"/>
        </w:rPr>
        <w:t>models considered</w:t>
      </w:r>
      <w:r w:rsidR="000C2019" w:rsidRPr="000C2019">
        <w:rPr>
          <w:rFonts w:asciiTheme="minorHAnsi" w:eastAsiaTheme="minorHAnsi" w:hAnsiTheme="minorHAnsi" w:cstheme="minorBidi"/>
          <w:szCs w:val="22"/>
        </w:rPr>
        <w:t xml:space="preserve"> for pembrolizumab</w:t>
      </w:r>
      <w:r w:rsidR="005B7997">
        <w:rPr>
          <w:rFonts w:asciiTheme="minorHAnsi" w:eastAsiaTheme="minorHAnsi" w:hAnsiTheme="minorHAnsi" w:cstheme="minorBidi"/>
          <w:szCs w:val="22"/>
        </w:rPr>
        <w:t>,</w:t>
      </w:r>
      <w:r w:rsidR="000C2019" w:rsidRPr="000C2019">
        <w:rPr>
          <w:rFonts w:asciiTheme="minorHAnsi" w:eastAsiaTheme="minorHAnsi" w:hAnsiTheme="minorHAnsi" w:cstheme="minorBidi"/>
          <w:szCs w:val="22"/>
        </w:rPr>
        <w:t xml:space="preserve"> where 25 and 30 years</w:t>
      </w:r>
      <w:r w:rsidR="005B7997">
        <w:rPr>
          <w:rFonts w:asciiTheme="minorHAnsi" w:eastAsiaTheme="minorHAnsi" w:hAnsiTheme="minorHAnsi" w:cstheme="minorBidi"/>
          <w:szCs w:val="22"/>
        </w:rPr>
        <w:t>,</w:t>
      </w:r>
      <w:r w:rsidR="000C2019" w:rsidRPr="000C2019">
        <w:rPr>
          <w:rFonts w:asciiTheme="minorHAnsi" w:eastAsiaTheme="minorHAnsi" w:hAnsiTheme="minorHAnsi" w:cstheme="minorBidi"/>
          <w:szCs w:val="22"/>
        </w:rPr>
        <w:t xml:space="preserve"> ha</w:t>
      </w:r>
      <w:r w:rsidR="00D623B1">
        <w:rPr>
          <w:rFonts w:asciiTheme="minorHAnsi" w:eastAsiaTheme="minorHAnsi" w:hAnsiTheme="minorHAnsi" w:cstheme="minorBidi"/>
          <w:szCs w:val="22"/>
        </w:rPr>
        <w:t>d</w:t>
      </w:r>
      <w:r w:rsidR="000C2019" w:rsidRPr="000C2019">
        <w:rPr>
          <w:rFonts w:asciiTheme="minorHAnsi" w:eastAsiaTheme="minorHAnsi" w:hAnsiTheme="minorHAnsi" w:cstheme="minorBidi"/>
          <w:szCs w:val="22"/>
        </w:rPr>
        <w:t xml:space="preserve"> been </w:t>
      </w:r>
      <w:r w:rsidR="005B7997">
        <w:rPr>
          <w:rFonts w:asciiTheme="minorHAnsi" w:eastAsiaTheme="minorHAnsi" w:hAnsiTheme="minorHAnsi" w:cstheme="minorBidi"/>
          <w:szCs w:val="22"/>
        </w:rPr>
        <w:t>accepted</w:t>
      </w:r>
      <w:r w:rsidR="000C2019" w:rsidRPr="000C2019">
        <w:rPr>
          <w:rFonts w:asciiTheme="minorHAnsi" w:eastAsiaTheme="minorHAnsi" w:hAnsiTheme="minorHAnsi" w:cstheme="minorBidi"/>
          <w:szCs w:val="22"/>
        </w:rPr>
        <w:t>.</w:t>
      </w:r>
      <w:bookmarkEnd w:id="102"/>
    </w:p>
    <w:p w14:paraId="475B9323" w14:textId="4504981D" w:rsidR="00032D12" w:rsidRDefault="00032D12" w:rsidP="00234453">
      <w:pPr>
        <w:numPr>
          <w:ilvl w:val="1"/>
          <w:numId w:val="7"/>
        </w:numPr>
        <w:spacing w:before="60" w:after="60"/>
        <w:rPr>
          <w:rFonts w:asciiTheme="minorHAnsi" w:eastAsiaTheme="minorHAnsi" w:hAnsiTheme="minorHAnsi" w:cstheme="minorBidi"/>
          <w:szCs w:val="22"/>
        </w:rPr>
      </w:pPr>
      <w:r w:rsidRPr="00DE49A7">
        <w:rPr>
          <w:rFonts w:asciiTheme="minorHAnsi" w:eastAsiaTheme="minorHAnsi" w:hAnsiTheme="minorHAnsi" w:cstheme="minorBidi"/>
          <w:szCs w:val="22"/>
        </w:rPr>
        <w:t>The submission utilised a multistate parametric modelling approach to estimate the transition probabilities in the economic model</w:t>
      </w:r>
      <w:r w:rsidR="00BC5F9C">
        <w:rPr>
          <w:rFonts w:asciiTheme="minorHAnsi" w:eastAsiaTheme="minorHAnsi" w:hAnsiTheme="minorHAnsi" w:cstheme="minorBidi"/>
          <w:szCs w:val="22"/>
        </w:rPr>
        <w:t>,</w:t>
      </w:r>
      <w:r w:rsidRPr="00DE49A7">
        <w:rPr>
          <w:rFonts w:asciiTheme="minorHAnsi" w:eastAsiaTheme="minorHAnsi" w:hAnsiTheme="minorHAnsi" w:cstheme="minorBidi"/>
          <w:szCs w:val="22"/>
        </w:rPr>
        <w:t xml:space="preserve"> as described by Williams, Lewsey, Briggs and Mackay (2017)</w:t>
      </w:r>
      <w:r w:rsidRPr="00DE49A7">
        <w:rPr>
          <w:rStyle w:val="FootnoteReference"/>
          <w:rFonts w:asciiTheme="minorHAnsi" w:eastAsiaTheme="minorHAnsi" w:hAnsiTheme="minorHAnsi" w:cstheme="minorBidi"/>
          <w:szCs w:val="22"/>
        </w:rPr>
        <w:footnoteReference w:id="16"/>
      </w:r>
      <w:r w:rsidRPr="00DE49A7">
        <w:rPr>
          <w:rFonts w:asciiTheme="minorHAnsi" w:eastAsiaTheme="minorHAnsi" w:hAnsiTheme="minorHAnsi" w:cstheme="minorBidi"/>
          <w:szCs w:val="22"/>
        </w:rPr>
        <w:t xml:space="preserve"> and Williams, Lewsey, Mackay and Briggs (2017)</w:t>
      </w:r>
      <w:r w:rsidRPr="00DE49A7">
        <w:rPr>
          <w:rStyle w:val="FootnoteReference"/>
          <w:rFonts w:asciiTheme="minorHAnsi" w:eastAsiaTheme="minorHAnsi" w:hAnsiTheme="minorHAnsi" w:cstheme="minorBidi"/>
          <w:szCs w:val="22"/>
        </w:rPr>
        <w:footnoteReference w:id="17"/>
      </w:r>
      <w:r w:rsidRPr="00DE49A7">
        <w:rPr>
          <w:rFonts w:asciiTheme="minorHAnsi" w:eastAsiaTheme="minorHAnsi" w:hAnsiTheme="minorHAnsi" w:cstheme="minorBidi"/>
          <w:szCs w:val="22"/>
        </w:rPr>
        <w:t xml:space="preserve">. Independent parametric functions were fitted to the observed trial data across both treatment arms based on visual fit, clinical plausibility and goodness of fit using the mean squared error (MSE) method of the extrapolated curves. This was not complemented by goodness of fit using </w:t>
      </w:r>
      <w:r w:rsidR="0072374A" w:rsidRPr="0072374A">
        <w:rPr>
          <w:rFonts w:asciiTheme="minorHAnsi" w:eastAsiaTheme="minorHAnsi" w:hAnsiTheme="minorHAnsi" w:cstheme="minorBidi"/>
          <w:szCs w:val="22"/>
        </w:rPr>
        <w:t>Akaike information criterio</w:t>
      </w:r>
      <w:r w:rsidR="0072374A">
        <w:rPr>
          <w:rFonts w:asciiTheme="minorHAnsi" w:eastAsiaTheme="minorHAnsi" w:hAnsiTheme="minorHAnsi" w:cstheme="minorBidi"/>
          <w:szCs w:val="22"/>
        </w:rPr>
        <w:t>n (</w:t>
      </w:r>
      <w:r w:rsidRPr="00DE49A7">
        <w:rPr>
          <w:rFonts w:asciiTheme="minorHAnsi" w:eastAsiaTheme="minorHAnsi" w:hAnsiTheme="minorHAnsi" w:cstheme="minorBidi"/>
          <w:szCs w:val="22"/>
        </w:rPr>
        <w:t>AIC</w:t>
      </w:r>
      <w:r w:rsidR="0072374A">
        <w:rPr>
          <w:rFonts w:asciiTheme="minorHAnsi" w:eastAsiaTheme="minorHAnsi" w:hAnsiTheme="minorHAnsi" w:cstheme="minorBidi"/>
          <w:szCs w:val="22"/>
        </w:rPr>
        <w:t>)</w:t>
      </w:r>
      <w:r w:rsidRPr="00DE49A7">
        <w:rPr>
          <w:rFonts w:asciiTheme="minorHAnsi" w:eastAsiaTheme="minorHAnsi" w:hAnsiTheme="minorHAnsi" w:cstheme="minorBidi"/>
          <w:szCs w:val="22"/>
        </w:rPr>
        <w:t xml:space="preserve"> values as model complexity is not taken into consideration when calculating AIC values. The economic model also allowed for the </w:t>
      </w:r>
      <w:r w:rsidR="00E5019D">
        <w:rPr>
          <w:rFonts w:asciiTheme="minorHAnsi" w:eastAsiaTheme="minorHAnsi" w:hAnsiTheme="minorHAnsi" w:cstheme="minorBidi"/>
          <w:szCs w:val="22"/>
        </w:rPr>
        <w:t>use</w:t>
      </w:r>
      <w:r w:rsidR="00E5019D" w:rsidRPr="00DE49A7">
        <w:rPr>
          <w:rFonts w:asciiTheme="minorHAnsi" w:eastAsiaTheme="minorHAnsi" w:hAnsiTheme="minorHAnsi" w:cstheme="minorBidi"/>
          <w:szCs w:val="22"/>
        </w:rPr>
        <w:t xml:space="preserve"> </w:t>
      </w:r>
      <w:r w:rsidRPr="00DE49A7">
        <w:rPr>
          <w:rFonts w:asciiTheme="minorHAnsi" w:eastAsiaTheme="minorHAnsi" w:hAnsiTheme="minorHAnsi" w:cstheme="minorBidi"/>
          <w:szCs w:val="22"/>
        </w:rPr>
        <w:t xml:space="preserve">of dependent parametric models (assuming time constant and time varying treatment effects). However, the proportional hazards assumption was not tested in the submission.  Transitions to the death health state were set to equal the maximum of the transitioning probabilities and background mortality which </w:t>
      </w:r>
      <w:r w:rsidR="00767BB7">
        <w:rPr>
          <w:rFonts w:asciiTheme="minorHAnsi" w:eastAsiaTheme="minorHAnsi" w:hAnsiTheme="minorHAnsi" w:cstheme="minorBidi"/>
          <w:szCs w:val="22"/>
        </w:rPr>
        <w:t xml:space="preserve">the evaluation considered </w:t>
      </w:r>
      <w:r w:rsidRPr="00DE49A7">
        <w:rPr>
          <w:rFonts w:asciiTheme="minorHAnsi" w:eastAsiaTheme="minorHAnsi" w:hAnsiTheme="minorHAnsi" w:cstheme="minorBidi"/>
          <w:szCs w:val="22"/>
        </w:rPr>
        <w:t xml:space="preserve">was appropriate. </w:t>
      </w:r>
    </w:p>
    <w:p w14:paraId="170F9F59" w14:textId="3CBB66D5" w:rsidR="00D76CB0" w:rsidRPr="00477630" w:rsidRDefault="00D76CB0" w:rsidP="00234453">
      <w:pPr>
        <w:numPr>
          <w:ilvl w:val="1"/>
          <w:numId w:val="7"/>
        </w:numPr>
        <w:spacing w:before="60" w:after="60"/>
        <w:rPr>
          <w:rFonts w:asciiTheme="minorHAnsi" w:eastAsiaTheme="minorHAnsi" w:hAnsiTheme="minorHAnsi" w:cstheme="minorBidi"/>
          <w:iCs/>
          <w:szCs w:val="22"/>
        </w:rPr>
      </w:pPr>
      <w:r w:rsidRPr="00477630">
        <w:rPr>
          <w:rFonts w:asciiTheme="minorHAnsi" w:eastAsiaTheme="minorHAnsi" w:hAnsiTheme="minorHAnsi" w:cstheme="minorBidi"/>
          <w:iCs/>
          <w:szCs w:val="22"/>
        </w:rPr>
        <w:t xml:space="preserve">KM data from the KN689 trial was not directly used in the </w:t>
      </w:r>
      <w:r w:rsidR="00097528" w:rsidRPr="00477630">
        <w:rPr>
          <w:rFonts w:asciiTheme="minorHAnsi" w:eastAsiaTheme="minorHAnsi" w:hAnsiTheme="minorHAnsi" w:cstheme="minorBidi"/>
          <w:iCs/>
          <w:szCs w:val="22"/>
        </w:rPr>
        <w:t xml:space="preserve">economic </w:t>
      </w:r>
      <w:r w:rsidRPr="00477630">
        <w:rPr>
          <w:rFonts w:asciiTheme="minorHAnsi" w:eastAsiaTheme="minorHAnsi" w:hAnsiTheme="minorHAnsi" w:cstheme="minorBidi"/>
          <w:iCs/>
          <w:szCs w:val="22"/>
        </w:rPr>
        <w:t>model and the model did not allow for its use. This is not in line with</w:t>
      </w:r>
      <w:r w:rsidR="00391F0F" w:rsidRPr="00477630">
        <w:rPr>
          <w:rFonts w:asciiTheme="minorHAnsi" w:eastAsiaTheme="minorHAnsi" w:hAnsiTheme="minorHAnsi" w:cstheme="minorBidi"/>
          <w:iCs/>
          <w:szCs w:val="22"/>
        </w:rPr>
        <w:t xml:space="preserve"> the</w:t>
      </w:r>
      <w:r w:rsidRPr="00477630">
        <w:rPr>
          <w:rFonts w:asciiTheme="minorHAnsi" w:eastAsiaTheme="minorHAnsi" w:hAnsiTheme="minorHAnsi" w:cstheme="minorBidi"/>
          <w:iCs/>
          <w:szCs w:val="22"/>
        </w:rPr>
        <w:t xml:space="preserve"> PBAC Guidelines (Version 5.0) which notes the preference of observed time-to-event data (up to the time point at which observed data become unreliable) over modelled data for extrapolation. </w:t>
      </w:r>
      <w:r w:rsidR="001A6DAB" w:rsidRPr="00477630">
        <w:rPr>
          <w:rFonts w:asciiTheme="minorHAnsi" w:eastAsiaTheme="minorHAnsi" w:hAnsiTheme="minorHAnsi" w:cstheme="minorBidi"/>
          <w:iCs/>
          <w:szCs w:val="22"/>
        </w:rPr>
        <w:t xml:space="preserve">The PSCR </w:t>
      </w:r>
      <w:r w:rsidR="00297FEC" w:rsidRPr="00477630">
        <w:rPr>
          <w:rFonts w:asciiTheme="minorHAnsi" w:eastAsiaTheme="minorHAnsi" w:hAnsiTheme="minorHAnsi" w:cstheme="minorBidi"/>
          <w:iCs/>
          <w:szCs w:val="22"/>
        </w:rPr>
        <w:t xml:space="preserve">noted that </w:t>
      </w:r>
      <w:r w:rsidR="00763784" w:rsidRPr="00477630">
        <w:rPr>
          <w:rFonts w:asciiTheme="minorHAnsi" w:eastAsiaTheme="minorHAnsi" w:hAnsiTheme="minorHAnsi" w:cstheme="minorBidi"/>
          <w:iCs/>
          <w:szCs w:val="22"/>
        </w:rPr>
        <w:t>model extrapolations and transition probabilities were based on survival analyses of KN689 individual patient-level data</w:t>
      </w:r>
      <w:r w:rsidR="00260C7A" w:rsidRPr="00477630">
        <w:rPr>
          <w:rFonts w:asciiTheme="minorHAnsi" w:eastAsiaTheme="minorHAnsi" w:hAnsiTheme="minorHAnsi" w:cstheme="minorBidi"/>
          <w:iCs/>
          <w:szCs w:val="22"/>
        </w:rPr>
        <w:t xml:space="preserve"> and </w:t>
      </w:r>
      <w:r w:rsidR="00763784" w:rsidRPr="00477630">
        <w:rPr>
          <w:rFonts w:asciiTheme="minorHAnsi" w:eastAsiaTheme="minorHAnsi" w:hAnsiTheme="minorHAnsi" w:cstheme="minorBidi"/>
          <w:iCs/>
          <w:szCs w:val="22"/>
        </w:rPr>
        <w:t>therefore, the use of KM data for the observed model portion is expected to have minimal impact</w:t>
      </w:r>
      <w:r w:rsidR="00260C7A" w:rsidRPr="00477630">
        <w:rPr>
          <w:rFonts w:asciiTheme="minorHAnsi" w:eastAsiaTheme="minorHAnsi" w:hAnsiTheme="minorHAnsi" w:cstheme="minorBidi"/>
          <w:iCs/>
          <w:szCs w:val="22"/>
        </w:rPr>
        <w:t xml:space="preserve">. </w:t>
      </w:r>
      <w:r w:rsidR="007A2617" w:rsidRPr="00477630">
        <w:rPr>
          <w:rFonts w:asciiTheme="minorHAnsi" w:eastAsiaTheme="minorHAnsi" w:hAnsiTheme="minorHAnsi" w:cstheme="minorBidi"/>
          <w:iCs/>
          <w:szCs w:val="22"/>
        </w:rPr>
        <w:t xml:space="preserve">The PSCR </w:t>
      </w:r>
      <w:r w:rsidR="007A2617" w:rsidRPr="00477630">
        <w:rPr>
          <w:rFonts w:asciiTheme="minorHAnsi" w:eastAsiaTheme="minorHAnsi" w:hAnsiTheme="minorHAnsi" w:cstheme="minorBidi"/>
          <w:iCs/>
          <w:szCs w:val="22"/>
        </w:rPr>
        <w:lastRenderedPageBreak/>
        <w:t xml:space="preserve">also noted that OS </w:t>
      </w:r>
      <w:r w:rsidR="00041401" w:rsidRPr="00477630">
        <w:rPr>
          <w:rFonts w:asciiTheme="minorHAnsi" w:eastAsiaTheme="minorHAnsi" w:hAnsiTheme="minorHAnsi" w:cstheme="minorBidi"/>
          <w:iCs/>
          <w:szCs w:val="22"/>
        </w:rPr>
        <w:t xml:space="preserve">KM </w:t>
      </w:r>
      <w:r w:rsidR="00240EBD" w:rsidRPr="00477630">
        <w:rPr>
          <w:rFonts w:asciiTheme="minorHAnsi" w:eastAsiaTheme="minorHAnsi" w:hAnsiTheme="minorHAnsi" w:cstheme="minorBidi"/>
          <w:iCs/>
          <w:szCs w:val="22"/>
        </w:rPr>
        <w:t>data had not been applied and</w:t>
      </w:r>
      <w:r w:rsidR="0064224A" w:rsidRPr="00477630">
        <w:rPr>
          <w:rFonts w:asciiTheme="minorHAnsi" w:eastAsiaTheme="minorHAnsi" w:hAnsiTheme="minorHAnsi" w:cstheme="minorBidi"/>
          <w:iCs/>
          <w:szCs w:val="22"/>
        </w:rPr>
        <w:t xml:space="preserve"> was</w:t>
      </w:r>
      <w:r w:rsidR="00240EBD" w:rsidRPr="00477630">
        <w:rPr>
          <w:rFonts w:asciiTheme="minorHAnsi" w:eastAsiaTheme="minorHAnsi" w:hAnsiTheme="minorHAnsi" w:cstheme="minorBidi"/>
          <w:iCs/>
          <w:szCs w:val="22"/>
        </w:rPr>
        <w:t xml:space="preserve"> </w:t>
      </w:r>
      <w:r w:rsidR="008B0B9D" w:rsidRPr="00477630">
        <w:rPr>
          <w:rFonts w:asciiTheme="minorHAnsi" w:eastAsiaTheme="minorHAnsi" w:hAnsiTheme="minorHAnsi" w:cstheme="minorBidi"/>
          <w:iCs/>
          <w:szCs w:val="22"/>
        </w:rPr>
        <w:t xml:space="preserve">modelled indirectly due to the </w:t>
      </w:r>
      <w:r w:rsidR="0081045B" w:rsidRPr="00477630">
        <w:rPr>
          <w:rFonts w:asciiTheme="minorHAnsi" w:eastAsiaTheme="minorHAnsi" w:hAnsiTheme="minorHAnsi" w:cstheme="minorBidi"/>
          <w:iCs/>
          <w:szCs w:val="22"/>
        </w:rPr>
        <w:t xml:space="preserve">Markov </w:t>
      </w:r>
      <w:r w:rsidR="008B0B9D" w:rsidRPr="00477630">
        <w:rPr>
          <w:rFonts w:asciiTheme="minorHAnsi" w:eastAsiaTheme="minorHAnsi" w:hAnsiTheme="minorHAnsi" w:cstheme="minorBidi"/>
          <w:iCs/>
          <w:szCs w:val="22"/>
        </w:rPr>
        <w:t xml:space="preserve">structure of the model. </w:t>
      </w:r>
      <w:r w:rsidR="00763784" w:rsidRPr="00477630">
        <w:rPr>
          <w:rFonts w:asciiTheme="minorHAnsi" w:eastAsiaTheme="minorHAnsi" w:hAnsiTheme="minorHAnsi" w:cstheme="minorBidi"/>
          <w:iCs/>
          <w:szCs w:val="22"/>
        </w:rPr>
        <w:t xml:space="preserve"> </w:t>
      </w:r>
    </w:p>
    <w:p w14:paraId="1F28707F" w14:textId="07BB80BB" w:rsidR="00032D12" w:rsidRPr="00DE49A7" w:rsidRDefault="00032D12" w:rsidP="00234453">
      <w:pPr>
        <w:numPr>
          <w:ilvl w:val="1"/>
          <w:numId w:val="7"/>
        </w:numPr>
        <w:spacing w:before="60" w:after="60"/>
        <w:rPr>
          <w:rFonts w:asciiTheme="minorHAnsi" w:eastAsiaTheme="minorHAnsi" w:hAnsiTheme="minorHAnsi" w:cstheme="minorBidi"/>
          <w:szCs w:val="22"/>
        </w:rPr>
      </w:pPr>
      <w:r w:rsidRPr="00DE49A7">
        <w:rPr>
          <w:rFonts w:asciiTheme="minorHAnsi" w:eastAsiaTheme="minorHAnsi" w:hAnsiTheme="minorHAnsi" w:cstheme="minorBidi"/>
          <w:szCs w:val="22"/>
        </w:rPr>
        <w:t>In the base case, log-logistic models were selected for transitions from the EF to LR health state, Gompertz models were selected for the transitions from the EF to IRP health state</w:t>
      </w:r>
      <w:r w:rsidR="00221915" w:rsidRPr="00DE49A7">
        <w:rPr>
          <w:rFonts w:asciiTheme="minorHAnsi" w:eastAsiaTheme="minorHAnsi" w:hAnsiTheme="minorHAnsi" w:cstheme="minorBidi"/>
          <w:szCs w:val="22"/>
        </w:rPr>
        <w:t>s</w:t>
      </w:r>
      <w:r w:rsidRPr="00DE49A7">
        <w:rPr>
          <w:rFonts w:asciiTheme="minorHAnsi" w:eastAsiaTheme="minorHAnsi" w:hAnsiTheme="minorHAnsi" w:cstheme="minorBidi"/>
          <w:szCs w:val="22"/>
        </w:rPr>
        <w:t xml:space="preserve"> and generalised gamma models were selected for transitions from the EF to death health state. These transition probabilities jointly determined the EFS endpoint and patients that did not have an EFS failure event were censored at the date of their last disease assessment. Although the submission adopted an independent parameterised approach, the same parametric functions were utilised to model both arms for each of transitions from the EF health state in both treatment arms. </w:t>
      </w:r>
      <w:r w:rsidR="00623D3E" w:rsidRPr="00477630">
        <w:rPr>
          <w:rFonts w:asciiTheme="minorHAnsi" w:eastAsiaTheme="minorHAnsi" w:hAnsiTheme="minorHAnsi" w:cstheme="minorBidi"/>
          <w:iCs/>
          <w:szCs w:val="22"/>
        </w:rPr>
        <w:t xml:space="preserve">The ESC agreed with the </w:t>
      </w:r>
      <w:r w:rsidR="00D20643" w:rsidRPr="00477630">
        <w:rPr>
          <w:rFonts w:asciiTheme="minorHAnsi" w:eastAsiaTheme="minorHAnsi" w:hAnsiTheme="minorHAnsi" w:cstheme="minorBidi"/>
          <w:iCs/>
          <w:szCs w:val="22"/>
        </w:rPr>
        <w:t>evaluation</w:t>
      </w:r>
      <w:r w:rsidR="00623D3E" w:rsidRPr="00477630">
        <w:rPr>
          <w:rFonts w:asciiTheme="minorHAnsi" w:eastAsiaTheme="minorHAnsi" w:hAnsiTheme="minorHAnsi" w:cstheme="minorBidi"/>
          <w:iCs/>
          <w:szCs w:val="22"/>
        </w:rPr>
        <w:t xml:space="preserve"> that this</w:t>
      </w:r>
      <w:r w:rsidR="00623D3E" w:rsidRPr="00DE49A7">
        <w:rPr>
          <w:rFonts w:asciiTheme="minorHAnsi" w:eastAsiaTheme="minorHAnsi" w:hAnsiTheme="minorHAnsi" w:cstheme="minorBidi"/>
          <w:szCs w:val="22"/>
        </w:rPr>
        <w:t xml:space="preserve"> </w:t>
      </w:r>
      <w:r w:rsidRPr="00DE49A7">
        <w:rPr>
          <w:rFonts w:asciiTheme="minorHAnsi" w:eastAsiaTheme="minorHAnsi" w:hAnsiTheme="minorHAnsi" w:cstheme="minorBidi"/>
          <w:szCs w:val="22"/>
        </w:rPr>
        <w:t xml:space="preserve">was not well justified in the submission. Further, given that three parametric functions jointly determined the EFS composite endpoint in the base case analysis, it was difficult to evaluate the impact of the choice of parametric functions for the individual transitions from the EF health state. </w:t>
      </w:r>
    </w:p>
    <w:p w14:paraId="40F5F46F" w14:textId="40C8F6E2" w:rsidR="00627070" w:rsidRDefault="00032D12" w:rsidP="00AD7930">
      <w:pPr>
        <w:pStyle w:val="3-BodyText"/>
      </w:pPr>
      <w:r w:rsidRPr="00DE49A7">
        <w:t>The combination of log-logistic/Gompertz/generalised gamma models was the 10</w:t>
      </w:r>
      <w:r w:rsidRPr="00DE49A7">
        <w:rPr>
          <w:vertAlign w:val="superscript"/>
        </w:rPr>
        <w:t>th</w:t>
      </w:r>
      <w:r w:rsidRPr="00DE49A7">
        <w:t xml:space="preserve"> best fitting combination and was used in the base case analysis. This combination of parametric functions generated higher OS rates at year 10 (37.8% and 32.1% across the </w:t>
      </w:r>
      <w:proofErr w:type="spellStart"/>
      <w:r w:rsidRPr="00DE49A7">
        <w:t>PEM+SoC</w:t>
      </w:r>
      <w:proofErr w:type="spellEnd"/>
      <w:r w:rsidRPr="00DE49A7">
        <w:t xml:space="preserve"> and SoC arms, respectively) compared to published 10-year survival rates of 22</w:t>
      </w:r>
      <w:r w:rsidR="00222B92">
        <w:rPr>
          <w:rFonts w:cstheme="minorHAnsi"/>
        </w:rPr>
        <w:t>−</w:t>
      </w:r>
      <w:r w:rsidRPr="00DE49A7">
        <w:t xml:space="preserve">28% for patients with locally advanced head and neck cancers </w:t>
      </w:r>
      <w:r w:rsidR="00C73A38" w:rsidRPr="00477630">
        <w:rPr>
          <w:iCs/>
        </w:rPr>
        <w:t>(</w:t>
      </w:r>
      <w:proofErr w:type="spellStart"/>
      <w:r w:rsidR="00C73A38" w:rsidRPr="00477630">
        <w:rPr>
          <w:iCs/>
        </w:rPr>
        <w:t>Chakrabandhu</w:t>
      </w:r>
      <w:proofErr w:type="spellEnd"/>
      <w:r w:rsidR="00C73A38" w:rsidRPr="00477630">
        <w:rPr>
          <w:iCs/>
        </w:rPr>
        <w:t xml:space="preserve"> et al 2021; Santos et al </w:t>
      </w:r>
      <w:r w:rsidR="00393736" w:rsidRPr="00477630">
        <w:rPr>
          <w:iCs/>
        </w:rPr>
        <w:t>2021</w:t>
      </w:r>
      <w:r w:rsidR="00C73A38" w:rsidRPr="00477630">
        <w:rPr>
          <w:iCs/>
        </w:rPr>
        <w:t>)</w:t>
      </w:r>
      <w:r w:rsidRPr="00477630">
        <w:rPr>
          <w:iCs/>
          <w:vertAlign w:val="superscript"/>
        </w:rPr>
        <w:footnoteReference w:id="18"/>
      </w:r>
      <w:r w:rsidRPr="00477630">
        <w:rPr>
          <w:iCs/>
          <w:vertAlign w:val="superscript"/>
        </w:rPr>
        <w:t>,</w:t>
      </w:r>
      <w:r w:rsidRPr="00477630">
        <w:rPr>
          <w:iCs/>
          <w:vertAlign w:val="superscript"/>
        </w:rPr>
        <w:footnoteReference w:id="19"/>
      </w:r>
      <w:r w:rsidRPr="00477630">
        <w:rPr>
          <w:iCs/>
        </w:rPr>
        <w:t>.</w:t>
      </w:r>
      <w:r w:rsidR="00D93A82" w:rsidRPr="00477630">
        <w:rPr>
          <w:rFonts w:ascii="Calibri" w:eastAsia="Times New Roman" w:hAnsi="Calibri" w:cs="Arial"/>
          <w:iCs/>
          <w:szCs w:val="24"/>
        </w:rPr>
        <w:t xml:space="preserve"> </w:t>
      </w:r>
      <w:r w:rsidR="00393736" w:rsidRPr="00477630">
        <w:rPr>
          <w:rFonts w:ascii="Calibri" w:eastAsia="Times New Roman" w:hAnsi="Calibri" w:cs="Arial"/>
          <w:iCs/>
          <w:szCs w:val="24"/>
        </w:rPr>
        <w:t>The</w:t>
      </w:r>
      <w:r w:rsidR="00800F88" w:rsidRPr="00477630">
        <w:rPr>
          <w:rFonts w:ascii="Calibri" w:eastAsia="Times New Roman" w:hAnsi="Calibri" w:cs="Arial"/>
          <w:iCs/>
          <w:szCs w:val="24"/>
        </w:rPr>
        <w:t xml:space="preserve"> ESC noted </w:t>
      </w:r>
      <w:r w:rsidR="001651D6" w:rsidRPr="00477630">
        <w:rPr>
          <w:rFonts w:ascii="Calibri" w:eastAsia="Times New Roman" w:hAnsi="Calibri" w:cs="Arial"/>
          <w:iCs/>
          <w:szCs w:val="24"/>
        </w:rPr>
        <w:t>and agreed with</w:t>
      </w:r>
      <w:r w:rsidR="00800F88" w:rsidRPr="00477630">
        <w:rPr>
          <w:rFonts w:ascii="Calibri" w:eastAsia="Times New Roman" w:hAnsi="Calibri" w:cs="Arial"/>
          <w:iCs/>
          <w:szCs w:val="24"/>
        </w:rPr>
        <w:t xml:space="preserve"> the</w:t>
      </w:r>
      <w:r w:rsidR="00393736" w:rsidRPr="00477630">
        <w:rPr>
          <w:rFonts w:ascii="Calibri" w:eastAsia="Times New Roman" w:hAnsi="Calibri" w:cs="Arial"/>
          <w:iCs/>
          <w:szCs w:val="24"/>
        </w:rPr>
        <w:t xml:space="preserve"> PSCR </w:t>
      </w:r>
      <w:r w:rsidR="007B3B12" w:rsidRPr="00477630">
        <w:rPr>
          <w:rFonts w:ascii="Calibri" w:eastAsia="Times New Roman" w:hAnsi="Calibri" w:cs="Arial"/>
          <w:iCs/>
          <w:szCs w:val="24"/>
        </w:rPr>
        <w:t xml:space="preserve">that </w:t>
      </w:r>
      <w:r w:rsidR="00750999" w:rsidRPr="00477630">
        <w:rPr>
          <w:rFonts w:ascii="Calibri" w:eastAsia="Times New Roman" w:hAnsi="Calibri" w:cs="Arial"/>
          <w:iCs/>
          <w:szCs w:val="24"/>
        </w:rPr>
        <w:t>the</w:t>
      </w:r>
      <w:r w:rsidR="000140B6" w:rsidRPr="00477630">
        <w:rPr>
          <w:rFonts w:ascii="Calibri" w:eastAsia="Times New Roman" w:hAnsi="Calibri" w:cs="Arial"/>
          <w:iCs/>
          <w:szCs w:val="24"/>
        </w:rPr>
        <w:t xml:space="preserve"> studies</w:t>
      </w:r>
      <w:r w:rsidR="00750999" w:rsidRPr="00477630">
        <w:rPr>
          <w:rFonts w:ascii="Calibri" w:eastAsia="Times New Roman" w:hAnsi="Calibri" w:cs="Arial"/>
          <w:iCs/>
          <w:szCs w:val="24"/>
        </w:rPr>
        <w:t xml:space="preserve"> cited by the evaluation</w:t>
      </w:r>
      <w:r w:rsidR="000140B6" w:rsidRPr="00477630">
        <w:rPr>
          <w:rFonts w:ascii="Calibri" w:eastAsia="Times New Roman" w:hAnsi="Calibri" w:cs="Arial"/>
          <w:iCs/>
          <w:szCs w:val="24"/>
        </w:rPr>
        <w:t xml:space="preserve"> were based in Thailand and Brazil</w:t>
      </w:r>
      <w:r w:rsidR="0040713D" w:rsidRPr="00477630">
        <w:rPr>
          <w:rFonts w:ascii="Calibri" w:eastAsia="Times New Roman" w:hAnsi="Calibri" w:cs="Arial"/>
          <w:iCs/>
          <w:szCs w:val="24"/>
        </w:rPr>
        <w:t xml:space="preserve"> and</w:t>
      </w:r>
      <w:r w:rsidR="00750999" w:rsidRPr="00477630">
        <w:rPr>
          <w:rFonts w:ascii="Calibri" w:eastAsia="Times New Roman" w:hAnsi="Calibri" w:cs="Arial"/>
          <w:iCs/>
          <w:szCs w:val="24"/>
        </w:rPr>
        <w:t xml:space="preserve"> </w:t>
      </w:r>
      <w:r w:rsidR="000140B6" w:rsidRPr="00477630">
        <w:rPr>
          <w:rFonts w:ascii="Calibri" w:eastAsia="Times New Roman" w:hAnsi="Calibri" w:cs="Arial"/>
          <w:iCs/>
          <w:szCs w:val="24"/>
        </w:rPr>
        <w:t>given differences in ethnicity, treatment access, health infrastructure and background mortality</w:t>
      </w:r>
      <w:r w:rsidR="00703AFA" w:rsidRPr="00477630">
        <w:rPr>
          <w:rFonts w:ascii="Calibri" w:eastAsia="Times New Roman" w:hAnsi="Calibri" w:cs="Arial"/>
          <w:iCs/>
          <w:szCs w:val="24"/>
        </w:rPr>
        <w:t>,</w:t>
      </w:r>
      <w:r w:rsidR="000140B6" w:rsidRPr="00477630">
        <w:rPr>
          <w:rFonts w:ascii="Calibri" w:eastAsia="Times New Roman" w:hAnsi="Calibri" w:cs="Arial"/>
          <w:iCs/>
          <w:szCs w:val="24"/>
        </w:rPr>
        <w:t xml:space="preserve"> </w:t>
      </w:r>
      <w:r w:rsidR="007B3B12" w:rsidRPr="00477630">
        <w:rPr>
          <w:rFonts w:ascii="Calibri" w:eastAsia="Times New Roman" w:hAnsi="Calibri" w:cs="Arial"/>
          <w:iCs/>
          <w:szCs w:val="24"/>
        </w:rPr>
        <w:t>the</w:t>
      </w:r>
      <w:r w:rsidR="00D93A82" w:rsidRPr="00477630">
        <w:rPr>
          <w:rFonts w:ascii="Calibri" w:eastAsia="Times New Roman" w:hAnsi="Calibri" w:cs="Arial"/>
          <w:iCs/>
          <w:szCs w:val="24"/>
        </w:rPr>
        <w:t xml:space="preserve"> 10-year survival rates </w:t>
      </w:r>
      <w:r w:rsidR="00780F15" w:rsidRPr="00477630">
        <w:rPr>
          <w:rFonts w:ascii="Calibri" w:eastAsia="Times New Roman" w:hAnsi="Calibri" w:cs="Arial"/>
          <w:iCs/>
          <w:szCs w:val="24"/>
        </w:rPr>
        <w:t xml:space="preserve">reported </w:t>
      </w:r>
      <w:r w:rsidR="00DE3729" w:rsidRPr="00477630">
        <w:rPr>
          <w:rFonts w:ascii="Calibri" w:eastAsia="Times New Roman" w:hAnsi="Calibri" w:cs="Arial"/>
          <w:iCs/>
          <w:szCs w:val="24"/>
        </w:rPr>
        <w:t>are</w:t>
      </w:r>
      <w:r w:rsidR="000140B6" w:rsidRPr="00477630">
        <w:rPr>
          <w:rFonts w:ascii="Calibri" w:eastAsia="Times New Roman" w:hAnsi="Calibri" w:cs="Arial"/>
          <w:iCs/>
          <w:szCs w:val="24"/>
        </w:rPr>
        <w:t xml:space="preserve"> </w:t>
      </w:r>
      <w:r w:rsidR="0033587C" w:rsidRPr="00477630">
        <w:rPr>
          <w:rFonts w:ascii="Calibri" w:eastAsia="Times New Roman" w:hAnsi="Calibri" w:cs="Arial"/>
          <w:iCs/>
          <w:szCs w:val="24"/>
        </w:rPr>
        <w:t xml:space="preserve">not </w:t>
      </w:r>
      <w:r w:rsidR="000140B6" w:rsidRPr="00477630">
        <w:rPr>
          <w:rFonts w:ascii="Calibri" w:eastAsia="Times New Roman" w:hAnsi="Calibri" w:cs="Arial"/>
          <w:iCs/>
          <w:szCs w:val="24"/>
        </w:rPr>
        <w:t>likely</w:t>
      </w:r>
      <w:r w:rsidR="00BC0764" w:rsidRPr="00477630">
        <w:rPr>
          <w:rFonts w:ascii="Calibri" w:eastAsia="Times New Roman" w:hAnsi="Calibri" w:cs="Arial"/>
          <w:iCs/>
          <w:szCs w:val="24"/>
        </w:rPr>
        <w:t xml:space="preserve"> to </w:t>
      </w:r>
      <w:r w:rsidR="00D96B5C" w:rsidRPr="00477630">
        <w:rPr>
          <w:rFonts w:ascii="Calibri" w:eastAsia="Times New Roman" w:hAnsi="Calibri" w:cs="Arial"/>
          <w:iCs/>
          <w:szCs w:val="24"/>
        </w:rPr>
        <w:t>be</w:t>
      </w:r>
      <w:r w:rsidR="00BC0764" w:rsidRPr="00477630">
        <w:rPr>
          <w:rFonts w:ascii="Calibri" w:eastAsia="Times New Roman" w:hAnsi="Calibri" w:cs="Arial"/>
          <w:iCs/>
          <w:szCs w:val="24"/>
        </w:rPr>
        <w:t xml:space="preserve"> </w:t>
      </w:r>
      <w:r w:rsidR="00D93A82" w:rsidRPr="00477630">
        <w:rPr>
          <w:rFonts w:ascii="Calibri" w:eastAsia="Times New Roman" w:hAnsi="Calibri" w:cs="Arial"/>
          <w:iCs/>
          <w:szCs w:val="24"/>
        </w:rPr>
        <w:t>comparable to outcomes expected within the Australian health system.</w:t>
      </w:r>
      <w:r w:rsidR="00D93A82">
        <w:t xml:space="preserve"> </w:t>
      </w:r>
    </w:p>
    <w:p w14:paraId="6D707640" w14:textId="6553ABBD" w:rsidR="00032D12" w:rsidRPr="00277F4B" w:rsidRDefault="00032D12" w:rsidP="00277F4B">
      <w:pPr>
        <w:pStyle w:val="3-BodyText"/>
        <w:rPr>
          <w:rFonts w:cstheme="minorHAnsi"/>
          <w:iCs/>
          <w:szCs w:val="24"/>
        </w:rPr>
      </w:pPr>
      <w:r w:rsidRPr="00DE49A7">
        <w:t xml:space="preserve">Overall survival was calculated as 1 </w:t>
      </w:r>
      <w:r w:rsidR="00DB140C">
        <w:t>minus</w:t>
      </w:r>
      <w:r w:rsidRPr="00DE49A7">
        <w:t xml:space="preserve"> the </w:t>
      </w:r>
      <w:r w:rsidR="00DB140C">
        <w:t>proportion</w:t>
      </w:r>
      <w:r w:rsidRPr="00DE49A7">
        <w:t xml:space="preserve"> transitioning to the dea</w:t>
      </w:r>
      <w:r w:rsidR="006C2F90">
        <w:t>th</w:t>
      </w:r>
      <w:r w:rsidRPr="00DE49A7">
        <w:t xml:space="preserve"> health state from all other health states (EF, LR and IRP). Thus, </w:t>
      </w:r>
      <w:r w:rsidR="00D6312C">
        <w:t xml:space="preserve">the evaluation considered that the </w:t>
      </w:r>
      <w:r w:rsidRPr="00DE49A7">
        <w:t xml:space="preserve">utilisation of more conservative extrapolations to estimate the transition probabilities from the EF health may be appropriate. </w:t>
      </w:r>
      <w:r w:rsidR="00CB53B1">
        <w:t xml:space="preserve">The evaluation </w:t>
      </w:r>
      <w:r w:rsidR="0090250E">
        <w:t>noted</w:t>
      </w:r>
      <w:r w:rsidR="00CB53B1">
        <w:t xml:space="preserve"> that when</w:t>
      </w:r>
      <w:r w:rsidR="00CB53B1" w:rsidRPr="00DE49A7">
        <w:t xml:space="preserve"> </w:t>
      </w:r>
      <w:r w:rsidRPr="00DE49A7">
        <w:t>an alternate combination of parametric functions is chosen (</w:t>
      </w:r>
      <w:proofErr w:type="spellStart"/>
      <w:r w:rsidRPr="00DE49A7">
        <w:t>PEM+SoC</w:t>
      </w:r>
      <w:proofErr w:type="spellEnd"/>
      <w:r w:rsidRPr="00DE49A7">
        <w:t>: exponential/ generalised gamma/ generalised gamma; SoC: log-logistic/ generalised gamma/ generalised gamma), the resulting OS rates at year 10 are 31.9% (</w:t>
      </w:r>
      <w:proofErr w:type="spellStart"/>
      <w:r w:rsidRPr="00DE49A7">
        <w:t>PEM+SoC</w:t>
      </w:r>
      <w:proofErr w:type="spellEnd"/>
      <w:r w:rsidRPr="00DE49A7">
        <w:t>) and 27.7% (SoC) and the modelled EFS curves appear</w:t>
      </w:r>
      <w:r w:rsidR="0090250E">
        <w:t>ed</w:t>
      </w:r>
      <w:r w:rsidRPr="00DE49A7">
        <w:t xml:space="preserve"> more clinically plausible</w:t>
      </w:r>
      <w:r w:rsidR="003577DD">
        <w:t xml:space="preserve"> long-term</w:t>
      </w:r>
      <w:r w:rsidRPr="00DE49A7">
        <w:t xml:space="preserve"> (</w:t>
      </w:r>
      <w:r w:rsidRPr="00DE49A7">
        <w:fldChar w:fldCharType="begin"/>
      </w:r>
      <w:r w:rsidRPr="00DE49A7">
        <w:instrText xml:space="preserve"> REF _Ref206414004 \h  \* MERGEFORMAT </w:instrText>
      </w:r>
      <w:r w:rsidRPr="00DE49A7">
        <w:fldChar w:fldCharType="separate"/>
      </w:r>
      <w:r w:rsidR="0084087D" w:rsidRPr="0084087D">
        <w:t xml:space="preserve">Figure </w:t>
      </w:r>
      <w:r w:rsidR="0084087D" w:rsidRPr="0084087D">
        <w:rPr>
          <w:noProof/>
        </w:rPr>
        <w:t>3</w:t>
      </w:r>
      <w:r w:rsidRPr="00DE49A7">
        <w:fldChar w:fldCharType="end"/>
      </w:r>
      <w:r w:rsidRPr="00DE49A7">
        <w:t xml:space="preserve">). This combination of parametric functions increased the </w:t>
      </w:r>
      <w:r w:rsidR="003577DD">
        <w:t xml:space="preserve">base case </w:t>
      </w:r>
      <w:r w:rsidRPr="00DE49A7">
        <w:t>incremental cost-effectiveness ratio</w:t>
      </w:r>
      <w:r w:rsidR="003577DD">
        <w:t xml:space="preserve"> (ICER)</w:t>
      </w:r>
      <w:r w:rsidRPr="00DE49A7">
        <w:t xml:space="preserve"> from $</w:t>
      </w:r>
      <w:r w:rsidR="007107F7" w:rsidRPr="007107F7">
        <w:t>25,000 to &lt; $35,000</w:t>
      </w:r>
      <w:r w:rsidR="00A837F4">
        <w:t xml:space="preserve"> </w:t>
      </w:r>
      <w:r w:rsidRPr="00DE49A7">
        <w:t>per quality adjusted life year (QALY) gained to $</w:t>
      </w:r>
      <w:r w:rsidR="006E33C9" w:rsidRPr="006E33C9">
        <w:t>35,000 to &lt; $45,000</w:t>
      </w:r>
      <w:r w:rsidR="00A837F4">
        <w:t xml:space="preserve"> </w:t>
      </w:r>
      <w:r w:rsidRPr="00DE49A7">
        <w:t xml:space="preserve">per QALY gained. </w:t>
      </w:r>
      <w:r w:rsidR="00237078" w:rsidRPr="00256BA5">
        <w:rPr>
          <w:rFonts w:cstheme="minorHAnsi"/>
          <w:iCs/>
          <w:szCs w:val="24"/>
        </w:rPr>
        <w:t xml:space="preserve">The PSCR noted that the base case parametric extrapolation functions were selected following a systematic process that considered statistical fit, clinical plausibility and </w:t>
      </w:r>
      <w:r w:rsidR="00237078" w:rsidRPr="00256BA5">
        <w:rPr>
          <w:rFonts w:cstheme="minorHAnsi"/>
          <w:iCs/>
          <w:szCs w:val="24"/>
        </w:rPr>
        <w:lastRenderedPageBreak/>
        <w:t xml:space="preserve">validation/consistency with observed and external data and were the most conservative of all the clinically plausible combinations considered. </w:t>
      </w:r>
      <w:r w:rsidR="003A23D5">
        <w:t xml:space="preserve">The </w:t>
      </w:r>
      <w:r w:rsidR="0054302B">
        <w:t>p</w:t>
      </w:r>
      <w:r w:rsidR="003A23D5">
        <w:t xml:space="preserve">re-PBAC Response </w:t>
      </w:r>
      <w:r w:rsidR="002E6163">
        <w:t>additionally</w:t>
      </w:r>
      <w:r w:rsidR="00B2475C">
        <w:t xml:space="preserve"> </w:t>
      </w:r>
      <w:r w:rsidR="002E6163">
        <w:t>noted</w:t>
      </w:r>
      <w:r w:rsidR="003F64EE">
        <w:t xml:space="preserve"> that </w:t>
      </w:r>
      <w:r w:rsidR="00E1105F">
        <w:t>the</w:t>
      </w:r>
      <w:r w:rsidR="003F64EE">
        <w:t xml:space="preserve"> </w:t>
      </w:r>
      <w:r w:rsidR="003F64EE" w:rsidRPr="00DE49A7">
        <w:t xml:space="preserve">combination of parametric functions </w:t>
      </w:r>
      <w:r w:rsidR="004A38B0">
        <w:t xml:space="preserve">selected by the evaluation </w:t>
      </w:r>
      <w:r w:rsidR="00997257">
        <w:t xml:space="preserve">appeared to be chosen without methodological basis </w:t>
      </w:r>
      <w:r w:rsidR="00D001DD" w:rsidRPr="00D001DD">
        <w:t>and</w:t>
      </w:r>
      <w:r w:rsidR="002658CA">
        <w:t xml:space="preserve"> considered that it</w:t>
      </w:r>
      <w:r w:rsidR="00D001DD" w:rsidRPr="00D001DD">
        <w:t xml:space="preserve"> result</w:t>
      </w:r>
      <w:r w:rsidR="002658CA">
        <w:t>ed</w:t>
      </w:r>
      <w:r w:rsidR="00D001DD" w:rsidRPr="00D001DD">
        <w:t xml:space="preserve"> in overly conservative long-term OS in the SoC arm compared with relevant literature. </w:t>
      </w:r>
    </w:p>
    <w:p w14:paraId="48BDB09E" w14:textId="4E5A87DE" w:rsidR="00032D12" w:rsidRPr="00E54C74" w:rsidRDefault="00032D12" w:rsidP="00032D12">
      <w:pPr>
        <w:keepNext/>
        <w:keepLines/>
        <w:rPr>
          <w:rFonts w:ascii="Arial Narrow" w:hAnsi="Arial Narrow"/>
          <w:b/>
          <w:bCs/>
          <w:sz w:val="20"/>
          <w:szCs w:val="18"/>
        </w:rPr>
      </w:pPr>
      <w:bookmarkStart w:id="103" w:name="_Ref206414004"/>
      <w:r w:rsidRPr="00E54C74">
        <w:rPr>
          <w:rFonts w:ascii="Arial Narrow" w:hAnsi="Arial Narrow"/>
          <w:b/>
          <w:bCs/>
          <w:sz w:val="20"/>
          <w:szCs w:val="18"/>
        </w:rPr>
        <w:t xml:space="preserve">Figure </w:t>
      </w:r>
      <w:r w:rsidRPr="00E54C74">
        <w:rPr>
          <w:rFonts w:ascii="Arial Narrow" w:hAnsi="Arial Narrow"/>
          <w:b/>
          <w:bCs/>
          <w:sz w:val="20"/>
          <w:szCs w:val="18"/>
        </w:rPr>
        <w:fldChar w:fldCharType="begin"/>
      </w:r>
      <w:r w:rsidRPr="00E54C74">
        <w:rPr>
          <w:rFonts w:ascii="Arial Narrow" w:hAnsi="Arial Narrow"/>
          <w:b/>
          <w:bCs/>
          <w:sz w:val="20"/>
          <w:szCs w:val="18"/>
        </w:rPr>
        <w:instrText xml:space="preserve"> SEQ Figure \* ARABIC </w:instrText>
      </w:r>
      <w:r w:rsidRPr="00E54C74">
        <w:rPr>
          <w:rFonts w:ascii="Arial Narrow" w:hAnsi="Arial Narrow"/>
          <w:b/>
          <w:bCs/>
          <w:sz w:val="20"/>
          <w:szCs w:val="18"/>
        </w:rPr>
        <w:fldChar w:fldCharType="separate"/>
      </w:r>
      <w:r w:rsidR="0084087D">
        <w:rPr>
          <w:rFonts w:ascii="Arial Narrow" w:hAnsi="Arial Narrow"/>
          <w:b/>
          <w:bCs/>
          <w:noProof/>
          <w:sz w:val="20"/>
          <w:szCs w:val="18"/>
        </w:rPr>
        <w:t>3</w:t>
      </w:r>
      <w:r w:rsidRPr="00E54C74">
        <w:rPr>
          <w:rFonts w:ascii="Arial Narrow" w:hAnsi="Arial Narrow"/>
          <w:b/>
          <w:bCs/>
          <w:sz w:val="20"/>
          <w:szCs w:val="18"/>
        </w:rPr>
        <w:fldChar w:fldCharType="end"/>
      </w:r>
      <w:bookmarkEnd w:id="103"/>
      <w:r w:rsidRPr="00E54C74">
        <w:rPr>
          <w:rFonts w:ascii="Arial Narrow" w:hAnsi="Arial Narrow"/>
          <w:b/>
          <w:bCs/>
          <w:sz w:val="20"/>
          <w:szCs w:val="18"/>
        </w:rPr>
        <w:t>: Modelled vs KM EFS curves (both treatment arms)</w:t>
      </w:r>
    </w:p>
    <w:p w14:paraId="302D7A76" w14:textId="77777777" w:rsidR="00032D12" w:rsidRPr="00E54C74" w:rsidRDefault="00032D12" w:rsidP="00032D12">
      <w:pPr>
        <w:spacing w:before="60" w:after="60"/>
        <w:rPr>
          <w:rFonts w:asciiTheme="minorHAnsi" w:eastAsiaTheme="minorHAnsi" w:hAnsiTheme="minorHAnsi" w:cstheme="minorBidi"/>
          <w:szCs w:val="22"/>
        </w:rPr>
      </w:pPr>
      <w:r w:rsidRPr="00E54C74">
        <w:rPr>
          <w:noProof/>
        </w:rPr>
        <w:drawing>
          <wp:inline distT="0" distB="0" distL="0" distR="0" wp14:anchorId="04BFE743" wp14:editId="31A57183">
            <wp:extent cx="5351898" cy="2921000"/>
            <wp:effectExtent l="0" t="0" r="1270" b="0"/>
            <wp:docPr id="66259891" name="Picture 8" descr="Figure 3: Modelled vs KM EFS curves (both treatment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59891" name="Picture 8" descr="Figure 3: Modelled vs KM EFS curves (both treatment arms)"/>
                    <pic:cNvPicPr/>
                  </pic:nvPicPr>
                  <pic:blipFill>
                    <a:blip r:embed="rId13"/>
                    <a:stretch>
                      <a:fillRect/>
                    </a:stretch>
                  </pic:blipFill>
                  <pic:spPr>
                    <a:xfrm>
                      <a:off x="0" y="0"/>
                      <a:ext cx="5361478" cy="2926229"/>
                    </a:xfrm>
                    <a:prstGeom prst="rect">
                      <a:avLst/>
                    </a:prstGeom>
                  </pic:spPr>
                </pic:pic>
              </a:graphicData>
            </a:graphic>
          </wp:inline>
        </w:drawing>
      </w:r>
    </w:p>
    <w:p w14:paraId="5BBFCB45" w14:textId="77777777" w:rsidR="00032D12" w:rsidRPr="00E54C74" w:rsidRDefault="00032D12" w:rsidP="00032D12">
      <w:pPr>
        <w:spacing w:after="120"/>
        <w:contextualSpacing/>
        <w:rPr>
          <w:rFonts w:ascii="Arial Narrow" w:hAnsi="Arial Narrow"/>
          <w:snapToGrid w:val="0"/>
          <w:sz w:val="18"/>
          <w:szCs w:val="22"/>
        </w:rPr>
      </w:pPr>
      <w:r w:rsidRPr="00E54C74">
        <w:rPr>
          <w:rFonts w:ascii="Arial Narrow" w:hAnsi="Arial Narrow"/>
          <w:snapToGrid w:val="0"/>
          <w:sz w:val="18"/>
          <w:szCs w:val="22"/>
        </w:rPr>
        <w:t xml:space="preserve">Source: constructed during the evaluation, from the “Attachment 5 CEA” Workbook provided in the submission. </w:t>
      </w:r>
    </w:p>
    <w:p w14:paraId="65E87A96" w14:textId="1E3104C8" w:rsidR="00F5300E" w:rsidRPr="002F06C2" w:rsidRDefault="00032D12" w:rsidP="002F06C2">
      <w:pPr>
        <w:spacing w:after="120"/>
        <w:contextualSpacing/>
        <w:rPr>
          <w:rFonts w:ascii="Arial Narrow" w:hAnsi="Arial Narrow"/>
          <w:snapToGrid w:val="0"/>
          <w:sz w:val="18"/>
          <w:szCs w:val="22"/>
        </w:rPr>
      </w:pPr>
      <w:r w:rsidRPr="00E54C74">
        <w:rPr>
          <w:rFonts w:ascii="Arial Narrow" w:hAnsi="Arial Narrow"/>
          <w:snapToGrid w:val="0"/>
          <w:sz w:val="18"/>
          <w:szCs w:val="22"/>
        </w:rPr>
        <w:t>EFS = event-free survival; KM = Kaplan-Meier; PEM = pembrolizumab; SoC = standard of care.</w:t>
      </w:r>
    </w:p>
    <w:p w14:paraId="5C1CB737" w14:textId="268D6C34" w:rsidR="00F74FDC" w:rsidRPr="00477630" w:rsidRDefault="001B79AD" w:rsidP="004C5913">
      <w:pPr>
        <w:pStyle w:val="3-BodyText"/>
        <w:rPr>
          <w:iCs/>
        </w:rPr>
      </w:pPr>
      <w:r w:rsidRPr="00477630">
        <w:rPr>
          <w:iCs/>
        </w:rPr>
        <w:t>Overall, the</w:t>
      </w:r>
      <w:r w:rsidR="005560AD" w:rsidRPr="00477630">
        <w:rPr>
          <w:iCs/>
        </w:rPr>
        <w:t xml:space="preserve"> ESC noted that</w:t>
      </w:r>
      <w:r w:rsidR="004C5913" w:rsidRPr="00477630">
        <w:rPr>
          <w:iCs/>
        </w:rPr>
        <w:t xml:space="preserve"> a </w:t>
      </w:r>
      <w:r w:rsidR="00840A5D" w:rsidRPr="00477630">
        <w:rPr>
          <w:iCs/>
        </w:rPr>
        <w:t xml:space="preserve">substantial </w:t>
      </w:r>
      <w:r w:rsidR="004C5913" w:rsidRPr="00477630">
        <w:rPr>
          <w:iCs/>
        </w:rPr>
        <w:t>OS benefit had been modelled over a long time horizon</w:t>
      </w:r>
      <w:r w:rsidR="00D71725" w:rsidRPr="00477630">
        <w:rPr>
          <w:iCs/>
        </w:rPr>
        <w:t xml:space="preserve"> (25 years)</w:t>
      </w:r>
      <w:r w:rsidR="00840A5D" w:rsidRPr="00477630">
        <w:rPr>
          <w:iCs/>
        </w:rPr>
        <w:t>, and that this benefit was</w:t>
      </w:r>
      <w:r w:rsidR="004C5913" w:rsidRPr="00477630">
        <w:rPr>
          <w:iCs/>
        </w:rPr>
        <w:t xml:space="preserve"> based on immature OS data </w:t>
      </w:r>
      <w:r w:rsidR="004C5913" w:rsidRPr="00477630">
        <w:rPr>
          <w:rFonts w:cstheme="minorHAnsi"/>
          <w:iCs/>
          <w:szCs w:val="24"/>
        </w:rPr>
        <w:t xml:space="preserve">which </w:t>
      </w:r>
      <w:r w:rsidR="004C5913" w:rsidRPr="00477630">
        <w:rPr>
          <w:iCs/>
        </w:rPr>
        <w:t>may not accurately reflect outcomes that would occur in Australian clinical practice</w:t>
      </w:r>
      <w:r w:rsidR="0049484D" w:rsidRPr="00477630">
        <w:rPr>
          <w:iCs/>
        </w:rPr>
        <w:t xml:space="preserve"> (</w:t>
      </w:r>
      <w:r w:rsidR="004C5913" w:rsidRPr="00477630">
        <w:rPr>
          <w:iCs/>
        </w:rPr>
        <w:t>see paragraph</w:t>
      </w:r>
      <w:r w:rsidR="0049484D" w:rsidRPr="00477630">
        <w:rPr>
          <w:iCs/>
        </w:rPr>
        <w:t>s</w:t>
      </w:r>
      <w:r w:rsidR="004C5913" w:rsidRPr="00477630">
        <w:rPr>
          <w:iCs/>
        </w:rPr>
        <w:t xml:space="preserve"> </w:t>
      </w:r>
      <w:r w:rsidR="004C5913" w:rsidRPr="00477630">
        <w:rPr>
          <w:iCs/>
        </w:rPr>
        <w:fldChar w:fldCharType="begin"/>
      </w:r>
      <w:r w:rsidR="004C5913" w:rsidRPr="00477630">
        <w:rPr>
          <w:iCs/>
        </w:rPr>
        <w:instrText xml:space="preserve"> REF _Ref211267424 \r \h </w:instrText>
      </w:r>
      <w:r w:rsidR="004C5913" w:rsidRPr="00477630">
        <w:rPr>
          <w:iCs/>
        </w:rPr>
      </w:r>
      <w:r w:rsidR="004C5913" w:rsidRPr="00477630">
        <w:rPr>
          <w:iCs/>
        </w:rPr>
        <w:fldChar w:fldCharType="separate"/>
      </w:r>
      <w:r w:rsidR="0084087D">
        <w:rPr>
          <w:iCs/>
        </w:rPr>
        <w:t>6.13</w:t>
      </w:r>
      <w:r w:rsidR="004C5913" w:rsidRPr="00477630">
        <w:rPr>
          <w:iCs/>
        </w:rPr>
        <w:fldChar w:fldCharType="end"/>
      </w:r>
      <w:r w:rsidR="0049484D" w:rsidRPr="00477630">
        <w:rPr>
          <w:iCs/>
        </w:rPr>
        <w:t xml:space="preserve"> and </w:t>
      </w:r>
      <w:r w:rsidR="0049484D" w:rsidRPr="00477630">
        <w:rPr>
          <w:iCs/>
        </w:rPr>
        <w:fldChar w:fldCharType="begin"/>
      </w:r>
      <w:r w:rsidR="0049484D" w:rsidRPr="00477630">
        <w:rPr>
          <w:iCs/>
        </w:rPr>
        <w:instrText xml:space="preserve"> REF _Ref206062655 \r \h  \* MERGEFORMAT </w:instrText>
      </w:r>
      <w:r w:rsidR="0049484D" w:rsidRPr="00477630">
        <w:rPr>
          <w:iCs/>
        </w:rPr>
      </w:r>
      <w:r w:rsidR="0049484D" w:rsidRPr="00477630">
        <w:rPr>
          <w:iCs/>
        </w:rPr>
        <w:fldChar w:fldCharType="separate"/>
      </w:r>
      <w:r w:rsidR="0084087D">
        <w:rPr>
          <w:iCs/>
        </w:rPr>
        <w:t>6.36</w:t>
      </w:r>
      <w:r w:rsidR="0049484D" w:rsidRPr="00477630">
        <w:rPr>
          <w:iCs/>
        </w:rPr>
        <w:fldChar w:fldCharType="end"/>
      </w:r>
      <w:r w:rsidR="004C5913" w:rsidRPr="00477630">
        <w:rPr>
          <w:iCs/>
        </w:rPr>
        <w:t>).</w:t>
      </w:r>
      <w:r w:rsidR="002C1387" w:rsidRPr="00477630">
        <w:rPr>
          <w:iCs/>
        </w:rPr>
        <w:t xml:space="preserve"> </w:t>
      </w:r>
      <w:r w:rsidR="00695C79" w:rsidRPr="00477630">
        <w:rPr>
          <w:iCs/>
        </w:rPr>
        <w:t>The ESC also noted that OS convergence was not incorporated into the model and considered this likely to be inappropriate.</w:t>
      </w:r>
      <w:r w:rsidR="009C22E0">
        <w:rPr>
          <w:iCs/>
        </w:rPr>
        <w:t xml:space="preserve"> The </w:t>
      </w:r>
      <w:r w:rsidR="006A67F2">
        <w:rPr>
          <w:iCs/>
        </w:rPr>
        <w:t>p</w:t>
      </w:r>
      <w:r w:rsidR="009C22E0">
        <w:rPr>
          <w:iCs/>
        </w:rPr>
        <w:t xml:space="preserve">re-PBAC </w:t>
      </w:r>
      <w:r w:rsidR="006A67F2">
        <w:rPr>
          <w:iCs/>
        </w:rPr>
        <w:t>R</w:t>
      </w:r>
      <w:r w:rsidR="009C22E0">
        <w:rPr>
          <w:iCs/>
        </w:rPr>
        <w:t>esponse provided a revised base case</w:t>
      </w:r>
      <w:r w:rsidR="001A35A2">
        <w:rPr>
          <w:iCs/>
        </w:rPr>
        <w:t xml:space="preserve"> which resulted in a smal</w:t>
      </w:r>
      <w:r w:rsidR="003F0117">
        <w:rPr>
          <w:iCs/>
        </w:rPr>
        <w:t xml:space="preserve">ler OS </w:t>
      </w:r>
      <w:r w:rsidR="003F0117" w:rsidRPr="00D35AAA">
        <w:rPr>
          <w:iCs/>
        </w:rPr>
        <w:t xml:space="preserve">benefit (see paragraph </w:t>
      </w:r>
      <w:r w:rsidR="00D35AAA" w:rsidRPr="00D35AAA">
        <w:rPr>
          <w:iCs/>
        </w:rPr>
        <w:fldChar w:fldCharType="begin"/>
      </w:r>
      <w:r w:rsidR="00D35AAA" w:rsidRPr="00D35AAA">
        <w:rPr>
          <w:iCs/>
        </w:rPr>
        <w:instrText xml:space="preserve"> REF _Ref214174256 \r \h </w:instrText>
      </w:r>
      <w:r w:rsidR="00D35AAA">
        <w:rPr>
          <w:iCs/>
        </w:rPr>
        <w:instrText xml:space="preserve"> \* MERGEFORMAT </w:instrText>
      </w:r>
      <w:r w:rsidR="00D35AAA" w:rsidRPr="00D35AAA">
        <w:rPr>
          <w:iCs/>
        </w:rPr>
      </w:r>
      <w:r w:rsidR="00D35AAA" w:rsidRPr="00D35AAA">
        <w:rPr>
          <w:iCs/>
        </w:rPr>
        <w:fldChar w:fldCharType="separate"/>
      </w:r>
      <w:r w:rsidR="0084087D">
        <w:rPr>
          <w:iCs/>
        </w:rPr>
        <w:t>6.63</w:t>
      </w:r>
      <w:r w:rsidR="00D35AAA" w:rsidRPr="00D35AAA">
        <w:rPr>
          <w:iCs/>
        </w:rPr>
        <w:fldChar w:fldCharType="end"/>
      </w:r>
      <w:r w:rsidR="003F0117" w:rsidRPr="00D35AAA">
        <w:rPr>
          <w:iCs/>
        </w:rPr>
        <w:t>). The</w:t>
      </w:r>
      <w:r w:rsidR="003F0117">
        <w:rPr>
          <w:iCs/>
        </w:rPr>
        <w:t xml:space="preserve"> </w:t>
      </w:r>
      <w:r w:rsidR="001D1BFF">
        <w:rPr>
          <w:iCs/>
        </w:rPr>
        <w:t>p</w:t>
      </w:r>
      <w:r w:rsidR="00931E4B">
        <w:rPr>
          <w:iCs/>
        </w:rPr>
        <w:t xml:space="preserve">re-PBAC </w:t>
      </w:r>
      <w:r w:rsidR="001D1BFF">
        <w:rPr>
          <w:iCs/>
        </w:rPr>
        <w:t>R</w:t>
      </w:r>
      <w:r w:rsidR="00931E4B">
        <w:rPr>
          <w:iCs/>
        </w:rPr>
        <w:t xml:space="preserve">esponse </w:t>
      </w:r>
      <w:r w:rsidR="00C572A9">
        <w:rPr>
          <w:iCs/>
        </w:rPr>
        <w:t xml:space="preserve">also </w:t>
      </w:r>
      <w:r w:rsidR="00F92C02" w:rsidRPr="00104D42">
        <w:rPr>
          <w:iCs/>
        </w:rPr>
        <w:t xml:space="preserve">stated that applying OS convergence in the locally advanced setting would not be appropriate given the relatively long </w:t>
      </w:r>
      <w:r w:rsidR="00D55095">
        <w:rPr>
          <w:iCs/>
        </w:rPr>
        <w:t xml:space="preserve">survival observed for </w:t>
      </w:r>
      <w:r w:rsidR="00C572A9">
        <w:rPr>
          <w:iCs/>
        </w:rPr>
        <w:t>patients in this setting</w:t>
      </w:r>
      <w:r w:rsidR="00F92C02" w:rsidRPr="00104D42">
        <w:rPr>
          <w:iCs/>
        </w:rPr>
        <w:t xml:space="preserve"> and </w:t>
      </w:r>
      <w:r w:rsidR="00C572A9">
        <w:rPr>
          <w:iCs/>
        </w:rPr>
        <w:t xml:space="preserve">the </w:t>
      </w:r>
      <w:r w:rsidR="00F92C02" w:rsidRPr="00104D42">
        <w:rPr>
          <w:iCs/>
        </w:rPr>
        <w:t>curative intent of treatment.</w:t>
      </w:r>
      <w:r w:rsidR="00F92C02" w:rsidRPr="003B4CC1">
        <w:rPr>
          <w:rFonts w:ascii="Arial" w:hAnsi="Arial" w:cs="Arial"/>
          <w:bCs/>
          <w:iCs/>
          <w:sz w:val="22"/>
        </w:rPr>
        <w:t xml:space="preserve"> </w:t>
      </w:r>
    </w:p>
    <w:p w14:paraId="70E48BB8" w14:textId="4C9CB467" w:rsidR="00551CE2" w:rsidRPr="00477630" w:rsidRDefault="00032D12" w:rsidP="00E30D92">
      <w:pPr>
        <w:pStyle w:val="3-BodyText"/>
        <w:rPr>
          <w:iCs/>
        </w:rPr>
      </w:pPr>
      <w:bookmarkStart w:id="104" w:name="_Ref214092015"/>
      <w:r w:rsidRPr="00DE49A7">
        <w:t>For transitions from the LR and IRP health states, exponential models were fitted to the observed data from the KN689 trial</w:t>
      </w:r>
      <w:r w:rsidR="00100EE8">
        <w:t xml:space="preserve"> and applied to the base case analysis</w:t>
      </w:r>
      <w:r w:rsidRPr="00DE49A7">
        <w:t xml:space="preserve">. The modelled curves provided a good fit to the observed data from the KN689 trial. However, these extrapolations were based on fewer patients that experienced relatively early recurrence in the trial, i.e., 104 and 116 patients in the LR and IRP health states, respectively. </w:t>
      </w:r>
      <w:r w:rsidR="00551CE2" w:rsidRPr="00477630">
        <w:rPr>
          <w:iCs/>
        </w:rPr>
        <w:t xml:space="preserve">The PSCR </w:t>
      </w:r>
      <w:r w:rsidR="00676736" w:rsidRPr="00477630">
        <w:rPr>
          <w:iCs/>
        </w:rPr>
        <w:t xml:space="preserve">noted that </w:t>
      </w:r>
      <w:r w:rsidR="00173DAE" w:rsidRPr="00477630">
        <w:rPr>
          <w:iCs/>
        </w:rPr>
        <w:t>c</w:t>
      </w:r>
      <w:r w:rsidR="00551CE2" w:rsidRPr="00477630">
        <w:rPr>
          <w:iCs/>
        </w:rPr>
        <w:t xml:space="preserve">linical experts </w:t>
      </w:r>
      <w:r w:rsidR="00173DAE" w:rsidRPr="00477630">
        <w:rPr>
          <w:iCs/>
        </w:rPr>
        <w:t xml:space="preserve">were </w:t>
      </w:r>
      <w:r w:rsidR="00551CE2" w:rsidRPr="00477630">
        <w:rPr>
          <w:iCs/>
        </w:rPr>
        <w:t>consulted during model development</w:t>
      </w:r>
      <w:r w:rsidR="00173DAE" w:rsidRPr="00477630">
        <w:rPr>
          <w:iCs/>
        </w:rPr>
        <w:t xml:space="preserve"> and</w:t>
      </w:r>
      <w:r w:rsidR="00551CE2" w:rsidRPr="00477630">
        <w:rPr>
          <w:iCs/>
        </w:rPr>
        <w:t xml:space="preserve"> indicated that most disease recurrences following surgery for LA HNSCC occur within 5 years</w:t>
      </w:r>
      <w:r w:rsidR="00EF09CC" w:rsidRPr="00477630">
        <w:rPr>
          <w:iCs/>
        </w:rPr>
        <w:t xml:space="preserve"> </w:t>
      </w:r>
      <w:r w:rsidR="004E4BF3" w:rsidRPr="00477630">
        <w:rPr>
          <w:iCs/>
        </w:rPr>
        <w:t>(and therefore within the trial follow up</w:t>
      </w:r>
      <w:r w:rsidR="00AC6190" w:rsidRPr="00477630">
        <w:rPr>
          <w:iCs/>
        </w:rPr>
        <w:t xml:space="preserve"> period</w:t>
      </w:r>
      <w:r w:rsidR="004E4BF3" w:rsidRPr="00477630">
        <w:rPr>
          <w:iCs/>
        </w:rPr>
        <w:t xml:space="preserve">) </w:t>
      </w:r>
      <w:r w:rsidR="00EF09CC" w:rsidRPr="00477630">
        <w:rPr>
          <w:iCs/>
        </w:rPr>
        <w:t>and a</w:t>
      </w:r>
      <w:r w:rsidR="006E76C4" w:rsidRPr="00477630">
        <w:rPr>
          <w:iCs/>
        </w:rPr>
        <w:t xml:space="preserve">n </w:t>
      </w:r>
      <w:r w:rsidR="00551CE2" w:rsidRPr="00477630">
        <w:rPr>
          <w:iCs/>
        </w:rPr>
        <w:lastRenderedPageBreak/>
        <w:t xml:space="preserve">Australian Advisory Board </w:t>
      </w:r>
      <w:r w:rsidR="006E76C4" w:rsidRPr="00477630">
        <w:rPr>
          <w:iCs/>
        </w:rPr>
        <w:t>confirmed</w:t>
      </w:r>
      <w:r w:rsidR="00551CE2" w:rsidRPr="00477630">
        <w:rPr>
          <w:iCs/>
        </w:rPr>
        <w:t xml:space="preserve"> </w:t>
      </w:r>
      <w:r w:rsidR="00EF09CC" w:rsidRPr="00477630">
        <w:rPr>
          <w:iCs/>
        </w:rPr>
        <w:t>that the</w:t>
      </w:r>
      <w:r w:rsidR="00551CE2" w:rsidRPr="00477630">
        <w:rPr>
          <w:iCs/>
        </w:rPr>
        <w:t xml:space="preserve"> recurrence patterns</w:t>
      </w:r>
      <w:r w:rsidR="00EF09CC" w:rsidRPr="00477630">
        <w:rPr>
          <w:iCs/>
        </w:rPr>
        <w:t xml:space="preserve"> modelled</w:t>
      </w:r>
      <w:r w:rsidR="00551CE2" w:rsidRPr="00477630">
        <w:rPr>
          <w:iCs/>
        </w:rPr>
        <w:t xml:space="preserve"> </w:t>
      </w:r>
      <w:r w:rsidR="006E76C4" w:rsidRPr="00477630">
        <w:rPr>
          <w:iCs/>
        </w:rPr>
        <w:t>were</w:t>
      </w:r>
      <w:r w:rsidR="00551CE2" w:rsidRPr="00477630">
        <w:rPr>
          <w:iCs/>
        </w:rPr>
        <w:t xml:space="preserve"> generalisable to the Australian population. </w:t>
      </w:r>
      <w:r w:rsidR="00EF09CC" w:rsidRPr="00477630">
        <w:rPr>
          <w:iCs/>
        </w:rPr>
        <w:t xml:space="preserve">The Response </w:t>
      </w:r>
      <w:r w:rsidR="00AC6190" w:rsidRPr="00477630">
        <w:rPr>
          <w:iCs/>
        </w:rPr>
        <w:t xml:space="preserve">also </w:t>
      </w:r>
      <w:r w:rsidR="00EF09CC" w:rsidRPr="00477630">
        <w:rPr>
          <w:iCs/>
        </w:rPr>
        <w:t>noted that across</w:t>
      </w:r>
      <w:r w:rsidR="00551CE2" w:rsidRPr="00477630">
        <w:rPr>
          <w:iCs/>
        </w:rPr>
        <w:t xml:space="preserve"> both arms of KN689, the observed cumulative incidence curves for EF→LR and EF→IRP plateaued over time, indicating that hazard rates of disease relapses had subsided by the end of the available trial period</w:t>
      </w:r>
      <w:r w:rsidR="00B84DF7" w:rsidRPr="00477630">
        <w:rPr>
          <w:iCs/>
        </w:rPr>
        <w:t xml:space="preserve"> and therefore the</w:t>
      </w:r>
      <w:r w:rsidR="00551CE2" w:rsidRPr="00477630">
        <w:rPr>
          <w:iCs/>
        </w:rPr>
        <w:t xml:space="preserve"> evidence collectively suggest</w:t>
      </w:r>
      <w:r w:rsidR="00FF491B" w:rsidRPr="00477630">
        <w:rPr>
          <w:iCs/>
        </w:rPr>
        <w:t>s</w:t>
      </w:r>
      <w:r w:rsidR="00551CE2" w:rsidRPr="00477630">
        <w:rPr>
          <w:iCs/>
        </w:rPr>
        <w:t xml:space="preserve"> that most disease relapses occur early. </w:t>
      </w:r>
      <w:r w:rsidR="007A0423" w:rsidRPr="00477630">
        <w:rPr>
          <w:iCs/>
        </w:rPr>
        <w:t xml:space="preserve"> </w:t>
      </w:r>
      <w:r w:rsidR="006132C9" w:rsidRPr="00477630">
        <w:rPr>
          <w:iCs/>
        </w:rPr>
        <w:t>However, the</w:t>
      </w:r>
      <w:r w:rsidR="007A0423" w:rsidRPr="00477630">
        <w:rPr>
          <w:iCs/>
        </w:rPr>
        <w:t xml:space="preserve"> ESC considered the applicability of the</w:t>
      </w:r>
      <w:r w:rsidR="006B7546" w:rsidRPr="00477630">
        <w:rPr>
          <w:iCs/>
        </w:rPr>
        <w:t xml:space="preserve"> observed</w:t>
      </w:r>
      <w:r w:rsidR="007A0423" w:rsidRPr="00477630">
        <w:rPr>
          <w:iCs/>
        </w:rPr>
        <w:t xml:space="preserve"> extrapolations to the broader treated population remained uncertain.</w:t>
      </w:r>
      <w:bookmarkEnd w:id="104"/>
    </w:p>
    <w:p w14:paraId="6B9BC2A7" w14:textId="6002589B" w:rsidR="00FF022D" w:rsidRPr="00FF022D" w:rsidRDefault="00FF022D" w:rsidP="00234453">
      <w:pPr>
        <w:numPr>
          <w:ilvl w:val="1"/>
          <w:numId w:val="7"/>
        </w:numPr>
        <w:spacing w:before="60" w:after="60"/>
        <w:rPr>
          <w:rFonts w:asciiTheme="minorHAnsi" w:eastAsiaTheme="minorHAnsi" w:hAnsiTheme="minorHAnsi" w:cstheme="minorBidi"/>
          <w:szCs w:val="22"/>
        </w:rPr>
      </w:pPr>
      <w:r w:rsidRPr="00E54C74">
        <w:t>Treatment waning was applied to EFS from year 7 to year 10 in the base case analysis.</w:t>
      </w:r>
      <w:r>
        <w:t xml:space="preserve"> This was done by converging the transition probabilities (from the EF health state) in the </w:t>
      </w:r>
      <w:proofErr w:type="spellStart"/>
      <w:r>
        <w:t>PEM+SoC</w:t>
      </w:r>
      <w:proofErr w:type="spellEnd"/>
      <w:r>
        <w:t xml:space="preserve"> arm to that of the SoC arm</w:t>
      </w:r>
      <w:r w:rsidRPr="00DE49A7">
        <w:t xml:space="preserve">. </w:t>
      </w:r>
      <w:r>
        <w:t>Therefore, despite</w:t>
      </w:r>
      <w:r w:rsidRPr="00DE49A7">
        <w:t xml:space="preserve"> that treatment is administered for a maximum of one year, treatment effect </w:t>
      </w:r>
      <w:r>
        <w:t xml:space="preserve">of pembrolizumab was assumed to </w:t>
      </w:r>
      <w:r w:rsidRPr="00DE49A7">
        <w:t>persist without waning for a further 6 years</w:t>
      </w:r>
      <w:r>
        <w:t>.</w:t>
      </w:r>
    </w:p>
    <w:p w14:paraId="0CA7619C" w14:textId="161858E8" w:rsidR="00032D12" w:rsidRPr="00DE49A7" w:rsidRDefault="00032D12" w:rsidP="00234453">
      <w:pPr>
        <w:numPr>
          <w:ilvl w:val="1"/>
          <w:numId w:val="7"/>
        </w:numPr>
        <w:spacing w:before="60" w:after="60"/>
        <w:rPr>
          <w:rFonts w:asciiTheme="minorHAnsi" w:eastAsiaTheme="minorHAnsi" w:hAnsiTheme="minorHAnsi" w:cstheme="minorBidi"/>
          <w:szCs w:val="22"/>
        </w:rPr>
      </w:pPr>
      <w:r w:rsidRPr="00DE49A7">
        <w:rPr>
          <w:rFonts w:asciiTheme="minorHAnsi" w:eastAsiaTheme="minorHAnsi" w:hAnsiTheme="minorHAnsi" w:cstheme="minorBidi"/>
          <w:szCs w:val="22"/>
        </w:rPr>
        <w:t xml:space="preserve">To validate the operation of the model, the submission presented a comparison of observed EFS and OS data (calculated as 1 </w:t>
      </w:r>
      <w:r w:rsidR="00E021C2">
        <w:rPr>
          <w:rFonts w:asciiTheme="minorHAnsi" w:eastAsiaTheme="minorHAnsi" w:hAnsiTheme="minorHAnsi" w:cstheme="minorBidi"/>
          <w:szCs w:val="22"/>
        </w:rPr>
        <w:t>minus the proportion</w:t>
      </w:r>
      <w:r w:rsidRPr="00DE49A7">
        <w:rPr>
          <w:rFonts w:asciiTheme="minorHAnsi" w:eastAsiaTheme="minorHAnsi" w:hAnsiTheme="minorHAnsi" w:cstheme="minorBidi"/>
          <w:szCs w:val="22"/>
        </w:rPr>
        <w:t xml:space="preserve"> transitioning to the death health state) from the KN689 trial to the modelled curves used in the base case analysis</w:t>
      </w:r>
      <w:r w:rsidR="005E51BA">
        <w:rPr>
          <w:rFonts w:asciiTheme="minorHAnsi" w:eastAsiaTheme="minorHAnsi" w:hAnsiTheme="minorHAnsi" w:cstheme="minorBidi"/>
          <w:szCs w:val="22"/>
        </w:rPr>
        <w:t xml:space="preserve"> </w:t>
      </w:r>
      <w:r w:rsidRPr="00DE49A7">
        <w:rPr>
          <w:rFonts w:asciiTheme="minorHAnsi" w:eastAsiaTheme="minorHAnsi" w:hAnsiTheme="minorHAnsi" w:cstheme="minorBidi"/>
          <w:szCs w:val="22"/>
        </w:rPr>
        <w:t>(</w:t>
      </w:r>
      <w:r w:rsidRPr="00DE49A7">
        <w:rPr>
          <w:rFonts w:eastAsiaTheme="minorHAnsi"/>
        </w:rPr>
        <w:fldChar w:fldCharType="begin"/>
      </w:r>
      <w:r w:rsidRPr="00DE49A7">
        <w:rPr>
          <w:rFonts w:eastAsiaTheme="minorHAnsi"/>
        </w:rPr>
        <w:instrText xml:space="preserve"> REF _Ref206427799 \h  \* MERGEFORMAT </w:instrText>
      </w:r>
      <w:r w:rsidRPr="00DE49A7">
        <w:rPr>
          <w:rFonts w:eastAsiaTheme="minorHAnsi"/>
        </w:rPr>
      </w:r>
      <w:r w:rsidRPr="00DE49A7">
        <w:rPr>
          <w:rFonts w:eastAsiaTheme="minorHAnsi"/>
        </w:rPr>
        <w:fldChar w:fldCharType="separate"/>
      </w:r>
      <w:r w:rsidR="0084087D" w:rsidRPr="0084087D">
        <w:t>Figure 4</w:t>
      </w:r>
      <w:r w:rsidRPr="00DE49A7">
        <w:rPr>
          <w:rFonts w:eastAsiaTheme="minorHAnsi"/>
        </w:rPr>
        <w:fldChar w:fldCharType="end"/>
      </w:r>
      <w:r w:rsidRPr="00DE49A7">
        <w:rPr>
          <w:rFonts w:eastAsiaTheme="minorHAnsi"/>
        </w:rPr>
        <w:t>)</w:t>
      </w:r>
      <w:r w:rsidR="003F3745">
        <w:rPr>
          <w:rFonts w:asciiTheme="minorHAnsi" w:eastAsiaTheme="minorHAnsi" w:hAnsiTheme="minorHAnsi" w:cstheme="minorBidi"/>
          <w:szCs w:val="22"/>
        </w:rPr>
        <w:t xml:space="preserve">. </w:t>
      </w:r>
      <w:r w:rsidR="00CA4A45" w:rsidRPr="00477630">
        <w:rPr>
          <w:rFonts w:asciiTheme="minorHAnsi" w:eastAsiaTheme="minorHAnsi" w:hAnsiTheme="minorHAnsi" w:cstheme="minorBidi"/>
          <w:iCs/>
          <w:szCs w:val="22"/>
        </w:rPr>
        <w:t xml:space="preserve">However, as noted previously, </w:t>
      </w:r>
      <w:r w:rsidR="00C32920" w:rsidRPr="00477630">
        <w:rPr>
          <w:rFonts w:asciiTheme="minorHAnsi" w:eastAsiaTheme="minorHAnsi" w:hAnsiTheme="minorHAnsi" w:cstheme="minorBidi"/>
          <w:iCs/>
          <w:szCs w:val="22"/>
        </w:rPr>
        <w:t xml:space="preserve">the OS data from the KN689 trial were immature and </w:t>
      </w:r>
      <w:r w:rsidR="00011BDD" w:rsidRPr="00477630">
        <w:rPr>
          <w:rFonts w:asciiTheme="minorHAnsi" w:eastAsiaTheme="minorHAnsi" w:hAnsiTheme="minorHAnsi" w:cstheme="minorBidi"/>
          <w:iCs/>
          <w:szCs w:val="22"/>
        </w:rPr>
        <w:t xml:space="preserve">the long-term </w:t>
      </w:r>
      <w:r w:rsidR="00CA4A45" w:rsidRPr="00477630">
        <w:rPr>
          <w:rFonts w:asciiTheme="minorHAnsi" w:eastAsiaTheme="minorHAnsi" w:hAnsiTheme="minorHAnsi" w:cstheme="minorBidi"/>
          <w:iCs/>
          <w:szCs w:val="22"/>
        </w:rPr>
        <w:t xml:space="preserve">overall survival rates </w:t>
      </w:r>
      <w:r w:rsidR="00C32920" w:rsidRPr="00477630">
        <w:rPr>
          <w:rFonts w:asciiTheme="minorHAnsi" w:eastAsiaTheme="minorHAnsi" w:hAnsiTheme="minorHAnsi" w:cstheme="minorBidi"/>
          <w:iCs/>
          <w:szCs w:val="22"/>
        </w:rPr>
        <w:t xml:space="preserve">projected by the model </w:t>
      </w:r>
      <w:r w:rsidR="00011BDD" w:rsidRPr="00477630">
        <w:rPr>
          <w:rFonts w:asciiTheme="minorHAnsi" w:eastAsiaTheme="minorHAnsi" w:hAnsiTheme="minorHAnsi" w:cstheme="minorBidi"/>
          <w:iCs/>
          <w:szCs w:val="22"/>
        </w:rPr>
        <w:t>appeared overestimated.</w:t>
      </w:r>
    </w:p>
    <w:p w14:paraId="0C584397" w14:textId="54B20EB3" w:rsidR="00032D12" w:rsidRPr="00E54C74" w:rsidRDefault="00032D12" w:rsidP="00032D12">
      <w:pPr>
        <w:keepNext/>
        <w:keepLines/>
        <w:rPr>
          <w:rFonts w:ascii="Arial Narrow" w:hAnsi="Arial Narrow"/>
          <w:b/>
          <w:bCs/>
          <w:sz w:val="20"/>
          <w:szCs w:val="18"/>
        </w:rPr>
      </w:pPr>
      <w:bookmarkStart w:id="105" w:name="_Ref206427799"/>
      <w:r w:rsidRPr="00E54C74">
        <w:rPr>
          <w:rFonts w:ascii="Arial Narrow" w:hAnsi="Arial Narrow"/>
          <w:b/>
          <w:bCs/>
          <w:sz w:val="20"/>
          <w:szCs w:val="18"/>
        </w:rPr>
        <w:t xml:space="preserve">Figure </w:t>
      </w:r>
      <w:r w:rsidRPr="00E54C74">
        <w:rPr>
          <w:rFonts w:ascii="Arial Narrow" w:hAnsi="Arial Narrow"/>
          <w:b/>
          <w:bCs/>
          <w:sz w:val="20"/>
          <w:szCs w:val="18"/>
        </w:rPr>
        <w:fldChar w:fldCharType="begin"/>
      </w:r>
      <w:r w:rsidRPr="00E54C74">
        <w:rPr>
          <w:rFonts w:ascii="Arial Narrow" w:hAnsi="Arial Narrow"/>
          <w:b/>
          <w:bCs/>
          <w:sz w:val="20"/>
          <w:szCs w:val="18"/>
        </w:rPr>
        <w:instrText xml:space="preserve"> SEQ Figure \* ARABIC </w:instrText>
      </w:r>
      <w:r w:rsidRPr="00E54C74">
        <w:rPr>
          <w:rFonts w:ascii="Arial Narrow" w:hAnsi="Arial Narrow"/>
          <w:b/>
          <w:bCs/>
          <w:sz w:val="20"/>
          <w:szCs w:val="18"/>
        </w:rPr>
        <w:fldChar w:fldCharType="separate"/>
      </w:r>
      <w:r w:rsidR="0084087D">
        <w:rPr>
          <w:rFonts w:ascii="Arial Narrow" w:hAnsi="Arial Narrow"/>
          <w:b/>
          <w:bCs/>
          <w:noProof/>
          <w:sz w:val="20"/>
          <w:szCs w:val="18"/>
        </w:rPr>
        <w:t>4</w:t>
      </w:r>
      <w:r w:rsidRPr="00E54C74">
        <w:rPr>
          <w:rFonts w:ascii="Arial Narrow" w:hAnsi="Arial Narrow"/>
          <w:b/>
          <w:bCs/>
          <w:sz w:val="20"/>
          <w:szCs w:val="18"/>
        </w:rPr>
        <w:fldChar w:fldCharType="end"/>
      </w:r>
      <w:bookmarkEnd w:id="105"/>
      <w:r w:rsidRPr="00E54C74">
        <w:rPr>
          <w:rFonts w:ascii="Arial Narrow" w:hAnsi="Arial Narrow"/>
          <w:b/>
          <w:bCs/>
          <w:sz w:val="20"/>
          <w:szCs w:val="18"/>
        </w:rPr>
        <w:t>: Modelled vs KM EFS and OS curves (both treatment arms, trial time horizon)</w:t>
      </w:r>
    </w:p>
    <w:p w14:paraId="3125A7E3" w14:textId="77777777" w:rsidR="00032D12" w:rsidRPr="00E54C74" w:rsidRDefault="00032D12" w:rsidP="00032D12">
      <w:pPr>
        <w:spacing w:before="60" w:after="60"/>
        <w:rPr>
          <w:rFonts w:asciiTheme="minorHAnsi" w:eastAsiaTheme="minorHAnsi" w:hAnsiTheme="minorHAnsi" w:cstheme="minorBidi"/>
          <w:szCs w:val="22"/>
        </w:rPr>
      </w:pPr>
      <w:r w:rsidRPr="00E54C74">
        <w:rPr>
          <w:rFonts w:asciiTheme="minorHAnsi" w:eastAsiaTheme="minorHAnsi" w:hAnsiTheme="minorHAnsi" w:cstheme="minorBidi"/>
          <w:noProof/>
          <w:szCs w:val="22"/>
        </w:rPr>
        <w:drawing>
          <wp:inline distT="0" distB="0" distL="0" distR="0" wp14:anchorId="13862DAB" wp14:editId="38FFB47A">
            <wp:extent cx="5603358" cy="3790315"/>
            <wp:effectExtent l="0" t="0" r="0" b="635"/>
            <wp:docPr id="1598394994" name="Picture 3" descr="Figure 4: Modelled vs KM EFS and OS curves (both treatment arms, trial time hori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94994" name="Picture 3" descr="Figure 4: Modelled vs KM EFS and OS curves (both treatment arms, trial time horizon)"/>
                    <pic:cNvPicPr/>
                  </pic:nvPicPr>
                  <pic:blipFill>
                    <a:blip r:embed="rId14"/>
                    <a:stretch>
                      <a:fillRect/>
                    </a:stretch>
                  </pic:blipFill>
                  <pic:spPr>
                    <a:xfrm>
                      <a:off x="0" y="0"/>
                      <a:ext cx="5611585" cy="3795880"/>
                    </a:xfrm>
                    <a:prstGeom prst="rect">
                      <a:avLst/>
                    </a:prstGeom>
                  </pic:spPr>
                </pic:pic>
              </a:graphicData>
            </a:graphic>
          </wp:inline>
        </w:drawing>
      </w:r>
    </w:p>
    <w:p w14:paraId="0CA67381" w14:textId="77777777" w:rsidR="00032D12" w:rsidRPr="00E54C74" w:rsidRDefault="00032D12" w:rsidP="00032D12">
      <w:pPr>
        <w:rPr>
          <w:rFonts w:ascii="Arial Narrow" w:hAnsi="Arial Narrow"/>
          <w:sz w:val="18"/>
        </w:rPr>
      </w:pPr>
      <w:r w:rsidRPr="00E54C74">
        <w:rPr>
          <w:rFonts w:ascii="Arial Narrow" w:hAnsi="Arial Narrow"/>
          <w:sz w:val="18"/>
        </w:rPr>
        <w:t xml:space="preserve">Source: </w:t>
      </w:r>
      <w:r w:rsidRPr="00E573A3">
        <w:rPr>
          <w:rFonts w:ascii="Arial Narrow" w:hAnsi="Arial Narrow"/>
          <w:sz w:val="18"/>
        </w:rPr>
        <w:t>constructed during the evaluation</w:t>
      </w:r>
      <w:r w:rsidRPr="00E54C74">
        <w:rPr>
          <w:rFonts w:ascii="Arial Narrow" w:hAnsi="Arial Narrow"/>
          <w:sz w:val="18"/>
        </w:rPr>
        <w:t xml:space="preserve">, from the “Attachment 5- CEA” Workbook provided in the submission. </w:t>
      </w:r>
    </w:p>
    <w:p w14:paraId="68A9CCA4" w14:textId="77777777" w:rsidR="00032D12" w:rsidRDefault="00032D12" w:rsidP="00032D12">
      <w:pPr>
        <w:rPr>
          <w:rFonts w:ascii="Arial Narrow" w:hAnsi="Arial Narrow"/>
          <w:sz w:val="18"/>
        </w:rPr>
      </w:pPr>
      <w:r w:rsidRPr="00E54C74">
        <w:rPr>
          <w:rFonts w:ascii="Arial Narrow" w:hAnsi="Arial Narrow"/>
          <w:sz w:val="18"/>
        </w:rPr>
        <w:t>EFS = event-free survival; KM = Kaplan-Meier; OS = overall survival; PEM = pembrolizumab; SoC = standard of care</w:t>
      </w:r>
    </w:p>
    <w:p w14:paraId="551C92EF" w14:textId="77777777" w:rsidR="00032D12" w:rsidRPr="00E54C74" w:rsidRDefault="00032D12" w:rsidP="00032D12">
      <w:pPr>
        <w:rPr>
          <w:rFonts w:ascii="Arial Narrow" w:hAnsi="Arial Narrow"/>
          <w:sz w:val="18"/>
        </w:rPr>
      </w:pPr>
    </w:p>
    <w:p w14:paraId="6CA561CA" w14:textId="4AF63588" w:rsidR="008363AF" w:rsidRDefault="00032D12" w:rsidP="00234453">
      <w:pPr>
        <w:numPr>
          <w:ilvl w:val="1"/>
          <w:numId w:val="7"/>
        </w:numPr>
        <w:spacing w:before="60" w:after="60"/>
        <w:rPr>
          <w:rFonts w:asciiTheme="minorHAnsi" w:eastAsiaTheme="minorHAnsi" w:hAnsiTheme="minorHAnsi" w:cstheme="minorBidi"/>
          <w:szCs w:val="22"/>
        </w:rPr>
      </w:pPr>
      <w:r w:rsidRPr="00DE49A7">
        <w:rPr>
          <w:rFonts w:asciiTheme="minorHAnsi" w:eastAsiaTheme="minorHAnsi" w:hAnsiTheme="minorHAnsi" w:cstheme="minorBidi"/>
          <w:szCs w:val="22"/>
        </w:rPr>
        <w:lastRenderedPageBreak/>
        <w:t>Utility weights of 0.834, 0.767 and 0.753 were applied in the EF, LR and IRP health states, respectively, which were derived from the</w:t>
      </w:r>
      <w:r w:rsidR="00025DC4">
        <w:rPr>
          <w:rFonts w:asciiTheme="minorHAnsi" w:eastAsiaTheme="minorHAnsi" w:hAnsiTheme="minorHAnsi" w:cstheme="minorBidi"/>
          <w:szCs w:val="22"/>
        </w:rPr>
        <w:t xml:space="preserve"> </w:t>
      </w:r>
      <w:r w:rsidRPr="00DE49A7">
        <w:rPr>
          <w:rFonts w:asciiTheme="minorHAnsi" w:eastAsiaTheme="minorHAnsi" w:hAnsiTheme="minorHAnsi" w:cstheme="minorBidi"/>
          <w:szCs w:val="22"/>
        </w:rPr>
        <w:t xml:space="preserve">HRQoL assessments of the KN689 trial, using the EQ-5D-5L and mapped using the Canadian value set. To avoid double counting (as disutility due to AEs was included in the base case), the utility value for the EF health state was based on HRQoL data of patients who were progression-free and not experiencing a grade 3+ AE from the KN689 trial. </w:t>
      </w:r>
      <w:r w:rsidR="00E033C7">
        <w:rPr>
          <w:rFonts w:asciiTheme="minorHAnsi" w:eastAsiaTheme="minorHAnsi" w:hAnsiTheme="minorHAnsi" w:cstheme="minorBidi"/>
          <w:szCs w:val="22"/>
        </w:rPr>
        <w:t>For the base case analysis, i</w:t>
      </w:r>
      <w:r w:rsidRPr="00DE49A7">
        <w:rPr>
          <w:rFonts w:asciiTheme="minorHAnsi" w:eastAsiaTheme="minorHAnsi" w:hAnsiTheme="minorHAnsi" w:cstheme="minorBidi"/>
          <w:szCs w:val="22"/>
        </w:rPr>
        <w:t xml:space="preserve">t may have been more reasonable to utilise utility values based on the Australian preference set. Further, the utility values applied to patients in the LR and IRP health states were based on HRQoL data for a small number of patients (n=38 for curable recurrence and n=66 for incurable recurrence, N=661). Thus, the utility values utilised in the submission are not likely to accurately reflect the quality-of-life of patients with local or incurable recurrence. </w:t>
      </w:r>
    </w:p>
    <w:p w14:paraId="443DAF1E" w14:textId="0374D85B" w:rsidR="00032D12" w:rsidRPr="00DE49A7" w:rsidRDefault="00032D12" w:rsidP="00234453">
      <w:pPr>
        <w:numPr>
          <w:ilvl w:val="1"/>
          <w:numId w:val="7"/>
        </w:numPr>
        <w:spacing w:before="60" w:after="60"/>
        <w:rPr>
          <w:rFonts w:asciiTheme="minorHAnsi" w:eastAsiaTheme="minorHAnsi" w:hAnsiTheme="minorHAnsi" w:cstheme="minorBidi"/>
          <w:szCs w:val="22"/>
        </w:rPr>
      </w:pPr>
      <w:r w:rsidRPr="00DE49A7">
        <w:rPr>
          <w:rFonts w:asciiTheme="minorHAnsi" w:eastAsiaTheme="minorHAnsi" w:hAnsiTheme="minorHAnsi" w:cstheme="minorBidi"/>
          <w:szCs w:val="22"/>
        </w:rPr>
        <w:t>A weighted disutility of -</w:t>
      </w:r>
      <w:r w:rsidRPr="00DE49A7">
        <w:rPr>
          <w:rFonts w:asciiTheme="minorHAnsi" w:eastAsiaTheme="minorHAnsi" w:hAnsiTheme="minorHAnsi" w:cstheme="minorBidi"/>
          <w:color w:val="0D0D0D" w:themeColor="text1" w:themeTint="F2"/>
          <w:szCs w:val="22"/>
        </w:rPr>
        <w:t xml:space="preserve">0.01959 and -0.01868, for AEs of grade 3+, were applied in the first cycle of the model across the </w:t>
      </w:r>
      <w:proofErr w:type="spellStart"/>
      <w:r w:rsidRPr="00DE49A7">
        <w:rPr>
          <w:rFonts w:asciiTheme="minorHAnsi" w:eastAsiaTheme="minorHAnsi" w:hAnsiTheme="minorHAnsi" w:cstheme="minorBidi"/>
          <w:color w:val="0D0D0D" w:themeColor="text1" w:themeTint="F2"/>
          <w:szCs w:val="22"/>
        </w:rPr>
        <w:t>PEM+SoC</w:t>
      </w:r>
      <w:proofErr w:type="spellEnd"/>
      <w:r w:rsidRPr="00DE49A7">
        <w:rPr>
          <w:rFonts w:asciiTheme="minorHAnsi" w:eastAsiaTheme="minorHAnsi" w:hAnsiTheme="minorHAnsi" w:cstheme="minorBidi"/>
          <w:color w:val="0D0D0D" w:themeColor="text1" w:themeTint="F2"/>
          <w:szCs w:val="22"/>
        </w:rPr>
        <w:t xml:space="preserve"> and SoC arms</w:t>
      </w:r>
      <w:r w:rsidR="00C5650B">
        <w:rPr>
          <w:rFonts w:asciiTheme="minorHAnsi" w:eastAsiaTheme="minorHAnsi" w:hAnsiTheme="minorHAnsi" w:cstheme="minorBidi"/>
          <w:color w:val="0D0D0D" w:themeColor="text1" w:themeTint="F2"/>
          <w:szCs w:val="22"/>
        </w:rPr>
        <w:t xml:space="preserve">. </w:t>
      </w:r>
      <w:r w:rsidR="00C5650B" w:rsidRPr="00477630">
        <w:rPr>
          <w:rFonts w:asciiTheme="minorHAnsi" w:eastAsiaTheme="minorHAnsi" w:hAnsiTheme="minorHAnsi" w:cstheme="minorBidi"/>
          <w:iCs/>
          <w:color w:val="0D0D0D" w:themeColor="text1" w:themeTint="F2"/>
          <w:szCs w:val="22"/>
        </w:rPr>
        <w:t>The weighting was</w:t>
      </w:r>
      <w:r w:rsidR="00C5650B">
        <w:rPr>
          <w:rFonts w:asciiTheme="minorHAnsi" w:eastAsiaTheme="minorHAnsi" w:hAnsiTheme="minorHAnsi" w:cstheme="minorBidi"/>
          <w:color w:val="0D0D0D" w:themeColor="text1" w:themeTint="F2"/>
          <w:szCs w:val="22"/>
        </w:rPr>
        <w:t xml:space="preserve"> </w:t>
      </w:r>
      <w:r w:rsidRPr="00DE49A7">
        <w:rPr>
          <w:rFonts w:asciiTheme="minorHAnsi" w:eastAsiaTheme="minorHAnsi" w:hAnsiTheme="minorHAnsi" w:cstheme="minorBidi"/>
          <w:color w:val="0D0D0D" w:themeColor="text1" w:themeTint="F2"/>
          <w:szCs w:val="22"/>
        </w:rPr>
        <w:t>based on the incidence of AEs observed in the KN689 trial</w:t>
      </w:r>
      <w:r w:rsidR="00C5650B">
        <w:rPr>
          <w:rFonts w:asciiTheme="minorHAnsi" w:eastAsiaTheme="minorHAnsi" w:hAnsiTheme="minorHAnsi" w:cstheme="minorBidi"/>
          <w:color w:val="0D0D0D" w:themeColor="text1" w:themeTint="F2"/>
          <w:szCs w:val="22"/>
        </w:rPr>
        <w:t xml:space="preserve">, </w:t>
      </w:r>
      <w:r w:rsidR="00C5650B" w:rsidRPr="00477630">
        <w:rPr>
          <w:rFonts w:asciiTheme="minorHAnsi" w:eastAsiaTheme="minorHAnsi" w:hAnsiTheme="minorHAnsi" w:cstheme="minorBidi"/>
          <w:iCs/>
          <w:color w:val="0D0D0D" w:themeColor="text1" w:themeTint="F2"/>
          <w:szCs w:val="22"/>
        </w:rPr>
        <w:t>the duration of each</w:t>
      </w:r>
      <w:r w:rsidR="00C5650B">
        <w:rPr>
          <w:rFonts w:asciiTheme="minorHAnsi" w:eastAsiaTheme="minorHAnsi" w:hAnsiTheme="minorHAnsi" w:cstheme="minorBidi"/>
          <w:color w:val="0D0D0D" w:themeColor="text1" w:themeTint="F2"/>
          <w:szCs w:val="22"/>
        </w:rPr>
        <w:t xml:space="preserve"> </w:t>
      </w:r>
      <w:r w:rsidR="00C5650B" w:rsidRPr="00477630">
        <w:rPr>
          <w:rFonts w:asciiTheme="minorHAnsi" w:eastAsiaTheme="minorHAnsi" w:hAnsiTheme="minorHAnsi" w:cstheme="minorBidi"/>
          <w:iCs/>
          <w:color w:val="0D0D0D" w:themeColor="text1" w:themeTint="F2"/>
          <w:szCs w:val="22"/>
        </w:rPr>
        <w:t>episode</w:t>
      </w:r>
      <w:r w:rsidR="00C5650B">
        <w:rPr>
          <w:rFonts w:asciiTheme="minorHAnsi" w:eastAsiaTheme="minorHAnsi" w:hAnsiTheme="minorHAnsi" w:cstheme="minorBidi"/>
          <w:color w:val="0D0D0D" w:themeColor="text1" w:themeTint="F2"/>
          <w:szCs w:val="22"/>
        </w:rPr>
        <w:t>,</w:t>
      </w:r>
      <w:r w:rsidRPr="00DE49A7">
        <w:rPr>
          <w:rFonts w:asciiTheme="minorHAnsi" w:eastAsiaTheme="minorHAnsi" w:hAnsiTheme="minorHAnsi" w:cstheme="minorBidi"/>
          <w:color w:val="0D0D0D" w:themeColor="text1" w:themeTint="F2"/>
          <w:szCs w:val="22"/>
        </w:rPr>
        <w:t xml:space="preserve"> and an associated disutility of -0.031</w:t>
      </w:r>
      <w:r w:rsidR="00C5650B">
        <w:rPr>
          <w:rFonts w:asciiTheme="minorHAnsi" w:eastAsiaTheme="minorHAnsi" w:hAnsiTheme="minorHAnsi" w:cstheme="minorBidi"/>
          <w:color w:val="0D0D0D" w:themeColor="text1" w:themeTint="F2"/>
          <w:szCs w:val="22"/>
        </w:rPr>
        <w:t xml:space="preserve"> (</w:t>
      </w:r>
      <w:r w:rsidR="00C5650B" w:rsidRPr="00477630">
        <w:rPr>
          <w:rFonts w:asciiTheme="minorHAnsi" w:eastAsiaTheme="minorHAnsi" w:hAnsiTheme="minorHAnsi" w:cstheme="minorBidi"/>
          <w:iCs/>
          <w:color w:val="0D0D0D" w:themeColor="text1" w:themeTint="F2"/>
          <w:szCs w:val="22"/>
        </w:rPr>
        <w:t>assumed</w:t>
      </w:r>
      <w:r w:rsidRPr="00477630">
        <w:rPr>
          <w:rFonts w:asciiTheme="minorHAnsi" w:eastAsiaTheme="minorHAnsi" w:hAnsiTheme="minorHAnsi" w:cstheme="minorBidi"/>
          <w:iCs/>
          <w:color w:val="0D0D0D" w:themeColor="text1" w:themeTint="F2"/>
          <w:szCs w:val="22"/>
        </w:rPr>
        <w:t xml:space="preserve"> for all grade 3+ AEs</w:t>
      </w:r>
      <w:r w:rsidR="00C5650B">
        <w:rPr>
          <w:rFonts w:asciiTheme="minorHAnsi" w:eastAsiaTheme="minorHAnsi" w:hAnsiTheme="minorHAnsi" w:cstheme="minorBidi"/>
          <w:color w:val="0D0D0D" w:themeColor="text1" w:themeTint="F2"/>
          <w:szCs w:val="22"/>
        </w:rPr>
        <w:t>)</w:t>
      </w:r>
      <w:r w:rsidRPr="00DE49A7">
        <w:rPr>
          <w:rFonts w:asciiTheme="minorHAnsi" w:eastAsiaTheme="minorHAnsi" w:hAnsiTheme="minorHAnsi" w:cstheme="minorBidi"/>
          <w:color w:val="0D0D0D" w:themeColor="text1" w:themeTint="F2"/>
          <w:szCs w:val="22"/>
        </w:rPr>
        <w:t xml:space="preserve">. </w:t>
      </w:r>
      <w:r w:rsidR="00DD7B34" w:rsidRPr="00477630">
        <w:rPr>
          <w:rFonts w:asciiTheme="minorHAnsi" w:eastAsiaTheme="minorHAnsi" w:hAnsiTheme="minorHAnsi" w:cstheme="minorBidi"/>
          <w:iCs/>
          <w:color w:val="0D0D0D" w:themeColor="text1" w:themeTint="F2"/>
          <w:szCs w:val="22"/>
        </w:rPr>
        <w:t xml:space="preserve">The </w:t>
      </w:r>
      <w:r w:rsidR="00633F96" w:rsidRPr="00477630">
        <w:rPr>
          <w:rFonts w:asciiTheme="minorHAnsi" w:eastAsiaTheme="minorHAnsi" w:hAnsiTheme="minorHAnsi" w:cstheme="minorBidi"/>
          <w:iCs/>
          <w:color w:val="0D0D0D" w:themeColor="text1" w:themeTint="F2"/>
          <w:szCs w:val="22"/>
        </w:rPr>
        <w:t xml:space="preserve">ESC agreed with the evaluation that </w:t>
      </w:r>
      <w:r w:rsidR="002F2845" w:rsidRPr="00477630">
        <w:rPr>
          <w:rFonts w:asciiTheme="minorHAnsi" w:eastAsiaTheme="minorHAnsi" w:hAnsiTheme="minorHAnsi" w:cstheme="minorBidi"/>
          <w:iCs/>
          <w:color w:val="0D0D0D" w:themeColor="text1" w:themeTint="F2"/>
          <w:szCs w:val="22"/>
        </w:rPr>
        <w:t>applying a</w:t>
      </w:r>
      <w:r w:rsidR="00DD7B34" w:rsidRPr="00477630">
        <w:rPr>
          <w:rFonts w:asciiTheme="minorHAnsi" w:eastAsiaTheme="minorHAnsi" w:hAnsiTheme="minorHAnsi" w:cstheme="minorBidi"/>
          <w:iCs/>
          <w:color w:val="0D0D0D" w:themeColor="text1" w:themeTint="F2"/>
          <w:szCs w:val="22"/>
        </w:rPr>
        <w:t xml:space="preserve"> single disutility</w:t>
      </w:r>
      <w:r w:rsidR="006C33B0" w:rsidRPr="00477630">
        <w:rPr>
          <w:rFonts w:asciiTheme="minorHAnsi" w:eastAsiaTheme="minorHAnsi" w:hAnsiTheme="minorHAnsi" w:cstheme="minorBidi"/>
          <w:iCs/>
          <w:color w:val="0D0D0D" w:themeColor="text1" w:themeTint="F2"/>
          <w:szCs w:val="22"/>
        </w:rPr>
        <w:t xml:space="preserve"> (-0.031)</w:t>
      </w:r>
      <w:r w:rsidR="00DD7B34" w:rsidRPr="00477630">
        <w:rPr>
          <w:rFonts w:asciiTheme="minorHAnsi" w:eastAsiaTheme="minorHAnsi" w:hAnsiTheme="minorHAnsi" w:cstheme="minorBidi"/>
          <w:iCs/>
          <w:color w:val="0D0D0D" w:themeColor="text1" w:themeTint="F2"/>
          <w:szCs w:val="22"/>
        </w:rPr>
        <w:t xml:space="preserve"> </w:t>
      </w:r>
      <w:r w:rsidR="002F2845" w:rsidRPr="00477630">
        <w:rPr>
          <w:rFonts w:asciiTheme="minorHAnsi" w:eastAsiaTheme="minorHAnsi" w:hAnsiTheme="minorHAnsi" w:cstheme="minorBidi"/>
          <w:iCs/>
          <w:color w:val="0D0D0D" w:themeColor="text1" w:themeTint="F2"/>
          <w:szCs w:val="22"/>
        </w:rPr>
        <w:t>to</w:t>
      </w:r>
      <w:r w:rsidR="00DD7B34" w:rsidRPr="00477630">
        <w:rPr>
          <w:rFonts w:asciiTheme="minorHAnsi" w:eastAsiaTheme="minorHAnsi" w:hAnsiTheme="minorHAnsi" w:cstheme="minorBidi"/>
          <w:iCs/>
          <w:color w:val="0D0D0D" w:themeColor="text1" w:themeTint="F2"/>
          <w:szCs w:val="22"/>
        </w:rPr>
        <w:t xml:space="preserve"> all grade 3+ AEs </w:t>
      </w:r>
      <w:r w:rsidRPr="00477630">
        <w:rPr>
          <w:rFonts w:asciiTheme="minorHAnsi" w:eastAsiaTheme="minorHAnsi" w:hAnsiTheme="minorHAnsi" w:cstheme="minorBidi"/>
          <w:iCs/>
          <w:color w:val="0D0D0D" w:themeColor="text1" w:themeTint="F2"/>
          <w:szCs w:val="22"/>
        </w:rPr>
        <w:t>was not reasonable</w:t>
      </w:r>
      <w:r w:rsidR="002F2845" w:rsidRPr="00477630">
        <w:rPr>
          <w:rFonts w:asciiTheme="minorHAnsi" w:eastAsiaTheme="minorHAnsi" w:hAnsiTheme="minorHAnsi" w:cstheme="minorBidi"/>
          <w:iCs/>
          <w:color w:val="0D0D0D" w:themeColor="text1" w:themeTint="F2"/>
          <w:szCs w:val="22"/>
        </w:rPr>
        <w:t>,</w:t>
      </w:r>
      <w:r w:rsidR="003C7E37" w:rsidRPr="00477630">
        <w:rPr>
          <w:rFonts w:asciiTheme="minorHAnsi" w:eastAsiaTheme="minorHAnsi" w:hAnsiTheme="minorHAnsi" w:cstheme="minorBidi"/>
          <w:iCs/>
          <w:color w:val="0D0D0D" w:themeColor="text1" w:themeTint="F2"/>
          <w:szCs w:val="22"/>
        </w:rPr>
        <w:t xml:space="preserve"> a</w:t>
      </w:r>
      <w:r w:rsidR="00FA1184" w:rsidRPr="00477630">
        <w:rPr>
          <w:rFonts w:asciiTheme="minorHAnsi" w:eastAsiaTheme="minorHAnsi" w:hAnsiTheme="minorHAnsi" w:cstheme="minorBidi"/>
          <w:iCs/>
          <w:color w:val="0D0D0D" w:themeColor="text1" w:themeTint="F2"/>
          <w:szCs w:val="22"/>
        </w:rPr>
        <w:t xml:space="preserve">s </w:t>
      </w:r>
      <w:r w:rsidR="002F2845" w:rsidRPr="00477630">
        <w:rPr>
          <w:rFonts w:asciiTheme="minorHAnsi" w:eastAsiaTheme="minorHAnsi" w:hAnsiTheme="minorHAnsi" w:cstheme="minorBidi"/>
          <w:iCs/>
          <w:color w:val="0D0D0D" w:themeColor="text1" w:themeTint="F2"/>
          <w:szCs w:val="22"/>
        </w:rPr>
        <w:t>their QoL impacts are likely to vary</w:t>
      </w:r>
      <w:r w:rsidR="00DF7790" w:rsidRPr="00477630">
        <w:rPr>
          <w:rFonts w:asciiTheme="minorHAnsi" w:eastAsiaTheme="minorHAnsi" w:hAnsiTheme="minorHAnsi" w:cstheme="minorBidi"/>
          <w:iCs/>
          <w:color w:val="0D0D0D" w:themeColor="text1" w:themeTint="F2"/>
          <w:szCs w:val="22"/>
        </w:rPr>
        <w:t xml:space="preserve"> and the weighting calculation would </w:t>
      </w:r>
      <w:r w:rsidR="001A4F4A" w:rsidRPr="00477630">
        <w:rPr>
          <w:rFonts w:asciiTheme="minorHAnsi" w:eastAsiaTheme="minorHAnsi" w:hAnsiTheme="minorHAnsi" w:cstheme="minorBidi"/>
          <w:iCs/>
          <w:color w:val="0D0D0D" w:themeColor="text1" w:themeTint="F2"/>
          <w:szCs w:val="22"/>
        </w:rPr>
        <w:t xml:space="preserve">be unlikely to </w:t>
      </w:r>
      <w:r w:rsidR="00DF7790" w:rsidRPr="00477630">
        <w:rPr>
          <w:rFonts w:asciiTheme="minorHAnsi" w:eastAsiaTheme="minorHAnsi" w:hAnsiTheme="minorHAnsi" w:cstheme="minorBidi"/>
          <w:iCs/>
          <w:color w:val="0D0D0D" w:themeColor="text1" w:themeTint="F2"/>
          <w:szCs w:val="22"/>
        </w:rPr>
        <w:t>account for these differences</w:t>
      </w:r>
      <w:r w:rsidR="005D5E77" w:rsidRPr="00477630">
        <w:rPr>
          <w:rFonts w:asciiTheme="minorHAnsi" w:eastAsiaTheme="minorHAnsi" w:hAnsiTheme="minorHAnsi" w:cstheme="minorBidi"/>
          <w:iCs/>
          <w:color w:val="0D0D0D" w:themeColor="text1" w:themeTint="F2"/>
          <w:szCs w:val="22"/>
        </w:rPr>
        <w:t>.</w:t>
      </w:r>
      <w:r w:rsidRPr="00DE49A7">
        <w:rPr>
          <w:rFonts w:asciiTheme="minorHAnsi" w:eastAsiaTheme="minorHAnsi" w:hAnsiTheme="minorHAnsi" w:cstheme="minorBidi"/>
          <w:color w:val="0D0D0D" w:themeColor="text1" w:themeTint="F2"/>
          <w:szCs w:val="22"/>
        </w:rPr>
        <w:t xml:space="preserve"> Noting that the HRQoL data in the trial did not reflect the higher rate of discontinuations or serious adverse events in the </w:t>
      </w:r>
      <w:proofErr w:type="spellStart"/>
      <w:r w:rsidRPr="00DE49A7">
        <w:rPr>
          <w:rFonts w:asciiTheme="minorHAnsi" w:eastAsiaTheme="minorHAnsi" w:hAnsiTheme="minorHAnsi" w:cstheme="minorBidi"/>
          <w:color w:val="0D0D0D" w:themeColor="text1" w:themeTint="F2"/>
          <w:szCs w:val="22"/>
        </w:rPr>
        <w:t>PEM+SoC</w:t>
      </w:r>
      <w:proofErr w:type="spellEnd"/>
      <w:r w:rsidRPr="00DE49A7">
        <w:rPr>
          <w:rFonts w:asciiTheme="minorHAnsi" w:eastAsiaTheme="minorHAnsi" w:hAnsiTheme="minorHAnsi" w:cstheme="minorBidi"/>
          <w:color w:val="0D0D0D" w:themeColor="text1" w:themeTint="F2"/>
          <w:szCs w:val="22"/>
        </w:rPr>
        <w:t xml:space="preserve"> arm compared to SoC,</w:t>
      </w:r>
      <w:r w:rsidR="000B5CF6">
        <w:rPr>
          <w:rFonts w:asciiTheme="minorHAnsi" w:eastAsiaTheme="minorHAnsi" w:hAnsiTheme="minorHAnsi" w:cstheme="minorBidi"/>
          <w:color w:val="0D0D0D" w:themeColor="text1" w:themeTint="F2"/>
          <w:szCs w:val="22"/>
        </w:rPr>
        <w:t xml:space="preserve"> the evaluation considered that</w:t>
      </w:r>
      <w:r w:rsidRPr="00DE49A7">
        <w:rPr>
          <w:rFonts w:asciiTheme="minorHAnsi" w:eastAsiaTheme="minorHAnsi" w:hAnsiTheme="minorHAnsi" w:cstheme="minorBidi"/>
          <w:color w:val="0D0D0D" w:themeColor="text1" w:themeTint="F2"/>
          <w:szCs w:val="22"/>
        </w:rPr>
        <w:t xml:space="preserve"> it may have been more reasonable in this case to estimate disutility for the AEs from external sources.</w:t>
      </w:r>
    </w:p>
    <w:p w14:paraId="0D73F901" w14:textId="77777777" w:rsidR="00032D12" w:rsidRPr="00DE49A7" w:rsidRDefault="00032D12" w:rsidP="00234453">
      <w:pPr>
        <w:numPr>
          <w:ilvl w:val="1"/>
          <w:numId w:val="7"/>
        </w:numPr>
        <w:spacing w:before="60" w:after="60"/>
        <w:rPr>
          <w:rFonts w:asciiTheme="minorHAnsi" w:eastAsiaTheme="minorHAnsi" w:hAnsiTheme="minorHAnsi" w:cstheme="minorBidi"/>
          <w:szCs w:val="22"/>
        </w:rPr>
      </w:pPr>
      <w:r w:rsidRPr="00DE49A7">
        <w:rPr>
          <w:rFonts w:asciiTheme="minorHAnsi" w:eastAsiaTheme="minorHAnsi" w:hAnsiTheme="minorHAnsi" w:cstheme="minorBidi"/>
          <w:szCs w:val="22"/>
        </w:rPr>
        <w:t xml:space="preserve">The treatment costs were estimated based on the time-on-treatment curves for neoadjuvant therapy (pembrolizumab, 200 mg Q3W for 2 cycles) and adjuvant therapy with </w:t>
      </w:r>
      <w:proofErr w:type="spellStart"/>
      <w:r w:rsidRPr="00DE49A7">
        <w:rPr>
          <w:rFonts w:asciiTheme="minorHAnsi" w:eastAsiaTheme="minorHAnsi" w:hAnsiTheme="minorHAnsi" w:cstheme="minorBidi"/>
          <w:szCs w:val="22"/>
        </w:rPr>
        <w:t>PEM+SoC</w:t>
      </w:r>
      <w:proofErr w:type="spellEnd"/>
      <w:r w:rsidRPr="00DE49A7">
        <w:rPr>
          <w:rFonts w:asciiTheme="minorHAnsi" w:eastAsiaTheme="minorHAnsi" w:hAnsiTheme="minorHAnsi" w:cstheme="minorBidi"/>
          <w:szCs w:val="22"/>
        </w:rPr>
        <w:t xml:space="preserve">, with or without cisplatin, Q3W for 3 cycles, followed by pembrolizumab monotherapy for up to 15 cycles (200 mg, Q3W). While the proposed restriction allows for Q3W dosing or Q6W dosing of pembrolizumab, the economic model assumed that all patients would receive the Q3W dose. </w:t>
      </w:r>
    </w:p>
    <w:p w14:paraId="35244C71" w14:textId="6F09901A" w:rsidR="00032D12" w:rsidRPr="00E60BA6" w:rsidRDefault="00032D12" w:rsidP="00234453">
      <w:pPr>
        <w:numPr>
          <w:ilvl w:val="1"/>
          <w:numId w:val="7"/>
        </w:numPr>
        <w:spacing w:before="60" w:after="60"/>
        <w:rPr>
          <w:rFonts w:asciiTheme="minorHAnsi" w:eastAsiaTheme="minorHAnsi" w:hAnsiTheme="minorHAnsi" w:cstheme="minorBidi"/>
          <w:szCs w:val="22"/>
        </w:rPr>
      </w:pPr>
      <w:r w:rsidRPr="00DE49A7">
        <w:rPr>
          <w:rFonts w:asciiTheme="minorHAnsi" w:eastAsiaTheme="minorHAnsi" w:hAnsiTheme="minorHAnsi" w:cstheme="minorBidi"/>
          <w:szCs w:val="22"/>
        </w:rPr>
        <w:t xml:space="preserve">Surgery and radiation therapy costs were based on AR-DRG codes. The proportion of patients that underwent surgery and radiation therapy was derived from the KN689 trial. However, the submission applied initial surgery costs to 89.5% and 97.5% of patients across both treatment arms, calculated as a proportion of patients that were treated (361 and 315 patients in the </w:t>
      </w:r>
      <w:proofErr w:type="spellStart"/>
      <w:r w:rsidRPr="00DE49A7">
        <w:rPr>
          <w:rFonts w:asciiTheme="minorHAnsi" w:eastAsiaTheme="minorHAnsi" w:hAnsiTheme="minorHAnsi" w:cstheme="minorBidi"/>
          <w:szCs w:val="22"/>
        </w:rPr>
        <w:t>PEM+SoC</w:t>
      </w:r>
      <w:proofErr w:type="spellEnd"/>
      <w:r w:rsidRPr="00DE49A7">
        <w:rPr>
          <w:rFonts w:asciiTheme="minorHAnsi" w:eastAsiaTheme="minorHAnsi" w:hAnsiTheme="minorHAnsi" w:cstheme="minorBidi"/>
          <w:szCs w:val="22"/>
        </w:rPr>
        <w:t xml:space="preserve"> and SoC arms, respectively). However, since the modelled costs and outcomes were based on all randomised patients (363 and 351 patients in the </w:t>
      </w:r>
      <w:proofErr w:type="spellStart"/>
      <w:r w:rsidRPr="00DE49A7">
        <w:rPr>
          <w:rFonts w:asciiTheme="minorHAnsi" w:eastAsiaTheme="minorHAnsi" w:hAnsiTheme="minorHAnsi" w:cstheme="minorBidi"/>
          <w:szCs w:val="22"/>
        </w:rPr>
        <w:t>PEM+SoC</w:t>
      </w:r>
      <w:proofErr w:type="spellEnd"/>
      <w:r w:rsidRPr="00DE49A7">
        <w:rPr>
          <w:rFonts w:asciiTheme="minorHAnsi" w:eastAsiaTheme="minorHAnsi" w:hAnsiTheme="minorHAnsi" w:cstheme="minorBidi"/>
          <w:szCs w:val="22"/>
        </w:rPr>
        <w:t xml:space="preserve"> and SoC arms, respectively), costs for surgery should have been applied to the proportion of randomised patients that underwent surgery in the KN689 trial, i.e., 88.7% (n=322) and 87.75% (n=308) of patients randomised to the </w:t>
      </w:r>
      <w:proofErr w:type="spellStart"/>
      <w:r w:rsidRPr="00DE49A7">
        <w:rPr>
          <w:rFonts w:asciiTheme="minorHAnsi" w:eastAsiaTheme="minorHAnsi" w:hAnsiTheme="minorHAnsi" w:cstheme="minorBidi"/>
          <w:szCs w:val="22"/>
        </w:rPr>
        <w:t>PEM+SoC</w:t>
      </w:r>
      <w:proofErr w:type="spellEnd"/>
      <w:r w:rsidRPr="00DE49A7">
        <w:rPr>
          <w:rFonts w:asciiTheme="minorHAnsi" w:eastAsiaTheme="minorHAnsi" w:hAnsiTheme="minorHAnsi" w:cstheme="minorBidi"/>
          <w:szCs w:val="22"/>
        </w:rPr>
        <w:t xml:space="preserve"> and SoC arms, respectively. When surgery costs are applied to these proportions of patients estimated in the trial, the ICER increases by 10%. </w:t>
      </w:r>
      <w:r w:rsidR="007C5E0F">
        <w:rPr>
          <w:rFonts w:asciiTheme="minorHAnsi" w:eastAsiaTheme="minorHAnsi" w:hAnsiTheme="minorHAnsi" w:cstheme="minorBidi"/>
          <w:szCs w:val="22"/>
        </w:rPr>
        <w:t xml:space="preserve">The </w:t>
      </w:r>
      <w:r w:rsidR="005129C6">
        <w:rPr>
          <w:rFonts w:asciiTheme="minorHAnsi" w:eastAsiaTheme="minorHAnsi" w:hAnsiTheme="minorHAnsi" w:cstheme="minorBidi"/>
          <w:szCs w:val="22"/>
        </w:rPr>
        <w:t>p</w:t>
      </w:r>
      <w:r w:rsidR="007C5E0F">
        <w:rPr>
          <w:rFonts w:asciiTheme="minorHAnsi" w:eastAsiaTheme="minorHAnsi" w:hAnsiTheme="minorHAnsi" w:cstheme="minorBidi"/>
          <w:szCs w:val="22"/>
        </w:rPr>
        <w:t xml:space="preserve">re-PBAC </w:t>
      </w:r>
      <w:r w:rsidR="00115FC8">
        <w:rPr>
          <w:rFonts w:asciiTheme="minorHAnsi" w:eastAsiaTheme="minorHAnsi" w:hAnsiTheme="minorHAnsi" w:cstheme="minorBidi"/>
          <w:szCs w:val="22"/>
        </w:rPr>
        <w:t>R</w:t>
      </w:r>
      <w:r w:rsidR="007C5E0F">
        <w:rPr>
          <w:rFonts w:asciiTheme="minorHAnsi" w:eastAsiaTheme="minorHAnsi" w:hAnsiTheme="minorHAnsi" w:cstheme="minorBidi"/>
          <w:szCs w:val="22"/>
        </w:rPr>
        <w:t xml:space="preserve">esponse </w:t>
      </w:r>
      <w:r w:rsidR="008C7804">
        <w:rPr>
          <w:rFonts w:asciiTheme="minorHAnsi" w:eastAsiaTheme="minorHAnsi" w:hAnsiTheme="minorHAnsi" w:cstheme="minorBidi"/>
          <w:szCs w:val="22"/>
        </w:rPr>
        <w:t>provided a revised base case</w:t>
      </w:r>
      <w:r w:rsidR="00BF420A">
        <w:rPr>
          <w:rFonts w:asciiTheme="minorHAnsi" w:eastAsiaTheme="minorHAnsi" w:hAnsiTheme="minorHAnsi" w:cstheme="minorBidi"/>
          <w:szCs w:val="22"/>
        </w:rPr>
        <w:t xml:space="preserve"> with this change </w:t>
      </w:r>
      <w:r w:rsidR="00BF420A" w:rsidRPr="00E60BA6">
        <w:rPr>
          <w:rFonts w:asciiTheme="minorHAnsi" w:eastAsiaTheme="minorHAnsi" w:hAnsiTheme="minorHAnsi" w:cstheme="minorBidi"/>
          <w:szCs w:val="22"/>
        </w:rPr>
        <w:t xml:space="preserve">included </w:t>
      </w:r>
      <w:r w:rsidR="005129C6" w:rsidRPr="00E60BA6">
        <w:rPr>
          <w:rFonts w:asciiTheme="minorHAnsi" w:eastAsiaTheme="minorHAnsi" w:hAnsiTheme="minorHAnsi" w:cstheme="minorBidi"/>
          <w:szCs w:val="22"/>
        </w:rPr>
        <w:t xml:space="preserve">(see paragraph </w:t>
      </w:r>
      <w:r w:rsidR="00E60BA6" w:rsidRPr="00E60BA6">
        <w:rPr>
          <w:rFonts w:asciiTheme="minorHAnsi" w:eastAsiaTheme="minorHAnsi" w:hAnsiTheme="minorHAnsi" w:cstheme="minorBidi"/>
          <w:szCs w:val="22"/>
        </w:rPr>
        <w:fldChar w:fldCharType="begin"/>
      </w:r>
      <w:r w:rsidR="00E60BA6" w:rsidRPr="00E60BA6">
        <w:rPr>
          <w:rFonts w:asciiTheme="minorHAnsi" w:eastAsiaTheme="minorHAnsi" w:hAnsiTheme="minorHAnsi" w:cstheme="minorBidi"/>
          <w:szCs w:val="22"/>
        </w:rPr>
        <w:instrText xml:space="preserve"> REF _Ref213926867 \r \h </w:instrText>
      </w:r>
      <w:r w:rsidR="00E60BA6">
        <w:rPr>
          <w:rFonts w:asciiTheme="minorHAnsi" w:eastAsiaTheme="minorHAnsi" w:hAnsiTheme="minorHAnsi" w:cstheme="minorBidi"/>
          <w:szCs w:val="22"/>
        </w:rPr>
        <w:instrText xml:space="preserve"> \* MERGEFORMAT </w:instrText>
      </w:r>
      <w:r w:rsidR="00E60BA6" w:rsidRPr="00E60BA6">
        <w:rPr>
          <w:rFonts w:asciiTheme="minorHAnsi" w:eastAsiaTheme="minorHAnsi" w:hAnsiTheme="minorHAnsi" w:cstheme="minorBidi"/>
          <w:szCs w:val="22"/>
        </w:rPr>
      </w:r>
      <w:r w:rsidR="00E60BA6" w:rsidRPr="00E60BA6">
        <w:rPr>
          <w:rFonts w:asciiTheme="minorHAnsi" w:eastAsiaTheme="minorHAnsi" w:hAnsiTheme="minorHAnsi" w:cstheme="minorBidi"/>
          <w:szCs w:val="22"/>
        </w:rPr>
        <w:fldChar w:fldCharType="separate"/>
      </w:r>
      <w:r w:rsidR="0084087D">
        <w:rPr>
          <w:rFonts w:asciiTheme="minorHAnsi" w:eastAsiaTheme="minorHAnsi" w:hAnsiTheme="minorHAnsi" w:cstheme="minorBidi"/>
          <w:szCs w:val="22"/>
        </w:rPr>
        <w:t>6.66</w:t>
      </w:r>
      <w:r w:rsidR="00E60BA6" w:rsidRPr="00E60BA6">
        <w:rPr>
          <w:rFonts w:asciiTheme="minorHAnsi" w:eastAsiaTheme="minorHAnsi" w:hAnsiTheme="minorHAnsi" w:cstheme="minorBidi"/>
          <w:szCs w:val="22"/>
        </w:rPr>
        <w:fldChar w:fldCharType="end"/>
      </w:r>
      <w:r w:rsidR="00E84B9E">
        <w:rPr>
          <w:rFonts w:asciiTheme="minorHAnsi" w:eastAsiaTheme="minorHAnsi" w:hAnsiTheme="minorHAnsi" w:cstheme="minorBidi"/>
          <w:szCs w:val="22"/>
        </w:rPr>
        <w:t xml:space="preserve">; </w:t>
      </w:r>
      <w:r w:rsidR="0089246D">
        <w:rPr>
          <w:rFonts w:asciiTheme="minorHAnsi" w:eastAsiaTheme="minorHAnsi" w:hAnsiTheme="minorHAnsi" w:cstheme="minorBidi"/>
          <w:szCs w:val="22"/>
        </w:rPr>
        <w:fldChar w:fldCharType="begin"/>
      </w:r>
      <w:r w:rsidR="0089246D">
        <w:rPr>
          <w:rFonts w:asciiTheme="minorHAnsi" w:eastAsiaTheme="minorHAnsi" w:hAnsiTheme="minorHAnsi" w:cstheme="minorBidi"/>
          <w:szCs w:val="22"/>
        </w:rPr>
        <w:instrText xml:space="preserve"> REF _Ref213924305 \h  \* MERGEFORMAT </w:instrText>
      </w:r>
      <w:r w:rsidR="0089246D">
        <w:rPr>
          <w:rFonts w:asciiTheme="minorHAnsi" w:eastAsiaTheme="minorHAnsi" w:hAnsiTheme="minorHAnsi" w:cstheme="minorBidi"/>
          <w:szCs w:val="22"/>
        </w:rPr>
      </w:r>
      <w:r w:rsidR="0089246D">
        <w:rPr>
          <w:rFonts w:asciiTheme="minorHAnsi" w:eastAsiaTheme="minorHAnsi" w:hAnsiTheme="minorHAnsi" w:cstheme="minorBidi"/>
          <w:szCs w:val="22"/>
        </w:rPr>
        <w:fldChar w:fldCharType="separate"/>
      </w:r>
      <w:r w:rsidR="0084087D" w:rsidRPr="0084087D">
        <w:rPr>
          <w:rFonts w:asciiTheme="minorHAnsi" w:eastAsiaTheme="minorHAnsi" w:hAnsiTheme="minorHAnsi" w:cstheme="minorBidi"/>
          <w:szCs w:val="22"/>
        </w:rPr>
        <w:t>Table 14</w:t>
      </w:r>
      <w:r w:rsidR="0089246D">
        <w:rPr>
          <w:rFonts w:asciiTheme="minorHAnsi" w:eastAsiaTheme="minorHAnsi" w:hAnsiTheme="minorHAnsi" w:cstheme="minorBidi"/>
          <w:szCs w:val="22"/>
        </w:rPr>
        <w:fldChar w:fldCharType="end"/>
      </w:r>
      <w:r w:rsidR="005129C6" w:rsidRPr="00E60BA6">
        <w:rPr>
          <w:rFonts w:asciiTheme="minorHAnsi" w:eastAsiaTheme="minorHAnsi" w:hAnsiTheme="minorHAnsi" w:cstheme="minorBidi"/>
          <w:szCs w:val="22"/>
        </w:rPr>
        <w:t>)</w:t>
      </w:r>
      <w:r w:rsidR="00490E32" w:rsidRPr="00E60BA6">
        <w:rPr>
          <w:rFonts w:asciiTheme="minorHAnsi" w:eastAsiaTheme="minorHAnsi" w:hAnsiTheme="minorHAnsi" w:cstheme="minorBidi"/>
          <w:szCs w:val="22"/>
        </w:rPr>
        <w:t>.</w:t>
      </w:r>
    </w:p>
    <w:p w14:paraId="67149A04" w14:textId="16905493" w:rsidR="0028195F" w:rsidRPr="0028195F" w:rsidRDefault="00C0434A" w:rsidP="00234453">
      <w:pPr>
        <w:numPr>
          <w:ilvl w:val="1"/>
          <w:numId w:val="7"/>
        </w:numPr>
        <w:spacing w:before="60" w:after="60"/>
        <w:rPr>
          <w:rFonts w:asciiTheme="minorHAnsi" w:eastAsiaTheme="minorHAnsi" w:hAnsiTheme="minorHAnsi" w:cstheme="minorBidi"/>
          <w:szCs w:val="22"/>
        </w:rPr>
      </w:pPr>
      <w:bookmarkStart w:id="106" w:name="_Ref214510688"/>
      <w:r w:rsidRPr="008B1157">
        <w:rPr>
          <w:rFonts w:asciiTheme="minorHAnsi" w:hAnsiTheme="minorHAnsi"/>
          <w:snapToGrid w:val="0"/>
        </w:rPr>
        <w:lastRenderedPageBreak/>
        <w:t xml:space="preserve">The evaluation considered that costs associated with subsequent treatments were likely overestimated (in both arms). </w:t>
      </w:r>
      <w:r w:rsidR="00032D12" w:rsidRPr="00DE49A7">
        <w:rPr>
          <w:rFonts w:asciiTheme="minorHAnsi" w:eastAsiaTheme="minorHAnsi" w:hAnsiTheme="minorHAnsi" w:cstheme="minorBidi"/>
          <w:szCs w:val="22"/>
        </w:rPr>
        <w:t xml:space="preserve">Subsequent treatment costs for 1L and 2L treatment of recurrent or metastatic HNSCC were included in the base case analysis. Costs for 1L and 2L treatments were applied as a one-off cost to 100% and 35% of patients that transitioned to the IRP health state in each cycle, respectively. The ICER was sensitive to the proportion of patients treated with subsequent treatments due to </w:t>
      </w:r>
      <w:r w:rsidR="000773DF">
        <w:rPr>
          <w:rFonts w:asciiTheme="minorHAnsi" w:eastAsiaTheme="minorHAnsi" w:hAnsiTheme="minorHAnsi" w:cstheme="minorBidi"/>
          <w:szCs w:val="22"/>
        </w:rPr>
        <w:t xml:space="preserve">the </w:t>
      </w:r>
      <w:r w:rsidR="00032D12" w:rsidRPr="00DE49A7">
        <w:rPr>
          <w:rFonts w:asciiTheme="minorHAnsi" w:eastAsiaTheme="minorHAnsi" w:hAnsiTheme="minorHAnsi" w:cstheme="minorBidi"/>
          <w:szCs w:val="22"/>
        </w:rPr>
        <w:t xml:space="preserve">inclusion of more expensive therapies (immunotherapy) in the SoC arm. The duration and distribution of subsequent treatments was based on the KN689 trial and Australian clinical practice. Since nivolumab is listed on the PBS for </w:t>
      </w:r>
      <w:r w:rsidR="00B7560B">
        <w:rPr>
          <w:rFonts w:asciiTheme="minorHAnsi" w:eastAsiaTheme="minorHAnsi" w:hAnsiTheme="minorHAnsi" w:cstheme="minorBidi"/>
          <w:szCs w:val="22"/>
        </w:rPr>
        <w:t xml:space="preserve">the </w:t>
      </w:r>
      <w:r w:rsidR="00032D12" w:rsidRPr="00DE49A7">
        <w:rPr>
          <w:rFonts w:asciiTheme="minorHAnsi" w:eastAsiaTheme="minorHAnsi" w:hAnsiTheme="minorHAnsi" w:cstheme="minorBidi"/>
          <w:szCs w:val="22"/>
        </w:rPr>
        <w:t xml:space="preserve">treatment of recurrent/metastatic (RM) HNSCC in patients that progress within 6 months of the last dose of platinum-based chemotherapy (PBC), the model applied costs of nivolumab treatment to all patients that progressed within 6 months in the SoC arm. Patients that progressed after 6 months of PBC could receive either pembrolizumab monotherapy (64%) or pembrolizumab in combination with cisplatin (36%). </w:t>
      </w:r>
      <w:r w:rsidR="00183C19" w:rsidRPr="00477630">
        <w:rPr>
          <w:rFonts w:asciiTheme="minorHAnsi" w:eastAsiaTheme="minorHAnsi" w:hAnsiTheme="minorHAnsi" w:cstheme="minorBidi"/>
          <w:iCs/>
          <w:szCs w:val="22"/>
        </w:rPr>
        <w:t>The evaluation considered that this percentage split was appropriate, however considered that it may not be reasonable to assume that all patients in the SoC arm will receive subsequent immunotherapy in the IRP health state</w:t>
      </w:r>
      <w:r w:rsidR="00763FD2" w:rsidRPr="00477630">
        <w:rPr>
          <w:rFonts w:asciiTheme="minorHAnsi" w:eastAsiaTheme="minorHAnsi" w:hAnsiTheme="minorHAnsi" w:cstheme="minorBidi"/>
          <w:iCs/>
          <w:szCs w:val="22"/>
        </w:rPr>
        <w:t xml:space="preserve">. </w:t>
      </w:r>
      <w:r w:rsidR="00763FD2">
        <w:rPr>
          <w:rFonts w:asciiTheme="minorHAnsi" w:eastAsiaTheme="minorHAnsi" w:hAnsiTheme="minorHAnsi" w:cstheme="minorBidi"/>
          <w:szCs w:val="22"/>
        </w:rPr>
        <w:t>I</w:t>
      </w:r>
      <w:r w:rsidR="00032D12" w:rsidRPr="00DE49A7">
        <w:rPr>
          <w:rFonts w:asciiTheme="minorHAnsi" w:eastAsiaTheme="minorHAnsi" w:hAnsiTheme="minorHAnsi" w:cstheme="minorBidi"/>
          <w:szCs w:val="22"/>
        </w:rPr>
        <w:t xml:space="preserve">n the KN689 trial, only 50.5% of patients </w:t>
      </w:r>
      <w:r w:rsidR="00062DA2">
        <w:rPr>
          <w:rFonts w:asciiTheme="minorHAnsi" w:eastAsiaTheme="minorHAnsi" w:hAnsiTheme="minorHAnsi" w:cstheme="minorBidi"/>
          <w:szCs w:val="22"/>
        </w:rPr>
        <w:t xml:space="preserve">who experienced a recurrence </w:t>
      </w:r>
      <w:r w:rsidR="00032D12" w:rsidRPr="00DE49A7">
        <w:rPr>
          <w:rFonts w:asciiTheme="minorHAnsi" w:eastAsiaTheme="minorHAnsi" w:hAnsiTheme="minorHAnsi" w:cstheme="minorBidi"/>
          <w:szCs w:val="22"/>
        </w:rPr>
        <w:t xml:space="preserve">in the SoC arm were treated with </w:t>
      </w:r>
      <w:r w:rsidR="00763FD2">
        <w:rPr>
          <w:rFonts w:asciiTheme="minorHAnsi" w:eastAsiaTheme="minorHAnsi" w:hAnsiTheme="minorHAnsi" w:cstheme="minorBidi"/>
          <w:szCs w:val="22"/>
        </w:rPr>
        <w:t>immunotherapy</w:t>
      </w:r>
      <w:r w:rsidR="00032D12" w:rsidRPr="00477630">
        <w:rPr>
          <w:rFonts w:asciiTheme="minorHAnsi" w:eastAsiaTheme="minorHAnsi" w:hAnsiTheme="minorHAnsi" w:cstheme="minorBidi"/>
          <w:iCs/>
          <w:szCs w:val="22"/>
        </w:rPr>
        <w:t>.</w:t>
      </w:r>
      <w:r w:rsidR="00032D12" w:rsidRPr="00183C19">
        <w:rPr>
          <w:rFonts w:asciiTheme="minorHAnsi" w:eastAsiaTheme="minorHAnsi" w:hAnsiTheme="minorHAnsi" w:cstheme="minorBidi"/>
          <w:szCs w:val="22"/>
        </w:rPr>
        <w:t xml:space="preserve"> It</w:t>
      </w:r>
      <w:r w:rsidR="00032D12" w:rsidRPr="00DE49A7">
        <w:rPr>
          <w:rFonts w:asciiTheme="minorHAnsi" w:eastAsiaTheme="minorHAnsi" w:hAnsiTheme="minorHAnsi" w:cstheme="minorBidi"/>
          <w:szCs w:val="22"/>
        </w:rPr>
        <w:t xml:space="preserve"> is likely that around 80</w:t>
      </w:r>
      <w:r w:rsidR="00CB37A3" w:rsidRPr="00DE49A7">
        <w:rPr>
          <w:rFonts w:asciiTheme="minorHAnsi" w:eastAsiaTheme="minorHAnsi" w:hAnsiTheme="minorHAnsi" w:cstheme="minorHAnsi"/>
          <w:szCs w:val="22"/>
        </w:rPr>
        <w:t>−</w:t>
      </w:r>
      <w:r w:rsidR="00032D12" w:rsidRPr="00DE49A7">
        <w:rPr>
          <w:rFonts w:asciiTheme="minorHAnsi" w:eastAsiaTheme="minorHAnsi" w:hAnsiTheme="minorHAnsi" w:cstheme="minorBidi"/>
          <w:szCs w:val="22"/>
        </w:rPr>
        <w:t>90% of patients that progress to recurrent or metastatic disease will be treated with immunotherapy due to declining performance status (paragraph 4.21, nivolumab PSD, March 2022 PBAC meeting</w:t>
      </w:r>
      <w:r w:rsidR="00CB37A3" w:rsidRPr="00DE49A7">
        <w:rPr>
          <w:rFonts w:asciiTheme="minorHAnsi" w:eastAsiaTheme="minorHAnsi" w:hAnsiTheme="minorHAnsi" w:cstheme="minorBidi"/>
          <w:szCs w:val="22"/>
        </w:rPr>
        <w:t>)</w:t>
      </w:r>
      <w:r w:rsidR="00032D12" w:rsidRPr="00DE49A7">
        <w:rPr>
          <w:rFonts w:asciiTheme="minorHAnsi" w:eastAsiaTheme="minorHAnsi" w:hAnsiTheme="minorHAnsi" w:cstheme="minorBidi"/>
          <w:szCs w:val="22"/>
        </w:rPr>
        <w:t xml:space="preserve">. </w:t>
      </w:r>
      <w:r w:rsidR="000139FB">
        <w:rPr>
          <w:rFonts w:asciiTheme="minorHAnsi" w:eastAsiaTheme="minorHAnsi" w:hAnsiTheme="minorHAnsi" w:cstheme="minorBidi"/>
          <w:szCs w:val="22"/>
        </w:rPr>
        <w:t xml:space="preserve"> </w:t>
      </w:r>
      <w:r w:rsidR="005655C7" w:rsidRPr="00477630">
        <w:rPr>
          <w:rFonts w:asciiTheme="minorHAnsi" w:eastAsiaTheme="minorHAnsi" w:hAnsiTheme="minorHAnsi" w:cstheme="minorBidi"/>
          <w:iCs/>
          <w:szCs w:val="22"/>
        </w:rPr>
        <w:t>Furthermore, w</w:t>
      </w:r>
      <w:r w:rsidR="00032D12" w:rsidRPr="00477630">
        <w:rPr>
          <w:rFonts w:asciiTheme="minorHAnsi" w:eastAsiaTheme="minorHAnsi" w:hAnsiTheme="minorHAnsi" w:cstheme="minorBidi"/>
          <w:iCs/>
          <w:szCs w:val="22"/>
        </w:rPr>
        <w:t>hile</w:t>
      </w:r>
      <w:r w:rsidR="00032D12" w:rsidRPr="005655C7">
        <w:rPr>
          <w:rFonts w:asciiTheme="minorHAnsi" w:eastAsiaTheme="minorHAnsi" w:hAnsiTheme="minorHAnsi" w:cstheme="minorBidi"/>
          <w:szCs w:val="22"/>
        </w:rPr>
        <w:t xml:space="preserve"> the submission adjusted costs associated with increased use of immunotherapy, it did not adjust for the benefits associated with this increased use in the SoC arm. </w:t>
      </w:r>
      <w:r w:rsidR="00BC74A2" w:rsidRPr="00477630">
        <w:rPr>
          <w:rFonts w:asciiTheme="minorHAnsi" w:eastAsiaTheme="minorHAnsi" w:hAnsiTheme="minorHAnsi" w:cstheme="minorBidi"/>
          <w:iCs/>
          <w:szCs w:val="22"/>
        </w:rPr>
        <w:t xml:space="preserve">This </w:t>
      </w:r>
      <w:r w:rsidR="00A47078" w:rsidRPr="00477630">
        <w:rPr>
          <w:rFonts w:asciiTheme="minorHAnsi" w:eastAsiaTheme="minorHAnsi" w:hAnsiTheme="minorHAnsi" w:cstheme="minorBidi"/>
          <w:iCs/>
          <w:szCs w:val="22"/>
        </w:rPr>
        <w:t>was</w:t>
      </w:r>
      <w:r w:rsidR="00BC74A2" w:rsidRPr="00477630">
        <w:rPr>
          <w:rFonts w:asciiTheme="minorHAnsi" w:eastAsiaTheme="minorHAnsi" w:hAnsiTheme="minorHAnsi" w:cstheme="minorBidi"/>
          <w:iCs/>
          <w:szCs w:val="22"/>
        </w:rPr>
        <w:t xml:space="preserve"> not appropriate, as the cost of SoC has been increased</w:t>
      </w:r>
      <w:r w:rsidR="00BB15BC" w:rsidRPr="00477630">
        <w:rPr>
          <w:rFonts w:asciiTheme="minorHAnsi" w:eastAsiaTheme="minorHAnsi" w:hAnsiTheme="minorHAnsi" w:cstheme="minorBidi"/>
          <w:iCs/>
          <w:szCs w:val="22"/>
        </w:rPr>
        <w:t xml:space="preserve"> without including the benefit of </w:t>
      </w:r>
      <w:r w:rsidR="00CA0243" w:rsidRPr="00477630">
        <w:rPr>
          <w:rFonts w:asciiTheme="minorHAnsi" w:eastAsiaTheme="minorHAnsi" w:hAnsiTheme="minorHAnsi" w:cstheme="minorBidi"/>
          <w:iCs/>
          <w:szCs w:val="22"/>
        </w:rPr>
        <w:t xml:space="preserve">additional </w:t>
      </w:r>
      <w:r w:rsidR="00BB15BC" w:rsidRPr="00477630">
        <w:rPr>
          <w:rFonts w:asciiTheme="minorHAnsi" w:eastAsiaTheme="minorHAnsi" w:hAnsiTheme="minorHAnsi" w:cstheme="minorBidi"/>
          <w:iCs/>
          <w:szCs w:val="22"/>
        </w:rPr>
        <w:t>treatment.</w:t>
      </w:r>
      <w:r w:rsidR="00BB15BC">
        <w:rPr>
          <w:rFonts w:asciiTheme="minorHAnsi" w:eastAsiaTheme="minorHAnsi" w:hAnsiTheme="minorHAnsi" w:cstheme="minorBidi"/>
          <w:szCs w:val="22"/>
        </w:rPr>
        <w:t xml:space="preserve"> </w:t>
      </w:r>
      <w:r w:rsidR="000C073A" w:rsidRPr="00477630">
        <w:rPr>
          <w:rFonts w:asciiTheme="minorHAnsi" w:eastAsiaTheme="minorHAnsi" w:hAnsiTheme="minorHAnsi" w:cstheme="minorBidi"/>
          <w:iCs/>
          <w:szCs w:val="22"/>
        </w:rPr>
        <w:t>Furthermore,</w:t>
      </w:r>
      <w:r w:rsidR="0054772E" w:rsidRPr="00477630">
        <w:rPr>
          <w:rFonts w:asciiTheme="minorHAnsi" w:eastAsiaTheme="minorHAnsi" w:hAnsiTheme="minorHAnsi" w:cstheme="minorBidi"/>
          <w:iCs/>
          <w:szCs w:val="22"/>
        </w:rPr>
        <w:t xml:space="preserve"> in</w:t>
      </w:r>
      <w:r w:rsidR="000C073A" w:rsidRPr="00477630">
        <w:rPr>
          <w:rFonts w:asciiTheme="minorHAnsi" w:eastAsiaTheme="minorHAnsi" w:hAnsiTheme="minorHAnsi" w:cstheme="minorBidi"/>
          <w:iCs/>
          <w:szCs w:val="22"/>
        </w:rPr>
        <w:t xml:space="preserve"> </w:t>
      </w:r>
      <w:r w:rsidR="0054772E" w:rsidRPr="00477630">
        <w:rPr>
          <w:rFonts w:asciiTheme="minorHAnsi" w:eastAsiaTheme="minorHAnsi" w:hAnsiTheme="minorHAnsi" w:cstheme="minorBidi"/>
          <w:iCs/>
          <w:szCs w:val="22"/>
        </w:rPr>
        <w:t xml:space="preserve">the KN689 trial </w:t>
      </w:r>
      <w:r w:rsidR="000C073A" w:rsidRPr="00477630">
        <w:rPr>
          <w:rFonts w:asciiTheme="minorHAnsi" w:eastAsiaTheme="minorHAnsi" w:hAnsiTheme="minorHAnsi" w:cstheme="minorBidi"/>
          <w:iCs/>
          <w:szCs w:val="22"/>
        </w:rPr>
        <w:t>a</w:t>
      </w:r>
      <w:r w:rsidR="00CA0243" w:rsidRPr="00477630">
        <w:rPr>
          <w:rFonts w:asciiTheme="minorHAnsi" w:eastAsiaTheme="minorHAnsi" w:hAnsiTheme="minorHAnsi" w:cstheme="minorBidi"/>
          <w:iCs/>
          <w:szCs w:val="22"/>
        </w:rPr>
        <w:t>lmost 1 in 5</w:t>
      </w:r>
      <w:r w:rsidR="00130970" w:rsidRPr="009B34DF">
        <w:rPr>
          <w:rFonts w:asciiTheme="minorHAnsi" w:eastAsiaTheme="minorHAnsi" w:hAnsiTheme="minorHAnsi" w:cstheme="minorBidi"/>
          <w:szCs w:val="22"/>
        </w:rPr>
        <w:t xml:space="preserve"> </w:t>
      </w:r>
      <w:r w:rsidR="00EE0072" w:rsidRPr="00477630">
        <w:rPr>
          <w:rFonts w:asciiTheme="minorHAnsi" w:eastAsiaTheme="minorHAnsi" w:hAnsiTheme="minorHAnsi" w:cstheme="minorBidi"/>
          <w:iCs/>
          <w:szCs w:val="22"/>
        </w:rPr>
        <w:t xml:space="preserve">patients </w:t>
      </w:r>
      <w:r w:rsidR="00B85230" w:rsidRPr="00477630">
        <w:rPr>
          <w:rFonts w:asciiTheme="minorHAnsi" w:eastAsiaTheme="minorHAnsi" w:hAnsiTheme="minorHAnsi" w:cstheme="minorBidi"/>
          <w:iCs/>
          <w:szCs w:val="22"/>
        </w:rPr>
        <w:t xml:space="preserve">that experienced progression </w:t>
      </w:r>
      <w:r w:rsidR="00EE0072" w:rsidRPr="00477630">
        <w:rPr>
          <w:rFonts w:asciiTheme="minorHAnsi" w:eastAsiaTheme="minorHAnsi" w:hAnsiTheme="minorHAnsi" w:cstheme="minorBidi"/>
          <w:iCs/>
          <w:szCs w:val="22"/>
        </w:rPr>
        <w:t xml:space="preserve">in the </w:t>
      </w:r>
      <w:proofErr w:type="spellStart"/>
      <w:r w:rsidR="00EE0072" w:rsidRPr="00477630">
        <w:rPr>
          <w:rFonts w:asciiTheme="minorHAnsi" w:eastAsiaTheme="minorHAnsi" w:hAnsiTheme="minorHAnsi" w:cstheme="minorBidi"/>
          <w:iCs/>
          <w:szCs w:val="22"/>
        </w:rPr>
        <w:t>PEM+SoC</w:t>
      </w:r>
      <w:proofErr w:type="spellEnd"/>
      <w:r w:rsidR="00EE0072" w:rsidRPr="00477630">
        <w:rPr>
          <w:rFonts w:asciiTheme="minorHAnsi" w:eastAsiaTheme="minorHAnsi" w:hAnsiTheme="minorHAnsi" w:cstheme="minorBidi"/>
          <w:iCs/>
          <w:szCs w:val="22"/>
        </w:rPr>
        <w:t xml:space="preserve"> arm received </w:t>
      </w:r>
      <w:r w:rsidR="00B85230" w:rsidRPr="00477630">
        <w:rPr>
          <w:rFonts w:asciiTheme="minorHAnsi" w:eastAsiaTheme="minorHAnsi" w:hAnsiTheme="minorHAnsi" w:cstheme="minorBidi"/>
          <w:iCs/>
          <w:szCs w:val="22"/>
        </w:rPr>
        <w:t xml:space="preserve">further </w:t>
      </w:r>
      <w:r w:rsidR="00EE0072" w:rsidRPr="00477630">
        <w:rPr>
          <w:rFonts w:asciiTheme="minorHAnsi" w:eastAsiaTheme="minorHAnsi" w:hAnsiTheme="minorHAnsi" w:cstheme="minorBidi"/>
          <w:iCs/>
          <w:szCs w:val="22"/>
        </w:rPr>
        <w:t>immunotherapy (18.9%)</w:t>
      </w:r>
      <w:r w:rsidR="00DC1890" w:rsidRPr="00477630">
        <w:rPr>
          <w:rFonts w:asciiTheme="minorHAnsi" w:eastAsiaTheme="minorHAnsi" w:hAnsiTheme="minorHAnsi" w:cstheme="minorBidi"/>
          <w:iCs/>
          <w:szCs w:val="22"/>
        </w:rPr>
        <w:t xml:space="preserve">, </w:t>
      </w:r>
      <w:r w:rsidR="005B4F7A" w:rsidRPr="00477630">
        <w:rPr>
          <w:rFonts w:asciiTheme="minorHAnsi" w:eastAsiaTheme="minorHAnsi" w:hAnsiTheme="minorHAnsi" w:cstheme="minorBidi"/>
          <w:iCs/>
          <w:szCs w:val="22"/>
        </w:rPr>
        <w:t>outcomes for these patients were</w:t>
      </w:r>
      <w:r w:rsidR="000C073A" w:rsidRPr="00477630">
        <w:rPr>
          <w:rFonts w:asciiTheme="minorHAnsi" w:eastAsiaTheme="minorHAnsi" w:hAnsiTheme="minorHAnsi" w:cstheme="minorBidi"/>
          <w:iCs/>
          <w:szCs w:val="22"/>
        </w:rPr>
        <w:t xml:space="preserve"> therefore</w:t>
      </w:r>
      <w:r w:rsidR="005B4F7A" w:rsidRPr="00477630">
        <w:rPr>
          <w:rFonts w:asciiTheme="minorHAnsi" w:eastAsiaTheme="minorHAnsi" w:hAnsiTheme="minorHAnsi" w:cstheme="minorBidi"/>
          <w:iCs/>
          <w:szCs w:val="22"/>
        </w:rPr>
        <w:t xml:space="preserve"> included in the economic model (</w:t>
      </w:r>
      <w:r w:rsidR="0054772E" w:rsidRPr="00477630">
        <w:rPr>
          <w:rFonts w:asciiTheme="minorHAnsi" w:eastAsiaTheme="minorHAnsi" w:hAnsiTheme="minorHAnsi" w:cstheme="minorBidi"/>
          <w:iCs/>
          <w:szCs w:val="22"/>
        </w:rPr>
        <w:t>and</w:t>
      </w:r>
      <w:r w:rsidR="005B4F7A" w:rsidRPr="00477630">
        <w:rPr>
          <w:rFonts w:asciiTheme="minorHAnsi" w:eastAsiaTheme="minorHAnsi" w:hAnsiTheme="minorHAnsi" w:cstheme="minorBidi"/>
          <w:iCs/>
          <w:szCs w:val="22"/>
        </w:rPr>
        <w:t xml:space="preserve"> the cost</w:t>
      </w:r>
      <w:r w:rsidR="0054772E" w:rsidRPr="00477630">
        <w:rPr>
          <w:rFonts w:asciiTheme="minorHAnsi" w:eastAsiaTheme="minorHAnsi" w:hAnsiTheme="minorHAnsi" w:cstheme="minorBidi"/>
          <w:iCs/>
          <w:szCs w:val="22"/>
        </w:rPr>
        <w:t xml:space="preserve"> was not</w:t>
      </w:r>
      <w:r w:rsidR="005B4F7A" w:rsidRPr="00477630">
        <w:rPr>
          <w:rFonts w:asciiTheme="minorHAnsi" w:eastAsiaTheme="minorHAnsi" w:hAnsiTheme="minorHAnsi" w:cstheme="minorBidi"/>
          <w:iCs/>
          <w:szCs w:val="22"/>
        </w:rPr>
        <w:t>).</w:t>
      </w:r>
      <w:r w:rsidR="004232BB" w:rsidRPr="00477630">
        <w:rPr>
          <w:rFonts w:asciiTheme="minorHAnsi" w:eastAsiaTheme="minorHAnsi" w:hAnsiTheme="minorHAnsi" w:cstheme="minorBidi"/>
          <w:iCs/>
          <w:szCs w:val="22"/>
        </w:rPr>
        <w:t xml:space="preserve"> However, the ESC considered that the clinical benefit from IO re-treatment would likely be minimal.</w:t>
      </w:r>
      <w:bookmarkEnd w:id="106"/>
      <w:r w:rsidR="004232BB" w:rsidRPr="00477630">
        <w:rPr>
          <w:rFonts w:asciiTheme="minorHAnsi" w:eastAsiaTheme="minorHAnsi" w:hAnsiTheme="minorHAnsi" w:cstheme="minorBidi"/>
          <w:iCs/>
          <w:szCs w:val="22"/>
        </w:rPr>
        <w:t xml:space="preserve"> </w:t>
      </w:r>
    </w:p>
    <w:p w14:paraId="0ABB8702" w14:textId="2D2D3623" w:rsidR="007347F1" w:rsidRPr="00A12A49" w:rsidRDefault="007347F1" w:rsidP="00234453">
      <w:pPr>
        <w:numPr>
          <w:ilvl w:val="1"/>
          <w:numId w:val="7"/>
        </w:numPr>
        <w:spacing w:before="60" w:after="60"/>
        <w:rPr>
          <w:rFonts w:asciiTheme="minorHAnsi" w:eastAsiaTheme="minorHAnsi" w:hAnsiTheme="minorHAnsi" w:cstheme="minorBidi"/>
          <w:szCs w:val="22"/>
        </w:rPr>
      </w:pPr>
      <w:r>
        <w:rPr>
          <w:rFonts w:asciiTheme="minorHAnsi" w:eastAsiaTheme="minorHAnsi" w:hAnsiTheme="minorHAnsi" w:cstheme="minorBidi"/>
          <w:iCs/>
          <w:szCs w:val="22"/>
        </w:rPr>
        <w:t xml:space="preserve">The pre-PBAC Response provided a revised base case </w:t>
      </w:r>
      <w:r w:rsidR="0053318E">
        <w:rPr>
          <w:rFonts w:asciiTheme="minorHAnsi" w:eastAsiaTheme="minorHAnsi" w:hAnsiTheme="minorHAnsi" w:cstheme="minorBidi"/>
          <w:iCs/>
          <w:szCs w:val="22"/>
        </w:rPr>
        <w:t>which reduced</w:t>
      </w:r>
      <w:r w:rsidR="0044584E">
        <w:rPr>
          <w:rFonts w:asciiTheme="minorHAnsi" w:eastAsiaTheme="minorHAnsi" w:hAnsiTheme="minorHAnsi" w:cstheme="minorBidi"/>
          <w:iCs/>
          <w:szCs w:val="22"/>
        </w:rPr>
        <w:t xml:space="preserve"> the percentage of patients receiving subsequent therapy in both arms of the model to 80% and </w:t>
      </w:r>
      <w:r w:rsidR="002D20C0">
        <w:rPr>
          <w:rFonts w:asciiTheme="minorHAnsi" w:eastAsiaTheme="minorHAnsi" w:hAnsiTheme="minorHAnsi" w:cstheme="minorBidi"/>
          <w:iCs/>
          <w:szCs w:val="22"/>
        </w:rPr>
        <w:t xml:space="preserve">changed </w:t>
      </w:r>
      <w:r w:rsidR="009F1E0E" w:rsidRPr="009F1E0E">
        <w:rPr>
          <w:rFonts w:asciiTheme="minorHAnsi" w:eastAsiaTheme="minorHAnsi" w:hAnsiTheme="minorHAnsi" w:cstheme="minorBidi"/>
          <w:iCs/>
          <w:szCs w:val="22"/>
        </w:rPr>
        <w:t xml:space="preserve">transition probabilities for IRP à Dead </w:t>
      </w:r>
      <w:r w:rsidR="002D20C0">
        <w:rPr>
          <w:rFonts w:asciiTheme="minorHAnsi" w:eastAsiaTheme="minorHAnsi" w:hAnsiTheme="minorHAnsi" w:cstheme="minorBidi"/>
          <w:iCs/>
          <w:szCs w:val="22"/>
        </w:rPr>
        <w:t xml:space="preserve">so that they </w:t>
      </w:r>
      <w:r w:rsidR="009F1E0E" w:rsidRPr="009F1E0E">
        <w:rPr>
          <w:rFonts w:asciiTheme="minorHAnsi" w:eastAsiaTheme="minorHAnsi" w:hAnsiTheme="minorHAnsi" w:cstheme="minorBidi"/>
          <w:iCs/>
          <w:szCs w:val="22"/>
        </w:rPr>
        <w:t>were derived from the HRs for OS comparing pembrolizumab containing treatments to chemotherapy regimens for the treatment of RM HNSCC</w:t>
      </w:r>
      <w:r w:rsidR="006B7CA1">
        <w:rPr>
          <w:rFonts w:asciiTheme="minorHAnsi" w:eastAsiaTheme="minorHAnsi" w:hAnsiTheme="minorHAnsi" w:cstheme="minorBidi"/>
          <w:iCs/>
          <w:szCs w:val="22"/>
        </w:rPr>
        <w:t xml:space="preserve"> instead of </w:t>
      </w:r>
      <w:r w:rsidR="00461518">
        <w:rPr>
          <w:rFonts w:asciiTheme="minorHAnsi" w:eastAsiaTheme="minorHAnsi" w:hAnsiTheme="minorHAnsi" w:cstheme="minorBidi"/>
          <w:iCs/>
          <w:szCs w:val="22"/>
        </w:rPr>
        <w:t>KN689 trial data</w:t>
      </w:r>
      <w:r w:rsidR="0053318E">
        <w:rPr>
          <w:rFonts w:asciiTheme="minorHAnsi" w:eastAsiaTheme="minorHAnsi" w:hAnsiTheme="minorHAnsi" w:cstheme="minorBidi"/>
          <w:iCs/>
          <w:szCs w:val="22"/>
        </w:rPr>
        <w:t xml:space="preserve"> </w:t>
      </w:r>
      <w:r w:rsidR="0053318E" w:rsidRPr="00E60BA6">
        <w:rPr>
          <w:rFonts w:asciiTheme="minorHAnsi" w:eastAsiaTheme="minorHAnsi" w:hAnsiTheme="minorHAnsi" w:cstheme="minorBidi"/>
          <w:szCs w:val="22"/>
        </w:rPr>
        <w:t xml:space="preserve">(see paragraph </w:t>
      </w:r>
      <w:r w:rsidR="0053318E" w:rsidRPr="00E60BA6">
        <w:rPr>
          <w:rFonts w:asciiTheme="minorHAnsi" w:eastAsiaTheme="minorHAnsi" w:hAnsiTheme="minorHAnsi" w:cstheme="minorBidi"/>
          <w:szCs w:val="22"/>
        </w:rPr>
        <w:fldChar w:fldCharType="begin"/>
      </w:r>
      <w:r w:rsidR="0053318E" w:rsidRPr="00E60BA6">
        <w:rPr>
          <w:rFonts w:asciiTheme="minorHAnsi" w:eastAsiaTheme="minorHAnsi" w:hAnsiTheme="minorHAnsi" w:cstheme="minorBidi"/>
          <w:szCs w:val="22"/>
        </w:rPr>
        <w:instrText xml:space="preserve"> REF _Ref213926867 \r \h </w:instrText>
      </w:r>
      <w:r w:rsidR="0053318E">
        <w:rPr>
          <w:rFonts w:asciiTheme="minorHAnsi" w:eastAsiaTheme="minorHAnsi" w:hAnsiTheme="minorHAnsi" w:cstheme="minorBidi"/>
          <w:szCs w:val="22"/>
        </w:rPr>
        <w:instrText xml:space="preserve"> \* MERGEFORMAT </w:instrText>
      </w:r>
      <w:r w:rsidR="0053318E" w:rsidRPr="00E60BA6">
        <w:rPr>
          <w:rFonts w:asciiTheme="minorHAnsi" w:eastAsiaTheme="minorHAnsi" w:hAnsiTheme="minorHAnsi" w:cstheme="minorBidi"/>
          <w:szCs w:val="22"/>
        </w:rPr>
      </w:r>
      <w:r w:rsidR="0053318E" w:rsidRPr="00E60BA6">
        <w:rPr>
          <w:rFonts w:asciiTheme="minorHAnsi" w:eastAsiaTheme="minorHAnsi" w:hAnsiTheme="minorHAnsi" w:cstheme="minorBidi"/>
          <w:szCs w:val="22"/>
        </w:rPr>
        <w:fldChar w:fldCharType="separate"/>
      </w:r>
      <w:r w:rsidR="0084087D">
        <w:rPr>
          <w:rFonts w:asciiTheme="minorHAnsi" w:eastAsiaTheme="minorHAnsi" w:hAnsiTheme="minorHAnsi" w:cstheme="minorBidi"/>
          <w:szCs w:val="22"/>
        </w:rPr>
        <w:t>6.66</w:t>
      </w:r>
      <w:r w:rsidR="0053318E" w:rsidRPr="00E60BA6">
        <w:rPr>
          <w:rFonts w:asciiTheme="minorHAnsi" w:eastAsiaTheme="minorHAnsi" w:hAnsiTheme="minorHAnsi" w:cstheme="minorBidi"/>
          <w:szCs w:val="22"/>
        </w:rPr>
        <w:fldChar w:fldCharType="end"/>
      </w:r>
      <w:r w:rsidR="0053318E">
        <w:rPr>
          <w:rFonts w:asciiTheme="minorHAnsi" w:eastAsiaTheme="minorHAnsi" w:hAnsiTheme="minorHAnsi" w:cstheme="minorBidi"/>
          <w:szCs w:val="22"/>
        </w:rPr>
        <w:t xml:space="preserve">; </w:t>
      </w:r>
      <w:r w:rsidR="0053318E">
        <w:rPr>
          <w:rFonts w:asciiTheme="minorHAnsi" w:eastAsiaTheme="minorHAnsi" w:hAnsiTheme="minorHAnsi" w:cstheme="minorBidi"/>
          <w:szCs w:val="22"/>
        </w:rPr>
        <w:fldChar w:fldCharType="begin"/>
      </w:r>
      <w:r w:rsidR="0053318E">
        <w:rPr>
          <w:rFonts w:asciiTheme="minorHAnsi" w:eastAsiaTheme="minorHAnsi" w:hAnsiTheme="minorHAnsi" w:cstheme="minorBidi"/>
          <w:szCs w:val="22"/>
        </w:rPr>
        <w:instrText xml:space="preserve"> REF _Ref213924305 \h  \* MERGEFORMAT </w:instrText>
      </w:r>
      <w:r w:rsidR="0053318E">
        <w:rPr>
          <w:rFonts w:asciiTheme="minorHAnsi" w:eastAsiaTheme="minorHAnsi" w:hAnsiTheme="minorHAnsi" w:cstheme="minorBidi"/>
          <w:szCs w:val="22"/>
        </w:rPr>
      </w:r>
      <w:r w:rsidR="0053318E">
        <w:rPr>
          <w:rFonts w:asciiTheme="minorHAnsi" w:eastAsiaTheme="minorHAnsi" w:hAnsiTheme="minorHAnsi" w:cstheme="minorBidi"/>
          <w:szCs w:val="22"/>
        </w:rPr>
        <w:fldChar w:fldCharType="separate"/>
      </w:r>
      <w:r w:rsidR="0084087D" w:rsidRPr="0084087D">
        <w:rPr>
          <w:rFonts w:asciiTheme="minorHAnsi" w:eastAsiaTheme="minorHAnsi" w:hAnsiTheme="minorHAnsi" w:cstheme="minorBidi"/>
          <w:szCs w:val="22"/>
        </w:rPr>
        <w:t>Table 14</w:t>
      </w:r>
      <w:r w:rsidR="0053318E">
        <w:rPr>
          <w:rFonts w:asciiTheme="minorHAnsi" w:eastAsiaTheme="minorHAnsi" w:hAnsiTheme="minorHAnsi" w:cstheme="minorBidi"/>
          <w:szCs w:val="22"/>
        </w:rPr>
        <w:fldChar w:fldCharType="end"/>
      </w:r>
      <w:r w:rsidR="0053318E" w:rsidRPr="00E60BA6">
        <w:rPr>
          <w:rFonts w:asciiTheme="minorHAnsi" w:eastAsiaTheme="minorHAnsi" w:hAnsiTheme="minorHAnsi" w:cstheme="minorBidi"/>
          <w:szCs w:val="22"/>
        </w:rPr>
        <w:t>).</w:t>
      </w:r>
    </w:p>
    <w:p w14:paraId="1A26F22F" w14:textId="6B77F7EA" w:rsidR="00032D12" w:rsidRPr="00DE49A7" w:rsidRDefault="00032D12" w:rsidP="00234453">
      <w:pPr>
        <w:numPr>
          <w:ilvl w:val="1"/>
          <w:numId w:val="7"/>
        </w:numPr>
        <w:spacing w:before="60" w:after="60"/>
        <w:rPr>
          <w:rFonts w:asciiTheme="minorHAnsi" w:eastAsiaTheme="minorHAnsi" w:hAnsiTheme="minorHAnsi" w:cstheme="minorBidi"/>
          <w:szCs w:val="22"/>
        </w:rPr>
      </w:pPr>
      <w:r w:rsidRPr="00DE49A7">
        <w:rPr>
          <w:rFonts w:asciiTheme="minorHAnsi" w:eastAsiaTheme="minorHAnsi" w:hAnsiTheme="minorHAnsi" w:cstheme="minorBidi"/>
          <w:szCs w:val="22"/>
        </w:rPr>
        <w:t xml:space="preserve">Costs for routine monitoring, management of AEs, disease management and terminal care were also included in the base case.  Disease management costs in the EF health state were only included for the first 5 years of the model. The basis of this assumption was not adequately justified in the submission. Furthermore, the estimated frequency of medical resource use in the EF (beyond year 1) and LR health states, i.e., once every 12 months, may not be plausible as patients will likely require increased monitoring, particularly following disease recurrence. Given that the OS data at IA1 data cut is immature, it may have been reasonable to exclude terminal care costs. Exclusion of </w:t>
      </w:r>
      <w:r w:rsidRPr="00DE49A7">
        <w:rPr>
          <w:rFonts w:asciiTheme="minorHAnsi" w:eastAsiaTheme="minorHAnsi" w:hAnsiTheme="minorHAnsi" w:cstheme="minorBidi"/>
          <w:szCs w:val="22"/>
        </w:rPr>
        <w:lastRenderedPageBreak/>
        <w:t>terminal care costs had a minimal impact on the ICER (increased by 1%).</w:t>
      </w:r>
      <w:r w:rsidR="008C6FEF">
        <w:rPr>
          <w:rFonts w:asciiTheme="minorHAnsi" w:eastAsiaTheme="minorHAnsi" w:hAnsiTheme="minorHAnsi" w:cstheme="minorBidi"/>
          <w:szCs w:val="22"/>
        </w:rPr>
        <w:t xml:space="preserve"> </w:t>
      </w:r>
      <w:r w:rsidR="008C6FEF" w:rsidRPr="005A635F">
        <w:rPr>
          <w:rFonts w:asciiTheme="minorHAnsi" w:eastAsiaTheme="minorHAnsi" w:hAnsiTheme="minorHAnsi" w:cstheme="minorBidi"/>
          <w:szCs w:val="22"/>
        </w:rPr>
        <w:t>Overall, the evaluation considered the costs associated with disease management were likely underestimated in the base case analysis.</w:t>
      </w:r>
    </w:p>
    <w:p w14:paraId="6325B74F" w14:textId="6BB45599" w:rsidR="00032D12" w:rsidRPr="00E54C74" w:rsidRDefault="00032D12" w:rsidP="00234453">
      <w:pPr>
        <w:numPr>
          <w:ilvl w:val="1"/>
          <w:numId w:val="7"/>
        </w:numPr>
        <w:spacing w:before="60" w:after="60"/>
        <w:rPr>
          <w:rFonts w:asciiTheme="minorHAnsi" w:eastAsiaTheme="minorHAnsi" w:hAnsiTheme="minorHAnsi" w:cstheme="minorBidi"/>
          <w:szCs w:val="22"/>
        </w:rPr>
      </w:pPr>
      <w:r w:rsidRPr="00E54C74">
        <w:rPr>
          <w:rFonts w:asciiTheme="minorHAnsi" w:eastAsiaTheme="minorHAnsi" w:hAnsiTheme="minorHAnsi" w:cstheme="minorBidi"/>
          <w:szCs w:val="22"/>
        </w:rPr>
        <w:t xml:space="preserve">The key drivers of the economic model are summarised in </w:t>
      </w:r>
      <w:r w:rsidRPr="00E54C74">
        <w:rPr>
          <w:rFonts w:asciiTheme="minorHAnsi" w:eastAsiaTheme="minorHAnsi" w:hAnsiTheme="minorHAnsi" w:cstheme="minorBidi"/>
          <w:szCs w:val="22"/>
        </w:rPr>
        <w:fldChar w:fldCharType="begin"/>
      </w:r>
      <w:r w:rsidRPr="00E54C74">
        <w:rPr>
          <w:rFonts w:asciiTheme="minorHAnsi" w:eastAsiaTheme="minorHAnsi" w:hAnsiTheme="minorHAnsi" w:cstheme="minorBidi"/>
          <w:szCs w:val="22"/>
        </w:rPr>
        <w:instrText xml:space="preserve"> REF _Ref205975481 \h  \* MERGEFORMAT </w:instrText>
      </w:r>
      <w:r w:rsidRPr="00E54C74">
        <w:rPr>
          <w:rFonts w:asciiTheme="minorHAnsi" w:eastAsiaTheme="minorHAnsi" w:hAnsiTheme="minorHAnsi" w:cstheme="minorBidi"/>
          <w:szCs w:val="22"/>
        </w:rPr>
      </w:r>
      <w:r w:rsidRPr="00E54C74">
        <w:rPr>
          <w:rFonts w:asciiTheme="minorHAnsi" w:eastAsiaTheme="minorHAnsi" w:hAnsiTheme="minorHAnsi" w:cstheme="minorBidi"/>
          <w:szCs w:val="22"/>
        </w:rPr>
        <w:fldChar w:fldCharType="separate"/>
      </w:r>
      <w:r w:rsidR="0084087D" w:rsidRPr="0084087D">
        <w:rPr>
          <w:rFonts w:asciiTheme="minorHAnsi" w:eastAsiaTheme="minorHAnsi" w:hAnsiTheme="minorHAnsi" w:cstheme="minorBidi"/>
          <w:szCs w:val="22"/>
        </w:rPr>
        <w:t>Table 10</w:t>
      </w:r>
      <w:r w:rsidRPr="00E54C74">
        <w:rPr>
          <w:rFonts w:asciiTheme="minorHAnsi" w:eastAsiaTheme="minorHAnsi" w:hAnsiTheme="minorHAnsi" w:cstheme="minorBidi"/>
          <w:szCs w:val="22"/>
        </w:rPr>
        <w:fldChar w:fldCharType="end"/>
      </w:r>
      <w:r w:rsidRPr="00E54C74">
        <w:rPr>
          <w:rFonts w:asciiTheme="minorHAnsi" w:eastAsiaTheme="minorHAnsi" w:hAnsiTheme="minorHAnsi" w:cstheme="minorBidi"/>
          <w:szCs w:val="22"/>
        </w:rPr>
        <w:t xml:space="preserve">. </w:t>
      </w:r>
    </w:p>
    <w:p w14:paraId="38F6416B" w14:textId="326B53E1" w:rsidR="00032D12" w:rsidRPr="00E54C74" w:rsidRDefault="00032D12" w:rsidP="00032D12">
      <w:pPr>
        <w:keepNext/>
        <w:widowControl w:val="0"/>
        <w:jc w:val="left"/>
        <w:rPr>
          <w:rFonts w:ascii="Arial Narrow" w:hAnsi="Arial Narrow"/>
          <w:b/>
          <w:bCs/>
          <w:sz w:val="20"/>
        </w:rPr>
      </w:pPr>
      <w:bookmarkStart w:id="107" w:name="_Ref205975481"/>
      <w:r w:rsidRPr="00E54C74">
        <w:rPr>
          <w:rFonts w:ascii="Arial Narrow" w:hAnsi="Arial Narrow"/>
          <w:b/>
          <w:bCs/>
          <w:sz w:val="20"/>
          <w:szCs w:val="18"/>
        </w:rPr>
        <w:t xml:space="preserve">Table </w:t>
      </w:r>
      <w:r w:rsidRPr="00E54C74">
        <w:rPr>
          <w:rFonts w:ascii="Arial Narrow" w:hAnsi="Arial Narrow"/>
          <w:b/>
          <w:bCs/>
          <w:sz w:val="20"/>
          <w:szCs w:val="18"/>
        </w:rPr>
        <w:fldChar w:fldCharType="begin"/>
      </w:r>
      <w:r w:rsidRPr="00E54C74">
        <w:rPr>
          <w:rFonts w:ascii="Arial Narrow" w:hAnsi="Arial Narrow"/>
          <w:b/>
          <w:bCs/>
          <w:sz w:val="20"/>
          <w:szCs w:val="18"/>
        </w:rPr>
        <w:instrText xml:space="preserve"> SEQ Table \* ARABIC </w:instrText>
      </w:r>
      <w:r w:rsidRPr="00E54C74">
        <w:rPr>
          <w:rFonts w:ascii="Arial Narrow" w:hAnsi="Arial Narrow"/>
          <w:b/>
          <w:bCs/>
          <w:sz w:val="20"/>
          <w:szCs w:val="18"/>
        </w:rPr>
        <w:fldChar w:fldCharType="separate"/>
      </w:r>
      <w:r w:rsidR="0084087D">
        <w:rPr>
          <w:rFonts w:ascii="Arial Narrow" w:hAnsi="Arial Narrow"/>
          <w:b/>
          <w:bCs/>
          <w:noProof/>
          <w:sz w:val="20"/>
          <w:szCs w:val="18"/>
        </w:rPr>
        <w:t>10</w:t>
      </w:r>
      <w:r w:rsidRPr="00E54C74">
        <w:rPr>
          <w:rFonts w:ascii="Arial Narrow" w:hAnsi="Arial Narrow"/>
          <w:b/>
          <w:bCs/>
          <w:sz w:val="20"/>
          <w:szCs w:val="18"/>
        </w:rPr>
        <w:fldChar w:fldCharType="end"/>
      </w:r>
      <w:bookmarkEnd w:id="107"/>
      <w:r w:rsidRPr="00E54C74">
        <w:rPr>
          <w:rFonts w:ascii="Arial Narrow" w:hAnsi="Arial Narrow"/>
          <w:b/>
          <w:bCs/>
          <w:sz w:val="20"/>
          <w:szCs w:val="18"/>
        </w:rPr>
        <w:t>:</w:t>
      </w:r>
      <w:r w:rsidRPr="00E54C74">
        <w:rPr>
          <w:rFonts w:ascii="Arial Narrow" w:hAnsi="Arial Narrow"/>
          <w:b/>
          <w:bCs/>
          <w:sz w:val="20"/>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0: Key drivers of the model"/>
      </w:tblPr>
      <w:tblGrid>
        <w:gridCol w:w="1127"/>
        <w:gridCol w:w="4537"/>
        <w:gridCol w:w="3353"/>
      </w:tblGrid>
      <w:tr w:rsidR="00032D12" w:rsidRPr="00E54C74" w14:paraId="17ABEC72" w14:textId="77777777">
        <w:trPr>
          <w:tblHeader/>
        </w:trPr>
        <w:tc>
          <w:tcPr>
            <w:tcW w:w="625" w:type="pct"/>
            <w:vAlign w:val="center"/>
          </w:tcPr>
          <w:p w14:paraId="5A38790A" w14:textId="77777777" w:rsidR="00032D12" w:rsidRPr="00E54C74" w:rsidRDefault="00032D12">
            <w:pPr>
              <w:keepNext/>
              <w:widowControl w:val="0"/>
              <w:jc w:val="center"/>
              <w:rPr>
                <w:rFonts w:ascii="Arial Narrow" w:eastAsiaTheme="majorEastAsia" w:hAnsi="Arial Narrow" w:cs="Times New Roman"/>
                <w:b/>
                <w:sz w:val="20"/>
              </w:rPr>
            </w:pPr>
            <w:r w:rsidRPr="00E54C74">
              <w:rPr>
                <w:rFonts w:ascii="Arial Narrow" w:eastAsiaTheme="majorEastAsia" w:hAnsi="Arial Narrow" w:cs="Times New Roman"/>
                <w:b/>
                <w:sz w:val="20"/>
              </w:rPr>
              <w:t>Description</w:t>
            </w:r>
          </w:p>
        </w:tc>
        <w:tc>
          <w:tcPr>
            <w:tcW w:w="2516" w:type="pct"/>
            <w:vAlign w:val="center"/>
          </w:tcPr>
          <w:p w14:paraId="4388664D" w14:textId="77777777" w:rsidR="00032D12" w:rsidRPr="00E54C74" w:rsidRDefault="00032D12">
            <w:pPr>
              <w:keepNext/>
              <w:widowControl w:val="0"/>
              <w:jc w:val="center"/>
              <w:rPr>
                <w:rFonts w:ascii="Arial Narrow" w:eastAsiaTheme="majorEastAsia" w:hAnsi="Arial Narrow" w:cs="Times New Roman"/>
                <w:b/>
                <w:sz w:val="20"/>
              </w:rPr>
            </w:pPr>
            <w:r w:rsidRPr="00E54C74">
              <w:rPr>
                <w:rFonts w:ascii="Arial Narrow" w:eastAsiaTheme="majorEastAsia" w:hAnsi="Arial Narrow" w:cs="Times New Roman"/>
                <w:b/>
                <w:sz w:val="20"/>
              </w:rPr>
              <w:t>Method/Value</w:t>
            </w:r>
          </w:p>
        </w:tc>
        <w:tc>
          <w:tcPr>
            <w:tcW w:w="1859" w:type="pct"/>
            <w:vAlign w:val="center"/>
          </w:tcPr>
          <w:p w14:paraId="62C96080" w14:textId="77777777" w:rsidR="00032D12" w:rsidRPr="00E54C74" w:rsidRDefault="00032D12">
            <w:pPr>
              <w:keepNext/>
              <w:widowControl w:val="0"/>
              <w:jc w:val="center"/>
              <w:rPr>
                <w:rFonts w:ascii="Arial Narrow" w:eastAsiaTheme="majorEastAsia" w:hAnsi="Arial Narrow" w:cs="Times New Roman"/>
                <w:b/>
                <w:sz w:val="20"/>
              </w:rPr>
            </w:pPr>
            <w:r w:rsidRPr="00E54C74">
              <w:rPr>
                <w:rFonts w:ascii="Arial Narrow" w:eastAsiaTheme="majorEastAsia" w:hAnsi="Arial Narrow" w:cs="Times New Roman"/>
                <w:b/>
                <w:sz w:val="20"/>
              </w:rPr>
              <w:t>Impact</w:t>
            </w:r>
          </w:p>
          <w:p w14:paraId="6288081B" w14:textId="7B93B734" w:rsidR="00032D12" w:rsidRPr="00E54C74" w:rsidRDefault="00032D12">
            <w:pPr>
              <w:keepNext/>
              <w:widowControl w:val="0"/>
              <w:jc w:val="center"/>
              <w:rPr>
                <w:rFonts w:ascii="Arial Narrow" w:eastAsiaTheme="majorEastAsia" w:hAnsi="Arial Narrow" w:cs="Times New Roman"/>
                <w:b/>
                <w:sz w:val="20"/>
              </w:rPr>
            </w:pPr>
            <w:r w:rsidRPr="00E54C74">
              <w:rPr>
                <w:rFonts w:ascii="Arial Narrow" w:eastAsiaTheme="majorEastAsia" w:hAnsi="Arial Narrow" w:cs="Times New Roman"/>
                <w:b/>
                <w:sz w:val="20"/>
              </w:rPr>
              <w:t>Base case: $</w:t>
            </w:r>
            <w:r w:rsidR="00576021" w:rsidRPr="001758D2">
              <w:rPr>
                <w:rFonts w:ascii="Arial Narrow" w:eastAsiaTheme="majorEastAsia" w:hAnsi="Arial Narrow" w:cs="Times New Roman"/>
                <w:b/>
                <w:sz w:val="20"/>
                <w:highlight w:val="black"/>
              </w:rPr>
              <w:t>&amp;&amp;&amp;&amp;</w:t>
            </w:r>
            <w:r w:rsidR="00CD717A">
              <w:rPr>
                <w:rFonts w:ascii="Arial Narrow" w:eastAsiaTheme="majorEastAsia" w:hAnsi="Arial Narrow" w:cs="Times New Roman"/>
                <w:b/>
                <w:sz w:val="20"/>
                <w:vertAlign w:val="superscript"/>
              </w:rPr>
              <w:t>1</w:t>
            </w:r>
            <w:r w:rsidRPr="00E54C74">
              <w:rPr>
                <w:rFonts w:ascii="Arial Narrow" w:eastAsiaTheme="majorEastAsia" w:hAnsi="Arial Narrow" w:cs="Times New Roman"/>
                <w:b/>
                <w:sz w:val="20"/>
              </w:rPr>
              <w:t>/QALY gained</w:t>
            </w:r>
          </w:p>
        </w:tc>
      </w:tr>
      <w:tr w:rsidR="00032D12" w:rsidRPr="00E54C74" w14:paraId="1B738A1B" w14:textId="77777777" w:rsidTr="002C4471">
        <w:trPr>
          <w:tblHeader/>
        </w:trPr>
        <w:tc>
          <w:tcPr>
            <w:tcW w:w="625" w:type="pct"/>
            <w:vAlign w:val="center"/>
          </w:tcPr>
          <w:p w14:paraId="399A95D3" w14:textId="4E242A25" w:rsidR="00032D12" w:rsidRPr="00E54C74" w:rsidRDefault="00032D12">
            <w:pPr>
              <w:keepNext/>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 xml:space="preserve">Transition probabilities for IRP </w:t>
            </w:r>
            <w:r w:rsidRPr="00AD3924">
              <w:rPr>
                <w:rFonts w:ascii="Wingdings" w:eastAsiaTheme="majorEastAsia" w:hAnsi="Wingdings" w:cstheme="majorBidi"/>
                <w:sz w:val="20"/>
              </w:rPr>
              <w:t>à</w:t>
            </w:r>
            <w:r>
              <w:rPr>
                <w:rFonts w:ascii="Arial Narrow" w:eastAsiaTheme="majorEastAsia" w:hAnsi="Arial Narrow" w:cstheme="majorBidi"/>
                <w:bCs/>
                <w:sz w:val="20"/>
              </w:rPr>
              <w:t xml:space="preserve"> Dead</w:t>
            </w:r>
          </w:p>
        </w:tc>
        <w:tc>
          <w:tcPr>
            <w:tcW w:w="2516" w:type="pct"/>
          </w:tcPr>
          <w:p w14:paraId="7A729345" w14:textId="0EB5FFD5" w:rsidR="00032D12" w:rsidRPr="006E012B" w:rsidRDefault="000A4534" w:rsidP="002C4471">
            <w:pPr>
              <w:keepNext/>
              <w:widowControl w:val="0"/>
              <w:jc w:val="left"/>
              <w:rPr>
                <w:rFonts w:ascii="Arial Narrow" w:eastAsiaTheme="majorEastAsia" w:hAnsi="Arial Narrow" w:cstheme="majorBidi"/>
                <w:bCs/>
                <w:sz w:val="20"/>
              </w:rPr>
            </w:pPr>
            <w:r w:rsidRPr="006E012B">
              <w:rPr>
                <w:rFonts w:ascii="Arial Narrow" w:eastAsiaTheme="majorEastAsia" w:hAnsi="Arial Narrow" w:cstheme="majorBidi"/>
                <w:bCs/>
                <w:sz w:val="20"/>
              </w:rPr>
              <w:t xml:space="preserve">Using KN689 trial data to estimate the transition probabilities was reasonable. However, the use of immunotherapies in the SoC arm </w:t>
            </w:r>
            <w:r w:rsidR="00057F91" w:rsidRPr="006E012B">
              <w:rPr>
                <w:rFonts w:ascii="Arial Narrow" w:eastAsiaTheme="majorEastAsia" w:hAnsi="Arial Narrow" w:cstheme="majorBidi"/>
                <w:bCs/>
                <w:sz w:val="20"/>
              </w:rPr>
              <w:t xml:space="preserve">in the trial </w:t>
            </w:r>
            <w:r w:rsidRPr="006E012B">
              <w:rPr>
                <w:rFonts w:ascii="Arial Narrow" w:eastAsiaTheme="majorEastAsia" w:hAnsi="Arial Narrow" w:cstheme="majorBidi"/>
                <w:bCs/>
                <w:sz w:val="20"/>
              </w:rPr>
              <w:t xml:space="preserve">was lower than </w:t>
            </w:r>
            <w:r w:rsidR="00057F91" w:rsidRPr="006E012B">
              <w:rPr>
                <w:rFonts w:ascii="Arial Narrow" w:eastAsiaTheme="majorEastAsia" w:hAnsi="Arial Narrow" w:cstheme="majorBidi"/>
                <w:bCs/>
                <w:sz w:val="20"/>
              </w:rPr>
              <w:t xml:space="preserve">that </w:t>
            </w:r>
            <w:r w:rsidRPr="006E012B">
              <w:rPr>
                <w:rFonts w:ascii="Arial Narrow" w:eastAsiaTheme="majorEastAsia" w:hAnsi="Arial Narrow" w:cstheme="majorBidi"/>
                <w:bCs/>
                <w:sz w:val="20"/>
              </w:rPr>
              <w:t>expected in clinical practice</w:t>
            </w:r>
            <w:r w:rsidR="00057F91" w:rsidRPr="006E012B">
              <w:rPr>
                <w:rFonts w:ascii="Arial Narrow" w:eastAsiaTheme="majorEastAsia" w:hAnsi="Arial Narrow" w:cstheme="majorBidi"/>
                <w:bCs/>
                <w:sz w:val="20"/>
              </w:rPr>
              <w:t xml:space="preserve">. Therefore, the SoC arm likely underperformed clinical practice. </w:t>
            </w:r>
          </w:p>
        </w:tc>
        <w:tc>
          <w:tcPr>
            <w:tcW w:w="1859" w:type="pct"/>
          </w:tcPr>
          <w:p w14:paraId="1888B32F" w14:textId="781864C2" w:rsidR="00032D12" w:rsidRPr="006E012B" w:rsidRDefault="00032D12" w:rsidP="002C4471">
            <w:pPr>
              <w:keepNext/>
              <w:widowControl w:val="0"/>
              <w:jc w:val="left"/>
              <w:rPr>
                <w:rFonts w:ascii="Arial Narrow" w:eastAsiaTheme="majorEastAsia" w:hAnsi="Arial Narrow" w:cstheme="majorBidi"/>
                <w:bCs/>
                <w:sz w:val="20"/>
              </w:rPr>
            </w:pPr>
            <w:r w:rsidRPr="006E012B">
              <w:rPr>
                <w:rFonts w:ascii="Arial Narrow" w:eastAsiaTheme="majorEastAsia" w:hAnsi="Arial Narrow" w:cstheme="majorBidi"/>
                <w:bCs/>
                <w:sz w:val="20"/>
              </w:rPr>
              <w:t>H</w:t>
            </w:r>
            <w:r w:rsidR="002E70A6" w:rsidRPr="006E012B">
              <w:rPr>
                <w:rFonts w:ascii="Arial Narrow" w:eastAsiaTheme="majorEastAsia" w:hAnsi="Arial Narrow" w:cstheme="majorBidi"/>
                <w:bCs/>
                <w:sz w:val="20"/>
              </w:rPr>
              <w:t>igh</w:t>
            </w:r>
            <w:r w:rsidRPr="006E012B">
              <w:rPr>
                <w:rFonts w:ascii="Arial Narrow" w:eastAsiaTheme="majorEastAsia" w:hAnsi="Arial Narrow" w:cstheme="majorBidi"/>
                <w:bCs/>
                <w:sz w:val="20"/>
              </w:rPr>
              <w:t xml:space="preserve">, favours </w:t>
            </w:r>
            <w:proofErr w:type="spellStart"/>
            <w:r w:rsidRPr="006E012B">
              <w:rPr>
                <w:rFonts w:ascii="Arial Narrow" w:eastAsiaTheme="majorEastAsia" w:hAnsi="Arial Narrow" w:cstheme="majorBidi"/>
                <w:bCs/>
                <w:sz w:val="20"/>
              </w:rPr>
              <w:t>PEM+SoC</w:t>
            </w:r>
            <w:proofErr w:type="spellEnd"/>
            <w:r w:rsidRPr="006E012B">
              <w:rPr>
                <w:rFonts w:ascii="Arial Narrow" w:eastAsiaTheme="majorEastAsia" w:hAnsi="Arial Narrow" w:cstheme="majorBidi"/>
                <w:bCs/>
                <w:sz w:val="20"/>
              </w:rPr>
              <w:t>.</w:t>
            </w:r>
          </w:p>
          <w:p w14:paraId="6F752136" w14:textId="22777F44" w:rsidR="00032D12" w:rsidRDefault="00032D12" w:rsidP="002C4471">
            <w:pPr>
              <w:keepNext/>
              <w:widowControl w:val="0"/>
              <w:jc w:val="left"/>
              <w:rPr>
                <w:rFonts w:ascii="Arial Narrow" w:eastAsiaTheme="majorEastAsia" w:hAnsi="Arial Narrow" w:cstheme="majorBidi"/>
                <w:bCs/>
                <w:sz w:val="20"/>
              </w:rPr>
            </w:pPr>
            <w:r w:rsidRPr="006E012B">
              <w:rPr>
                <w:rFonts w:ascii="Arial Narrow" w:eastAsiaTheme="majorEastAsia" w:hAnsi="Arial Narrow" w:cstheme="majorBidi"/>
                <w:bCs/>
                <w:sz w:val="20"/>
              </w:rPr>
              <w:t>If the transition probabilities are derived from the HRs for OS comparing pembrolizumab containing treatments to chemotherapy regimens for the treatment of RM HNSCC, the ICER increases to $</w:t>
            </w:r>
            <w:r w:rsidR="00576021" w:rsidRPr="001758D2">
              <w:rPr>
                <w:rFonts w:ascii="Arial Narrow" w:eastAsiaTheme="majorEastAsia" w:hAnsi="Arial Narrow" w:cstheme="majorBidi"/>
                <w:bCs/>
                <w:sz w:val="20"/>
                <w:highlight w:val="black"/>
              </w:rPr>
              <w:t>&amp;&amp;&amp;&amp;</w:t>
            </w:r>
            <w:r w:rsidR="001F4AD3">
              <w:rPr>
                <w:rFonts w:ascii="Arial Narrow" w:eastAsiaTheme="majorEastAsia" w:hAnsi="Arial Narrow" w:cstheme="majorBidi"/>
                <w:bCs/>
                <w:sz w:val="20"/>
                <w:vertAlign w:val="superscript"/>
              </w:rPr>
              <w:t>2</w:t>
            </w:r>
            <w:r w:rsidRPr="006E012B">
              <w:rPr>
                <w:rFonts w:ascii="Arial Narrow" w:eastAsiaTheme="majorEastAsia" w:hAnsi="Arial Narrow" w:cstheme="majorBidi"/>
                <w:bCs/>
                <w:sz w:val="20"/>
              </w:rPr>
              <w:t>/QALY.</w:t>
            </w:r>
          </w:p>
          <w:p w14:paraId="4F4EC1F4" w14:textId="66B13F90" w:rsidR="006570C8" w:rsidRPr="006E012B" w:rsidRDefault="006570C8" w:rsidP="002C4471">
            <w:pPr>
              <w:keepNext/>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Th</w:t>
            </w:r>
            <w:r w:rsidR="00AD5F79">
              <w:rPr>
                <w:rFonts w:ascii="Arial Narrow" w:eastAsiaTheme="majorEastAsia" w:hAnsi="Arial Narrow" w:cstheme="majorBidi"/>
                <w:bCs/>
                <w:sz w:val="20"/>
              </w:rPr>
              <w:t xml:space="preserve">e </w:t>
            </w:r>
            <w:r w:rsidR="000C443D">
              <w:rPr>
                <w:rFonts w:ascii="Arial Narrow" w:eastAsiaTheme="majorEastAsia" w:hAnsi="Arial Narrow" w:cstheme="majorBidi"/>
                <w:bCs/>
                <w:sz w:val="20"/>
              </w:rPr>
              <w:t>p</w:t>
            </w:r>
            <w:r w:rsidR="00AD5F79">
              <w:rPr>
                <w:rFonts w:ascii="Arial Narrow" w:eastAsiaTheme="majorEastAsia" w:hAnsi="Arial Narrow" w:cstheme="majorBidi"/>
                <w:bCs/>
                <w:sz w:val="20"/>
              </w:rPr>
              <w:t xml:space="preserve">re-PBAC </w:t>
            </w:r>
            <w:r w:rsidR="000C443D">
              <w:rPr>
                <w:rFonts w:ascii="Arial Narrow" w:eastAsiaTheme="majorEastAsia" w:hAnsi="Arial Narrow" w:cstheme="majorBidi"/>
                <w:bCs/>
                <w:sz w:val="20"/>
              </w:rPr>
              <w:t>R</w:t>
            </w:r>
            <w:r w:rsidR="00AD5F79">
              <w:rPr>
                <w:rFonts w:ascii="Arial Narrow" w:eastAsiaTheme="majorEastAsia" w:hAnsi="Arial Narrow" w:cstheme="majorBidi"/>
                <w:bCs/>
                <w:sz w:val="20"/>
              </w:rPr>
              <w:t xml:space="preserve">esponse provided a revised base case with this change </w:t>
            </w:r>
            <w:r w:rsidR="00557298">
              <w:rPr>
                <w:rFonts w:ascii="Arial Narrow" w:eastAsiaTheme="majorEastAsia" w:hAnsi="Arial Narrow" w:cstheme="majorBidi"/>
                <w:bCs/>
                <w:sz w:val="20"/>
              </w:rPr>
              <w:t>applied to the model.</w:t>
            </w:r>
          </w:p>
        </w:tc>
      </w:tr>
      <w:tr w:rsidR="00032D12" w:rsidRPr="00E54C74" w14:paraId="5563DB9A" w14:textId="77777777" w:rsidTr="002C4471">
        <w:trPr>
          <w:tblHeader/>
        </w:trPr>
        <w:tc>
          <w:tcPr>
            <w:tcW w:w="625" w:type="pct"/>
            <w:vAlign w:val="center"/>
          </w:tcPr>
          <w:p w14:paraId="3A85E6D4" w14:textId="77777777" w:rsidR="00032D12" w:rsidRPr="00E54C74" w:rsidRDefault="00032D12">
            <w:pPr>
              <w:keepNext/>
              <w:widowControl w:val="0"/>
              <w:jc w:val="left"/>
              <w:rPr>
                <w:rFonts w:ascii="Arial Narrow" w:eastAsiaTheme="majorEastAsia" w:hAnsi="Arial Narrow" w:cs="Times New Roman"/>
                <w:b/>
                <w:sz w:val="20"/>
              </w:rPr>
            </w:pPr>
            <w:r w:rsidRPr="00E54C74">
              <w:rPr>
                <w:rFonts w:ascii="Arial Narrow" w:eastAsiaTheme="majorEastAsia" w:hAnsi="Arial Narrow" w:cstheme="majorBidi"/>
                <w:bCs/>
                <w:sz w:val="20"/>
              </w:rPr>
              <w:t xml:space="preserve">Proportion of patients undergoing surgery </w:t>
            </w:r>
          </w:p>
        </w:tc>
        <w:tc>
          <w:tcPr>
            <w:tcW w:w="2516" w:type="pct"/>
          </w:tcPr>
          <w:p w14:paraId="3DF5359F" w14:textId="77777777" w:rsidR="00032D12" w:rsidRPr="006E012B" w:rsidRDefault="00032D12" w:rsidP="002C4471">
            <w:pPr>
              <w:keepNext/>
              <w:widowControl w:val="0"/>
              <w:jc w:val="left"/>
              <w:rPr>
                <w:rFonts w:ascii="Arial Narrow" w:eastAsiaTheme="majorEastAsia" w:hAnsi="Arial Narrow" w:cs="Times New Roman"/>
                <w:b/>
                <w:sz w:val="20"/>
              </w:rPr>
            </w:pPr>
            <w:r w:rsidRPr="006E012B">
              <w:rPr>
                <w:rFonts w:ascii="Arial Narrow" w:eastAsiaTheme="majorEastAsia" w:hAnsi="Arial Narrow" w:cstheme="majorBidi"/>
                <w:bCs/>
                <w:sz w:val="20"/>
              </w:rPr>
              <w:t xml:space="preserve">Costs for initial surgery applied to 89.5% and 97.5% of patients in the </w:t>
            </w:r>
            <w:proofErr w:type="spellStart"/>
            <w:r w:rsidRPr="006E012B">
              <w:rPr>
                <w:rFonts w:ascii="Arial Narrow" w:eastAsiaTheme="majorEastAsia" w:hAnsi="Arial Narrow" w:cstheme="majorBidi"/>
                <w:bCs/>
                <w:sz w:val="20"/>
              </w:rPr>
              <w:t>PEM+SoC</w:t>
            </w:r>
            <w:proofErr w:type="spellEnd"/>
            <w:r w:rsidRPr="006E012B">
              <w:rPr>
                <w:rFonts w:ascii="Arial Narrow" w:eastAsiaTheme="majorEastAsia" w:hAnsi="Arial Narrow" w:cstheme="majorBidi"/>
                <w:bCs/>
                <w:sz w:val="20"/>
              </w:rPr>
              <w:t xml:space="preserve"> and SoC arms. </w:t>
            </w:r>
          </w:p>
        </w:tc>
        <w:tc>
          <w:tcPr>
            <w:tcW w:w="1859" w:type="pct"/>
          </w:tcPr>
          <w:p w14:paraId="0316F01A" w14:textId="6B5A3EE9" w:rsidR="00032D12" w:rsidRPr="006E012B" w:rsidRDefault="002E70A6" w:rsidP="002C4471">
            <w:pPr>
              <w:keepNext/>
              <w:widowControl w:val="0"/>
              <w:jc w:val="left"/>
              <w:rPr>
                <w:rFonts w:ascii="Arial Narrow" w:eastAsiaTheme="majorEastAsia" w:hAnsi="Arial Narrow" w:cstheme="majorBidi"/>
                <w:bCs/>
                <w:sz w:val="20"/>
              </w:rPr>
            </w:pPr>
            <w:r w:rsidRPr="006E012B">
              <w:rPr>
                <w:rFonts w:ascii="Arial Narrow" w:eastAsiaTheme="majorEastAsia" w:hAnsi="Arial Narrow" w:cstheme="majorBidi"/>
                <w:bCs/>
                <w:sz w:val="20"/>
              </w:rPr>
              <w:t>Moderate</w:t>
            </w:r>
            <w:r w:rsidR="00032D12" w:rsidRPr="006E012B">
              <w:rPr>
                <w:rFonts w:ascii="Arial Narrow" w:eastAsiaTheme="majorEastAsia" w:hAnsi="Arial Narrow" w:cstheme="majorBidi"/>
                <w:bCs/>
                <w:sz w:val="20"/>
              </w:rPr>
              <w:t xml:space="preserve">, favours </w:t>
            </w:r>
            <w:proofErr w:type="spellStart"/>
            <w:r w:rsidR="00032D12" w:rsidRPr="006E012B">
              <w:rPr>
                <w:rFonts w:ascii="Arial Narrow" w:eastAsiaTheme="majorEastAsia" w:hAnsi="Arial Narrow" w:cstheme="majorBidi"/>
                <w:bCs/>
                <w:sz w:val="20"/>
              </w:rPr>
              <w:t>PEM+SoC</w:t>
            </w:r>
            <w:proofErr w:type="spellEnd"/>
            <w:r w:rsidR="00032D12" w:rsidRPr="006E012B">
              <w:rPr>
                <w:rFonts w:ascii="Arial Narrow" w:eastAsiaTheme="majorEastAsia" w:hAnsi="Arial Narrow" w:cstheme="majorBidi"/>
                <w:bCs/>
                <w:sz w:val="20"/>
              </w:rPr>
              <w:t xml:space="preserve">. </w:t>
            </w:r>
          </w:p>
          <w:p w14:paraId="32DCC320" w14:textId="641CA700" w:rsidR="00032D12" w:rsidRDefault="00032D12" w:rsidP="002C4471">
            <w:pPr>
              <w:keepNext/>
              <w:widowControl w:val="0"/>
              <w:jc w:val="left"/>
              <w:rPr>
                <w:rFonts w:ascii="Arial Narrow" w:eastAsiaTheme="majorEastAsia" w:hAnsi="Arial Narrow" w:cstheme="majorBidi"/>
                <w:bCs/>
                <w:sz w:val="20"/>
              </w:rPr>
            </w:pPr>
            <w:r w:rsidRPr="006E012B">
              <w:rPr>
                <w:rFonts w:ascii="Arial Narrow" w:eastAsiaTheme="majorEastAsia" w:hAnsi="Arial Narrow" w:cstheme="majorBidi"/>
                <w:bCs/>
                <w:sz w:val="20"/>
              </w:rPr>
              <w:t>Changing the proportion of patients that underwent surgery in both arms to reflect the randomised population of the KN689 trial (88.7% and 87.7%) increases the ICER to $</w:t>
            </w:r>
            <w:r w:rsidR="00576021" w:rsidRPr="001758D2">
              <w:rPr>
                <w:rFonts w:ascii="Arial Narrow" w:eastAsiaTheme="majorEastAsia" w:hAnsi="Arial Narrow" w:cstheme="majorBidi"/>
                <w:bCs/>
                <w:sz w:val="20"/>
                <w:highlight w:val="black"/>
              </w:rPr>
              <w:t>&amp;&amp;&amp;&amp;</w:t>
            </w:r>
            <w:r w:rsidR="001F4AD3">
              <w:rPr>
                <w:rFonts w:ascii="Arial Narrow" w:eastAsiaTheme="majorEastAsia" w:hAnsi="Arial Narrow" w:cstheme="majorBidi"/>
                <w:bCs/>
                <w:sz w:val="20"/>
                <w:vertAlign w:val="superscript"/>
              </w:rPr>
              <w:t>2</w:t>
            </w:r>
            <w:r w:rsidRPr="006E012B">
              <w:rPr>
                <w:rFonts w:ascii="Arial Narrow" w:eastAsiaTheme="majorEastAsia" w:hAnsi="Arial Narrow" w:cstheme="majorBidi"/>
                <w:bCs/>
                <w:sz w:val="20"/>
              </w:rPr>
              <w:t xml:space="preserve">/QALY. </w:t>
            </w:r>
          </w:p>
          <w:p w14:paraId="2205D908" w14:textId="1FDF30C9" w:rsidR="00557298" w:rsidRPr="006E012B" w:rsidRDefault="00557298" w:rsidP="002C4471">
            <w:pPr>
              <w:keepNext/>
              <w:widowControl w:val="0"/>
              <w:jc w:val="left"/>
              <w:rPr>
                <w:rFonts w:ascii="Arial Narrow" w:eastAsiaTheme="majorEastAsia" w:hAnsi="Arial Narrow" w:cs="Times New Roman"/>
                <w:b/>
                <w:sz w:val="20"/>
              </w:rPr>
            </w:pPr>
            <w:r>
              <w:rPr>
                <w:rFonts w:ascii="Arial Narrow" w:eastAsiaTheme="majorEastAsia" w:hAnsi="Arial Narrow" w:cstheme="majorBidi"/>
                <w:bCs/>
                <w:sz w:val="20"/>
              </w:rPr>
              <w:t xml:space="preserve">The </w:t>
            </w:r>
            <w:r w:rsidR="000C443D">
              <w:rPr>
                <w:rFonts w:ascii="Arial Narrow" w:eastAsiaTheme="majorEastAsia" w:hAnsi="Arial Narrow" w:cstheme="majorBidi"/>
                <w:bCs/>
                <w:sz w:val="20"/>
              </w:rPr>
              <w:t>p</w:t>
            </w:r>
            <w:r>
              <w:rPr>
                <w:rFonts w:ascii="Arial Narrow" w:eastAsiaTheme="majorEastAsia" w:hAnsi="Arial Narrow" w:cstheme="majorBidi"/>
                <w:bCs/>
                <w:sz w:val="20"/>
              </w:rPr>
              <w:t xml:space="preserve">re-PBAC </w:t>
            </w:r>
            <w:r w:rsidR="000C443D">
              <w:rPr>
                <w:rFonts w:ascii="Arial Narrow" w:eastAsiaTheme="majorEastAsia" w:hAnsi="Arial Narrow" w:cstheme="majorBidi"/>
                <w:bCs/>
                <w:sz w:val="20"/>
              </w:rPr>
              <w:t>R</w:t>
            </w:r>
            <w:r>
              <w:rPr>
                <w:rFonts w:ascii="Arial Narrow" w:eastAsiaTheme="majorEastAsia" w:hAnsi="Arial Narrow" w:cstheme="majorBidi"/>
                <w:bCs/>
                <w:sz w:val="20"/>
              </w:rPr>
              <w:t>esponse provided a revised base case with this change applied to the model.</w:t>
            </w:r>
          </w:p>
        </w:tc>
      </w:tr>
      <w:tr w:rsidR="00032D12" w:rsidRPr="00E54C74" w14:paraId="521EC26F" w14:textId="77777777" w:rsidTr="002C4471">
        <w:trPr>
          <w:tblHeader/>
        </w:trPr>
        <w:tc>
          <w:tcPr>
            <w:tcW w:w="625" w:type="pct"/>
            <w:vAlign w:val="center"/>
          </w:tcPr>
          <w:p w14:paraId="72EC8FAA" w14:textId="77777777" w:rsidR="00032D12" w:rsidRPr="00E54C74" w:rsidRDefault="00032D12">
            <w:pPr>
              <w:keepNext/>
              <w:widowControl w:val="0"/>
              <w:jc w:val="left"/>
              <w:rPr>
                <w:rFonts w:ascii="Arial Narrow" w:eastAsiaTheme="majorEastAsia" w:hAnsi="Arial Narrow" w:cstheme="majorBidi"/>
                <w:bCs/>
                <w:sz w:val="20"/>
              </w:rPr>
            </w:pPr>
            <w:r w:rsidRPr="00E54C74">
              <w:rPr>
                <w:rFonts w:ascii="Arial Narrow" w:eastAsiaTheme="majorEastAsia" w:hAnsi="Arial Narrow" w:cstheme="majorBidi"/>
                <w:bCs/>
                <w:sz w:val="20"/>
              </w:rPr>
              <w:t>Extrapolation</w:t>
            </w:r>
            <w:r>
              <w:rPr>
                <w:rFonts w:ascii="Arial Narrow" w:eastAsiaTheme="majorEastAsia" w:hAnsi="Arial Narrow" w:cstheme="majorBidi"/>
                <w:bCs/>
                <w:sz w:val="20"/>
              </w:rPr>
              <w:t xml:space="preserve"> of transition probabilities associated with the EF health state </w:t>
            </w:r>
          </w:p>
        </w:tc>
        <w:tc>
          <w:tcPr>
            <w:tcW w:w="2516" w:type="pct"/>
          </w:tcPr>
          <w:p w14:paraId="78505C19" w14:textId="77777777" w:rsidR="00032D12" w:rsidRPr="006E012B" w:rsidRDefault="00032D12" w:rsidP="002C4471">
            <w:pPr>
              <w:keepNext/>
              <w:widowControl w:val="0"/>
              <w:jc w:val="left"/>
              <w:rPr>
                <w:rFonts w:ascii="Arial Narrow" w:eastAsiaTheme="majorEastAsia" w:hAnsi="Arial Narrow" w:cstheme="majorBidi"/>
                <w:bCs/>
                <w:sz w:val="20"/>
              </w:rPr>
            </w:pPr>
            <w:r w:rsidRPr="006E012B">
              <w:rPr>
                <w:rFonts w:ascii="Arial Narrow" w:eastAsiaTheme="majorEastAsia" w:hAnsi="Arial Narrow" w:cstheme="majorBidi"/>
                <w:bCs/>
                <w:sz w:val="20"/>
              </w:rPr>
              <w:t>The log-logistic/Gompertz/generalised gamma combination was utilised in the base case analysis to model transitions from the EF to the LR, IRP and death health states, respectively, across both treatment arms.</w:t>
            </w:r>
          </w:p>
        </w:tc>
        <w:tc>
          <w:tcPr>
            <w:tcW w:w="1859" w:type="pct"/>
          </w:tcPr>
          <w:p w14:paraId="3DEA284A" w14:textId="2459E223" w:rsidR="00032D12" w:rsidRPr="006E012B" w:rsidRDefault="00A242F8" w:rsidP="002C4471">
            <w:pPr>
              <w:keepNext/>
              <w:widowControl w:val="0"/>
              <w:jc w:val="left"/>
              <w:rPr>
                <w:rFonts w:ascii="Arial Narrow" w:eastAsiaTheme="majorEastAsia" w:hAnsi="Arial Narrow" w:cstheme="majorBidi"/>
                <w:bCs/>
                <w:sz w:val="20"/>
              </w:rPr>
            </w:pPr>
            <w:r w:rsidRPr="006E012B">
              <w:rPr>
                <w:rFonts w:ascii="Arial Narrow" w:eastAsiaTheme="majorEastAsia" w:hAnsi="Arial Narrow" w:cstheme="majorBidi"/>
                <w:bCs/>
                <w:sz w:val="20"/>
              </w:rPr>
              <w:t>Moderate</w:t>
            </w:r>
            <w:r w:rsidR="00057F91" w:rsidRPr="006E012B">
              <w:rPr>
                <w:rFonts w:ascii="Arial Narrow" w:eastAsiaTheme="majorEastAsia" w:hAnsi="Arial Narrow" w:cstheme="majorBidi"/>
                <w:bCs/>
                <w:sz w:val="20"/>
              </w:rPr>
              <w:t>,</w:t>
            </w:r>
            <w:r w:rsidR="00032D12" w:rsidRPr="006E012B">
              <w:rPr>
                <w:rFonts w:ascii="Arial Narrow" w:eastAsiaTheme="majorEastAsia" w:hAnsi="Arial Narrow" w:cstheme="majorBidi"/>
                <w:bCs/>
                <w:sz w:val="20"/>
              </w:rPr>
              <w:t xml:space="preserve"> favours </w:t>
            </w:r>
            <w:proofErr w:type="spellStart"/>
            <w:r w:rsidR="00032D12" w:rsidRPr="006E012B">
              <w:rPr>
                <w:rFonts w:ascii="Arial Narrow" w:eastAsiaTheme="majorEastAsia" w:hAnsi="Arial Narrow" w:cstheme="majorBidi"/>
                <w:bCs/>
                <w:sz w:val="20"/>
              </w:rPr>
              <w:t>PEM+SoC</w:t>
            </w:r>
            <w:proofErr w:type="spellEnd"/>
            <w:r w:rsidR="00032D12" w:rsidRPr="006E012B">
              <w:rPr>
                <w:rFonts w:ascii="Arial Narrow" w:eastAsiaTheme="majorEastAsia" w:hAnsi="Arial Narrow" w:cstheme="majorBidi"/>
                <w:bCs/>
                <w:sz w:val="20"/>
              </w:rPr>
              <w:t xml:space="preserve">. </w:t>
            </w:r>
          </w:p>
          <w:p w14:paraId="5B186670" w14:textId="0930B3F9" w:rsidR="00032D12" w:rsidRPr="006E012B" w:rsidRDefault="00032D12" w:rsidP="002C4471">
            <w:pPr>
              <w:keepNext/>
              <w:widowControl w:val="0"/>
              <w:jc w:val="left"/>
              <w:rPr>
                <w:rFonts w:ascii="Arial Narrow" w:eastAsiaTheme="majorEastAsia" w:hAnsi="Arial Narrow" w:cstheme="majorBidi"/>
                <w:bCs/>
                <w:sz w:val="20"/>
              </w:rPr>
            </w:pPr>
            <w:r w:rsidRPr="006E012B">
              <w:rPr>
                <w:rFonts w:ascii="Arial Narrow" w:eastAsiaTheme="majorEastAsia" w:hAnsi="Arial Narrow"/>
                <w:bCs/>
                <w:sz w:val="20"/>
                <w:szCs w:val="20"/>
              </w:rPr>
              <w:t>Alternate combinations of parametric functions</w:t>
            </w:r>
            <w:r w:rsidR="00057F91" w:rsidRPr="006E012B">
              <w:rPr>
                <w:rFonts w:ascii="Arial Narrow" w:eastAsiaTheme="majorEastAsia" w:hAnsi="Arial Narrow"/>
                <w:bCs/>
                <w:sz w:val="20"/>
                <w:szCs w:val="20"/>
              </w:rPr>
              <w:t xml:space="preserve"> had varied impacts on the</w:t>
            </w:r>
            <w:r w:rsidRPr="006E012B">
              <w:rPr>
                <w:rFonts w:ascii="Arial Narrow" w:eastAsiaTheme="majorEastAsia" w:hAnsi="Arial Narrow"/>
                <w:bCs/>
                <w:sz w:val="20"/>
                <w:szCs w:val="20"/>
              </w:rPr>
              <w:t xml:space="preserve"> ICER. </w:t>
            </w:r>
          </w:p>
        </w:tc>
      </w:tr>
      <w:tr w:rsidR="00032D12" w:rsidRPr="00E54C74" w14:paraId="495AC8D6" w14:textId="77777777" w:rsidTr="002C4471">
        <w:tc>
          <w:tcPr>
            <w:tcW w:w="625" w:type="pct"/>
            <w:vAlign w:val="center"/>
          </w:tcPr>
          <w:p w14:paraId="0115FDCF" w14:textId="77777777" w:rsidR="00032D12" w:rsidRPr="00E54C74" w:rsidRDefault="00032D12">
            <w:pPr>
              <w:keepNext/>
              <w:widowControl w:val="0"/>
              <w:jc w:val="left"/>
              <w:rPr>
                <w:rFonts w:ascii="Arial Narrow" w:eastAsiaTheme="majorEastAsia" w:hAnsi="Arial Narrow" w:cstheme="majorBidi"/>
                <w:bCs/>
                <w:sz w:val="20"/>
              </w:rPr>
            </w:pPr>
            <w:r w:rsidRPr="00E54C74">
              <w:rPr>
                <w:rFonts w:ascii="Arial Narrow" w:eastAsiaTheme="majorEastAsia" w:hAnsi="Arial Narrow" w:cstheme="majorBidi"/>
                <w:bCs/>
                <w:sz w:val="20"/>
              </w:rPr>
              <w:t xml:space="preserve">Use of subsequent treatments </w:t>
            </w:r>
          </w:p>
        </w:tc>
        <w:tc>
          <w:tcPr>
            <w:tcW w:w="2516" w:type="pct"/>
          </w:tcPr>
          <w:p w14:paraId="43B6ADBD" w14:textId="77777777" w:rsidR="00032D12" w:rsidRPr="006E012B" w:rsidRDefault="00032D12" w:rsidP="002C4471">
            <w:pPr>
              <w:keepNext/>
              <w:widowControl w:val="0"/>
              <w:jc w:val="left"/>
              <w:rPr>
                <w:rFonts w:ascii="Arial Narrow" w:eastAsiaTheme="majorEastAsia" w:hAnsi="Arial Narrow" w:cstheme="majorBidi"/>
                <w:bCs/>
                <w:sz w:val="20"/>
              </w:rPr>
            </w:pPr>
            <w:r w:rsidRPr="006E012B">
              <w:rPr>
                <w:rFonts w:ascii="Arial Narrow" w:eastAsiaTheme="majorEastAsia" w:hAnsi="Arial Narrow" w:cstheme="majorBidi"/>
                <w:bCs/>
                <w:sz w:val="20"/>
              </w:rPr>
              <w:t>100% use on progression to the IRP health state in both treatment arms.</w:t>
            </w:r>
          </w:p>
        </w:tc>
        <w:tc>
          <w:tcPr>
            <w:tcW w:w="1859" w:type="pct"/>
          </w:tcPr>
          <w:p w14:paraId="523406B3" w14:textId="4F33D407" w:rsidR="00032D12" w:rsidRPr="006E012B" w:rsidRDefault="00032D12" w:rsidP="002C4471">
            <w:pPr>
              <w:keepNext/>
              <w:widowControl w:val="0"/>
              <w:jc w:val="left"/>
              <w:rPr>
                <w:rFonts w:ascii="Arial Narrow" w:eastAsiaTheme="majorEastAsia" w:hAnsi="Arial Narrow" w:cstheme="majorBidi"/>
                <w:bCs/>
                <w:sz w:val="20"/>
              </w:rPr>
            </w:pPr>
            <w:r w:rsidRPr="006E012B">
              <w:rPr>
                <w:rFonts w:ascii="Arial Narrow" w:eastAsiaTheme="majorEastAsia" w:hAnsi="Arial Narrow" w:cstheme="majorBidi"/>
                <w:bCs/>
                <w:sz w:val="20"/>
              </w:rPr>
              <w:t xml:space="preserve">Moderate, favours </w:t>
            </w:r>
            <w:proofErr w:type="spellStart"/>
            <w:r w:rsidRPr="006E012B">
              <w:rPr>
                <w:rFonts w:ascii="Arial Narrow" w:eastAsiaTheme="majorEastAsia" w:hAnsi="Arial Narrow" w:cstheme="majorBidi"/>
                <w:bCs/>
                <w:sz w:val="20"/>
              </w:rPr>
              <w:t>PEM+SoC</w:t>
            </w:r>
            <w:proofErr w:type="spellEnd"/>
            <w:r w:rsidRPr="006E012B">
              <w:rPr>
                <w:rFonts w:ascii="Arial Narrow" w:eastAsiaTheme="majorEastAsia" w:hAnsi="Arial Narrow" w:cstheme="majorBidi"/>
                <w:bCs/>
                <w:sz w:val="20"/>
              </w:rPr>
              <w:t xml:space="preserve">. </w:t>
            </w:r>
          </w:p>
          <w:p w14:paraId="4E361430" w14:textId="324538DD" w:rsidR="00032D12" w:rsidRDefault="00032D12" w:rsidP="002C4471">
            <w:pPr>
              <w:keepNext/>
              <w:widowControl w:val="0"/>
              <w:jc w:val="left"/>
              <w:rPr>
                <w:rFonts w:ascii="Arial Narrow" w:eastAsiaTheme="majorEastAsia" w:hAnsi="Arial Narrow" w:cstheme="majorBidi"/>
                <w:bCs/>
                <w:sz w:val="20"/>
              </w:rPr>
            </w:pPr>
            <w:r w:rsidRPr="006E012B">
              <w:rPr>
                <w:rFonts w:ascii="Arial Narrow" w:eastAsiaTheme="majorEastAsia" w:hAnsi="Arial Narrow" w:cstheme="majorBidi"/>
                <w:bCs/>
                <w:sz w:val="20"/>
              </w:rPr>
              <w:t>Reducing subsequent therapy utilisation to 80%</w:t>
            </w:r>
            <w:r w:rsidR="007A63BA">
              <w:rPr>
                <w:rFonts w:ascii="Arial Narrow" w:eastAsiaTheme="majorEastAsia" w:hAnsi="Arial Narrow" w:cstheme="majorBidi"/>
                <w:bCs/>
                <w:sz w:val="20"/>
              </w:rPr>
              <w:t xml:space="preserve"> in both arms of the model</w:t>
            </w:r>
            <w:r w:rsidRPr="006E012B">
              <w:rPr>
                <w:rFonts w:ascii="Arial Narrow" w:eastAsiaTheme="majorEastAsia" w:hAnsi="Arial Narrow" w:cstheme="majorBidi"/>
                <w:bCs/>
                <w:sz w:val="20"/>
              </w:rPr>
              <w:t xml:space="preserve"> increases the ICER to $</w:t>
            </w:r>
            <w:r w:rsidR="00576021" w:rsidRPr="001758D2">
              <w:rPr>
                <w:rFonts w:ascii="Arial Narrow" w:eastAsiaTheme="majorEastAsia" w:hAnsi="Arial Narrow" w:cstheme="majorBidi"/>
                <w:bCs/>
                <w:sz w:val="20"/>
                <w:highlight w:val="black"/>
              </w:rPr>
              <w:t>&amp;&amp;&amp;&amp;</w:t>
            </w:r>
            <w:r w:rsidR="001F4AD3">
              <w:rPr>
                <w:rFonts w:ascii="Arial Narrow" w:eastAsiaTheme="majorEastAsia" w:hAnsi="Arial Narrow" w:cstheme="majorBidi"/>
                <w:bCs/>
                <w:sz w:val="20"/>
                <w:vertAlign w:val="superscript"/>
              </w:rPr>
              <w:t>2</w:t>
            </w:r>
            <w:r w:rsidRPr="006E012B">
              <w:rPr>
                <w:rFonts w:ascii="Arial Narrow" w:eastAsiaTheme="majorEastAsia" w:hAnsi="Arial Narrow" w:cstheme="majorBidi"/>
                <w:bCs/>
                <w:sz w:val="20"/>
              </w:rPr>
              <w:t xml:space="preserve">/QALY. </w:t>
            </w:r>
          </w:p>
          <w:p w14:paraId="30F1DA91" w14:textId="77803F66" w:rsidR="00557298" w:rsidRPr="006E012B" w:rsidRDefault="00557298" w:rsidP="002C4471">
            <w:pPr>
              <w:keepNext/>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 xml:space="preserve">The </w:t>
            </w:r>
            <w:r w:rsidR="000C443D">
              <w:rPr>
                <w:rFonts w:ascii="Arial Narrow" w:eastAsiaTheme="majorEastAsia" w:hAnsi="Arial Narrow" w:cstheme="majorBidi"/>
                <w:bCs/>
                <w:sz w:val="20"/>
              </w:rPr>
              <w:t>p</w:t>
            </w:r>
            <w:r>
              <w:rPr>
                <w:rFonts w:ascii="Arial Narrow" w:eastAsiaTheme="majorEastAsia" w:hAnsi="Arial Narrow" w:cstheme="majorBidi"/>
                <w:bCs/>
                <w:sz w:val="20"/>
              </w:rPr>
              <w:t xml:space="preserve">re-PBAC </w:t>
            </w:r>
            <w:r w:rsidR="000C443D">
              <w:rPr>
                <w:rFonts w:ascii="Arial Narrow" w:eastAsiaTheme="majorEastAsia" w:hAnsi="Arial Narrow" w:cstheme="majorBidi"/>
                <w:bCs/>
                <w:sz w:val="20"/>
              </w:rPr>
              <w:t>R</w:t>
            </w:r>
            <w:r>
              <w:rPr>
                <w:rFonts w:ascii="Arial Narrow" w:eastAsiaTheme="majorEastAsia" w:hAnsi="Arial Narrow" w:cstheme="majorBidi"/>
                <w:bCs/>
                <w:sz w:val="20"/>
              </w:rPr>
              <w:t>esponse provided a revised base case with this change applied to the model.</w:t>
            </w:r>
          </w:p>
        </w:tc>
      </w:tr>
      <w:tr w:rsidR="00032D12" w:rsidRPr="00E54C74" w14:paraId="264BA72E" w14:textId="77777777" w:rsidTr="002C4471">
        <w:tc>
          <w:tcPr>
            <w:tcW w:w="625" w:type="pct"/>
            <w:vAlign w:val="center"/>
          </w:tcPr>
          <w:p w14:paraId="3AD7A39E" w14:textId="77777777" w:rsidR="00032D12" w:rsidRPr="00E54C74" w:rsidRDefault="00032D12">
            <w:pPr>
              <w:keepNext/>
              <w:widowControl w:val="0"/>
              <w:jc w:val="left"/>
              <w:rPr>
                <w:rFonts w:ascii="Arial Narrow" w:eastAsiaTheme="majorEastAsia" w:hAnsi="Arial Narrow" w:cstheme="majorBidi"/>
                <w:bCs/>
                <w:sz w:val="20"/>
              </w:rPr>
            </w:pPr>
            <w:r w:rsidRPr="00E54C74">
              <w:rPr>
                <w:rFonts w:ascii="Arial Narrow" w:eastAsiaTheme="majorEastAsia" w:hAnsi="Arial Narrow" w:cstheme="majorBidi"/>
                <w:bCs/>
                <w:sz w:val="20"/>
              </w:rPr>
              <w:t>Time horizon</w:t>
            </w:r>
          </w:p>
        </w:tc>
        <w:tc>
          <w:tcPr>
            <w:tcW w:w="2516" w:type="pct"/>
          </w:tcPr>
          <w:p w14:paraId="7DACB11F" w14:textId="77777777" w:rsidR="00032D12" w:rsidRPr="006E012B" w:rsidRDefault="00032D12" w:rsidP="002C4471">
            <w:pPr>
              <w:keepNext/>
              <w:widowControl w:val="0"/>
              <w:jc w:val="left"/>
              <w:rPr>
                <w:rFonts w:ascii="Arial Narrow" w:eastAsiaTheme="majorEastAsia" w:hAnsi="Arial Narrow" w:cstheme="majorBidi"/>
                <w:bCs/>
                <w:sz w:val="20"/>
              </w:rPr>
            </w:pPr>
            <w:r w:rsidRPr="006E012B">
              <w:rPr>
                <w:rFonts w:ascii="Arial Narrow" w:eastAsiaTheme="majorEastAsia" w:hAnsi="Arial Narrow" w:cstheme="majorBidi"/>
                <w:bCs/>
                <w:sz w:val="20"/>
              </w:rPr>
              <w:t xml:space="preserve">25 years in the base case, based on a follow-up for OS of 27.1 months at the time of the interim analysis 1. </w:t>
            </w:r>
          </w:p>
        </w:tc>
        <w:tc>
          <w:tcPr>
            <w:tcW w:w="1859" w:type="pct"/>
          </w:tcPr>
          <w:p w14:paraId="6513F276" w14:textId="77777777" w:rsidR="00032D12" w:rsidRPr="006E012B" w:rsidRDefault="00032D12" w:rsidP="002C4471">
            <w:pPr>
              <w:keepNext/>
              <w:widowControl w:val="0"/>
              <w:jc w:val="left"/>
              <w:rPr>
                <w:rFonts w:ascii="Arial Narrow" w:eastAsiaTheme="majorEastAsia" w:hAnsi="Arial Narrow" w:cstheme="majorBidi"/>
                <w:bCs/>
                <w:sz w:val="20"/>
              </w:rPr>
            </w:pPr>
            <w:r w:rsidRPr="006E012B">
              <w:rPr>
                <w:rFonts w:ascii="Arial Narrow" w:eastAsiaTheme="majorEastAsia" w:hAnsi="Arial Narrow" w:cstheme="majorBidi"/>
                <w:bCs/>
                <w:sz w:val="20"/>
              </w:rPr>
              <w:t xml:space="preserve">Moderate, favours </w:t>
            </w:r>
            <w:proofErr w:type="spellStart"/>
            <w:r w:rsidRPr="006E012B">
              <w:rPr>
                <w:rFonts w:ascii="Arial Narrow" w:eastAsiaTheme="majorEastAsia" w:hAnsi="Arial Narrow" w:cstheme="majorBidi"/>
                <w:bCs/>
                <w:sz w:val="20"/>
              </w:rPr>
              <w:t>PEM+SoC</w:t>
            </w:r>
            <w:proofErr w:type="spellEnd"/>
            <w:r w:rsidRPr="006E012B">
              <w:rPr>
                <w:rFonts w:ascii="Arial Narrow" w:eastAsiaTheme="majorEastAsia" w:hAnsi="Arial Narrow" w:cstheme="majorBidi"/>
                <w:bCs/>
                <w:sz w:val="20"/>
              </w:rPr>
              <w:t>.</w:t>
            </w:r>
          </w:p>
          <w:p w14:paraId="15AB1E31" w14:textId="77777777" w:rsidR="00032D12" w:rsidRDefault="00032D12" w:rsidP="002C4471">
            <w:pPr>
              <w:keepNext/>
              <w:widowControl w:val="0"/>
              <w:jc w:val="left"/>
              <w:rPr>
                <w:rFonts w:ascii="Arial Narrow" w:eastAsiaTheme="majorEastAsia" w:hAnsi="Arial Narrow" w:cstheme="majorBidi"/>
                <w:bCs/>
                <w:sz w:val="20"/>
              </w:rPr>
            </w:pPr>
            <w:r w:rsidRPr="006E012B">
              <w:rPr>
                <w:rFonts w:ascii="Arial Narrow" w:eastAsiaTheme="majorEastAsia" w:hAnsi="Arial Narrow" w:cstheme="majorBidi"/>
                <w:bCs/>
                <w:sz w:val="20"/>
              </w:rPr>
              <w:t xml:space="preserve">Decreases in the time horizon led to increases in the ICER. </w:t>
            </w:r>
          </w:p>
          <w:p w14:paraId="494990FA" w14:textId="4BEC7639" w:rsidR="00F451A8" w:rsidRPr="006E012B" w:rsidRDefault="00F451A8" w:rsidP="002C4471">
            <w:pPr>
              <w:keepNext/>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 xml:space="preserve">The </w:t>
            </w:r>
            <w:r w:rsidR="000C443D">
              <w:rPr>
                <w:rFonts w:ascii="Arial Narrow" w:eastAsiaTheme="majorEastAsia" w:hAnsi="Arial Narrow" w:cstheme="majorBidi"/>
                <w:bCs/>
                <w:sz w:val="20"/>
              </w:rPr>
              <w:t>p</w:t>
            </w:r>
            <w:r>
              <w:rPr>
                <w:rFonts w:ascii="Arial Narrow" w:eastAsiaTheme="majorEastAsia" w:hAnsi="Arial Narrow" w:cstheme="majorBidi"/>
                <w:bCs/>
                <w:sz w:val="20"/>
              </w:rPr>
              <w:t xml:space="preserve">re-PBAC </w:t>
            </w:r>
            <w:r w:rsidR="000C443D">
              <w:rPr>
                <w:rFonts w:ascii="Arial Narrow" w:eastAsiaTheme="majorEastAsia" w:hAnsi="Arial Narrow" w:cstheme="majorBidi"/>
                <w:bCs/>
                <w:sz w:val="20"/>
              </w:rPr>
              <w:t>R</w:t>
            </w:r>
            <w:r>
              <w:rPr>
                <w:rFonts w:ascii="Arial Narrow" w:eastAsiaTheme="majorEastAsia" w:hAnsi="Arial Narrow" w:cstheme="majorBidi"/>
                <w:bCs/>
                <w:sz w:val="20"/>
              </w:rPr>
              <w:t>esponse provided a revised base case with a time horizon of 20 years.</w:t>
            </w:r>
          </w:p>
        </w:tc>
      </w:tr>
    </w:tbl>
    <w:p w14:paraId="3F5959D1" w14:textId="77777777" w:rsidR="00032D12" w:rsidRPr="00E54C74" w:rsidRDefault="00032D12" w:rsidP="00032D12">
      <w:pPr>
        <w:keepLines/>
        <w:spacing w:after="120"/>
        <w:contextualSpacing/>
        <w:jc w:val="left"/>
        <w:rPr>
          <w:rFonts w:ascii="Arial Narrow" w:hAnsi="Arial Narrow"/>
          <w:snapToGrid w:val="0"/>
          <w:sz w:val="18"/>
          <w:szCs w:val="22"/>
        </w:rPr>
      </w:pPr>
      <w:r w:rsidRPr="00E54C74">
        <w:rPr>
          <w:rFonts w:ascii="Arial Narrow" w:hAnsi="Arial Narrow"/>
          <w:snapToGrid w:val="0"/>
          <w:sz w:val="18"/>
          <w:szCs w:val="22"/>
        </w:rPr>
        <w:t xml:space="preserve">Source: tabulated during the evaluation. </w:t>
      </w:r>
    </w:p>
    <w:p w14:paraId="61D7730D" w14:textId="7569D3F6" w:rsidR="00032D12" w:rsidRDefault="00032D12" w:rsidP="00032D12">
      <w:pPr>
        <w:keepLines/>
        <w:spacing w:after="120"/>
        <w:contextualSpacing/>
        <w:jc w:val="left"/>
        <w:rPr>
          <w:rFonts w:ascii="Arial Narrow" w:hAnsi="Arial Narrow"/>
          <w:snapToGrid w:val="0"/>
          <w:sz w:val="18"/>
          <w:szCs w:val="22"/>
        </w:rPr>
      </w:pPr>
      <w:r w:rsidRPr="00E54C74">
        <w:rPr>
          <w:rFonts w:ascii="Arial Narrow" w:hAnsi="Arial Narrow"/>
          <w:snapToGrid w:val="0"/>
          <w:sz w:val="18"/>
          <w:szCs w:val="22"/>
        </w:rPr>
        <w:t xml:space="preserve">2L = second line; EF = event free; </w:t>
      </w:r>
      <w:r>
        <w:rPr>
          <w:rFonts w:ascii="Arial Narrow" w:hAnsi="Arial Narrow"/>
          <w:snapToGrid w:val="0"/>
          <w:sz w:val="18"/>
          <w:szCs w:val="22"/>
        </w:rPr>
        <w:t xml:space="preserve">HRs = hazard ratios; </w:t>
      </w:r>
      <w:r w:rsidRPr="00E54C74">
        <w:rPr>
          <w:rFonts w:ascii="Arial Narrow" w:hAnsi="Arial Narrow"/>
          <w:snapToGrid w:val="0"/>
          <w:sz w:val="18"/>
          <w:szCs w:val="22"/>
        </w:rPr>
        <w:t xml:space="preserve">ICER = incremental cost-effectiveness ratio; IRP = incurable recurrence or progression; OS = overall survival; PEM = pembrolizumab; QALY = quality adjusted life year; </w:t>
      </w:r>
      <w:r w:rsidR="000A509F">
        <w:rPr>
          <w:rFonts w:ascii="Arial Narrow" w:hAnsi="Arial Narrow"/>
          <w:snapToGrid w:val="0"/>
          <w:sz w:val="18"/>
          <w:szCs w:val="22"/>
        </w:rPr>
        <w:t xml:space="preserve">RM = recurrent / metastatic; </w:t>
      </w:r>
      <w:r w:rsidRPr="00E54C74">
        <w:rPr>
          <w:rFonts w:ascii="Arial Narrow" w:hAnsi="Arial Narrow"/>
          <w:snapToGrid w:val="0"/>
          <w:sz w:val="18"/>
          <w:szCs w:val="22"/>
        </w:rPr>
        <w:t>SoC = standard of care</w:t>
      </w:r>
    </w:p>
    <w:p w14:paraId="620F36C6" w14:textId="77777777" w:rsidR="009C4531" w:rsidRPr="009C4531" w:rsidRDefault="009C4531" w:rsidP="009C4531">
      <w:pPr>
        <w:jc w:val="left"/>
        <w:rPr>
          <w:rFonts w:ascii="Arial Narrow" w:hAnsi="Arial Narrow"/>
          <w:i/>
          <w:sz w:val="18"/>
          <w:szCs w:val="18"/>
        </w:rPr>
      </w:pPr>
      <w:r w:rsidRPr="009C4531">
        <w:rPr>
          <w:rFonts w:ascii="Arial Narrow" w:hAnsi="Arial Narrow"/>
          <w:i/>
          <w:sz w:val="18"/>
          <w:szCs w:val="18"/>
        </w:rPr>
        <w:t xml:space="preserve">The redacted values correspond to the following ranges: </w:t>
      </w:r>
    </w:p>
    <w:p w14:paraId="7CB53ED0" w14:textId="6473F3F0" w:rsidR="009C4531" w:rsidRPr="009C4531" w:rsidRDefault="009C4531" w:rsidP="009C4531">
      <w:pPr>
        <w:jc w:val="left"/>
        <w:rPr>
          <w:rFonts w:ascii="Arial Narrow" w:hAnsi="Arial Narrow"/>
          <w:i/>
          <w:sz w:val="18"/>
          <w:szCs w:val="18"/>
        </w:rPr>
      </w:pPr>
      <w:r w:rsidRPr="009C4531">
        <w:rPr>
          <w:rFonts w:ascii="Arial Narrow" w:hAnsi="Arial Narrow"/>
          <w:i/>
          <w:sz w:val="18"/>
          <w:szCs w:val="18"/>
          <w:vertAlign w:val="superscript"/>
        </w:rPr>
        <w:t>1</w:t>
      </w:r>
      <w:r w:rsidRPr="009C4531">
        <w:rPr>
          <w:rFonts w:ascii="Arial Narrow" w:hAnsi="Arial Narrow"/>
          <w:i/>
          <w:sz w:val="18"/>
          <w:szCs w:val="18"/>
        </w:rPr>
        <w:t xml:space="preserve"> </w:t>
      </w:r>
      <w:r w:rsidR="00CD717A" w:rsidRPr="00CD717A">
        <w:rPr>
          <w:rFonts w:ascii="Arial Narrow" w:hAnsi="Arial Narrow"/>
          <w:i/>
          <w:sz w:val="18"/>
          <w:szCs w:val="18"/>
        </w:rPr>
        <w:t>$25,000 to &lt; $35,000</w:t>
      </w:r>
    </w:p>
    <w:p w14:paraId="05BC6628" w14:textId="2663656D" w:rsidR="009C4531" w:rsidRPr="009C4531" w:rsidRDefault="009C4531" w:rsidP="009C4531">
      <w:pPr>
        <w:jc w:val="left"/>
        <w:rPr>
          <w:rFonts w:ascii="Arial Narrow" w:hAnsi="Arial Narrow"/>
          <w:i/>
          <w:sz w:val="18"/>
          <w:szCs w:val="18"/>
        </w:rPr>
      </w:pPr>
      <w:r w:rsidRPr="009C4531">
        <w:rPr>
          <w:rFonts w:ascii="Arial Narrow" w:hAnsi="Arial Narrow"/>
          <w:i/>
          <w:sz w:val="18"/>
          <w:szCs w:val="18"/>
          <w:vertAlign w:val="superscript"/>
        </w:rPr>
        <w:t>2</w:t>
      </w:r>
      <w:r w:rsidRPr="009C4531">
        <w:rPr>
          <w:rFonts w:ascii="Arial Narrow" w:hAnsi="Arial Narrow"/>
          <w:i/>
          <w:sz w:val="18"/>
          <w:szCs w:val="18"/>
        </w:rPr>
        <w:t xml:space="preserve"> </w:t>
      </w:r>
      <w:r w:rsidR="001F4AD3" w:rsidRPr="001F4AD3">
        <w:rPr>
          <w:rFonts w:ascii="Arial Narrow" w:hAnsi="Arial Narrow"/>
          <w:i/>
          <w:sz w:val="18"/>
          <w:szCs w:val="18"/>
        </w:rPr>
        <w:t>$35,000 to &lt; $45,000</w:t>
      </w:r>
    </w:p>
    <w:p w14:paraId="2165A88B" w14:textId="77777777" w:rsidR="00032D12" w:rsidRPr="00E54C74" w:rsidRDefault="00032D12" w:rsidP="00032D12">
      <w:pPr>
        <w:keepLines/>
        <w:spacing w:after="120"/>
        <w:contextualSpacing/>
        <w:jc w:val="left"/>
        <w:rPr>
          <w:rFonts w:ascii="Arial Narrow" w:hAnsi="Arial Narrow"/>
          <w:snapToGrid w:val="0"/>
          <w:sz w:val="18"/>
          <w:szCs w:val="22"/>
        </w:rPr>
      </w:pPr>
    </w:p>
    <w:p w14:paraId="53FFA8C6" w14:textId="7A86186A" w:rsidR="00032D12" w:rsidRPr="00E54C74" w:rsidRDefault="00032D12" w:rsidP="00234453">
      <w:pPr>
        <w:numPr>
          <w:ilvl w:val="1"/>
          <w:numId w:val="7"/>
        </w:numPr>
        <w:spacing w:before="60" w:after="60"/>
        <w:rPr>
          <w:rFonts w:asciiTheme="minorHAnsi" w:eastAsiaTheme="minorHAnsi" w:hAnsiTheme="minorHAnsi" w:cstheme="minorBidi"/>
          <w:szCs w:val="22"/>
        </w:rPr>
      </w:pPr>
      <w:r w:rsidRPr="00E54C74">
        <w:rPr>
          <w:rFonts w:asciiTheme="minorHAnsi" w:eastAsiaTheme="minorHAnsi" w:hAnsiTheme="minorHAnsi" w:cstheme="minorBidi"/>
          <w:szCs w:val="22"/>
        </w:rPr>
        <w:t xml:space="preserve">The results of the stepped economic evaluation are presented in </w:t>
      </w:r>
      <w:r w:rsidRPr="00E54C74">
        <w:rPr>
          <w:rFonts w:asciiTheme="minorHAnsi" w:eastAsiaTheme="minorHAnsi" w:hAnsiTheme="minorHAnsi" w:cstheme="minorBidi"/>
          <w:szCs w:val="22"/>
        </w:rPr>
        <w:fldChar w:fldCharType="begin"/>
      </w:r>
      <w:r w:rsidRPr="00E54C74">
        <w:rPr>
          <w:rFonts w:asciiTheme="minorHAnsi" w:eastAsiaTheme="minorHAnsi" w:hAnsiTheme="minorHAnsi" w:cstheme="minorBidi"/>
          <w:szCs w:val="22"/>
        </w:rPr>
        <w:instrText xml:space="preserve"> REF _Ref206027502 \h  \* MERGEFORMAT </w:instrText>
      </w:r>
      <w:r w:rsidRPr="00E54C74">
        <w:rPr>
          <w:rFonts w:asciiTheme="minorHAnsi" w:eastAsiaTheme="minorHAnsi" w:hAnsiTheme="minorHAnsi" w:cstheme="minorBidi"/>
          <w:szCs w:val="22"/>
        </w:rPr>
      </w:r>
      <w:r w:rsidRPr="00E54C74">
        <w:rPr>
          <w:rFonts w:asciiTheme="minorHAnsi" w:eastAsiaTheme="minorHAnsi" w:hAnsiTheme="minorHAnsi" w:cstheme="minorBidi"/>
          <w:szCs w:val="22"/>
        </w:rPr>
        <w:fldChar w:fldCharType="separate"/>
      </w:r>
      <w:r w:rsidR="0084087D" w:rsidRPr="0084087D">
        <w:rPr>
          <w:rFonts w:asciiTheme="minorHAnsi" w:eastAsiaTheme="minorHAnsi" w:hAnsiTheme="minorHAnsi" w:cstheme="minorBidi"/>
          <w:szCs w:val="22"/>
        </w:rPr>
        <w:t>Table 11</w:t>
      </w:r>
      <w:r w:rsidRPr="00E54C74">
        <w:rPr>
          <w:rFonts w:asciiTheme="minorHAnsi" w:eastAsiaTheme="minorHAnsi" w:hAnsiTheme="minorHAnsi" w:cstheme="minorBidi"/>
          <w:szCs w:val="22"/>
        </w:rPr>
        <w:fldChar w:fldCharType="end"/>
      </w:r>
      <w:r w:rsidRPr="00E54C74">
        <w:rPr>
          <w:rFonts w:asciiTheme="minorHAnsi" w:eastAsiaTheme="minorHAnsi" w:hAnsiTheme="minorHAnsi" w:cstheme="minorBidi"/>
          <w:szCs w:val="22"/>
        </w:rPr>
        <w:t xml:space="preserve">. </w:t>
      </w:r>
    </w:p>
    <w:p w14:paraId="11FA8A53" w14:textId="6C4CE939" w:rsidR="00032D12" w:rsidRPr="00E54C74" w:rsidRDefault="00032D12" w:rsidP="00032D12">
      <w:pPr>
        <w:keepNext/>
        <w:keepLines/>
        <w:rPr>
          <w:rFonts w:ascii="Arial Narrow" w:hAnsi="Arial Narrow"/>
          <w:b/>
          <w:bCs/>
          <w:sz w:val="20"/>
        </w:rPr>
      </w:pPr>
      <w:bookmarkStart w:id="108" w:name="_Ref206027502"/>
      <w:r w:rsidRPr="00E54C74">
        <w:rPr>
          <w:rFonts w:ascii="Arial Narrow" w:hAnsi="Arial Narrow"/>
          <w:b/>
          <w:bCs/>
          <w:sz w:val="20"/>
          <w:szCs w:val="18"/>
        </w:rPr>
        <w:lastRenderedPageBreak/>
        <w:t xml:space="preserve">Table </w:t>
      </w:r>
      <w:r w:rsidRPr="00E54C74">
        <w:rPr>
          <w:rFonts w:ascii="Arial Narrow" w:hAnsi="Arial Narrow"/>
          <w:b/>
          <w:bCs/>
          <w:sz w:val="20"/>
          <w:szCs w:val="18"/>
        </w:rPr>
        <w:fldChar w:fldCharType="begin"/>
      </w:r>
      <w:r w:rsidRPr="00E54C74">
        <w:rPr>
          <w:rFonts w:ascii="Arial Narrow" w:hAnsi="Arial Narrow"/>
          <w:b/>
          <w:bCs/>
          <w:sz w:val="20"/>
          <w:szCs w:val="18"/>
        </w:rPr>
        <w:instrText xml:space="preserve"> SEQ Table \* ARABIC </w:instrText>
      </w:r>
      <w:r w:rsidRPr="00E54C74">
        <w:rPr>
          <w:rFonts w:ascii="Arial Narrow" w:hAnsi="Arial Narrow"/>
          <w:b/>
          <w:bCs/>
          <w:sz w:val="20"/>
          <w:szCs w:val="18"/>
        </w:rPr>
        <w:fldChar w:fldCharType="separate"/>
      </w:r>
      <w:r w:rsidR="0084087D">
        <w:rPr>
          <w:rFonts w:ascii="Arial Narrow" w:hAnsi="Arial Narrow"/>
          <w:b/>
          <w:bCs/>
          <w:noProof/>
          <w:sz w:val="20"/>
          <w:szCs w:val="18"/>
        </w:rPr>
        <w:t>11</w:t>
      </w:r>
      <w:r w:rsidRPr="00E54C74">
        <w:rPr>
          <w:rFonts w:ascii="Arial Narrow" w:hAnsi="Arial Narrow"/>
          <w:b/>
          <w:bCs/>
          <w:sz w:val="20"/>
          <w:szCs w:val="18"/>
        </w:rPr>
        <w:fldChar w:fldCharType="end"/>
      </w:r>
      <w:bookmarkEnd w:id="108"/>
      <w:r w:rsidRPr="00E54C74">
        <w:rPr>
          <w:rFonts w:ascii="Arial Narrow" w:hAnsi="Arial Narrow"/>
          <w:b/>
          <w:bCs/>
          <w:sz w:val="20"/>
          <w:szCs w:val="18"/>
        </w:rPr>
        <w:t>:</w:t>
      </w:r>
      <w:r w:rsidRPr="00E54C74">
        <w:rPr>
          <w:rFonts w:ascii="Arial Narrow" w:hAnsi="Arial Narrow"/>
          <w:b/>
          <w:bCs/>
          <w:sz w:val="20"/>
        </w:rPr>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1: Results of the stepped economic evaluation"/>
      </w:tblPr>
      <w:tblGrid>
        <w:gridCol w:w="2757"/>
        <w:gridCol w:w="2451"/>
        <w:gridCol w:w="2298"/>
        <w:gridCol w:w="1511"/>
      </w:tblGrid>
      <w:tr w:rsidR="00032D12" w:rsidRPr="00E54C74" w14:paraId="60F3DAC3" w14:textId="77777777">
        <w:trPr>
          <w:tblHeader/>
        </w:trPr>
        <w:tc>
          <w:tcPr>
            <w:tcW w:w="1529" w:type="pct"/>
            <w:vAlign w:val="center"/>
          </w:tcPr>
          <w:p w14:paraId="53995630" w14:textId="77777777" w:rsidR="00032D12" w:rsidRPr="00E54C74" w:rsidRDefault="00032D12">
            <w:pPr>
              <w:keepNext/>
              <w:keepLines/>
              <w:jc w:val="center"/>
              <w:rPr>
                <w:rFonts w:ascii="Arial Narrow" w:eastAsiaTheme="majorEastAsia" w:hAnsi="Arial Narrow" w:cs="Times New Roman"/>
                <w:b/>
                <w:sz w:val="20"/>
              </w:rPr>
            </w:pPr>
            <w:r w:rsidRPr="00E54C74">
              <w:rPr>
                <w:rFonts w:ascii="Arial Narrow" w:eastAsiaTheme="majorEastAsia" w:hAnsi="Arial Narrow" w:cs="Times New Roman"/>
                <w:b/>
                <w:sz w:val="20"/>
              </w:rPr>
              <w:t>Step and component</w:t>
            </w:r>
          </w:p>
        </w:tc>
        <w:tc>
          <w:tcPr>
            <w:tcW w:w="1359" w:type="pct"/>
            <w:vAlign w:val="center"/>
          </w:tcPr>
          <w:p w14:paraId="3C8C4694" w14:textId="77777777" w:rsidR="00032D12" w:rsidRPr="00E54C74" w:rsidRDefault="00032D12">
            <w:pPr>
              <w:keepNext/>
              <w:keepLines/>
              <w:jc w:val="center"/>
              <w:rPr>
                <w:rFonts w:ascii="Arial Narrow" w:eastAsiaTheme="majorEastAsia" w:hAnsi="Arial Narrow" w:cs="Times New Roman"/>
                <w:b/>
                <w:sz w:val="20"/>
              </w:rPr>
            </w:pPr>
            <w:proofErr w:type="spellStart"/>
            <w:r w:rsidRPr="00E54C74">
              <w:rPr>
                <w:rFonts w:ascii="Arial Narrow" w:eastAsiaTheme="majorEastAsia" w:hAnsi="Arial Narrow" w:cs="Times New Roman"/>
                <w:b/>
                <w:sz w:val="20"/>
              </w:rPr>
              <w:t>PEM+SoC</w:t>
            </w:r>
            <w:proofErr w:type="spellEnd"/>
          </w:p>
        </w:tc>
        <w:tc>
          <w:tcPr>
            <w:tcW w:w="1274" w:type="pct"/>
            <w:vAlign w:val="center"/>
          </w:tcPr>
          <w:p w14:paraId="6C7C7F1E" w14:textId="77777777" w:rsidR="00032D12" w:rsidRPr="00E54C74" w:rsidRDefault="00032D12">
            <w:pPr>
              <w:keepNext/>
              <w:keepLines/>
              <w:jc w:val="center"/>
              <w:rPr>
                <w:rFonts w:ascii="Arial Narrow" w:eastAsiaTheme="majorEastAsia" w:hAnsi="Arial Narrow" w:cs="Times New Roman"/>
                <w:b/>
                <w:sz w:val="20"/>
              </w:rPr>
            </w:pPr>
            <w:r w:rsidRPr="00E54C74">
              <w:rPr>
                <w:rFonts w:ascii="Arial Narrow" w:eastAsiaTheme="majorEastAsia" w:hAnsi="Arial Narrow" w:cs="Times New Roman"/>
                <w:b/>
                <w:sz w:val="20"/>
              </w:rPr>
              <w:t>SoC</w:t>
            </w:r>
          </w:p>
        </w:tc>
        <w:tc>
          <w:tcPr>
            <w:tcW w:w="838" w:type="pct"/>
            <w:vAlign w:val="center"/>
          </w:tcPr>
          <w:p w14:paraId="7F259C8D" w14:textId="77777777" w:rsidR="00032D12" w:rsidRPr="00E54C74" w:rsidRDefault="00032D12">
            <w:pPr>
              <w:keepNext/>
              <w:keepLines/>
              <w:jc w:val="center"/>
              <w:rPr>
                <w:rFonts w:ascii="Arial Narrow" w:eastAsiaTheme="majorEastAsia" w:hAnsi="Arial Narrow" w:cs="Times New Roman"/>
                <w:b/>
                <w:sz w:val="20"/>
              </w:rPr>
            </w:pPr>
            <w:r w:rsidRPr="00E54C74">
              <w:rPr>
                <w:rFonts w:ascii="Arial Narrow" w:eastAsiaTheme="majorEastAsia" w:hAnsi="Arial Narrow" w:cs="Times New Roman"/>
                <w:b/>
                <w:sz w:val="20"/>
              </w:rPr>
              <w:t>Increment</w:t>
            </w:r>
          </w:p>
        </w:tc>
      </w:tr>
      <w:tr w:rsidR="00032D12" w:rsidRPr="00E54C74" w14:paraId="0635D0DE" w14:textId="77777777">
        <w:tc>
          <w:tcPr>
            <w:tcW w:w="5000" w:type="pct"/>
            <w:gridSpan w:val="4"/>
            <w:vAlign w:val="center"/>
          </w:tcPr>
          <w:p w14:paraId="061C4954" w14:textId="77777777" w:rsidR="00032D12" w:rsidRPr="00E54C74" w:rsidRDefault="00032D12">
            <w:pPr>
              <w:keepNext/>
              <w:keepLines/>
              <w:jc w:val="left"/>
              <w:rPr>
                <w:rFonts w:ascii="Arial Narrow" w:eastAsiaTheme="majorEastAsia" w:hAnsi="Arial Narrow" w:cstheme="majorBidi"/>
                <w:b/>
                <w:sz w:val="20"/>
              </w:rPr>
            </w:pPr>
            <w:r w:rsidRPr="00E54C74">
              <w:rPr>
                <w:rFonts w:ascii="Arial Narrow" w:eastAsiaTheme="majorEastAsia" w:hAnsi="Arial Narrow" w:cstheme="majorBidi"/>
                <w:b/>
                <w:sz w:val="20"/>
              </w:rPr>
              <w:t xml:space="preserve">Step 1: trial-based costs and outcomes (5.4 years) </w:t>
            </w:r>
          </w:p>
        </w:tc>
      </w:tr>
      <w:tr w:rsidR="00032D12" w:rsidRPr="00E54C74" w14:paraId="61CFA6D0" w14:textId="77777777">
        <w:tc>
          <w:tcPr>
            <w:tcW w:w="1529" w:type="pct"/>
            <w:vAlign w:val="center"/>
          </w:tcPr>
          <w:p w14:paraId="599A94B6" w14:textId="77777777" w:rsidR="00032D12" w:rsidRPr="00E54C74" w:rsidRDefault="00032D12">
            <w:pPr>
              <w:keepNext/>
              <w:keepLines/>
              <w:jc w:val="left"/>
              <w:rPr>
                <w:rFonts w:ascii="Times" w:eastAsiaTheme="majorEastAsia" w:hAnsi="Times" w:cstheme="majorBidi"/>
                <w:bCs/>
                <w:sz w:val="20"/>
              </w:rPr>
            </w:pPr>
            <w:r w:rsidRPr="00E54C74">
              <w:rPr>
                <w:rFonts w:ascii="Arial Narrow" w:eastAsiaTheme="majorEastAsia" w:hAnsi="Arial Narrow" w:cstheme="majorBidi"/>
                <w:bCs/>
                <w:sz w:val="20"/>
              </w:rPr>
              <w:t>Costs</w:t>
            </w:r>
          </w:p>
        </w:tc>
        <w:tc>
          <w:tcPr>
            <w:tcW w:w="1359" w:type="pct"/>
            <w:vAlign w:val="center"/>
          </w:tcPr>
          <w:p w14:paraId="1A47EF93" w14:textId="27BBB382" w:rsidR="00032D12" w:rsidRPr="00E54C74" w:rsidRDefault="00032D12">
            <w:pPr>
              <w:keepNext/>
              <w:keepLines/>
              <w:jc w:val="center"/>
              <w:rPr>
                <w:rFonts w:ascii="Times" w:eastAsiaTheme="majorEastAsia" w:hAnsi="Times" w:cstheme="majorBidi"/>
                <w:bCs/>
                <w:sz w:val="20"/>
              </w:rPr>
            </w:pPr>
            <w:r w:rsidRPr="00E54C74">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p>
        </w:tc>
        <w:tc>
          <w:tcPr>
            <w:tcW w:w="1274" w:type="pct"/>
            <w:vAlign w:val="center"/>
          </w:tcPr>
          <w:p w14:paraId="54BE8BA1" w14:textId="416711BA" w:rsidR="00032D12" w:rsidRPr="00E54C74" w:rsidRDefault="00032D12">
            <w:pPr>
              <w:keepNext/>
              <w:keepLines/>
              <w:jc w:val="center"/>
              <w:rPr>
                <w:rFonts w:ascii="Times" w:eastAsiaTheme="majorEastAsia" w:hAnsi="Times" w:cstheme="majorBidi"/>
                <w:bCs/>
                <w:sz w:val="20"/>
              </w:rPr>
            </w:pPr>
            <w:r w:rsidRPr="00E54C74">
              <w:rPr>
                <w:rFonts w:ascii="Arial Narrow" w:eastAsiaTheme="majorEastAsia" w:hAnsi="Arial Narrow" w:cstheme="majorBidi"/>
                <w:bCs/>
                <w:sz w:val="20"/>
              </w:rPr>
              <w:t>$</w:t>
            </w:r>
            <w:r w:rsidRPr="00E163AB">
              <w:rPr>
                <w:rFonts w:ascii="Arial Narrow" w:eastAsiaTheme="majorEastAsia" w:hAnsi="Arial Narrow" w:cstheme="majorBidi"/>
                <w:bCs/>
                <w:sz w:val="20"/>
              </w:rPr>
              <w:t>44,790</w:t>
            </w:r>
          </w:p>
        </w:tc>
        <w:tc>
          <w:tcPr>
            <w:tcW w:w="838" w:type="pct"/>
            <w:vAlign w:val="center"/>
          </w:tcPr>
          <w:p w14:paraId="2CFF864B" w14:textId="1007C27F" w:rsidR="00032D12" w:rsidRPr="00E54C74" w:rsidRDefault="00032D12">
            <w:pPr>
              <w:keepNext/>
              <w:keepLines/>
              <w:jc w:val="center"/>
              <w:rPr>
                <w:rFonts w:ascii="Times" w:eastAsiaTheme="majorEastAsia" w:hAnsi="Times" w:cstheme="majorBidi"/>
                <w:bCs/>
                <w:sz w:val="20"/>
              </w:rPr>
            </w:pPr>
            <w:r w:rsidRPr="00E54C74">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r w:rsidR="00245717">
              <w:rPr>
                <w:rFonts w:ascii="Arial Narrow" w:hAnsi="Arial Narrow"/>
                <w:snapToGrid w:val="0"/>
                <w:sz w:val="18"/>
                <w:szCs w:val="22"/>
                <w:vertAlign w:val="superscript"/>
              </w:rPr>
              <w:t>1</w:t>
            </w:r>
          </w:p>
        </w:tc>
      </w:tr>
      <w:tr w:rsidR="00032D12" w:rsidRPr="00E54C74" w14:paraId="374D45EF" w14:textId="77777777">
        <w:tc>
          <w:tcPr>
            <w:tcW w:w="1529" w:type="pct"/>
            <w:vAlign w:val="center"/>
          </w:tcPr>
          <w:p w14:paraId="763F62E9" w14:textId="77777777" w:rsidR="00032D12" w:rsidRPr="00E54C74" w:rsidRDefault="00032D12">
            <w:pPr>
              <w:keepNext/>
              <w:keepLines/>
              <w:jc w:val="left"/>
              <w:rPr>
                <w:rFonts w:ascii="Times" w:eastAsiaTheme="majorEastAsia" w:hAnsi="Times" w:cstheme="majorBidi"/>
                <w:bCs/>
                <w:sz w:val="20"/>
              </w:rPr>
            </w:pPr>
            <w:r w:rsidRPr="00E54C74">
              <w:rPr>
                <w:rFonts w:ascii="Arial Narrow" w:eastAsiaTheme="majorEastAsia" w:hAnsi="Arial Narrow" w:cstheme="majorBidi"/>
                <w:bCs/>
                <w:sz w:val="20"/>
              </w:rPr>
              <w:t>LYG</w:t>
            </w:r>
          </w:p>
        </w:tc>
        <w:tc>
          <w:tcPr>
            <w:tcW w:w="1359" w:type="pct"/>
            <w:vAlign w:val="center"/>
          </w:tcPr>
          <w:p w14:paraId="78C26D51" w14:textId="77777777" w:rsidR="00032D12" w:rsidRPr="00E54C74" w:rsidRDefault="00032D12">
            <w:pPr>
              <w:keepNext/>
              <w:keepLines/>
              <w:jc w:val="center"/>
              <w:rPr>
                <w:rFonts w:ascii="Times" w:eastAsiaTheme="majorEastAsia" w:hAnsi="Times" w:cstheme="majorBidi"/>
                <w:bCs/>
                <w:sz w:val="20"/>
              </w:rPr>
            </w:pPr>
            <w:r w:rsidRPr="00E54C74">
              <w:rPr>
                <w:rFonts w:ascii="Arial Narrow" w:eastAsiaTheme="majorEastAsia" w:hAnsi="Arial Narrow" w:cstheme="majorBidi"/>
                <w:bCs/>
                <w:sz w:val="20"/>
              </w:rPr>
              <w:t>3.46</w:t>
            </w:r>
          </w:p>
        </w:tc>
        <w:tc>
          <w:tcPr>
            <w:tcW w:w="1274" w:type="pct"/>
            <w:vAlign w:val="center"/>
          </w:tcPr>
          <w:p w14:paraId="55E8B330" w14:textId="77777777" w:rsidR="00032D12" w:rsidRPr="00E54C74" w:rsidRDefault="00032D12">
            <w:pPr>
              <w:keepNext/>
              <w:keepLines/>
              <w:jc w:val="center"/>
              <w:rPr>
                <w:rFonts w:ascii="Times" w:eastAsiaTheme="majorEastAsia" w:hAnsi="Times" w:cstheme="majorBidi"/>
                <w:bCs/>
                <w:sz w:val="20"/>
              </w:rPr>
            </w:pPr>
            <w:r w:rsidRPr="00E54C74">
              <w:rPr>
                <w:rFonts w:ascii="Arial Narrow" w:eastAsiaTheme="majorEastAsia" w:hAnsi="Arial Narrow" w:cstheme="majorBidi"/>
                <w:bCs/>
                <w:sz w:val="20"/>
              </w:rPr>
              <w:t>3.11</w:t>
            </w:r>
          </w:p>
        </w:tc>
        <w:tc>
          <w:tcPr>
            <w:tcW w:w="838" w:type="pct"/>
            <w:vAlign w:val="center"/>
          </w:tcPr>
          <w:p w14:paraId="5B2F0E87" w14:textId="77777777" w:rsidR="00032D12" w:rsidRPr="00E54C74" w:rsidRDefault="00032D12">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0.35</w:t>
            </w:r>
          </w:p>
        </w:tc>
      </w:tr>
      <w:tr w:rsidR="00032D12" w:rsidRPr="00E54C74" w14:paraId="4B12BB36" w14:textId="77777777">
        <w:tc>
          <w:tcPr>
            <w:tcW w:w="4162" w:type="pct"/>
            <w:gridSpan w:val="3"/>
            <w:vAlign w:val="center"/>
          </w:tcPr>
          <w:p w14:paraId="2A80A317" w14:textId="77777777" w:rsidR="00032D12" w:rsidRPr="00E54C74" w:rsidRDefault="00032D12">
            <w:pPr>
              <w:keepNext/>
              <w:keepLines/>
              <w:jc w:val="left"/>
              <w:rPr>
                <w:rFonts w:ascii="Times" w:eastAsiaTheme="majorEastAsia" w:hAnsi="Times" w:cstheme="majorBidi"/>
                <w:bCs/>
                <w:sz w:val="20"/>
              </w:rPr>
            </w:pPr>
            <w:r w:rsidRPr="00E54C74">
              <w:rPr>
                <w:rFonts w:ascii="Arial Narrow" w:eastAsiaTheme="majorEastAsia" w:hAnsi="Arial Narrow" w:cstheme="majorBidi"/>
                <w:bCs/>
                <w:sz w:val="20"/>
              </w:rPr>
              <w:t>Incremental cost/LY gained</w:t>
            </w:r>
          </w:p>
        </w:tc>
        <w:tc>
          <w:tcPr>
            <w:tcW w:w="838" w:type="pct"/>
            <w:vAlign w:val="center"/>
          </w:tcPr>
          <w:p w14:paraId="23FD64DA" w14:textId="39F8171F" w:rsidR="00032D12" w:rsidRPr="00B93FDF" w:rsidRDefault="00032D12">
            <w:pPr>
              <w:keepNext/>
              <w:keepLines/>
              <w:jc w:val="center"/>
              <w:rPr>
                <w:rFonts w:ascii="Times" w:eastAsiaTheme="majorEastAsia" w:hAnsi="Times" w:cstheme="majorBidi"/>
                <w:bCs/>
                <w:sz w:val="20"/>
                <w:vertAlign w:val="superscript"/>
              </w:rPr>
            </w:pPr>
            <w:r w:rsidRPr="00252B03">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r w:rsidR="007F010F">
              <w:rPr>
                <w:rFonts w:ascii="Arial Narrow" w:eastAsiaTheme="majorEastAsia" w:hAnsi="Arial Narrow" w:cstheme="majorBidi"/>
                <w:bCs/>
                <w:sz w:val="20"/>
                <w:vertAlign w:val="superscript"/>
              </w:rPr>
              <w:t>2</w:t>
            </w:r>
          </w:p>
        </w:tc>
      </w:tr>
      <w:tr w:rsidR="00032D12" w:rsidRPr="00E54C74" w14:paraId="5B1AF974" w14:textId="77777777">
        <w:tc>
          <w:tcPr>
            <w:tcW w:w="5000" w:type="pct"/>
            <w:gridSpan w:val="4"/>
            <w:vAlign w:val="center"/>
          </w:tcPr>
          <w:p w14:paraId="28A4F36A" w14:textId="77777777" w:rsidR="00032D12" w:rsidRPr="00E54C74" w:rsidRDefault="00032D12">
            <w:pPr>
              <w:keepNext/>
              <w:keepLines/>
              <w:jc w:val="left"/>
              <w:rPr>
                <w:rFonts w:ascii="Arial Narrow" w:eastAsiaTheme="majorEastAsia" w:hAnsi="Arial Narrow" w:cstheme="majorBidi"/>
                <w:b/>
                <w:sz w:val="20"/>
              </w:rPr>
            </w:pPr>
            <w:r w:rsidRPr="00E54C74">
              <w:rPr>
                <w:rFonts w:ascii="Arial Narrow" w:eastAsiaTheme="majorEastAsia" w:hAnsi="Arial Narrow" w:cstheme="majorBidi"/>
                <w:b/>
                <w:sz w:val="20"/>
              </w:rPr>
              <w:t>Step 2: time horizon extended to 25 years</w:t>
            </w:r>
          </w:p>
        </w:tc>
      </w:tr>
      <w:tr w:rsidR="00032D12" w:rsidRPr="00E54C74" w14:paraId="1696EAD4" w14:textId="77777777">
        <w:tc>
          <w:tcPr>
            <w:tcW w:w="1529" w:type="pct"/>
            <w:vAlign w:val="center"/>
          </w:tcPr>
          <w:p w14:paraId="34E0D013" w14:textId="77777777" w:rsidR="00032D12" w:rsidRPr="00E54C74" w:rsidRDefault="00032D12">
            <w:pPr>
              <w:keepNext/>
              <w:keepLines/>
              <w:jc w:val="left"/>
              <w:rPr>
                <w:rFonts w:ascii="Times" w:eastAsiaTheme="majorEastAsia" w:hAnsi="Times" w:cstheme="majorBidi"/>
                <w:bCs/>
                <w:sz w:val="20"/>
              </w:rPr>
            </w:pPr>
            <w:r w:rsidRPr="00E54C74">
              <w:rPr>
                <w:rFonts w:ascii="Arial Narrow" w:eastAsiaTheme="majorEastAsia" w:hAnsi="Arial Narrow" w:cstheme="majorBidi"/>
                <w:bCs/>
                <w:sz w:val="20"/>
              </w:rPr>
              <w:t>Costs</w:t>
            </w:r>
          </w:p>
        </w:tc>
        <w:tc>
          <w:tcPr>
            <w:tcW w:w="1359" w:type="pct"/>
            <w:vAlign w:val="center"/>
          </w:tcPr>
          <w:p w14:paraId="2F9B4930" w14:textId="5E1F33B8" w:rsidR="00032D12" w:rsidRPr="00E54C74" w:rsidRDefault="00032D12">
            <w:pPr>
              <w:keepNext/>
              <w:keepLines/>
              <w:jc w:val="center"/>
              <w:rPr>
                <w:rFonts w:ascii="Times" w:eastAsiaTheme="majorEastAsia" w:hAnsi="Times" w:cstheme="majorBidi"/>
                <w:bCs/>
                <w:sz w:val="20"/>
              </w:rPr>
            </w:pPr>
            <w:r w:rsidRPr="00E54C74">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p>
        </w:tc>
        <w:tc>
          <w:tcPr>
            <w:tcW w:w="1274" w:type="pct"/>
            <w:vAlign w:val="center"/>
          </w:tcPr>
          <w:p w14:paraId="73537992" w14:textId="54F7CC57" w:rsidR="00032D12" w:rsidRPr="00E54C74" w:rsidRDefault="00032D12">
            <w:pPr>
              <w:keepNext/>
              <w:keepLines/>
              <w:jc w:val="center"/>
              <w:rPr>
                <w:rFonts w:ascii="Times" w:eastAsiaTheme="majorEastAsia" w:hAnsi="Times" w:cstheme="majorBidi"/>
                <w:bCs/>
                <w:sz w:val="20"/>
              </w:rPr>
            </w:pPr>
            <w:r w:rsidRPr="00E54C74">
              <w:rPr>
                <w:rFonts w:ascii="Arial Narrow" w:eastAsiaTheme="majorEastAsia" w:hAnsi="Arial Narrow" w:cstheme="majorBidi"/>
                <w:bCs/>
                <w:sz w:val="20"/>
              </w:rPr>
              <w:t>$</w:t>
            </w:r>
            <w:r w:rsidRPr="00E163AB">
              <w:rPr>
                <w:rFonts w:ascii="Arial Narrow" w:eastAsiaTheme="majorEastAsia" w:hAnsi="Arial Narrow" w:cstheme="majorBidi"/>
                <w:bCs/>
                <w:sz w:val="20"/>
              </w:rPr>
              <w:t>46,066</w:t>
            </w:r>
          </w:p>
        </w:tc>
        <w:tc>
          <w:tcPr>
            <w:tcW w:w="838" w:type="pct"/>
            <w:vAlign w:val="center"/>
          </w:tcPr>
          <w:p w14:paraId="646BCCA6" w14:textId="79991D7A" w:rsidR="00032D12" w:rsidRPr="00E54C74" w:rsidRDefault="00032D12">
            <w:pPr>
              <w:keepNext/>
              <w:keepLines/>
              <w:jc w:val="center"/>
              <w:rPr>
                <w:rFonts w:ascii="Times" w:eastAsiaTheme="majorEastAsia" w:hAnsi="Times" w:cstheme="majorBidi"/>
                <w:bCs/>
                <w:sz w:val="20"/>
              </w:rPr>
            </w:pPr>
            <w:r w:rsidRPr="00E54C74">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r w:rsidR="00245717">
              <w:rPr>
                <w:rFonts w:ascii="Arial Narrow" w:hAnsi="Arial Narrow"/>
                <w:snapToGrid w:val="0"/>
                <w:sz w:val="18"/>
                <w:szCs w:val="22"/>
                <w:vertAlign w:val="superscript"/>
              </w:rPr>
              <w:t>1</w:t>
            </w:r>
          </w:p>
        </w:tc>
      </w:tr>
      <w:tr w:rsidR="00032D12" w:rsidRPr="00E54C74" w14:paraId="0CA98371" w14:textId="77777777">
        <w:tc>
          <w:tcPr>
            <w:tcW w:w="1529" w:type="pct"/>
            <w:vAlign w:val="center"/>
          </w:tcPr>
          <w:p w14:paraId="36BB776C" w14:textId="77777777" w:rsidR="00032D12" w:rsidRPr="00E54C74" w:rsidRDefault="00032D12">
            <w:pPr>
              <w:keepNext/>
              <w:keepLines/>
              <w:jc w:val="left"/>
              <w:rPr>
                <w:rFonts w:ascii="Times" w:eastAsiaTheme="majorEastAsia" w:hAnsi="Times" w:cstheme="majorBidi"/>
                <w:bCs/>
                <w:sz w:val="20"/>
              </w:rPr>
            </w:pPr>
            <w:r w:rsidRPr="00E54C74">
              <w:rPr>
                <w:rFonts w:ascii="Arial Narrow" w:eastAsiaTheme="majorEastAsia" w:hAnsi="Arial Narrow" w:cstheme="majorBidi"/>
                <w:bCs/>
                <w:sz w:val="20"/>
              </w:rPr>
              <w:t>LYG</w:t>
            </w:r>
          </w:p>
        </w:tc>
        <w:tc>
          <w:tcPr>
            <w:tcW w:w="1359" w:type="pct"/>
            <w:vAlign w:val="center"/>
          </w:tcPr>
          <w:p w14:paraId="50E12ABF" w14:textId="77777777" w:rsidR="00032D12" w:rsidRPr="00E54C74" w:rsidRDefault="00032D12">
            <w:pPr>
              <w:keepNext/>
              <w:keepLines/>
              <w:jc w:val="center"/>
              <w:rPr>
                <w:rFonts w:ascii="Times" w:eastAsiaTheme="majorEastAsia" w:hAnsi="Times" w:cstheme="majorBidi"/>
                <w:bCs/>
                <w:sz w:val="20"/>
              </w:rPr>
            </w:pPr>
            <w:r w:rsidRPr="00E54C74">
              <w:rPr>
                <w:rFonts w:ascii="Arial Narrow" w:eastAsiaTheme="majorEastAsia" w:hAnsi="Arial Narrow" w:cstheme="majorBidi"/>
                <w:bCs/>
                <w:sz w:val="20"/>
              </w:rPr>
              <w:t>6.74</w:t>
            </w:r>
          </w:p>
        </w:tc>
        <w:tc>
          <w:tcPr>
            <w:tcW w:w="1274" w:type="pct"/>
            <w:vAlign w:val="center"/>
          </w:tcPr>
          <w:p w14:paraId="6931CA49" w14:textId="77777777" w:rsidR="00032D12" w:rsidRPr="00E54C74" w:rsidRDefault="00032D12">
            <w:pPr>
              <w:keepNext/>
              <w:keepLines/>
              <w:jc w:val="center"/>
              <w:rPr>
                <w:rFonts w:ascii="Times" w:eastAsiaTheme="majorEastAsia" w:hAnsi="Times" w:cstheme="majorBidi"/>
                <w:bCs/>
                <w:sz w:val="20"/>
              </w:rPr>
            </w:pPr>
            <w:r w:rsidRPr="00E54C74">
              <w:rPr>
                <w:rFonts w:ascii="Arial Narrow" w:eastAsiaTheme="majorEastAsia" w:hAnsi="Arial Narrow" w:cstheme="majorBidi"/>
                <w:bCs/>
                <w:sz w:val="20"/>
              </w:rPr>
              <w:t>5.89</w:t>
            </w:r>
          </w:p>
        </w:tc>
        <w:tc>
          <w:tcPr>
            <w:tcW w:w="838" w:type="pct"/>
            <w:vAlign w:val="center"/>
          </w:tcPr>
          <w:p w14:paraId="362A37C0" w14:textId="77777777" w:rsidR="00032D12" w:rsidRPr="00E54C74" w:rsidRDefault="00032D12">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0.84</w:t>
            </w:r>
          </w:p>
        </w:tc>
      </w:tr>
      <w:tr w:rsidR="00032D12" w:rsidRPr="00E54C74" w14:paraId="199B69E6" w14:textId="77777777">
        <w:tc>
          <w:tcPr>
            <w:tcW w:w="4162" w:type="pct"/>
            <w:gridSpan w:val="3"/>
            <w:vAlign w:val="center"/>
          </w:tcPr>
          <w:p w14:paraId="5E242C7D" w14:textId="77777777" w:rsidR="00032D12" w:rsidRPr="00E54C74" w:rsidRDefault="00032D12">
            <w:pPr>
              <w:keepNext/>
              <w:keepLines/>
              <w:jc w:val="left"/>
              <w:rPr>
                <w:rFonts w:ascii="Times" w:eastAsiaTheme="majorEastAsia" w:hAnsi="Times" w:cstheme="majorBidi"/>
                <w:bCs/>
                <w:sz w:val="20"/>
              </w:rPr>
            </w:pPr>
            <w:r w:rsidRPr="00E54C74">
              <w:rPr>
                <w:rFonts w:ascii="Arial Narrow" w:eastAsiaTheme="majorEastAsia" w:hAnsi="Arial Narrow" w:cstheme="majorBidi"/>
                <w:bCs/>
                <w:sz w:val="20"/>
              </w:rPr>
              <w:t>Incremental cost/LY gained</w:t>
            </w:r>
          </w:p>
        </w:tc>
        <w:tc>
          <w:tcPr>
            <w:tcW w:w="838" w:type="pct"/>
            <w:vAlign w:val="center"/>
          </w:tcPr>
          <w:p w14:paraId="2CCB9838" w14:textId="41C04890" w:rsidR="00032D12" w:rsidRPr="00E54C74" w:rsidRDefault="00032D12">
            <w:pPr>
              <w:keepNext/>
              <w:keepLines/>
              <w:jc w:val="center"/>
              <w:rPr>
                <w:rFonts w:ascii="Times" w:eastAsiaTheme="majorEastAsia" w:hAnsi="Times" w:cstheme="majorBidi"/>
                <w:bCs/>
                <w:sz w:val="20"/>
              </w:rPr>
            </w:pPr>
            <w:r w:rsidRPr="00E54C74">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r w:rsidR="000C6508">
              <w:rPr>
                <w:rFonts w:ascii="Arial Narrow" w:hAnsi="Arial Narrow"/>
                <w:snapToGrid w:val="0"/>
                <w:sz w:val="18"/>
                <w:szCs w:val="22"/>
                <w:vertAlign w:val="superscript"/>
              </w:rPr>
              <w:t>3</w:t>
            </w:r>
          </w:p>
        </w:tc>
      </w:tr>
      <w:tr w:rsidR="00032D12" w:rsidRPr="00E54C74" w14:paraId="2A1A34B6" w14:textId="77777777">
        <w:tc>
          <w:tcPr>
            <w:tcW w:w="5000" w:type="pct"/>
            <w:gridSpan w:val="4"/>
            <w:vAlign w:val="center"/>
          </w:tcPr>
          <w:p w14:paraId="7A3A4FF4" w14:textId="77777777" w:rsidR="00032D12" w:rsidRPr="00E54C74" w:rsidRDefault="00032D12">
            <w:pPr>
              <w:keepNext/>
              <w:keepLines/>
              <w:jc w:val="left"/>
              <w:rPr>
                <w:rFonts w:ascii="Arial Narrow" w:eastAsiaTheme="majorEastAsia" w:hAnsi="Arial Narrow" w:cstheme="majorBidi"/>
                <w:b/>
                <w:sz w:val="20"/>
              </w:rPr>
            </w:pPr>
            <w:r w:rsidRPr="00E54C74">
              <w:rPr>
                <w:rFonts w:ascii="Arial Narrow" w:eastAsiaTheme="majorEastAsia" w:hAnsi="Arial Narrow" w:cstheme="majorBidi"/>
                <w:b/>
                <w:sz w:val="20"/>
              </w:rPr>
              <w:t>Step 3: incorporation of medical resource costs</w:t>
            </w:r>
          </w:p>
        </w:tc>
      </w:tr>
      <w:tr w:rsidR="00032D12" w:rsidRPr="00E54C74" w14:paraId="7C3F703D" w14:textId="77777777">
        <w:tc>
          <w:tcPr>
            <w:tcW w:w="1529" w:type="pct"/>
            <w:vAlign w:val="center"/>
          </w:tcPr>
          <w:p w14:paraId="4A64E157" w14:textId="77777777" w:rsidR="00032D12" w:rsidRPr="00E54C74" w:rsidRDefault="00032D12">
            <w:pPr>
              <w:keepNext/>
              <w:keepLines/>
              <w:jc w:val="left"/>
              <w:rPr>
                <w:rFonts w:ascii="Times" w:eastAsiaTheme="majorEastAsia" w:hAnsi="Times" w:cstheme="majorBidi"/>
                <w:bCs/>
                <w:sz w:val="20"/>
              </w:rPr>
            </w:pPr>
            <w:r w:rsidRPr="00E54C74">
              <w:rPr>
                <w:rFonts w:ascii="Arial Narrow" w:eastAsiaTheme="majorEastAsia" w:hAnsi="Arial Narrow" w:cstheme="majorBidi"/>
                <w:bCs/>
                <w:sz w:val="20"/>
              </w:rPr>
              <w:t>Costs</w:t>
            </w:r>
          </w:p>
        </w:tc>
        <w:tc>
          <w:tcPr>
            <w:tcW w:w="1359" w:type="pct"/>
            <w:vAlign w:val="center"/>
          </w:tcPr>
          <w:p w14:paraId="1B259B6D" w14:textId="60E0D524" w:rsidR="00032D12" w:rsidRPr="00E54C74" w:rsidRDefault="00032D12">
            <w:pPr>
              <w:keepNext/>
              <w:keepLines/>
              <w:jc w:val="center"/>
              <w:rPr>
                <w:rFonts w:ascii="Times" w:eastAsiaTheme="majorEastAsia" w:hAnsi="Times" w:cstheme="majorBidi"/>
                <w:bCs/>
                <w:sz w:val="20"/>
              </w:rPr>
            </w:pPr>
            <w:r w:rsidRPr="00E54C74">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p>
        </w:tc>
        <w:tc>
          <w:tcPr>
            <w:tcW w:w="1274" w:type="pct"/>
            <w:vAlign w:val="center"/>
          </w:tcPr>
          <w:p w14:paraId="0CC86FC1" w14:textId="77777777" w:rsidR="00032D12" w:rsidRPr="00E54C74" w:rsidRDefault="00032D12">
            <w:pPr>
              <w:keepNext/>
              <w:keepLines/>
              <w:jc w:val="center"/>
              <w:rPr>
                <w:rFonts w:ascii="Times" w:eastAsiaTheme="majorEastAsia" w:hAnsi="Times" w:cstheme="majorBidi"/>
                <w:bCs/>
                <w:sz w:val="20"/>
              </w:rPr>
            </w:pPr>
            <w:r w:rsidRPr="00E54C74">
              <w:rPr>
                <w:rFonts w:ascii="Arial Narrow" w:eastAsiaTheme="majorEastAsia" w:hAnsi="Arial Narrow" w:cstheme="majorBidi"/>
                <w:bCs/>
                <w:sz w:val="20"/>
              </w:rPr>
              <w:t>$54,582</w:t>
            </w:r>
          </w:p>
        </w:tc>
        <w:tc>
          <w:tcPr>
            <w:tcW w:w="838" w:type="pct"/>
            <w:vAlign w:val="center"/>
          </w:tcPr>
          <w:p w14:paraId="0073F9B6" w14:textId="22CC1E01" w:rsidR="00032D12" w:rsidRPr="00E54C74" w:rsidRDefault="00032D12">
            <w:pPr>
              <w:keepNext/>
              <w:keepLines/>
              <w:jc w:val="center"/>
              <w:rPr>
                <w:rFonts w:ascii="Times" w:eastAsiaTheme="majorEastAsia" w:hAnsi="Times" w:cstheme="majorBidi"/>
                <w:bCs/>
                <w:sz w:val="20"/>
              </w:rPr>
            </w:pPr>
            <w:r w:rsidRPr="00E54C74">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r w:rsidR="00245717">
              <w:rPr>
                <w:rFonts w:ascii="Arial Narrow" w:hAnsi="Arial Narrow"/>
                <w:snapToGrid w:val="0"/>
                <w:sz w:val="18"/>
                <w:szCs w:val="22"/>
                <w:vertAlign w:val="superscript"/>
              </w:rPr>
              <w:t>1</w:t>
            </w:r>
          </w:p>
        </w:tc>
      </w:tr>
      <w:tr w:rsidR="00032D12" w:rsidRPr="00E54C74" w14:paraId="714EF6E3" w14:textId="77777777">
        <w:tc>
          <w:tcPr>
            <w:tcW w:w="1529" w:type="pct"/>
            <w:vAlign w:val="center"/>
          </w:tcPr>
          <w:p w14:paraId="28C1CC0C" w14:textId="77777777" w:rsidR="00032D12" w:rsidRPr="00E54C74" w:rsidRDefault="00032D12">
            <w:pPr>
              <w:keepNext/>
              <w:keepLines/>
              <w:jc w:val="left"/>
              <w:rPr>
                <w:rFonts w:ascii="Times" w:eastAsiaTheme="majorEastAsia" w:hAnsi="Times" w:cstheme="majorBidi"/>
                <w:bCs/>
                <w:sz w:val="20"/>
              </w:rPr>
            </w:pPr>
            <w:r w:rsidRPr="00E54C74">
              <w:rPr>
                <w:rFonts w:ascii="Arial Narrow" w:eastAsiaTheme="majorEastAsia" w:hAnsi="Arial Narrow" w:cstheme="majorBidi"/>
                <w:bCs/>
                <w:sz w:val="20"/>
              </w:rPr>
              <w:t>LYG</w:t>
            </w:r>
          </w:p>
        </w:tc>
        <w:tc>
          <w:tcPr>
            <w:tcW w:w="1359" w:type="pct"/>
            <w:vAlign w:val="center"/>
          </w:tcPr>
          <w:p w14:paraId="2DBDBF5A" w14:textId="77777777" w:rsidR="00032D12" w:rsidRPr="00E54C74" w:rsidRDefault="00032D12">
            <w:pPr>
              <w:keepNext/>
              <w:keepLines/>
              <w:jc w:val="center"/>
              <w:rPr>
                <w:rFonts w:ascii="Times" w:eastAsiaTheme="majorEastAsia" w:hAnsi="Times" w:cstheme="majorBidi"/>
                <w:bCs/>
                <w:sz w:val="20"/>
              </w:rPr>
            </w:pPr>
            <w:r w:rsidRPr="00E54C74">
              <w:rPr>
                <w:rFonts w:ascii="Arial Narrow" w:eastAsiaTheme="majorEastAsia" w:hAnsi="Arial Narrow" w:cstheme="majorBidi"/>
                <w:bCs/>
                <w:sz w:val="20"/>
              </w:rPr>
              <w:t>6.74</w:t>
            </w:r>
          </w:p>
        </w:tc>
        <w:tc>
          <w:tcPr>
            <w:tcW w:w="1274" w:type="pct"/>
            <w:vAlign w:val="center"/>
          </w:tcPr>
          <w:p w14:paraId="6362B51D" w14:textId="77777777" w:rsidR="00032D12" w:rsidRPr="00E54C74" w:rsidRDefault="00032D12">
            <w:pPr>
              <w:keepNext/>
              <w:keepLines/>
              <w:jc w:val="center"/>
              <w:rPr>
                <w:rFonts w:ascii="Times" w:eastAsiaTheme="majorEastAsia" w:hAnsi="Times" w:cstheme="majorBidi"/>
                <w:bCs/>
                <w:sz w:val="20"/>
              </w:rPr>
            </w:pPr>
            <w:r w:rsidRPr="00E54C74">
              <w:rPr>
                <w:rFonts w:ascii="Arial Narrow" w:eastAsiaTheme="majorEastAsia" w:hAnsi="Arial Narrow" w:cstheme="majorBidi"/>
                <w:bCs/>
                <w:sz w:val="20"/>
              </w:rPr>
              <w:t>5.89</w:t>
            </w:r>
          </w:p>
        </w:tc>
        <w:tc>
          <w:tcPr>
            <w:tcW w:w="838" w:type="pct"/>
            <w:vAlign w:val="center"/>
          </w:tcPr>
          <w:p w14:paraId="5CCAF612" w14:textId="77777777" w:rsidR="00032D12" w:rsidRPr="00E54C74" w:rsidRDefault="00032D12">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0.84</w:t>
            </w:r>
          </w:p>
        </w:tc>
      </w:tr>
      <w:tr w:rsidR="00032D12" w:rsidRPr="00E54C74" w14:paraId="1491C94E" w14:textId="77777777">
        <w:tc>
          <w:tcPr>
            <w:tcW w:w="4162" w:type="pct"/>
            <w:gridSpan w:val="3"/>
            <w:vAlign w:val="center"/>
          </w:tcPr>
          <w:p w14:paraId="7D62674F" w14:textId="77777777" w:rsidR="00032D12" w:rsidRPr="00E54C74" w:rsidRDefault="00032D12">
            <w:pPr>
              <w:keepNext/>
              <w:keepLines/>
              <w:jc w:val="left"/>
              <w:rPr>
                <w:rFonts w:ascii="Times" w:eastAsiaTheme="majorEastAsia" w:hAnsi="Times" w:cstheme="majorBidi"/>
                <w:bCs/>
                <w:sz w:val="20"/>
              </w:rPr>
            </w:pPr>
            <w:r w:rsidRPr="00E54C74">
              <w:rPr>
                <w:rFonts w:ascii="Arial Narrow" w:eastAsiaTheme="majorEastAsia" w:hAnsi="Arial Narrow" w:cstheme="majorBidi"/>
                <w:bCs/>
                <w:sz w:val="20"/>
              </w:rPr>
              <w:t>Incremental cost/LY gained</w:t>
            </w:r>
          </w:p>
        </w:tc>
        <w:tc>
          <w:tcPr>
            <w:tcW w:w="838" w:type="pct"/>
            <w:vAlign w:val="center"/>
          </w:tcPr>
          <w:p w14:paraId="432243DA" w14:textId="41C17B60" w:rsidR="00032D12" w:rsidRPr="00E54C74" w:rsidRDefault="00032D12">
            <w:pPr>
              <w:keepNext/>
              <w:keepLines/>
              <w:jc w:val="center"/>
              <w:rPr>
                <w:rFonts w:ascii="Times" w:eastAsiaTheme="majorEastAsia" w:hAnsi="Times" w:cstheme="majorBidi"/>
                <w:bCs/>
                <w:sz w:val="20"/>
              </w:rPr>
            </w:pPr>
            <w:r w:rsidRPr="00E54C74">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r w:rsidR="000C6508">
              <w:rPr>
                <w:rFonts w:ascii="Arial Narrow" w:hAnsi="Arial Narrow"/>
                <w:snapToGrid w:val="0"/>
                <w:sz w:val="18"/>
                <w:szCs w:val="22"/>
                <w:vertAlign w:val="superscript"/>
              </w:rPr>
              <w:t>3</w:t>
            </w:r>
          </w:p>
        </w:tc>
      </w:tr>
      <w:tr w:rsidR="00032D12" w:rsidRPr="00E54C74" w14:paraId="52C08C46" w14:textId="77777777">
        <w:tc>
          <w:tcPr>
            <w:tcW w:w="5000" w:type="pct"/>
            <w:gridSpan w:val="4"/>
            <w:vAlign w:val="center"/>
          </w:tcPr>
          <w:p w14:paraId="37E47746" w14:textId="77777777" w:rsidR="00032D12" w:rsidRPr="00E54C74" w:rsidRDefault="00032D12">
            <w:pPr>
              <w:keepNext/>
              <w:keepLines/>
              <w:jc w:val="left"/>
              <w:rPr>
                <w:rFonts w:ascii="Arial Narrow" w:eastAsiaTheme="majorEastAsia" w:hAnsi="Arial Narrow" w:cstheme="majorBidi"/>
                <w:b/>
                <w:sz w:val="20"/>
              </w:rPr>
            </w:pPr>
            <w:r w:rsidRPr="00E54C74">
              <w:rPr>
                <w:rFonts w:ascii="Arial Narrow" w:eastAsiaTheme="majorEastAsia" w:hAnsi="Arial Narrow" w:cstheme="majorBidi"/>
                <w:b/>
                <w:sz w:val="20"/>
              </w:rPr>
              <w:t>Step 4: utility weights applied</w:t>
            </w:r>
          </w:p>
        </w:tc>
      </w:tr>
      <w:tr w:rsidR="00032D12" w:rsidRPr="00E54C74" w14:paraId="34FF225F" w14:textId="77777777">
        <w:tc>
          <w:tcPr>
            <w:tcW w:w="1529" w:type="pct"/>
            <w:vAlign w:val="center"/>
          </w:tcPr>
          <w:p w14:paraId="3FD23D16" w14:textId="77777777" w:rsidR="00032D12" w:rsidRPr="00E54C74" w:rsidRDefault="00032D12">
            <w:pPr>
              <w:keepNext/>
              <w:keepLines/>
              <w:jc w:val="left"/>
              <w:rPr>
                <w:rFonts w:ascii="Times" w:eastAsiaTheme="majorEastAsia" w:hAnsi="Times" w:cstheme="majorBidi"/>
                <w:bCs/>
                <w:sz w:val="20"/>
              </w:rPr>
            </w:pPr>
            <w:r w:rsidRPr="00E54C74">
              <w:rPr>
                <w:rFonts w:ascii="Arial Narrow" w:eastAsiaTheme="majorEastAsia" w:hAnsi="Arial Narrow" w:cstheme="majorBidi"/>
                <w:bCs/>
                <w:sz w:val="20"/>
              </w:rPr>
              <w:t>Costs</w:t>
            </w:r>
          </w:p>
        </w:tc>
        <w:tc>
          <w:tcPr>
            <w:tcW w:w="1359" w:type="pct"/>
            <w:vAlign w:val="center"/>
          </w:tcPr>
          <w:p w14:paraId="7F7E3ECB" w14:textId="3C68A042" w:rsidR="00032D12" w:rsidRPr="00E54C74" w:rsidRDefault="00032D12">
            <w:pPr>
              <w:keepNext/>
              <w:keepLines/>
              <w:jc w:val="center"/>
              <w:rPr>
                <w:rFonts w:ascii="Times" w:eastAsiaTheme="majorEastAsia" w:hAnsi="Times" w:cstheme="majorBidi"/>
                <w:bCs/>
                <w:sz w:val="20"/>
              </w:rPr>
            </w:pPr>
            <w:r w:rsidRPr="00E54C74">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p>
        </w:tc>
        <w:tc>
          <w:tcPr>
            <w:tcW w:w="1274" w:type="pct"/>
            <w:vAlign w:val="center"/>
          </w:tcPr>
          <w:p w14:paraId="293BEEBA" w14:textId="77777777" w:rsidR="00032D12" w:rsidRPr="00E54C74" w:rsidRDefault="00032D12">
            <w:pPr>
              <w:keepNext/>
              <w:keepLines/>
              <w:jc w:val="center"/>
              <w:rPr>
                <w:rFonts w:ascii="Times" w:eastAsiaTheme="majorEastAsia" w:hAnsi="Times" w:cstheme="majorBidi"/>
                <w:bCs/>
                <w:sz w:val="20"/>
              </w:rPr>
            </w:pPr>
            <w:r w:rsidRPr="00E54C74">
              <w:rPr>
                <w:rFonts w:ascii="Arial Narrow" w:eastAsiaTheme="majorEastAsia" w:hAnsi="Arial Narrow" w:cstheme="majorBidi"/>
                <w:bCs/>
                <w:sz w:val="20"/>
              </w:rPr>
              <w:t>$54,582</w:t>
            </w:r>
          </w:p>
        </w:tc>
        <w:tc>
          <w:tcPr>
            <w:tcW w:w="838" w:type="pct"/>
            <w:vAlign w:val="center"/>
          </w:tcPr>
          <w:p w14:paraId="7B422E82" w14:textId="5C44494E" w:rsidR="00032D12" w:rsidRPr="00E54C74" w:rsidRDefault="00032D12">
            <w:pPr>
              <w:keepNext/>
              <w:keepLines/>
              <w:jc w:val="center"/>
              <w:rPr>
                <w:rFonts w:ascii="Times" w:eastAsiaTheme="majorEastAsia" w:hAnsi="Times" w:cstheme="majorBidi"/>
                <w:bCs/>
                <w:sz w:val="20"/>
              </w:rPr>
            </w:pPr>
            <w:r w:rsidRPr="00E54C74">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r w:rsidR="00245717">
              <w:rPr>
                <w:rFonts w:ascii="Arial Narrow" w:hAnsi="Arial Narrow"/>
                <w:snapToGrid w:val="0"/>
                <w:sz w:val="18"/>
                <w:szCs w:val="22"/>
                <w:vertAlign w:val="superscript"/>
              </w:rPr>
              <w:t>1</w:t>
            </w:r>
          </w:p>
        </w:tc>
      </w:tr>
      <w:tr w:rsidR="00032D12" w:rsidRPr="00E54C74" w14:paraId="11A4A663" w14:textId="77777777">
        <w:tc>
          <w:tcPr>
            <w:tcW w:w="1529" w:type="pct"/>
            <w:vAlign w:val="center"/>
          </w:tcPr>
          <w:p w14:paraId="3AD654C7" w14:textId="77777777" w:rsidR="00032D12" w:rsidRPr="00E54C74" w:rsidRDefault="00032D12">
            <w:pPr>
              <w:keepNext/>
              <w:keepLines/>
              <w:jc w:val="left"/>
              <w:rPr>
                <w:rFonts w:ascii="Times" w:eastAsiaTheme="majorEastAsia" w:hAnsi="Times" w:cstheme="majorBidi"/>
                <w:bCs/>
                <w:sz w:val="20"/>
              </w:rPr>
            </w:pPr>
            <w:r w:rsidRPr="00E54C74">
              <w:rPr>
                <w:rFonts w:ascii="Arial Narrow" w:eastAsiaTheme="majorEastAsia" w:hAnsi="Arial Narrow" w:cstheme="majorBidi"/>
                <w:bCs/>
                <w:sz w:val="20"/>
              </w:rPr>
              <w:t>QALYs</w:t>
            </w:r>
          </w:p>
        </w:tc>
        <w:tc>
          <w:tcPr>
            <w:tcW w:w="1359" w:type="pct"/>
            <w:vAlign w:val="center"/>
          </w:tcPr>
          <w:p w14:paraId="4B7F2DF5" w14:textId="77777777" w:rsidR="00032D12" w:rsidRPr="00E54C74" w:rsidRDefault="00032D12">
            <w:pPr>
              <w:keepNext/>
              <w:keepLines/>
              <w:jc w:val="center"/>
              <w:rPr>
                <w:rFonts w:ascii="Times" w:eastAsiaTheme="majorEastAsia" w:hAnsi="Times" w:cstheme="majorBidi"/>
                <w:bCs/>
                <w:sz w:val="20"/>
              </w:rPr>
            </w:pPr>
            <w:r w:rsidRPr="00E54C74">
              <w:rPr>
                <w:rFonts w:ascii="Arial Narrow" w:eastAsiaTheme="majorEastAsia" w:hAnsi="Arial Narrow" w:cstheme="majorBidi"/>
                <w:bCs/>
                <w:sz w:val="20"/>
              </w:rPr>
              <w:t>5.56</w:t>
            </w:r>
          </w:p>
        </w:tc>
        <w:tc>
          <w:tcPr>
            <w:tcW w:w="1274" w:type="pct"/>
            <w:vAlign w:val="center"/>
          </w:tcPr>
          <w:p w14:paraId="6912FDC6" w14:textId="77777777" w:rsidR="00032D12" w:rsidRPr="00E54C74" w:rsidRDefault="00032D12">
            <w:pPr>
              <w:keepNext/>
              <w:keepLines/>
              <w:jc w:val="center"/>
              <w:rPr>
                <w:rFonts w:ascii="Times" w:eastAsiaTheme="majorEastAsia" w:hAnsi="Times" w:cstheme="majorBidi"/>
                <w:bCs/>
                <w:sz w:val="20"/>
              </w:rPr>
            </w:pPr>
            <w:r w:rsidRPr="00E54C74">
              <w:rPr>
                <w:rFonts w:ascii="Arial Narrow" w:eastAsiaTheme="majorEastAsia" w:hAnsi="Arial Narrow" w:cstheme="majorBidi"/>
                <w:bCs/>
                <w:sz w:val="20"/>
              </w:rPr>
              <w:t>4.85</w:t>
            </w:r>
          </w:p>
        </w:tc>
        <w:tc>
          <w:tcPr>
            <w:tcW w:w="838" w:type="pct"/>
            <w:vAlign w:val="center"/>
          </w:tcPr>
          <w:p w14:paraId="189E72BE" w14:textId="77777777" w:rsidR="00032D12" w:rsidRPr="00E54C74" w:rsidRDefault="00032D12">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0.71</w:t>
            </w:r>
          </w:p>
        </w:tc>
      </w:tr>
      <w:tr w:rsidR="00032D12" w:rsidRPr="00E54C74" w14:paraId="0AAA972A" w14:textId="77777777">
        <w:tc>
          <w:tcPr>
            <w:tcW w:w="4162" w:type="pct"/>
            <w:gridSpan w:val="3"/>
            <w:vAlign w:val="center"/>
          </w:tcPr>
          <w:p w14:paraId="748FE2C0" w14:textId="77777777" w:rsidR="00032D12" w:rsidRPr="00E54C74" w:rsidRDefault="00032D12">
            <w:pPr>
              <w:keepNext/>
              <w:keepLines/>
              <w:jc w:val="left"/>
              <w:rPr>
                <w:rFonts w:ascii="Times" w:eastAsiaTheme="majorEastAsia" w:hAnsi="Times" w:cstheme="majorBidi"/>
                <w:b/>
                <w:bCs/>
                <w:sz w:val="20"/>
              </w:rPr>
            </w:pPr>
            <w:r w:rsidRPr="00E54C74">
              <w:rPr>
                <w:rFonts w:ascii="Arial Narrow" w:eastAsiaTheme="majorEastAsia" w:hAnsi="Arial Narrow" w:cstheme="majorBidi"/>
                <w:b/>
                <w:bCs/>
                <w:sz w:val="20"/>
              </w:rPr>
              <w:t>Incremental cost/QALY gained (base case)</w:t>
            </w:r>
          </w:p>
        </w:tc>
        <w:tc>
          <w:tcPr>
            <w:tcW w:w="838" w:type="pct"/>
            <w:vAlign w:val="center"/>
          </w:tcPr>
          <w:p w14:paraId="4EFAE832" w14:textId="6ECA4BAA" w:rsidR="00032D12" w:rsidRPr="00E54C74" w:rsidRDefault="00032D12">
            <w:pPr>
              <w:keepNext/>
              <w:keepLines/>
              <w:jc w:val="center"/>
              <w:rPr>
                <w:rFonts w:ascii="Times" w:eastAsiaTheme="majorEastAsia" w:hAnsi="Times" w:cstheme="majorBidi"/>
                <w:b/>
                <w:bCs/>
                <w:sz w:val="20"/>
              </w:rPr>
            </w:pPr>
            <w:r w:rsidRPr="00E54C74">
              <w:rPr>
                <w:rFonts w:ascii="Arial Narrow" w:eastAsiaTheme="majorEastAsia" w:hAnsi="Arial Narrow" w:cstheme="majorBidi"/>
                <w:b/>
                <w:bCs/>
                <w:sz w:val="20"/>
              </w:rPr>
              <w:t>$</w:t>
            </w:r>
            <w:r w:rsidR="00576021" w:rsidRPr="001758D2">
              <w:rPr>
                <w:rFonts w:ascii="Arial Narrow" w:eastAsiaTheme="majorEastAsia" w:hAnsi="Arial Narrow" w:cstheme="majorBidi"/>
                <w:b/>
                <w:bCs/>
                <w:sz w:val="20"/>
                <w:highlight w:val="black"/>
              </w:rPr>
              <w:t>&amp;&amp;&amp;&amp;</w:t>
            </w:r>
            <w:r w:rsidR="000C6508">
              <w:rPr>
                <w:rFonts w:ascii="Arial Narrow" w:hAnsi="Arial Narrow"/>
                <w:snapToGrid w:val="0"/>
                <w:sz w:val="18"/>
                <w:szCs w:val="22"/>
                <w:vertAlign w:val="superscript"/>
              </w:rPr>
              <w:t>3</w:t>
            </w:r>
          </w:p>
        </w:tc>
      </w:tr>
    </w:tbl>
    <w:p w14:paraId="3F371B90" w14:textId="7FB6CE68" w:rsidR="00032D12" w:rsidRPr="00E54C74" w:rsidRDefault="00032D12" w:rsidP="00032D12">
      <w:pPr>
        <w:keepLines/>
        <w:spacing w:after="120"/>
        <w:contextualSpacing/>
        <w:jc w:val="left"/>
        <w:rPr>
          <w:rFonts w:ascii="Arial Narrow" w:hAnsi="Arial Narrow"/>
          <w:snapToGrid w:val="0"/>
          <w:sz w:val="18"/>
          <w:szCs w:val="22"/>
        </w:rPr>
      </w:pPr>
      <w:r w:rsidRPr="00E54C74">
        <w:rPr>
          <w:rFonts w:ascii="Arial Narrow" w:hAnsi="Arial Narrow"/>
          <w:snapToGrid w:val="0"/>
          <w:sz w:val="18"/>
          <w:szCs w:val="22"/>
        </w:rPr>
        <w:t xml:space="preserve">Source: Table 3.8-2, p159 of the submission. </w:t>
      </w:r>
    </w:p>
    <w:p w14:paraId="40292BB2" w14:textId="77777777" w:rsidR="00032D12" w:rsidRDefault="00032D12" w:rsidP="00032D12">
      <w:pPr>
        <w:keepLines/>
        <w:spacing w:after="120"/>
        <w:contextualSpacing/>
        <w:jc w:val="left"/>
        <w:rPr>
          <w:rFonts w:ascii="Arial Narrow" w:hAnsi="Arial Narrow"/>
          <w:snapToGrid w:val="0"/>
          <w:sz w:val="18"/>
          <w:szCs w:val="22"/>
        </w:rPr>
      </w:pPr>
      <w:r w:rsidRPr="00E54C74">
        <w:rPr>
          <w:rFonts w:ascii="Arial Narrow" w:hAnsi="Arial Narrow"/>
          <w:snapToGrid w:val="0"/>
          <w:sz w:val="18"/>
          <w:szCs w:val="22"/>
        </w:rPr>
        <w:t>LY = life year; LYG = life-years gained; PEM = pembrolizumab; QALY = quality adjusted life year; SoC = standard of care</w:t>
      </w:r>
    </w:p>
    <w:p w14:paraId="511DD590" w14:textId="77777777" w:rsidR="00F708B0" w:rsidRPr="00F708B0" w:rsidRDefault="00F708B0" w:rsidP="00F708B0">
      <w:pPr>
        <w:keepLines/>
        <w:spacing w:after="120"/>
        <w:contextualSpacing/>
        <w:jc w:val="left"/>
        <w:rPr>
          <w:rFonts w:ascii="Arial Narrow" w:hAnsi="Arial Narrow"/>
          <w:i/>
          <w:snapToGrid w:val="0"/>
          <w:sz w:val="18"/>
          <w:szCs w:val="22"/>
        </w:rPr>
      </w:pPr>
      <w:r w:rsidRPr="00F708B0">
        <w:rPr>
          <w:rFonts w:ascii="Arial Narrow" w:hAnsi="Arial Narrow"/>
          <w:i/>
          <w:snapToGrid w:val="0"/>
          <w:sz w:val="18"/>
          <w:szCs w:val="22"/>
        </w:rPr>
        <w:t xml:space="preserve">The redacted values correspond to the following ranges: </w:t>
      </w:r>
    </w:p>
    <w:p w14:paraId="0096E329" w14:textId="057CD32B" w:rsidR="00F708B0" w:rsidRPr="00F708B0" w:rsidRDefault="00F708B0" w:rsidP="00F708B0">
      <w:pPr>
        <w:keepLines/>
        <w:spacing w:after="120"/>
        <w:contextualSpacing/>
        <w:jc w:val="left"/>
        <w:rPr>
          <w:rFonts w:ascii="Arial Narrow" w:hAnsi="Arial Narrow"/>
          <w:i/>
          <w:snapToGrid w:val="0"/>
          <w:sz w:val="18"/>
          <w:szCs w:val="22"/>
        </w:rPr>
      </w:pPr>
      <w:r w:rsidRPr="00F708B0">
        <w:rPr>
          <w:rFonts w:ascii="Arial Narrow" w:hAnsi="Arial Narrow"/>
          <w:i/>
          <w:snapToGrid w:val="0"/>
          <w:sz w:val="18"/>
          <w:szCs w:val="22"/>
          <w:vertAlign w:val="superscript"/>
        </w:rPr>
        <w:t>1</w:t>
      </w:r>
      <w:r w:rsidRPr="00F708B0">
        <w:rPr>
          <w:rFonts w:ascii="Arial Narrow" w:hAnsi="Arial Narrow"/>
          <w:i/>
          <w:snapToGrid w:val="0"/>
          <w:sz w:val="18"/>
          <w:szCs w:val="22"/>
        </w:rPr>
        <w:t xml:space="preserve"> </w:t>
      </w:r>
      <w:r w:rsidR="007F010F" w:rsidRPr="007F010F">
        <w:rPr>
          <w:rFonts w:ascii="Arial Narrow" w:hAnsi="Arial Narrow"/>
          <w:i/>
          <w:snapToGrid w:val="0"/>
          <w:sz w:val="18"/>
          <w:szCs w:val="22"/>
        </w:rPr>
        <w:t>$15,000 to &lt; $25,000</w:t>
      </w:r>
    </w:p>
    <w:p w14:paraId="37955A50" w14:textId="6E0B6300" w:rsidR="00F708B0" w:rsidRPr="00F708B0" w:rsidRDefault="00F708B0" w:rsidP="00F708B0">
      <w:pPr>
        <w:keepLines/>
        <w:spacing w:after="120"/>
        <w:contextualSpacing/>
        <w:jc w:val="left"/>
        <w:rPr>
          <w:rFonts w:ascii="Arial Narrow" w:hAnsi="Arial Narrow"/>
          <w:i/>
          <w:snapToGrid w:val="0"/>
          <w:sz w:val="18"/>
          <w:szCs w:val="22"/>
        </w:rPr>
      </w:pPr>
      <w:r w:rsidRPr="00F708B0">
        <w:rPr>
          <w:rFonts w:ascii="Arial Narrow" w:hAnsi="Arial Narrow"/>
          <w:i/>
          <w:snapToGrid w:val="0"/>
          <w:sz w:val="18"/>
          <w:szCs w:val="22"/>
          <w:vertAlign w:val="superscript"/>
        </w:rPr>
        <w:t>2</w:t>
      </w:r>
      <w:r w:rsidRPr="00F708B0">
        <w:rPr>
          <w:rFonts w:ascii="Arial Narrow" w:hAnsi="Arial Narrow"/>
          <w:i/>
          <w:snapToGrid w:val="0"/>
          <w:sz w:val="18"/>
          <w:szCs w:val="22"/>
        </w:rPr>
        <w:t xml:space="preserve"> </w:t>
      </w:r>
      <w:r w:rsidR="0054268C" w:rsidRPr="0054268C">
        <w:rPr>
          <w:rFonts w:ascii="Arial Narrow" w:hAnsi="Arial Narrow"/>
          <w:i/>
          <w:snapToGrid w:val="0"/>
          <w:sz w:val="18"/>
          <w:szCs w:val="22"/>
        </w:rPr>
        <w:t>$55,000 to &lt; $75,000</w:t>
      </w:r>
    </w:p>
    <w:p w14:paraId="55B22D02" w14:textId="1959BE63" w:rsidR="00F708B0" w:rsidRDefault="00F708B0" w:rsidP="00032D12">
      <w:pPr>
        <w:keepLines/>
        <w:spacing w:after="120"/>
        <w:contextualSpacing/>
        <w:jc w:val="left"/>
        <w:rPr>
          <w:rFonts w:ascii="Arial Narrow" w:hAnsi="Arial Narrow"/>
          <w:snapToGrid w:val="0"/>
          <w:sz w:val="18"/>
          <w:szCs w:val="22"/>
        </w:rPr>
      </w:pPr>
      <w:r w:rsidRPr="00F708B0">
        <w:rPr>
          <w:rFonts w:ascii="Arial Narrow" w:hAnsi="Arial Narrow"/>
          <w:i/>
          <w:snapToGrid w:val="0"/>
          <w:sz w:val="18"/>
          <w:szCs w:val="22"/>
          <w:vertAlign w:val="superscript"/>
        </w:rPr>
        <w:t>3</w:t>
      </w:r>
      <w:r w:rsidRPr="00F708B0">
        <w:rPr>
          <w:rFonts w:ascii="Arial Narrow" w:hAnsi="Arial Narrow"/>
          <w:i/>
          <w:snapToGrid w:val="0"/>
          <w:sz w:val="18"/>
          <w:szCs w:val="22"/>
        </w:rPr>
        <w:t xml:space="preserve"> </w:t>
      </w:r>
      <w:r w:rsidR="000C6508" w:rsidRPr="000C6508">
        <w:rPr>
          <w:rFonts w:ascii="Arial Narrow" w:hAnsi="Arial Narrow"/>
          <w:i/>
          <w:snapToGrid w:val="0"/>
          <w:sz w:val="18"/>
          <w:szCs w:val="22"/>
        </w:rPr>
        <w:t>$25,000 to &lt; $35,000</w:t>
      </w:r>
    </w:p>
    <w:p w14:paraId="067E10FA" w14:textId="687286BA" w:rsidR="00032D12" w:rsidRPr="00E54C74" w:rsidRDefault="00032D12" w:rsidP="00234453">
      <w:pPr>
        <w:numPr>
          <w:ilvl w:val="1"/>
          <w:numId w:val="7"/>
        </w:numPr>
        <w:spacing w:before="240" w:after="60"/>
        <w:rPr>
          <w:rFonts w:asciiTheme="minorHAnsi" w:eastAsiaTheme="minorHAnsi" w:hAnsiTheme="minorHAnsi" w:cstheme="minorBidi"/>
          <w:szCs w:val="22"/>
        </w:rPr>
      </w:pPr>
      <w:r w:rsidRPr="00E54C74">
        <w:rPr>
          <w:rFonts w:asciiTheme="minorHAnsi" w:eastAsiaTheme="minorHAnsi" w:hAnsiTheme="minorHAnsi" w:cstheme="minorBidi"/>
          <w:szCs w:val="22"/>
        </w:rPr>
        <w:t xml:space="preserve">The majority of the costs were accrued in the first 5 years of the model for both treatment arms while </w:t>
      </w:r>
      <w:r w:rsidR="00966038">
        <w:rPr>
          <w:rFonts w:asciiTheme="minorHAnsi" w:eastAsiaTheme="minorHAnsi" w:hAnsiTheme="minorHAnsi" w:cstheme="minorBidi"/>
          <w:szCs w:val="22"/>
        </w:rPr>
        <w:t>approximately</w:t>
      </w:r>
      <w:r w:rsidR="00966038" w:rsidRPr="00E54C74">
        <w:rPr>
          <w:rFonts w:asciiTheme="minorHAnsi" w:eastAsiaTheme="minorHAnsi" w:hAnsiTheme="minorHAnsi" w:cstheme="minorBidi"/>
          <w:szCs w:val="22"/>
        </w:rPr>
        <w:t xml:space="preserve"> </w:t>
      </w:r>
      <w:r w:rsidRPr="00E54C74">
        <w:rPr>
          <w:rFonts w:asciiTheme="minorHAnsi" w:eastAsiaTheme="minorHAnsi" w:hAnsiTheme="minorHAnsi" w:cstheme="minorBidi"/>
          <w:szCs w:val="22"/>
        </w:rPr>
        <w:t xml:space="preserve">80.5% of the incremental </w:t>
      </w:r>
      <w:r>
        <w:rPr>
          <w:rFonts w:asciiTheme="minorHAnsi" w:eastAsiaTheme="minorHAnsi" w:hAnsiTheme="minorHAnsi" w:cstheme="minorBidi"/>
          <w:szCs w:val="22"/>
        </w:rPr>
        <w:t>life years (</w:t>
      </w:r>
      <w:r w:rsidRPr="00E54C74">
        <w:rPr>
          <w:rFonts w:asciiTheme="minorHAnsi" w:eastAsiaTheme="minorHAnsi" w:hAnsiTheme="minorHAnsi" w:cstheme="minorBidi"/>
          <w:szCs w:val="22"/>
        </w:rPr>
        <w:t>L</w:t>
      </w:r>
      <w:r w:rsidR="0006144B">
        <w:rPr>
          <w:rFonts w:asciiTheme="minorHAnsi" w:eastAsiaTheme="minorHAnsi" w:hAnsiTheme="minorHAnsi" w:cstheme="minorBidi"/>
          <w:szCs w:val="22"/>
        </w:rPr>
        <w:t>Y</w:t>
      </w:r>
      <w:r w:rsidRPr="00E54C74">
        <w:rPr>
          <w:rFonts w:asciiTheme="minorHAnsi" w:eastAsiaTheme="minorHAnsi" w:hAnsiTheme="minorHAnsi" w:cstheme="minorBidi"/>
          <w:szCs w:val="22"/>
        </w:rPr>
        <w:t>s</w:t>
      </w:r>
      <w:r>
        <w:rPr>
          <w:rFonts w:asciiTheme="minorHAnsi" w:eastAsiaTheme="minorHAnsi" w:hAnsiTheme="minorHAnsi" w:cstheme="minorBidi"/>
          <w:szCs w:val="22"/>
        </w:rPr>
        <w:t>)</w:t>
      </w:r>
      <w:r w:rsidRPr="00E54C74">
        <w:rPr>
          <w:rFonts w:asciiTheme="minorHAnsi" w:eastAsiaTheme="minorHAnsi" w:hAnsiTheme="minorHAnsi" w:cstheme="minorBidi"/>
          <w:szCs w:val="22"/>
        </w:rPr>
        <w:t xml:space="preserve"> were gained in the extrapolated period. The disaggregated costs and outcomes for the economic analysis are presented in </w:t>
      </w:r>
      <w:r w:rsidRPr="00E54C74">
        <w:rPr>
          <w:rFonts w:eastAsiaTheme="minorHAnsi"/>
        </w:rPr>
        <w:fldChar w:fldCharType="begin"/>
      </w:r>
      <w:r w:rsidRPr="00E54C74">
        <w:rPr>
          <w:rFonts w:eastAsiaTheme="minorHAnsi"/>
        </w:rPr>
        <w:instrText xml:space="preserve"> REF _Ref205656811 \h  \* MERGEFORMAT </w:instrText>
      </w:r>
      <w:r w:rsidRPr="00E54C74">
        <w:rPr>
          <w:rFonts w:eastAsiaTheme="minorHAnsi"/>
        </w:rPr>
      </w:r>
      <w:r w:rsidRPr="00E54C74">
        <w:rPr>
          <w:rFonts w:eastAsiaTheme="minorHAnsi"/>
        </w:rPr>
        <w:fldChar w:fldCharType="separate"/>
      </w:r>
      <w:r w:rsidR="0084087D" w:rsidRPr="0084087D">
        <w:rPr>
          <w:rFonts w:eastAsiaTheme="minorHAnsi"/>
        </w:rPr>
        <w:t>Table 12</w:t>
      </w:r>
      <w:r w:rsidRPr="00E54C74">
        <w:rPr>
          <w:rFonts w:eastAsiaTheme="minorHAnsi"/>
        </w:rPr>
        <w:fldChar w:fldCharType="end"/>
      </w:r>
      <w:r w:rsidRPr="00E54C74">
        <w:rPr>
          <w:rFonts w:eastAsiaTheme="minorHAnsi"/>
        </w:rPr>
        <w:t>.</w:t>
      </w:r>
      <w:r w:rsidRPr="00E54C74">
        <w:rPr>
          <w:rFonts w:asciiTheme="minorHAnsi" w:eastAsiaTheme="minorHAnsi" w:hAnsiTheme="minorHAnsi" w:cstheme="minorBidi"/>
          <w:szCs w:val="22"/>
        </w:rPr>
        <w:t xml:space="preserve"> </w:t>
      </w:r>
    </w:p>
    <w:p w14:paraId="2D5DFAF9" w14:textId="682101A2" w:rsidR="00032D12" w:rsidRPr="00E54C74" w:rsidRDefault="00032D12" w:rsidP="00CD6470">
      <w:pPr>
        <w:keepNext/>
        <w:keepLines/>
        <w:rPr>
          <w:rFonts w:ascii="Arial Narrow" w:hAnsi="Arial Narrow"/>
          <w:b/>
          <w:bCs/>
          <w:sz w:val="20"/>
          <w:szCs w:val="18"/>
        </w:rPr>
      </w:pPr>
      <w:bookmarkStart w:id="109" w:name="_Ref205656811"/>
      <w:r w:rsidRPr="00E54C74">
        <w:rPr>
          <w:rFonts w:ascii="Arial Narrow" w:hAnsi="Arial Narrow"/>
          <w:b/>
          <w:bCs/>
          <w:sz w:val="20"/>
          <w:szCs w:val="18"/>
        </w:rPr>
        <w:t xml:space="preserve">Table </w:t>
      </w:r>
      <w:r w:rsidRPr="00E54C74">
        <w:rPr>
          <w:rFonts w:ascii="Arial Narrow" w:hAnsi="Arial Narrow"/>
          <w:b/>
          <w:bCs/>
          <w:sz w:val="20"/>
          <w:szCs w:val="18"/>
        </w:rPr>
        <w:fldChar w:fldCharType="begin"/>
      </w:r>
      <w:r w:rsidRPr="00E54C74">
        <w:rPr>
          <w:rFonts w:ascii="Arial Narrow" w:hAnsi="Arial Narrow"/>
          <w:b/>
          <w:bCs/>
          <w:sz w:val="20"/>
          <w:szCs w:val="18"/>
        </w:rPr>
        <w:instrText xml:space="preserve"> SEQ Table \* ARABIC </w:instrText>
      </w:r>
      <w:r w:rsidRPr="00E54C74">
        <w:rPr>
          <w:rFonts w:ascii="Arial Narrow" w:hAnsi="Arial Narrow"/>
          <w:b/>
          <w:bCs/>
          <w:sz w:val="20"/>
          <w:szCs w:val="18"/>
        </w:rPr>
        <w:fldChar w:fldCharType="separate"/>
      </w:r>
      <w:r w:rsidR="0084087D">
        <w:rPr>
          <w:rFonts w:ascii="Arial Narrow" w:hAnsi="Arial Narrow"/>
          <w:b/>
          <w:bCs/>
          <w:noProof/>
          <w:sz w:val="20"/>
          <w:szCs w:val="18"/>
        </w:rPr>
        <w:t>12</w:t>
      </w:r>
      <w:r w:rsidRPr="00E54C74">
        <w:rPr>
          <w:rFonts w:ascii="Arial Narrow" w:hAnsi="Arial Narrow"/>
          <w:b/>
          <w:bCs/>
          <w:sz w:val="20"/>
          <w:szCs w:val="18"/>
        </w:rPr>
        <w:fldChar w:fldCharType="end"/>
      </w:r>
      <w:bookmarkEnd w:id="109"/>
      <w:r w:rsidRPr="00E54C74">
        <w:rPr>
          <w:rFonts w:ascii="Arial Narrow" w:hAnsi="Arial Narrow"/>
          <w:b/>
          <w:bCs/>
          <w:sz w:val="20"/>
          <w:szCs w:val="18"/>
        </w:rPr>
        <w:t>: Disaggregated summary of costs and health outcomes (discounted)</w:t>
      </w:r>
    </w:p>
    <w:tbl>
      <w:tblPr>
        <w:tblStyle w:val="TableGrid"/>
        <w:tblW w:w="5000" w:type="pct"/>
        <w:tblLook w:val="04A0" w:firstRow="1" w:lastRow="0" w:firstColumn="1" w:lastColumn="0" w:noHBand="0" w:noVBand="1"/>
        <w:tblCaption w:val="Table 12: Disaggregated summary of costs and health outcomes (discounted)"/>
      </w:tblPr>
      <w:tblGrid>
        <w:gridCol w:w="3114"/>
        <w:gridCol w:w="1475"/>
        <w:gridCol w:w="1476"/>
        <w:gridCol w:w="1476"/>
        <w:gridCol w:w="1476"/>
      </w:tblGrid>
      <w:tr w:rsidR="00032D12" w:rsidRPr="00E54C74" w14:paraId="50DB64F3" w14:textId="77777777">
        <w:tc>
          <w:tcPr>
            <w:tcW w:w="3114" w:type="dxa"/>
          </w:tcPr>
          <w:p w14:paraId="0971E61F" w14:textId="77777777" w:rsidR="00032D12" w:rsidRPr="00E54C74" w:rsidRDefault="00032D12" w:rsidP="00CD6470">
            <w:pPr>
              <w:keepNext/>
              <w:keepLines/>
              <w:jc w:val="center"/>
              <w:rPr>
                <w:rFonts w:ascii="Arial Narrow" w:eastAsiaTheme="majorEastAsia" w:hAnsi="Arial Narrow" w:cs="Times New Roman"/>
                <w:b/>
                <w:sz w:val="20"/>
              </w:rPr>
            </w:pPr>
            <w:r w:rsidRPr="00E54C74">
              <w:rPr>
                <w:rFonts w:ascii="Arial Narrow" w:eastAsiaTheme="majorEastAsia" w:hAnsi="Arial Narrow" w:cs="Times New Roman"/>
                <w:b/>
                <w:sz w:val="20"/>
              </w:rPr>
              <w:t>Resource item</w:t>
            </w:r>
          </w:p>
        </w:tc>
        <w:tc>
          <w:tcPr>
            <w:tcW w:w="1475" w:type="dxa"/>
          </w:tcPr>
          <w:p w14:paraId="7195E78F" w14:textId="77777777" w:rsidR="00032D12" w:rsidRPr="00E54C74" w:rsidRDefault="00032D12" w:rsidP="00CD6470">
            <w:pPr>
              <w:keepNext/>
              <w:keepLines/>
              <w:jc w:val="center"/>
              <w:rPr>
                <w:rFonts w:ascii="Arial Narrow" w:eastAsiaTheme="majorEastAsia" w:hAnsi="Arial Narrow" w:cs="Times New Roman"/>
                <w:b/>
                <w:sz w:val="20"/>
              </w:rPr>
            </w:pPr>
            <w:proofErr w:type="spellStart"/>
            <w:r w:rsidRPr="00E54C74">
              <w:rPr>
                <w:rFonts w:ascii="Arial Narrow" w:eastAsiaTheme="majorEastAsia" w:hAnsi="Arial Narrow" w:cs="Times New Roman"/>
                <w:b/>
                <w:sz w:val="20"/>
              </w:rPr>
              <w:t>PEM+SoC</w:t>
            </w:r>
            <w:proofErr w:type="spellEnd"/>
            <w:r w:rsidRPr="00E54C74">
              <w:rPr>
                <w:rFonts w:ascii="Arial Narrow" w:eastAsiaTheme="majorEastAsia" w:hAnsi="Arial Narrow" w:cs="Times New Roman"/>
                <w:b/>
                <w:sz w:val="20"/>
              </w:rPr>
              <w:t xml:space="preserve"> </w:t>
            </w:r>
          </w:p>
        </w:tc>
        <w:tc>
          <w:tcPr>
            <w:tcW w:w="1476" w:type="dxa"/>
          </w:tcPr>
          <w:p w14:paraId="1EE150E9" w14:textId="77777777" w:rsidR="00032D12" w:rsidRPr="00E54C74" w:rsidRDefault="00032D12" w:rsidP="00CD6470">
            <w:pPr>
              <w:keepNext/>
              <w:keepLines/>
              <w:jc w:val="center"/>
              <w:rPr>
                <w:rFonts w:ascii="Arial Narrow" w:eastAsiaTheme="majorEastAsia" w:hAnsi="Arial Narrow" w:cs="Times New Roman"/>
                <w:b/>
                <w:sz w:val="20"/>
              </w:rPr>
            </w:pPr>
            <w:r w:rsidRPr="00E54C74">
              <w:rPr>
                <w:rFonts w:ascii="Arial Narrow" w:eastAsiaTheme="majorEastAsia" w:hAnsi="Arial Narrow" w:cs="Times New Roman"/>
                <w:b/>
                <w:sz w:val="20"/>
              </w:rPr>
              <w:t>SoC</w:t>
            </w:r>
          </w:p>
        </w:tc>
        <w:tc>
          <w:tcPr>
            <w:tcW w:w="1476" w:type="dxa"/>
          </w:tcPr>
          <w:p w14:paraId="44E9CD24" w14:textId="77777777" w:rsidR="00032D12" w:rsidRPr="00E54C74" w:rsidRDefault="00032D12" w:rsidP="00CD6470">
            <w:pPr>
              <w:keepNext/>
              <w:keepLines/>
              <w:jc w:val="center"/>
              <w:rPr>
                <w:rFonts w:ascii="Arial Narrow" w:eastAsiaTheme="majorEastAsia" w:hAnsi="Arial Narrow" w:cs="Times New Roman"/>
                <w:b/>
                <w:sz w:val="20"/>
              </w:rPr>
            </w:pPr>
            <w:r w:rsidRPr="00E54C74">
              <w:rPr>
                <w:rFonts w:ascii="Arial Narrow" w:eastAsiaTheme="majorEastAsia" w:hAnsi="Arial Narrow" w:cs="Times New Roman"/>
                <w:b/>
                <w:sz w:val="20"/>
              </w:rPr>
              <w:t>Increment</w:t>
            </w:r>
          </w:p>
        </w:tc>
        <w:tc>
          <w:tcPr>
            <w:tcW w:w="1476" w:type="dxa"/>
          </w:tcPr>
          <w:p w14:paraId="586FB764" w14:textId="77777777" w:rsidR="00032D12" w:rsidRPr="00E54C74" w:rsidRDefault="00032D12" w:rsidP="00CD6470">
            <w:pPr>
              <w:keepNext/>
              <w:keepLines/>
              <w:jc w:val="center"/>
              <w:rPr>
                <w:rFonts w:ascii="Arial Narrow" w:eastAsiaTheme="majorEastAsia" w:hAnsi="Arial Narrow" w:cs="Times New Roman"/>
                <w:b/>
                <w:sz w:val="20"/>
              </w:rPr>
            </w:pPr>
            <w:r w:rsidRPr="00E54C74">
              <w:rPr>
                <w:rFonts w:ascii="Arial Narrow" w:eastAsiaTheme="majorEastAsia" w:hAnsi="Arial Narrow" w:cs="Times New Roman"/>
                <w:b/>
                <w:sz w:val="20"/>
              </w:rPr>
              <w:t>% of increment</w:t>
            </w:r>
          </w:p>
        </w:tc>
      </w:tr>
      <w:tr w:rsidR="00032D12" w:rsidRPr="00E54C74" w14:paraId="5BA639C5" w14:textId="77777777">
        <w:tc>
          <w:tcPr>
            <w:tcW w:w="9017" w:type="dxa"/>
            <w:gridSpan w:val="5"/>
          </w:tcPr>
          <w:p w14:paraId="0BBC8E28" w14:textId="77777777" w:rsidR="00032D12" w:rsidRPr="00E54C74" w:rsidRDefault="00032D12" w:rsidP="00CD6470">
            <w:pPr>
              <w:keepNext/>
              <w:keepLines/>
              <w:jc w:val="left"/>
              <w:rPr>
                <w:rFonts w:ascii="Arial Narrow" w:eastAsiaTheme="majorEastAsia" w:hAnsi="Arial Narrow" w:cstheme="majorBidi"/>
                <w:b/>
                <w:sz w:val="20"/>
              </w:rPr>
            </w:pPr>
            <w:r w:rsidRPr="00E54C74">
              <w:rPr>
                <w:rFonts w:ascii="Arial Narrow" w:eastAsiaTheme="majorEastAsia" w:hAnsi="Arial Narrow" w:cstheme="majorBidi"/>
                <w:b/>
                <w:sz w:val="20"/>
              </w:rPr>
              <w:t xml:space="preserve">Costs </w:t>
            </w:r>
          </w:p>
        </w:tc>
      </w:tr>
      <w:tr w:rsidR="00032D12" w:rsidRPr="00E54C74" w14:paraId="3DC1E6E0" w14:textId="77777777">
        <w:tc>
          <w:tcPr>
            <w:tcW w:w="3114" w:type="dxa"/>
          </w:tcPr>
          <w:p w14:paraId="13031EF9" w14:textId="10158E2A" w:rsidR="00032D12" w:rsidRPr="00E54C74" w:rsidRDefault="00032D12" w:rsidP="00CD6470">
            <w:pPr>
              <w:keepNext/>
              <w:keepLines/>
              <w:jc w:val="left"/>
              <w:rPr>
                <w:rFonts w:ascii="Arial Narrow" w:eastAsiaTheme="majorEastAsia" w:hAnsi="Arial Narrow" w:cstheme="majorBidi"/>
                <w:bCs/>
                <w:sz w:val="20"/>
              </w:rPr>
            </w:pPr>
            <w:r w:rsidRPr="00E54C74">
              <w:rPr>
                <w:rFonts w:ascii="Arial Narrow" w:eastAsiaTheme="majorEastAsia" w:hAnsi="Arial Narrow" w:cstheme="majorBidi"/>
                <w:bCs/>
                <w:sz w:val="20"/>
              </w:rPr>
              <w:t xml:space="preserve">Neoadjuvant/adjuvant </w:t>
            </w:r>
            <w:r w:rsidR="00127814">
              <w:rPr>
                <w:rFonts w:ascii="Arial Narrow" w:eastAsiaTheme="majorEastAsia" w:hAnsi="Arial Narrow" w:cstheme="majorBidi"/>
                <w:bCs/>
                <w:sz w:val="20"/>
              </w:rPr>
              <w:t>t</w:t>
            </w:r>
            <w:r w:rsidRPr="00E54C74">
              <w:rPr>
                <w:rFonts w:ascii="Arial Narrow" w:eastAsiaTheme="majorEastAsia" w:hAnsi="Arial Narrow" w:cstheme="majorBidi"/>
                <w:bCs/>
                <w:sz w:val="20"/>
              </w:rPr>
              <w:t xml:space="preserve">reatment </w:t>
            </w:r>
          </w:p>
        </w:tc>
        <w:tc>
          <w:tcPr>
            <w:tcW w:w="1475" w:type="dxa"/>
          </w:tcPr>
          <w:p w14:paraId="79C7F937" w14:textId="7966C656"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p>
        </w:tc>
        <w:tc>
          <w:tcPr>
            <w:tcW w:w="1476" w:type="dxa"/>
          </w:tcPr>
          <w:p w14:paraId="07B0AD1E" w14:textId="77777777"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w:t>
            </w:r>
            <w:r>
              <w:rPr>
                <w:rFonts w:ascii="Arial Narrow" w:eastAsiaTheme="majorEastAsia" w:hAnsi="Arial Narrow" w:cstheme="majorBidi"/>
                <w:bCs/>
                <w:sz w:val="20"/>
              </w:rPr>
              <w:t>305</w:t>
            </w:r>
          </w:p>
        </w:tc>
        <w:tc>
          <w:tcPr>
            <w:tcW w:w="1476" w:type="dxa"/>
          </w:tcPr>
          <w:p w14:paraId="1FEE0E60" w14:textId="345C5383"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p>
        </w:tc>
        <w:tc>
          <w:tcPr>
            <w:tcW w:w="1476" w:type="dxa"/>
          </w:tcPr>
          <w:p w14:paraId="0AAA2E61" w14:textId="7B7A216C" w:rsidR="00032D12" w:rsidRPr="00612B75" w:rsidRDefault="00576021" w:rsidP="00CD6470">
            <w:pPr>
              <w:keepNext/>
              <w:keepLines/>
              <w:jc w:val="center"/>
              <w:rPr>
                <w:rFonts w:ascii="Arial Narrow" w:eastAsiaTheme="majorEastAsia" w:hAnsi="Arial Narrow" w:cstheme="majorBidi"/>
                <w:bCs/>
                <w:sz w:val="20"/>
                <w:highlight w:val="darkGray"/>
              </w:rPr>
            </w:pPr>
            <w:r w:rsidRPr="001758D2">
              <w:rPr>
                <w:rFonts w:ascii="Arial Narrow" w:eastAsiaTheme="majorEastAsia" w:hAnsi="Arial Narrow" w:cstheme="majorBidi"/>
                <w:bCs/>
                <w:sz w:val="20"/>
                <w:highlight w:val="black"/>
              </w:rPr>
              <w:t>&amp;&amp;&amp;&amp;</w:t>
            </w:r>
            <w:r w:rsidR="00032D12" w:rsidRPr="00707660">
              <w:rPr>
                <w:rFonts w:ascii="Arial Narrow" w:eastAsiaTheme="majorEastAsia" w:hAnsi="Arial Narrow" w:cstheme="majorBidi"/>
                <w:bCs/>
                <w:sz w:val="20"/>
              </w:rPr>
              <w:t>%</w:t>
            </w:r>
          </w:p>
        </w:tc>
      </w:tr>
      <w:tr w:rsidR="00032D12" w:rsidRPr="00E54C74" w14:paraId="3F3CD3B6" w14:textId="77777777">
        <w:tc>
          <w:tcPr>
            <w:tcW w:w="3114" w:type="dxa"/>
          </w:tcPr>
          <w:p w14:paraId="52C2FC96" w14:textId="77777777" w:rsidR="00032D12" w:rsidRPr="00E54C74" w:rsidRDefault="00032D12" w:rsidP="00CD6470">
            <w:pPr>
              <w:keepNext/>
              <w:keepLines/>
              <w:jc w:val="left"/>
              <w:rPr>
                <w:rFonts w:ascii="Arial Narrow" w:eastAsiaTheme="majorEastAsia" w:hAnsi="Arial Narrow" w:cstheme="majorBidi"/>
                <w:bCs/>
                <w:sz w:val="20"/>
              </w:rPr>
            </w:pPr>
            <w:r w:rsidRPr="00E54C74">
              <w:rPr>
                <w:rFonts w:ascii="Arial Narrow" w:eastAsiaTheme="majorEastAsia" w:hAnsi="Arial Narrow" w:cstheme="majorBidi"/>
                <w:bCs/>
                <w:sz w:val="20"/>
              </w:rPr>
              <w:t>Initial surgery and radiotherapy</w:t>
            </w:r>
          </w:p>
        </w:tc>
        <w:tc>
          <w:tcPr>
            <w:tcW w:w="1475" w:type="dxa"/>
          </w:tcPr>
          <w:p w14:paraId="1D60DED6" w14:textId="63CA478A"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w:t>
            </w:r>
            <w:r w:rsidRPr="00F25380">
              <w:rPr>
                <w:rFonts w:ascii="Arial Narrow" w:eastAsiaTheme="majorEastAsia" w:hAnsi="Arial Narrow" w:cstheme="majorBidi"/>
                <w:bCs/>
                <w:sz w:val="20"/>
              </w:rPr>
              <w:t>31,694</w:t>
            </w:r>
          </w:p>
        </w:tc>
        <w:tc>
          <w:tcPr>
            <w:tcW w:w="1476" w:type="dxa"/>
          </w:tcPr>
          <w:p w14:paraId="28517124" w14:textId="69FA223D"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$34,960</w:t>
            </w:r>
          </w:p>
        </w:tc>
        <w:tc>
          <w:tcPr>
            <w:tcW w:w="1476" w:type="dxa"/>
          </w:tcPr>
          <w:p w14:paraId="576E2ACC" w14:textId="09E3B863" w:rsidR="00032D12" w:rsidRPr="00F25380" w:rsidRDefault="00032D12" w:rsidP="00CD6470">
            <w:pPr>
              <w:keepNext/>
              <w:keepLines/>
              <w:jc w:val="center"/>
              <w:rPr>
                <w:rFonts w:ascii="Arial Narrow" w:eastAsiaTheme="majorEastAsia" w:hAnsi="Arial Narrow" w:cstheme="majorBidi"/>
                <w:bCs/>
                <w:sz w:val="20"/>
              </w:rPr>
            </w:pPr>
            <w:r w:rsidRPr="00F25380">
              <w:rPr>
                <w:rFonts w:ascii="Arial Narrow" w:eastAsiaTheme="majorEastAsia" w:hAnsi="Arial Narrow" w:cstheme="majorBidi"/>
                <w:bCs/>
                <w:sz w:val="20"/>
              </w:rPr>
              <w:t>-$3,266</w:t>
            </w:r>
          </w:p>
        </w:tc>
        <w:tc>
          <w:tcPr>
            <w:tcW w:w="1476" w:type="dxa"/>
          </w:tcPr>
          <w:p w14:paraId="386CC135" w14:textId="77777777" w:rsidR="00032D12" w:rsidRPr="00F25380" w:rsidRDefault="00032D12" w:rsidP="00CD6470">
            <w:pPr>
              <w:keepNext/>
              <w:keepLines/>
              <w:jc w:val="center"/>
              <w:rPr>
                <w:rFonts w:ascii="Arial Narrow" w:eastAsiaTheme="majorEastAsia" w:hAnsi="Arial Narrow" w:cstheme="majorBidi"/>
                <w:bCs/>
                <w:sz w:val="20"/>
              </w:rPr>
            </w:pPr>
            <w:r w:rsidRPr="00F25380">
              <w:rPr>
                <w:rFonts w:ascii="Arial Narrow" w:eastAsiaTheme="majorEastAsia" w:hAnsi="Arial Narrow" w:cstheme="majorBidi"/>
                <w:bCs/>
                <w:sz w:val="20"/>
              </w:rPr>
              <w:t>-13.9%</w:t>
            </w:r>
          </w:p>
        </w:tc>
      </w:tr>
      <w:tr w:rsidR="00032D12" w:rsidRPr="00E54C74" w14:paraId="43C50894" w14:textId="77777777">
        <w:tc>
          <w:tcPr>
            <w:tcW w:w="3114" w:type="dxa"/>
          </w:tcPr>
          <w:p w14:paraId="1B92D592" w14:textId="77777777" w:rsidR="00032D12" w:rsidRPr="00E54C74" w:rsidRDefault="00032D12" w:rsidP="00CD6470">
            <w:pPr>
              <w:keepNext/>
              <w:keepLines/>
              <w:jc w:val="left"/>
              <w:rPr>
                <w:rFonts w:ascii="Arial Narrow" w:eastAsiaTheme="majorEastAsia" w:hAnsi="Arial Narrow" w:cstheme="majorBidi"/>
                <w:bCs/>
                <w:sz w:val="20"/>
              </w:rPr>
            </w:pPr>
            <w:r w:rsidRPr="00E54C74">
              <w:rPr>
                <w:rFonts w:ascii="Arial Narrow" w:eastAsiaTheme="majorEastAsia" w:hAnsi="Arial Narrow" w:cstheme="majorBidi"/>
                <w:bCs/>
                <w:sz w:val="20"/>
              </w:rPr>
              <w:t>Salvage surgery and RT in the LR state</w:t>
            </w:r>
          </w:p>
        </w:tc>
        <w:tc>
          <w:tcPr>
            <w:tcW w:w="1475" w:type="dxa"/>
          </w:tcPr>
          <w:p w14:paraId="6B17FD74" w14:textId="493AD47D" w:rsidR="00032D12" w:rsidRPr="00F25380" w:rsidRDefault="00032D12" w:rsidP="00CD6470">
            <w:pPr>
              <w:keepNext/>
              <w:keepLines/>
              <w:jc w:val="center"/>
              <w:rPr>
                <w:rFonts w:ascii="Arial Narrow" w:eastAsiaTheme="majorEastAsia" w:hAnsi="Arial Narrow" w:cstheme="majorBidi"/>
                <w:bCs/>
                <w:sz w:val="20"/>
              </w:rPr>
            </w:pPr>
            <w:r w:rsidRPr="00F25380">
              <w:rPr>
                <w:rFonts w:ascii="Arial Narrow" w:eastAsiaTheme="majorEastAsia" w:hAnsi="Arial Narrow" w:cstheme="majorBidi"/>
                <w:bCs/>
                <w:sz w:val="20"/>
              </w:rPr>
              <w:t>$2,352</w:t>
            </w:r>
          </w:p>
        </w:tc>
        <w:tc>
          <w:tcPr>
            <w:tcW w:w="1476" w:type="dxa"/>
          </w:tcPr>
          <w:p w14:paraId="12634CEB" w14:textId="4C4C0B25"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$2,561</w:t>
            </w:r>
          </w:p>
        </w:tc>
        <w:tc>
          <w:tcPr>
            <w:tcW w:w="1476" w:type="dxa"/>
          </w:tcPr>
          <w:p w14:paraId="068A9DEE" w14:textId="002556E1" w:rsidR="00032D12" w:rsidRPr="00F25380" w:rsidRDefault="00032D12" w:rsidP="00CD6470">
            <w:pPr>
              <w:keepNext/>
              <w:keepLines/>
              <w:jc w:val="center"/>
              <w:rPr>
                <w:rFonts w:ascii="Arial Narrow" w:eastAsiaTheme="majorEastAsia" w:hAnsi="Arial Narrow" w:cstheme="majorBidi"/>
                <w:bCs/>
                <w:sz w:val="20"/>
              </w:rPr>
            </w:pPr>
            <w:r w:rsidRPr="00F25380">
              <w:rPr>
                <w:rFonts w:ascii="Arial Narrow" w:eastAsiaTheme="majorEastAsia" w:hAnsi="Arial Narrow" w:cstheme="majorBidi"/>
                <w:bCs/>
                <w:sz w:val="20"/>
              </w:rPr>
              <w:t>-$210</w:t>
            </w:r>
          </w:p>
        </w:tc>
        <w:tc>
          <w:tcPr>
            <w:tcW w:w="1476" w:type="dxa"/>
          </w:tcPr>
          <w:p w14:paraId="0ED95CAD" w14:textId="77777777" w:rsidR="00032D12" w:rsidRPr="00F25380" w:rsidRDefault="00032D12" w:rsidP="00CD6470">
            <w:pPr>
              <w:keepNext/>
              <w:keepLines/>
              <w:jc w:val="center"/>
              <w:rPr>
                <w:rFonts w:ascii="Arial Narrow" w:eastAsiaTheme="majorEastAsia" w:hAnsi="Arial Narrow" w:cstheme="majorBidi"/>
                <w:bCs/>
                <w:sz w:val="20"/>
              </w:rPr>
            </w:pPr>
            <w:r w:rsidRPr="00F25380">
              <w:rPr>
                <w:rFonts w:ascii="Arial Narrow" w:eastAsiaTheme="majorEastAsia" w:hAnsi="Arial Narrow" w:cstheme="majorBidi"/>
                <w:bCs/>
                <w:sz w:val="20"/>
              </w:rPr>
              <w:t>-0.9%</w:t>
            </w:r>
          </w:p>
        </w:tc>
      </w:tr>
      <w:tr w:rsidR="00032D12" w:rsidRPr="00E54C74" w14:paraId="68728BD5" w14:textId="77777777">
        <w:tc>
          <w:tcPr>
            <w:tcW w:w="3114" w:type="dxa"/>
          </w:tcPr>
          <w:p w14:paraId="78E6E44A" w14:textId="77777777" w:rsidR="00032D12" w:rsidRPr="00E54C74" w:rsidRDefault="00032D12" w:rsidP="00CD6470">
            <w:pPr>
              <w:keepNext/>
              <w:keepLines/>
              <w:jc w:val="left"/>
              <w:rPr>
                <w:rFonts w:ascii="Arial Narrow" w:eastAsiaTheme="majorEastAsia" w:hAnsi="Arial Narrow" w:cstheme="majorBidi"/>
                <w:bCs/>
                <w:sz w:val="20"/>
              </w:rPr>
            </w:pPr>
            <w:r w:rsidRPr="00E54C74">
              <w:rPr>
                <w:rFonts w:ascii="Arial Narrow" w:eastAsiaTheme="majorEastAsia" w:hAnsi="Arial Narrow" w:cstheme="majorBidi"/>
                <w:bCs/>
                <w:sz w:val="20"/>
              </w:rPr>
              <w:t>Subsequent treatments in the IRP state</w:t>
            </w:r>
          </w:p>
        </w:tc>
        <w:tc>
          <w:tcPr>
            <w:tcW w:w="1475" w:type="dxa"/>
          </w:tcPr>
          <w:p w14:paraId="4CD0D282" w14:textId="70F6A982" w:rsidR="00032D12" w:rsidRPr="00F25380" w:rsidRDefault="00032D12" w:rsidP="00CD6470">
            <w:pPr>
              <w:keepNext/>
              <w:keepLines/>
              <w:jc w:val="center"/>
              <w:rPr>
                <w:rFonts w:ascii="Arial Narrow" w:eastAsiaTheme="majorEastAsia" w:hAnsi="Arial Narrow" w:cstheme="majorBidi"/>
                <w:bCs/>
                <w:sz w:val="20"/>
              </w:rPr>
            </w:pPr>
            <w:r w:rsidRPr="00F25380">
              <w:rPr>
                <w:rFonts w:ascii="Arial Narrow" w:eastAsiaTheme="majorEastAsia" w:hAnsi="Arial Narrow" w:cstheme="majorBidi"/>
                <w:bCs/>
                <w:sz w:val="20"/>
              </w:rPr>
              <w:t>$1,360</w:t>
            </w:r>
          </w:p>
        </w:tc>
        <w:tc>
          <w:tcPr>
            <w:tcW w:w="1476" w:type="dxa"/>
          </w:tcPr>
          <w:p w14:paraId="0228A729" w14:textId="3B7DD57F"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$8,240</w:t>
            </w:r>
          </w:p>
        </w:tc>
        <w:tc>
          <w:tcPr>
            <w:tcW w:w="1476" w:type="dxa"/>
          </w:tcPr>
          <w:p w14:paraId="6CA192E1" w14:textId="3382AFF5" w:rsidR="00032D12" w:rsidRPr="00F25380" w:rsidRDefault="00032D12" w:rsidP="00CD6470">
            <w:pPr>
              <w:keepNext/>
              <w:keepLines/>
              <w:jc w:val="center"/>
              <w:rPr>
                <w:rFonts w:ascii="Arial Narrow" w:eastAsiaTheme="majorEastAsia" w:hAnsi="Arial Narrow" w:cstheme="majorBidi"/>
                <w:bCs/>
                <w:sz w:val="20"/>
              </w:rPr>
            </w:pPr>
            <w:r w:rsidRPr="00F25380">
              <w:rPr>
                <w:rFonts w:ascii="Arial Narrow" w:eastAsiaTheme="majorEastAsia" w:hAnsi="Arial Narrow" w:cstheme="majorBidi"/>
                <w:bCs/>
                <w:sz w:val="20"/>
              </w:rPr>
              <w:t>-$6,880</w:t>
            </w:r>
          </w:p>
        </w:tc>
        <w:tc>
          <w:tcPr>
            <w:tcW w:w="1476" w:type="dxa"/>
          </w:tcPr>
          <w:p w14:paraId="0D8CAA6B" w14:textId="77777777" w:rsidR="00032D12" w:rsidRPr="00F25380" w:rsidRDefault="00032D12" w:rsidP="00CD6470">
            <w:pPr>
              <w:keepNext/>
              <w:keepLines/>
              <w:jc w:val="center"/>
              <w:rPr>
                <w:rFonts w:ascii="Arial Narrow" w:eastAsiaTheme="majorEastAsia" w:hAnsi="Arial Narrow" w:cstheme="majorBidi"/>
                <w:bCs/>
                <w:sz w:val="20"/>
              </w:rPr>
            </w:pPr>
            <w:r w:rsidRPr="00F25380">
              <w:rPr>
                <w:rFonts w:ascii="Arial Narrow" w:eastAsiaTheme="majorEastAsia" w:hAnsi="Arial Narrow" w:cstheme="majorBidi"/>
                <w:bCs/>
                <w:sz w:val="20"/>
              </w:rPr>
              <w:t>-29.3%</w:t>
            </w:r>
          </w:p>
        </w:tc>
      </w:tr>
      <w:tr w:rsidR="00032D12" w:rsidRPr="00E54C74" w14:paraId="0080AAB0" w14:textId="77777777">
        <w:tc>
          <w:tcPr>
            <w:tcW w:w="3114" w:type="dxa"/>
          </w:tcPr>
          <w:p w14:paraId="0D6B56BB" w14:textId="77777777" w:rsidR="00032D12" w:rsidRPr="00E54C74" w:rsidRDefault="00032D12" w:rsidP="00CD6470">
            <w:pPr>
              <w:keepNext/>
              <w:keepLines/>
              <w:jc w:val="left"/>
              <w:rPr>
                <w:rFonts w:ascii="Arial Narrow" w:eastAsiaTheme="majorEastAsia" w:hAnsi="Arial Narrow" w:cstheme="majorBidi"/>
                <w:bCs/>
                <w:sz w:val="20"/>
              </w:rPr>
            </w:pPr>
            <w:r w:rsidRPr="00E54C74">
              <w:rPr>
                <w:rFonts w:ascii="Arial Narrow" w:eastAsiaTheme="majorEastAsia" w:hAnsi="Arial Narrow" w:cstheme="majorBidi"/>
                <w:bCs/>
                <w:sz w:val="20"/>
              </w:rPr>
              <w:t>Management of AEs</w:t>
            </w:r>
          </w:p>
        </w:tc>
        <w:tc>
          <w:tcPr>
            <w:tcW w:w="1475" w:type="dxa"/>
          </w:tcPr>
          <w:p w14:paraId="69EAEA12" w14:textId="41D1C1DC" w:rsidR="00032D12" w:rsidRPr="00F25380" w:rsidRDefault="00032D12" w:rsidP="00CD6470">
            <w:pPr>
              <w:keepNext/>
              <w:keepLines/>
              <w:jc w:val="center"/>
              <w:rPr>
                <w:rFonts w:ascii="Arial Narrow" w:eastAsiaTheme="majorEastAsia" w:hAnsi="Arial Narrow" w:cstheme="majorBidi"/>
                <w:bCs/>
                <w:sz w:val="20"/>
              </w:rPr>
            </w:pPr>
            <w:r w:rsidRPr="00F25380">
              <w:rPr>
                <w:rFonts w:ascii="Arial Narrow" w:eastAsiaTheme="majorEastAsia" w:hAnsi="Arial Narrow" w:cstheme="majorBidi"/>
                <w:bCs/>
                <w:sz w:val="20"/>
              </w:rPr>
              <w:t>$486</w:t>
            </w:r>
          </w:p>
        </w:tc>
        <w:tc>
          <w:tcPr>
            <w:tcW w:w="1476" w:type="dxa"/>
          </w:tcPr>
          <w:p w14:paraId="74229FD5" w14:textId="02C8BE7B"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$750</w:t>
            </w:r>
          </w:p>
        </w:tc>
        <w:tc>
          <w:tcPr>
            <w:tcW w:w="1476" w:type="dxa"/>
          </w:tcPr>
          <w:p w14:paraId="6F5AB2C6" w14:textId="37A52904" w:rsidR="00032D12" w:rsidRPr="00F25380" w:rsidRDefault="00032D12" w:rsidP="00CD6470">
            <w:pPr>
              <w:keepNext/>
              <w:keepLines/>
              <w:jc w:val="center"/>
              <w:rPr>
                <w:rFonts w:ascii="Arial Narrow" w:eastAsiaTheme="majorEastAsia" w:hAnsi="Arial Narrow" w:cstheme="majorBidi"/>
                <w:bCs/>
                <w:sz w:val="20"/>
              </w:rPr>
            </w:pPr>
            <w:r w:rsidRPr="00F25380">
              <w:rPr>
                <w:rFonts w:ascii="Arial Narrow" w:eastAsiaTheme="majorEastAsia" w:hAnsi="Arial Narrow" w:cstheme="majorBidi"/>
                <w:bCs/>
                <w:sz w:val="20"/>
              </w:rPr>
              <w:t>-$264</w:t>
            </w:r>
          </w:p>
        </w:tc>
        <w:tc>
          <w:tcPr>
            <w:tcW w:w="1476" w:type="dxa"/>
          </w:tcPr>
          <w:p w14:paraId="058954A3" w14:textId="77777777" w:rsidR="00032D12" w:rsidRPr="00F25380" w:rsidRDefault="00032D12" w:rsidP="00CD6470">
            <w:pPr>
              <w:keepNext/>
              <w:keepLines/>
              <w:jc w:val="center"/>
              <w:rPr>
                <w:rFonts w:ascii="Arial Narrow" w:eastAsiaTheme="majorEastAsia" w:hAnsi="Arial Narrow" w:cstheme="majorBidi"/>
                <w:bCs/>
                <w:sz w:val="20"/>
              </w:rPr>
            </w:pPr>
            <w:r w:rsidRPr="00F25380">
              <w:rPr>
                <w:rFonts w:ascii="Arial Narrow" w:eastAsiaTheme="majorEastAsia" w:hAnsi="Arial Narrow" w:cstheme="majorBidi"/>
                <w:bCs/>
                <w:sz w:val="20"/>
              </w:rPr>
              <w:t>-1.1%</w:t>
            </w:r>
          </w:p>
        </w:tc>
      </w:tr>
      <w:tr w:rsidR="00032D12" w:rsidRPr="00E54C74" w14:paraId="378932AC" w14:textId="77777777">
        <w:tc>
          <w:tcPr>
            <w:tcW w:w="3114" w:type="dxa"/>
          </w:tcPr>
          <w:p w14:paraId="6320E1A0" w14:textId="77777777" w:rsidR="00032D12" w:rsidRPr="00E54C74" w:rsidRDefault="00032D12" w:rsidP="00CD6470">
            <w:pPr>
              <w:keepNext/>
              <w:keepLines/>
              <w:jc w:val="left"/>
              <w:rPr>
                <w:rFonts w:ascii="Arial Narrow" w:eastAsiaTheme="majorEastAsia" w:hAnsi="Arial Narrow" w:cstheme="majorBidi"/>
                <w:bCs/>
                <w:sz w:val="20"/>
              </w:rPr>
            </w:pPr>
            <w:r w:rsidRPr="00E54C74">
              <w:rPr>
                <w:rFonts w:ascii="Arial Narrow" w:eastAsiaTheme="majorEastAsia" w:hAnsi="Arial Narrow" w:cstheme="majorBidi"/>
                <w:bCs/>
                <w:sz w:val="20"/>
              </w:rPr>
              <w:t xml:space="preserve">Disease management </w:t>
            </w:r>
          </w:p>
        </w:tc>
        <w:tc>
          <w:tcPr>
            <w:tcW w:w="1475" w:type="dxa"/>
          </w:tcPr>
          <w:p w14:paraId="7F7CA019" w14:textId="2706E279" w:rsidR="00032D12" w:rsidRPr="00F25380" w:rsidRDefault="00032D12" w:rsidP="00CD6470">
            <w:pPr>
              <w:keepNext/>
              <w:keepLines/>
              <w:jc w:val="center"/>
              <w:rPr>
                <w:rFonts w:ascii="Arial Narrow" w:eastAsiaTheme="majorEastAsia" w:hAnsi="Arial Narrow" w:cstheme="majorBidi"/>
                <w:bCs/>
                <w:sz w:val="20"/>
              </w:rPr>
            </w:pPr>
            <w:r w:rsidRPr="00F25380">
              <w:rPr>
                <w:rFonts w:ascii="Arial Narrow" w:eastAsiaTheme="majorEastAsia" w:hAnsi="Arial Narrow" w:cstheme="majorBidi"/>
                <w:bCs/>
                <w:sz w:val="20"/>
              </w:rPr>
              <w:t>$3,111</w:t>
            </w:r>
          </w:p>
        </w:tc>
        <w:tc>
          <w:tcPr>
            <w:tcW w:w="1476" w:type="dxa"/>
          </w:tcPr>
          <w:p w14:paraId="6B16D6BD" w14:textId="37E77A60"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$2,885</w:t>
            </w:r>
          </w:p>
        </w:tc>
        <w:tc>
          <w:tcPr>
            <w:tcW w:w="1476" w:type="dxa"/>
          </w:tcPr>
          <w:p w14:paraId="66391402" w14:textId="56234C9A" w:rsidR="00032D12" w:rsidRPr="00F25380" w:rsidRDefault="00032D12" w:rsidP="00CD6470">
            <w:pPr>
              <w:keepNext/>
              <w:keepLines/>
              <w:jc w:val="center"/>
              <w:rPr>
                <w:rFonts w:ascii="Arial Narrow" w:eastAsiaTheme="majorEastAsia" w:hAnsi="Arial Narrow" w:cstheme="majorBidi"/>
                <w:bCs/>
                <w:sz w:val="20"/>
              </w:rPr>
            </w:pPr>
            <w:r w:rsidRPr="00F25380">
              <w:rPr>
                <w:rFonts w:ascii="Arial Narrow" w:eastAsiaTheme="majorEastAsia" w:hAnsi="Arial Narrow" w:cstheme="majorBidi"/>
                <w:bCs/>
                <w:sz w:val="20"/>
              </w:rPr>
              <w:t>$225</w:t>
            </w:r>
          </w:p>
        </w:tc>
        <w:tc>
          <w:tcPr>
            <w:tcW w:w="1476" w:type="dxa"/>
          </w:tcPr>
          <w:p w14:paraId="36C17A9A" w14:textId="77777777" w:rsidR="00032D12" w:rsidRPr="00F25380" w:rsidRDefault="00032D12" w:rsidP="00CD6470">
            <w:pPr>
              <w:keepNext/>
              <w:keepLines/>
              <w:jc w:val="center"/>
              <w:rPr>
                <w:rFonts w:ascii="Arial Narrow" w:eastAsiaTheme="majorEastAsia" w:hAnsi="Arial Narrow" w:cstheme="majorBidi"/>
                <w:bCs/>
                <w:sz w:val="20"/>
              </w:rPr>
            </w:pPr>
            <w:r w:rsidRPr="00F25380">
              <w:rPr>
                <w:rFonts w:ascii="Arial Narrow" w:eastAsiaTheme="majorEastAsia" w:hAnsi="Arial Narrow" w:cstheme="majorBidi"/>
                <w:bCs/>
                <w:sz w:val="20"/>
              </w:rPr>
              <w:t>1.0%</w:t>
            </w:r>
          </w:p>
        </w:tc>
      </w:tr>
      <w:tr w:rsidR="00032D12" w:rsidRPr="00E54C74" w14:paraId="484B37D8" w14:textId="77777777">
        <w:tc>
          <w:tcPr>
            <w:tcW w:w="3114" w:type="dxa"/>
          </w:tcPr>
          <w:p w14:paraId="2569CA53" w14:textId="77777777" w:rsidR="00032D12" w:rsidRPr="00E54C74" w:rsidRDefault="00032D12" w:rsidP="00CD6470">
            <w:pPr>
              <w:keepNext/>
              <w:keepLines/>
              <w:jc w:val="left"/>
              <w:rPr>
                <w:rFonts w:ascii="Arial Narrow" w:eastAsiaTheme="majorEastAsia" w:hAnsi="Arial Narrow" w:cstheme="majorBidi"/>
                <w:bCs/>
                <w:sz w:val="20"/>
              </w:rPr>
            </w:pPr>
            <w:r w:rsidRPr="00E54C74">
              <w:rPr>
                <w:rFonts w:ascii="Arial Narrow" w:eastAsiaTheme="majorEastAsia" w:hAnsi="Arial Narrow" w:cstheme="majorBidi"/>
                <w:bCs/>
                <w:sz w:val="20"/>
              </w:rPr>
              <w:t xml:space="preserve">Terminal care </w:t>
            </w:r>
          </w:p>
        </w:tc>
        <w:tc>
          <w:tcPr>
            <w:tcW w:w="1475" w:type="dxa"/>
          </w:tcPr>
          <w:p w14:paraId="6683A3D2" w14:textId="4E2B15B8" w:rsidR="00032D12" w:rsidRPr="00F25380" w:rsidRDefault="00032D12" w:rsidP="00CD6470">
            <w:pPr>
              <w:keepNext/>
              <w:keepLines/>
              <w:jc w:val="center"/>
              <w:rPr>
                <w:rFonts w:ascii="Arial Narrow" w:eastAsiaTheme="majorEastAsia" w:hAnsi="Arial Narrow" w:cstheme="majorBidi"/>
                <w:bCs/>
                <w:sz w:val="20"/>
              </w:rPr>
            </w:pPr>
            <w:r w:rsidRPr="00F25380">
              <w:rPr>
                <w:rFonts w:ascii="Arial Narrow" w:eastAsiaTheme="majorEastAsia" w:hAnsi="Arial Narrow" w:cstheme="majorBidi"/>
                <w:bCs/>
                <w:sz w:val="20"/>
              </w:rPr>
              <w:t>$4,540</w:t>
            </w:r>
          </w:p>
        </w:tc>
        <w:tc>
          <w:tcPr>
            <w:tcW w:w="1476" w:type="dxa"/>
          </w:tcPr>
          <w:p w14:paraId="6330AF0A" w14:textId="4DD9B345"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$4,880</w:t>
            </w:r>
          </w:p>
        </w:tc>
        <w:tc>
          <w:tcPr>
            <w:tcW w:w="1476" w:type="dxa"/>
          </w:tcPr>
          <w:p w14:paraId="5DB80738" w14:textId="233E9B18" w:rsidR="00032D12" w:rsidRPr="00F25380" w:rsidRDefault="00032D12" w:rsidP="00CD6470">
            <w:pPr>
              <w:keepNext/>
              <w:keepLines/>
              <w:jc w:val="center"/>
              <w:rPr>
                <w:rFonts w:ascii="Arial Narrow" w:eastAsiaTheme="majorEastAsia" w:hAnsi="Arial Narrow" w:cstheme="majorBidi"/>
                <w:bCs/>
                <w:sz w:val="20"/>
              </w:rPr>
            </w:pPr>
            <w:r w:rsidRPr="00F25380">
              <w:rPr>
                <w:rFonts w:ascii="Arial Narrow" w:eastAsiaTheme="majorEastAsia" w:hAnsi="Arial Narrow" w:cstheme="majorBidi"/>
                <w:bCs/>
                <w:sz w:val="20"/>
              </w:rPr>
              <w:t>-$340</w:t>
            </w:r>
          </w:p>
        </w:tc>
        <w:tc>
          <w:tcPr>
            <w:tcW w:w="1476" w:type="dxa"/>
          </w:tcPr>
          <w:p w14:paraId="77F9E175" w14:textId="77777777" w:rsidR="00032D12" w:rsidRPr="00F25380" w:rsidRDefault="00032D12" w:rsidP="00CD6470">
            <w:pPr>
              <w:keepNext/>
              <w:keepLines/>
              <w:jc w:val="center"/>
              <w:rPr>
                <w:rFonts w:ascii="Arial Narrow" w:eastAsiaTheme="majorEastAsia" w:hAnsi="Arial Narrow" w:cstheme="majorBidi"/>
                <w:bCs/>
                <w:sz w:val="20"/>
              </w:rPr>
            </w:pPr>
            <w:r w:rsidRPr="00F25380">
              <w:rPr>
                <w:rFonts w:ascii="Arial Narrow" w:eastAsiaTheme="majorEastAsia" w:hAnsi="Arial Narrow" w:cstheme="majorBidi"/>
                <w:bCs/>
                <w:sz w:val="20"/>
              </w:rPr>
              <w:t>-1.4%</w:t>
            </w:r>
          </w:p>
        </w:tc>
      </w:tr>
      <w:tr w:rsidR="00032D12" w:rsidRPr="00E54C74" w14:paraId="75A69028" w14:textId="77777777">
        <w:tc>
          <w:tcPr>
            <w:tcW w:w="3114" w:type="dxa"/>
          </w:tcPr>
          <w:p w14:paraId="08AA3A81" w14:textId="77777777" w:rsidR="00032D12" w:rsidRPr="00E54C74" w:rsidRDefault="00032D12" w:rsidP="00CD6470">
            <w:pPr>
              <w:keepNext/>
              <w:keepLines/>
              <w:jc w:val="left"/>
              <w:rPr>
                <w:rFonts w:ascii="Arial Narrow" w:eastAsiaTheme="majorEastAsia" w:hAnsi="Arial Narrow" w:cstheme="majorBidi"/>
                <w:b/>
                <w:sz w:val="20"/>
              </w:rPr>
            </w:pPr>
            <w:r w:rsidRPr="00E54C74">
              <w:rPr>
                <w:rFonts w:ascii="Arial Narrow" w:eastAsiaTheme="majorEastAsia" w:hAnsi="Arial Narrow" w:cstheme="majorBidi"/>
                <w:b/>
                <w:sz w:val="20"/>
              </w:rPr>
              <w:t>Total</w:t>
            </w:r>
          </w:p>
        </w:tc>
        <w:tc>
          <w:tcPr>
            <w:tcW w:w="1475" w:type="dxa"/>
          </w:tcPr>
          <w:p w14:paraId="059322F6" w14:textId="04FB618F" w:rsidR="00032D12" w:rsidRPr="00E54C74" w:rsidRDefault="00032D12" w:rsidP="00CD6470">
            <w:pPr>
              <w:keepNext/>
              <w:keepLines/>
              <w:jc w:val="center"/>
              <w:rPr>
                <w:rFonts w:ascii="Arial Narrow" w:eastAsiaTheme="majorEastAsia" w:hAnsi="Arial Narrow" w:cstheme="majorBidi"/>
                <w:b/>
                <w:sz w:val="20"/>
              </w:rPr>
            </w:pPr>
            <w:r w:rsidRPr="00E54C74">
              <w:rPr>
                <w:rFonts w:ascii="Arial Narrow" w:eastAsiaTheme="majorEastAsia" w:hAnsi="Arial Narrow" w:cstheme="majorBidi"/>
                <w:b/>
                <w:sz w:val="20"/>
              </w:rPr>
              <w:t>$</w:t>
            </w:r>
            <w:r w:rsidR="00576021" w:rsidRPr="001758D2">
              <w:rPr>
                <w:rFonts w:ascii="Arial Narrow" w:eastAsiaTheme="majorEastAsia" w:hAnsi="Arial Narrow" w:cstheme="majorBidi"/>
                <w:b/>
                <w:sz w:val="20"/>
                <w:highlight w:val="black"/>
              </w:rPr>
              <w:t>&amp;&amp;&amp;&amp;</w:t>
            </w:r>
          </w:p>
        </w:tc>
        <w:tc>
          <w:tcPr>
            <w:tcW w:w="1476" w:type="dxa"/>
          </w:tcPr>
          <w:p w14:paraId="78B0DE67" w14:textId="4B902194" w:rsidR="00032D12" w:rsidRPr="00E54C74" w:rsidRDefault="00032D12" w:rsidP="00CD6470">
            <w:pPr>
              <w:keepNext/>
              <w:keepLines/>
              <w:jc w:val="center"/>
              <w:rPr>
                <w:rFonts w:ascii="Arial Narrow" w:eastAsiaTheme="majorEastAsia" w:hAnsi="Arial Narrow" w:cstheme="majorBidi"/>
                <w:b/>
                <w:sz w:val="20"/>
              </w:rPr>
            </w:pPr>
            <w:r w:rsidRPr="00E54C74">
              <w:rPr>
                <w:rFonts w:ascii="Arial Narrow" w:eastAsiaTheme="majorEastAsia" w:hAnsi="Arial Narrow" w:cstheme="majorBidi"/>
                <w:b/>
                <w:sz w:val="20"/>
              </w:rPr>
              <w:t>$54,582</w:t>
            </w:r>
          </w:p>
        </w:tc>
        <w:tc>
          <w:tcPr>
            <w:tcW w:w="1476" w:type="dxa"/>
          </w:tcPr>
          <w:p w14:paraId="3451079C" w14:textId="68BE123D" w:rsidR="00032D12" w:rsidRPr="00E54C74" w:rsidRDefault="00032D12" w:rsidP="00CD6470">
            <w:pPr>
              <w:keepNext/>
              <w:keepLines/>
              <w:jc w:val="center"/>
              <w:rPr>
                <w:rFonts w:ascii="Arial Narrow" w:eastAsiaTheme="majorEastAsia" w:hAnsi="Arial Narrow" w:cstheme="majorBidi"/>
                <w:b/>
                <w:sz w:val="20"/>
              </w:rPr>
            </w:pPr>
            <w:r w:rsidRPr="00E54C74">
              <w:rPr>
                <w:rFonts w:ascii="Arial Narrow" w:eastAsiaTheme="majorEastAsia" w:hAnsi="Arial Narrow" w:cstheme="majorBidi"/>
                <w:b/>
                <w:sz w:val="20"/>
              </w:rPr>
              <w:t>$</w:t>
            </w:r>
            <w:r w:rsidR="00576021" w:rsidRPr="001758D2">
              <w:rPr>
                <w:rFonts w:ascii="Arial Narrow" w:eastAsiaTheme="majorEastAsia" w:hAnsi="Arial Narrow" w:cstheme="majorBidi"/>
                <w:b/>
                <w:sz w:val="20"/>
                <w:highlight w:val="black"/>
              </w:rPr>
              <w:t>&amp;&amp;&amp;&amp;</w:t>
            </w:r>
          </w:p>
        </w:tc>
        <w:tc>
          <w:tcPr>
            <w:tcW w:w="1476" w:type="dxa"/>
          </w:tcPr>
          <w:p w14:paraId="239DBE9F" w14:textId="77777777" w:rsidR="00032D12" w:rsidRPr="00612B75" w:rsidRDefault="00032D12" w:rsidP="00CD6470">
            <w:pPr>
              <w:keepNext/>
              <w:keepLines/>
              <w:jc w:val="center"/>
              <w:rPr>
                <w:rFonts w:ascii="Arial Narrow" w:eastAsiaTheme="majorEastAsia" w:hAnsi="Arial Narrow" w:cstheme="majorBidi"/>
                <w:b/>
                <w:sz w:val="20"/>
                <w:highlight w:val="darkGray"/>
              </w:rPr>
            </w:pPr>
            <w:r w:rsidRPr="00707660">
              <w:rPr>
                <w:rFonts w:ascii="Arial Narrow" w:eastAsiaTheme="majorEastAsia" w:hAnsi="Arial Narrow" w:cstheme="majorBidi"/>
                <w:b/>
                <w:sz w:val="20"/>
              </w:rPr>
              <w:t>100.0%</w:t>
            </w:r>
          </w:p>
        </w:tc>
      </w:tr>
      <w:tr w:rsidR="00032D12" w:rsidRPr="00E54C74" w14:paraId="0A1C9C95" w14:textId="77777777">
        <w:tc>
          <w:tcPr>
            <w:tcW w:w="9017" w:type="dxa"/>
            <w:gridSpan w:val="5"/>
          </w:tcPr>
          <w:p w14:paraId="11F549CB" w14:textId="77777777" w:rsidR="00032D12" w:rsidRPr="00E54C74" w:rsidRDefault="00032D12" w:rsidP="00CD6470">
            <w:pPr>
              <w:keepNext/>
              <w:keepLines/>
              <w:jc w:val="left"/>
              <w:rPr>
                <w:rFonts w:ascii="Arial Narrow" w:eastAsiaTheme="majorEastAsia" w:hAnsi="Arial Narrow" w:cstheme="majorBidi"/>
                <w:b/>
                <w:sz w:val="20"/>
              </w:rPr>
            </w:pPr>
            <w:r w:rsidRPr="00E54C74">
              <w:rPr>
                <w:rFonts w:ascii="Arial Narrow" w:eastAsiaTheme="majorEastAsia" w:hAnsi="Arial Narrow" w:cstheme="majorBidi"/>
                <w:b/>
                <w:sz w:val="20"/>
              </w:rPr>
              <w:t xml:space="preserve">Outcomes </w:t>
            </w:r>
          </w:p>
        </w:tc>
      </w:tr>
      <w:tr w:rsidR="00032D12" w:rsidRPr="00E54C74" w14:paraId="2165D20F" w14:textId="77777777">
        <w:tc>
          <w:tcPr>
            <w:tcW w:w="3114" w:type="dxa"/>
          </w:tcPr>
          <w:p w14:paraId="06AFBD93" w14:textId="77777777" w:rsidR="00032D12" w:rsidRPr="00E54C74" w:rsidRDefault="00032D12" w:rsidP="00CD6470">
            <w:pPr>
              <w:keepNext/>
              <w:keepLines/>
              <w:jc w:val="left"/>
              <w:rPr>
                <w:rFonts w:ascii="Arial Narrow" w:eastAsiaTheme="majorEastAsia" w:hAnsi="Arial Narrow" w:cstheme="majorBidi"/>
                <w:bCs/>
                <w:sz w:val="20"/>
              </w:rPr>
            </w:pPr>
            <w:r w:rsidRPr="00E54C74">
              <w:rPr>
                <w:rFonts w:ascii="Arial Narrow" w:eastAsiaTheme="majorEastAsia" w:hAnsi="Arial Narrow" w:cstheme="majorBidi"/>
                <w:bCs/>
                <w:sz w:val="20"/>
              </w:rPr>
              <w:t>EF (LYs)</w:t>
            </w:r>
          </w:p>
        </w:tc>
        <w:tc>
          <w:tcPr>
            <w:tcW w:w="1475" w:type="dxa"/>
          </w:tcPr>
          <w:p w14:paraId="1F0861C8" w14:textId="77777777"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6.18</w:t>
            </w:r>
          </w:p>
        </w:tc>
        <w:tc>
          <w:tcPr>
            <w:tcW w:w="1476" w:type="dxa"/>
          </w:tcPr>
          <w:p w14:paraId="1F9C0409" w14:textId="77777777"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5.31</w:t>
            </w:r>
          </w:p>
        </w:tc>
        <w:tc>
          <w:tcPr>
            <w:tcW w:w="1476" w:type="dxa"/>
          </w:tcPr>
          <w:p w14:paraId="3F538099" w14:textId="77777777"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0.87</w:t>
            </w:r>
          </w:p>
        </w:tc>
        <w:tc>
          <w:tcPr>
            <w:tcW w:w="1476" w:type="dxa"/>
          </w:tcPr>
          <w:p w14:paraId="01793152" w14:textId="77777777"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103%</w:t>
            </w:r>
          </w:p>
        </w:tc>
      </w:tr>
      <w:tr w:rsidR="00032D12" w:rsidRPr="00E54C74" w14:paraId="23F46458" w14:textId="77777777">
        <w:tc>
          <w:tcPr>
            <w:tcW w:w="3114" w:type="dxa"/>
          </w:tcPr>
          <w:p w14:paraId="5A3856ED" w14:textId="77777777" w:rsidR="00032D12" w:rsidRPr="00E54C74" w:rsidRDefault="00032D12" w:rsidP="00CD6470">
            <w:pPr>
              <w:keepNext/>
              <w:keepLines/>
              <w:jc w:val="left"/>
              <w:rPr>
                <w:rFonts w:ascii="Arial Narrow" w:eastAsiaTheme="majorEastAsia" w:hAnsi="Arial Narrow" w:cstheme="majorBidi"/>
                <w:bCs/>
                <w:sz w:val="20"/>
              </w:rPr>
            </w:pPr>
            <w:r w:rsidRPr="00E54C74">
              <w:rPr>
                <w:rFonts w:ascii="Arial Narrow" w:eastAsiaTheme="majorEastAsia" w:hAnsi="Arial Narrow" w:cstheme="majorBidi"/>
                <w:bCs/>
                <w:sz w:val="20"/>
              </w:rPr>
              <w:t>LR (LYs)</w:t>
            </w:r>
          </w:p>
        </w:tc>
        <w:tc>
          <w:tcPr>
            <w:tcW w:w="1475" w:type="dxa"/>
          </w:tcPr>
          <w:p w14:paraId="3E6BA065" w14:textId="77777777"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0.24</w:t>
            </w:r>
          </w:p>
        </w:tc>
        <w:tc>
          <w:tcPr>
            <w:tcW w:w="1476" w:type="dxa"/>
          </w:tcPr>
          <w:p w14:paraId="41F52034" w14:textId="77777777"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0.25</w:t>
            </w:r>
          </w:p>
        </w:tc>
        <w:tc>
          <w:tcPr>
            <w:tcW w:w="1476" w:type="dxa"/>
          </w:tcPr>
          <w:p w14:paraId="73E138BD" w14:textId="77777777"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-0.01</w:t>
            </w:r>
          </w:p>
        </w:tc>
        <w:tc>
          <w:tcPr>
            <w:tcW w:w="1476" w:type="dxa"/>
          </w:tcPr>
          <w:p w14:paraId="224AA04D" w14:textId="77777777"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-1.4%</w:t>
            </w:r>
          </w:p>
        </w:tc>
      </w:tr>
      <w:tr w:rsidR="00032D12" w:rsidRPr="00E54C74" w14:paraId="2A1DF6E4" w14:textId="77777777">
        <w:tc>
          <w:tcPr>
            <w:tcW w:w="3114" w:type="dxa"/>
          </w:tcPr>
          <w:p w14:paraId="71BA4A8C" w14:textId="77777777" w:rsidR="00032D12" w:rsidRPr="00E54C74" w:rsidRDefault="00032D12" w:rsidP="00CD6470">
            <w:pPr>
              <w:keepNext/>
              <w:keepLines/>
              <w:jc w:val="left"/>
              <w:rPr>
                <w:rFonts w:ascii="Arial Narrow" w:eastAsiaTheme="majorEastAsia" w:hAnsi="Arial Narrow" w:cstheme="majorBidi"/>
                <w:bCs/>
                <w:sz w:val="20"/>
              </w:rPr>
            </w:pPr>
            <w:r w:rsidRPr="00E54C74">
              <w:rPr>
                <w:rFonts w:ascii="Arial Narrow" w:eastAsiaTheme="majorEastAsia" w:hAnsi="Arial Narrow" w:cstheme="majorBidi"/>
                <w:bCs/>
                <w:sz w:val="20"/>
              </w:rPr>
              <w:t>IRP (LYs)</w:t>
            </w:r>
          </w:p>
        </w:tc>
        <w:tc>
          <w:tcPr>
            <w:tcW w:w="1475" w:type="dxa"/>
          </w:tcPr>
          <w:p w14:paraId="12CAE11C" w14:textId="77777777"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0.32</w:t>
            </w:r>
          </w:p>
        </w:tc>
        <w:tc>
          <w:tcPr>
            <w:tcW w:w="1476" w:type="dxa"/>
          </w:tcPr>
          <w:p w14:paraId="0C2AB994" w14:textId="77777777"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0.33</w:t>
            </w:r>
          </w:p>
        </w:tc>
        <w:tc>
          <w:tcPr>
            <w:tcW w:w="1476" w:type="dxa"/>
          </w:tcPr>
          <w:p w14:paraId="5E1E2467" w14:textId="77777777"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-0.01</w:t>
            </w:r>
          </w:p>
        </w:tc>
        <w:tc>
          <w:tcPr>
            <w:tcW w:w="1476" w:type="dxa"/>
          </w:tcPr>
          <w:p w14:paraId="456761C1" w14:textId="77777777"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-1.7%</w:t>
            </w:r>
          </w:p>
        </w:tc>
      </w:tr>
      <w:tr w:rsidR="00032D12" w:rsidRPr="00E54C74" w14:paraId="3BDEB935" w14:textId="77777777">
        <w:tc>
          <w:tcPr>
            <w:tcW w:w="3114" w:type="dxa"/>
          </w:tcPr>
          <w:p w14:paraId="5A955122" w14:textId="77777777" w:rsidR="00032D12" w:rsidRPr="00E54C74" w:rsidRDefault="00032D12" w:rsidP="00CD6470">
            <w:pPr>
              <w:keepNext/>
              <w:keepLines/>
              <w:jc w:val="left"/>
              <w:rPr>
                <w:rFonts w:ascii="Arial Narrow" w:eastAsiaTheme="majorEastAsia" w:hAnsi="Arial Narrow" w:cstheme="majorBidi"/>
                <w:b/>
                <w:sz w:val="20"/>
              </w:rPr>
            </w:pPr>
            <w:r w:rsidRPr="00E54C74">
              <w:rPr>
                <w:rFonts w:ascii="Arial Narrow" w:eastAsiaTheme="majorEastAsia" w:hAnsi="Arial Narrow" w:cstheme="majorBidi"/>
                <w:b/>
                <w:sz w:val="20"/>
              </w:rPr>
              <w:t xml:space="preserve">Total LYs </w:t>
            </w:r>
          </w:p>
        </w:tc>
        <w:tc>
          <w:tcPr>
            <w:tcW w:w="1475" w:type="dxa"/>
          </w:tcPr>
          <w:p w14:paraId="2D566A0F" w14:textId="77777777" w:rsidR="00032D12" w:rsidRPr="00E54C74" w:rsidRDefault="00032D12" w:rsidP="00CD6470">
            <w:pPr>
              <w:keepNext/>
              <w:keepLines/>
              <w:jc w:val="center"/>
              <w:rPr>
                <w:rFonts w:ascii="Arial Narrow" w:eastAsiaTheme="majorEastAsia" w:hAnsi="Arial Narrow" w:cstheme="majorBidi"/>
                <w:b/>
                <w:sz w:val="20"/>
              </w:rPr>
            </w:pPr>
            <w:r w:rsidRPr="00E54C74">
              <w:rPr>
                <w:rFonts w:ascii="Arial Narrow" w:eastAsiaTheme="majorEastAsia" w:hAnsi="Arial Narrow" w:cstheme="majorBidi"/>
                <w:b/>
                <w:sz w:val="20"/>
              </w:rPr>
              <w:t>6.74</w:t>
            </w:r>
          </w:p>
        </w:tc>
        <w:tc>
          <w:tcPr>
            <w:tcW w:w="1476" w:type="dxa"/>
          </w:tcPr>
          <w:p w14:paraId="672F79B8" w14:textId="77777777" w:rsidR="00032D12" w:rsidRPr="00E54C74" w:rsidRDefault="00032D12" w:rsidP="00CD6470">
            <w:pPr>
              <w:keepNext/>
              <w:keepLines/>
              <w:jc w:val="center"/>
              <w:rPr>
                <w:rFonts w:ascii="Arial Narrow" w:eastAsiaTheme="majorEastAsia" w:hAnsi="Arial Narrow" w:cstheme="majorBidi"/>
                <w:b/>
                <w:sz w:val="20"/>
              </w:rPr>
            </w:pPr>
            <w:r w:rsidRPr="00E54C74">
              <w:rPr>
                <w:rFonts w:ascii="Arial Narrow" w:eastAsiaTheme="majorEastAsia" w:hAnsi="Arial Narrow" w:cstheme="majorBidi"/>
                <w:b/>
                <w:sz w:val="20"/>
              </w:rPr>
              <w:t>5.89</w:t>
            </w:r>
          </w:p>
        </w:tc>
        <w:tc>
          <w:tcPr>
            <w:tcW w:w="1476" w:type="dxa"/>
          </w:tcPr>
          <w:p w14:paraId="235D717F" w14:textId="77777777" w:rsidR="00032D12" w:rsidRPr="00E54C74" w:rsidRDefault="00032D12" w:rsidP="00CD6470">
            <w:pPr>
              <w:keepNext/>
              <w:keepLines/>
              <w:jc w:val="center"/>
              <w:rPr>
                <w:rFonts w:ascii="Arial Narrow" w:eastAsiaTheme="majorEastAsia" w:hAnsi="Arial Narrow" w:cstheme="majorBidi"/>
                <w:b/>
                <w:sz w:val="20"/>
              </w:rPr>
            </w:pPr>
            <w:r w:rsidRPr="00E54C74">
              <w:rPr>
                <w:rFonts w:ascii="Arial Narrow" w:eastAsiaTheme="majorEastAsia" w:hAnsi="Arial Narrow" w:cstheme="majorBidi"/>
                <w:b/>
                <w:sz w:val="20"/>
              </w:rPr>
              <w:t>0.84</w:t>
            </w:r>
          </w:p>
        </w:tc>
        <w:tc>
          <w:tcPr>
            <w:tcW w:w="1476" w:type="dxa"/>
          </w:tcPr>
          <w:p w14:paraId="52D7CCF5" w14:textId="77777777" w:rsidR="00032D12" w:rsidRPr="00E54C74" w:rsidRDefault="00032D12" w:rsidP="00CD6470">
            <w:pPr>
              <w:keepNext/>
              <w:keepLines/>
              <w:jc w:val="center"/>
              <w:rPr>
                <w:rFonts w:ascii="Arial Narrow" w:eastAsiaTheme="majorEastAsia" w:hAnsi="Arial Narrow" w:cstheme="majorBidi"/>
                <w:b/>
                <w:sz w:val="20"/>
              </w:rPr>
            </w:pPr>
            <w:r w:rsidRPr="00E54C74">
              <w:rPr>
                <w:rFonts w:ascii="Arial Narrow" w:eastAsiaTheme="majorEastAsia" w:hAnsi="Arial Narrow" w:cstheme="majorBidi"/>
                <w:b/>
                <w:sz w:val="20"/>
              </w:rPr>
              <w:t>100%</w:t>
            </w:r>
          </w:p>
        </w:tc>
      </w:tr>
      <w:tr w:rsidR="00032D12" w:rsidRPr="00E54C74" w14:paraId="1FDFACB8" w14:textId="77777777">
        <w:tc>
          <w:tcPr>
            <w:tcW w:w="3114" w:type="dxa"/>
          </w:tcPr>
          <w:p w14:paraId="6A73F6CD" w14:textId="77777777" w:rsidR="00032D12" w:rsidRPr="00E54C74" w:rsidRDefault="00032D12" w:rsidP="00CD6470">
            <w:pPr>
              <w:keepNext/>
              <w:keepLines/>
              <w:jc w:val="left"/>
              <w:rPr>
                <w:rFonts w:ascii="Arial Narrow" w:eastAsiaTheme="majorEastAsia" w:hAnsi="Arial Narrow" w:cstheme="majorBidi"/>
                <w:bCs/>
                <w:sz w:val="20"/>
              </w:rPr>
            </w:pPr>
            <w:r w:rsidRPr="00E54C74">
              <w:rPr>
                <w:rFonts w:ascii="Arial Narrow" w:eastAsiaTheme="majorEastAsia" w:hAnsi="Arial Narrow" w:cstheme="majorBidi"/>
                <w:bCs/>
                <w:sz w:val="20"/>
              </w:rPr>
              <w:t>EF (QALYs)</w:t>
            </w:r>
          </w:p>
        </w:tc>
        <w:tc>
          <w:tcPr>
            <w:tcW w:w="1475" w:type="dxa"/>
          </w:tcPr>
          <w:p w14:paraId="7DCFFA6C" w14:textId="77777777"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5.15</w:t>
            </w:r>
          </w:p>
        </w:tc>
        <w:tc>
          <w:tcPr>
            <w:tcW w:w="1476" w:type="dxa"/>
          </w:tcPr>
          <w:p w14:paraId="2EC70D47" w14:textId="77777777"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4.43</w:t>
            </w:r>
          </w:p>
        </w:tc>
        <w:tc>
          <w:tcPr>
            <w:tcW w:w="1476" w:type="dxa"/>
          </w:tcPr>
          <w:p w14:paraId="25552301" w14:textId="77777777"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0.73</w:t>
            </w:r>
          </w:p>
        </w:tc>
        <w:tc>
          <w:tcPr>
            <w:tcW w:w="1476" w:type="dxa"/>
          </w:tcPr>
          <w:p w14:paraId="4E2C9868" w14:textId="77777777"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102.9%</w:t>
            </w:r>
          </w:p>
        </w:tc>
      </w:tr>
      <w:tr w:rsidR="00032D12" w:rsidRPr="00E54C74" w14:paraId="7BF9A146" w14:textId="77777777">
        <w:tc>
          <w:tcPr>
            <w:tcW w:w="3114" w:type="dxa"/>
          </w:tcPr>
          <w:p w14:paraId="62F1C7A3" w14:textId="77777777" w:rsidR="00032D12" w:rsidRPr="00E54C74" w:rsidRDefault="00032D12" w:rsidP="00CD6470">
            <w:pPr>
              <w:keepNext/>
              <w:keepLines/>
              <w:jc w:val="left"/>
              <w:rPr>
                <w:rFonts w:ascii="Arial Narrow" w:eastAsiaTheme="majorEastAsia" w:hAnsi="Arial Narrow" w:cstheme="majorBidi"/>
                <w:bCs/>
                <w:sz w:val="20"/>
              </w:rPr>
            </w:pPr>
            <w:r w:rsidRPr="00E54C74">
              <w:rPr>
                <w:rFonts w:ascii="Arial Narrow" w:eastAsiaTheme="majorEastAsia" w:hAnsi="Arial Narrow" w:cstheme="majorBidi"/>
                <w:bCs/>
                <w:sz w:val="20"/>
              </w:rPr>
              <w:t>LR (QALYs)</w:t>
            </w:r>
          </w:p>
        </w:tc>
        <w:tc>
          <w:tcPr>
            <w:tcW w:w="1475" w:type="dxa"/>
          </w:tcPr>
          <w:p w14:paraId="7084AC47" w14:textId="77777777"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0.18</w:t>
            </w:r>
          </w:p>
        </w:tc>
        <w:tc>
          <w:tcPr>
            <w:tcW w:w="1476" w:type="dxa"/>
          </w:tcPr>
          <w:p w14:paraId="2CD2077F" w14:textId="77777777"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0.19</w:t>
            </w:r>
          </w:p>
        </w:tc>
        <w:tc>
          <w:tcPr>
            <w:tcW w:w="1476" w:type="dxa"/>
          </w:tcPr>
          <w:p w14:paraId="1076559A" w14:textId="77777777"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-0.01</w:t>
            </w:r>
          </w:p>
        </w:tc>
        <w:tc>
          <w:tcPr>
            <w:tcW w:w="1476" w:type="dxa"/>
          </w:tcPr>
          <w:p w14:paraId="26BEACD8" w14:textId="77777777"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-1.3%</w:t>
            </w:r>
          </w:p>
        </w:tc>
      </w:tr>
      <w:tr w:rsidR="00032D12" w:rsidRPr="00E54C74" w14:paraId="2C2A2CBB" w14:textId="77777777">
        <w:tc>
          <w:tcPr>
            <w:tcW w:w="3114" w:type="dxa"/>
          </w:tcPr>
          <w:p w14:paraId="32ACED39" w14:textId="77777777" w:rsidR="00032D12" w:rsidRPr="00E54C74" w:rsidRDefault="00032D12" w:rsidP="00CD6470">
            <w:pPr>
              <w:keepNext/>
              <w:keepLines/>
              <w:jc w:val="left"/>
              <w:rPr>
                <w:rFonts w:ascii="Arial Narrow" w:eastAsiaTheme="majorEastAsia" w:hAnsi="Arial Narrow" w:cstheme="majorBidi"/>
                <w:bCs/>
                <w:sz w:val="20"/>
              </w:rPr>
            </w:pPr>
            <w:r w:rsidRPr="00E54C74">
              <w:rPr>
                <w:rFonts w:ascii="Arial Narrow" w:eastAsiaTheme="majorEastAsia" w:hAnsi="Arial Narrow" w:cstheme="majorBidi"/>
                <w:bCs/>
                <w:sz w:val="20"/>
              </w:rPr>
              <w:t>IRP(QALYs)</w:t>
            </w:r>
          </w:p>
        </w:tc>
        <w:tc>
          <w:tcPr>
            <w:tcW w:w="1475" w:type="dxa"/>
          </w:tcPr>
          <w:p w14:paraId="2F1561AD" w14:textId="77777777"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0.24</w:t>
            </w:r>
          </w:p>
        </w:tc>
        <w:tc>
          <w:tcPr>
            <w:tcW w:w="1476" w:type="dxa"/>
          </w:tcPr>
          <w:p w14:paraId="6250E5A3" w14:textId="77777777"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0.25</w:t>
            </w:r>
          </w:p>
        </w:tc>
        <w:tc>
          <w:tcPr>
            <w:tcW w:w="1476" w:type="dxa"/>
          </w:tcPr>
          <w:p w14:paraId="54869C78" w14:textId="77777777"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-0.01</w:t>
            </w:r>
          </w:p>
        </w:tc>
        <w:tc>
          <w:tcPr>
            <w:tcW w:w="1476" w:type="dxa"/>
          </w:tcPr>
          <w:p w14:paraId="4B2D83E8" w14:textId="77777777"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-1.5%</w:t>
            </w:r>
          </w:p>
        </w:tc>
      </w:tr>
      <w:tr w:rsidR="00032D12" w:rsidRPr="00E54C74" w14:paraId="3B2536D8" w14:textId="77777777">
        <w:tc>
          <w:tcPr>
            <w:tcW w:w="3114" w:type="dxa"/>
          </w:tcPr>
          <w:p w14:paraId="6902C66A" w14:textId="77777777" w:rsidR="00032D12" w:rsidRPr="00E54C74" w:rsidRDefault="00032D12" w:rsidP="00CD6470">
            <w:pPr>
              <w:keepNext/>
              <w:keepLines/>
              <w:jc w:val="left"/>
              <w:rPr>
                <w:rFonts w:ascii="Arial Narrow" w:eastAsiaTheme="majorEastAsia" w:hAnsi="Arial Narrow" w:cstheme="majorBidi"/>
                <w:bCs/>
                <w:sz w:val="20"/>
              </w:rPr>
            </w:pPr>
            <w:r w:rsidRPr="00E54C74">
              <w:rPr>
                <w:rFonts w:ascii="Arial Narrow" w:eastAsiaTheme="majorEastAsia" w:hAnsi="Arial Narrow" w:cstheme="majorBidi"/>
                <w:bCs/>
                <w:sz w:val="20"/>
              </w:rPr>
              <w:t>AE-related disutility</w:t>
            </w:r>
          </w:p>
        </w:tc>
        <w:tc>
          <w:tcPr>
            <w:tcW w:w="1475" w:type="dxa"/>
          </w:tcPr>
          <w:p w14:paraId="2A82D176" w14:textId="77777777"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-0.02</w:t>
            </w:r>
          </w:p>
        </w:tc>
        <w:tc>
          <w:tcPr>
            <w:tcW w:w="1476" w:type="dxa"/>
          </w:tcPr>
          <w:p w14:paraId="77AA667E" w14:textId="77777777"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-0.02</w:t>
            </w:r>
          </w:p>
        </w:tc>
        <w:tc>
          <w:tcPr>
            <w:tcW w:w="1476" w:type="dxa"/>
          </w:tcPr>
          <w:p w14:paraId="5F2AECAD" w14:textId="77777777"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0.00</w:t>
            </w:r>
          </w:p>
        </w:tc>
        <w:tc>
          <w:tcPr>
            <w:tcW w:w="1476" w:type="dxa"/>
          </w:tcPr>
          <w:p w14:paraId="0CC6A143" w14:textId="77777777" w:rsidR="00032D12" w:rsidRPr="00E54C74" w:rsidRDefault="00032D12" w:rsidP="00CD6470">
            <w:pPr>
              <w:keepNext/>
              <w:keepLines/>
              <w:jc w:val="center"/>
              <w:rPr>
                <w:rFonts w:ascii="Arial Narrow" w:eastAsiaTheme="majorEastAsia" w:hAnsi="Arial Narrow" w:cstheme="majorBidi"/>
                <w:bCs/>
                <w:sz w:val="20"/>
              </w:rPr>
            </w:pPr>
            <w:r w:rsidRPr="00E54C74">
              <w:rPr>
                <w:rFonts w:ascii="Arial Narrow" w:eastAsiaTheme="majorEastAsia" w:hAnsi="Arial Narrow" w:cstheme="majorBidi"/>
                <w:bCs/>
                <w:sz w:val="20"/>
              </w:rPr>
              <w:t>-0.1%</w:t>
            </w:r>
          </w:p>
        </w:tc>
      </w:tr>
      <w:tr w:rsidR="00032D12" w:rsidRPr="00E54C74" w14:paraId="5188CE78" w14:textId="77777777">
        <w:tc>
          <w:tcPr>
            <w:tcW w:w="3114" w:type="dxa"/>
          </w:tcPr>
          <w:p w14:paraId="1DB5DC74" w14:textId="77777777" w:rsidR="00032D12" w:rsidRPr="00E54C74" w:rsidRDefault="00032D12" w:rsidP="00CD6470">
            <w:pPr>
              <w:keepNext/>
              <w:keepLines/>
              <w:jc w:val="left"/>
              <w:rPr>
                <w:rFonts w:ascii="Arial Narrow" w:eastAsiaTheme="majorEastAsia" w:hAnsi="Arial Narrow" w:cstheme="majorBidi"/>
                <w:b/>
                <w:sz w:val="20"/>
              </w:rPr>
            </w:pPr>
            <w:r w:rsidRPr="00E54C74">
              <w:rPr>
                <w:rFonts w:ascii="Arial Narrow" w:eastAsiaTheme="majorEastAsia" w:hAnsi="Arial Narrow" w:cstheme="majorBidi"/>
                <w:b/>
                <w:sz w:val="20"/>
              </w:rPr>
              <w:t>Total QALYs</w:t>
            </w:r>
          </w:p>
        </w:tc>
        <w:tc>
          <w:tcPr>
            <w:tcW w:w="1475" w:type="dxa"/>
          </w:tcPr>
          <w:p w14:paraId="64D71BC4" w14:textId="77777777" w:rsidR="00032D12" w:rsidRPr="00E54C74" w:rsidRDefault="00032D12" w:rsidP="00CD6470">
            <w:pPr>
              <w:keepNext/>
              <w:keepLines/>
              <w:jc w:val="center"/>
              <w:rPr>
                <w:rFonts w:ascii="Arial Narrow" w:eastAsiaTheme="majorEastAsia" w:hAnsi="Arial Narrow" w:cstheme="majorBidi"/>
                <w:b/>
                <w:sz w:val="20"/>
              </w:rPr>
            </w:pPr>
            <w:r w:rsidRPr="00E54C74">
              <w:rPr>
                <w:rFonts w:ascii="Arial Narrow" w:eastAsiaTheme="majorEastAsia" w:hAnsi="Arial Narrow" w:cstheme="majorBidi"/>
                <w:b/>
                <w:sz w:val="20"/>
              </w:rPr>
              <w:t>5.56</w:t>
            </w:r>
          </w:p>
        </w:tc>
        <w:tc>
          <w:tcPr>
            <w:tcW w:w="1476" w:type="dxa"/>
          </w:tcPr>
          <w:p w14:paraId="2B510EF0" w14:textId="77777777" w:rsidR="00032D12" w:rsidRPr="00E54C74" w:rsidRDefault="00032D12" w:rsidP="00CD6470">
            <w:pPr>
              <w:keepNext/>
              <w:keepLines/>
              <w:jc w:val="center"/>
              <w:rPr>
                <w:rFonts w:ascii="Arial Narrow" w:eastAsiaTheme="majorEastAsia" w:hAnsi="Arial Narrow" w:cstheme="majorBidi"/>
                <w:b/>
                <w:sz w:val="20"/>
              </w:rPr>
            </w:pPr>
            <w:r w:rsidRPr="00E54C74">
              <w:rPr>
                <w:rFonts w:ascii="Arial Narrow" w:eastAsiaTheme="majorEastAsia" w:hAnsi="Arial Narrow" w:cstheme="majorBidi"/>
                <w:b/>
                <w:sz w:val="20"/>
              </w:rPr>
              <w:t>4.85</w:t>
            </w:r>
          </w:p>
        </w:tc>
        <w:tc>
          <w:tcPr>
            <w:tcW w:w="1476" w:type="dxa"/>
          </w:tcPr>
          <w:p w14:paraId="5FB6D3C5" w14:textId="77777777" w:rsidR="00032D12" w:rsidRPr="00E54C74" w:rsidRDefault="00032D12" w:rsidP="00CD6470">
            <w:pPr>
              <w:keepNext/>
              <w:keepLines/>
              <w:jc w:val="center"/>
              <w:rPr>
                <w:rFonts w:ascii="Arial Narrow" w:eastAsiaTheme="majorEastAsia" w:hAnsi="Arial Narrow" w:cstheme="majorBidi"/>
                <w:b/>
                <w:sz w:val="20"/>
              </w:rPr>
            </w:pPr>
            <w:r w:rsidRPr="00E54C74">
              <w:rPr>
                <w:rFonts w:ascii="Arial Narrow" w:eastAsiaTheme="majorEastAsia" w:hAnsi="Arial Narrow" w:cstheme="majorBidi"/>
                <w:b/>
                <w:sz w:val="20"/>
              </w:rPr>
              <w:t>0.71</w:t>
            </w:r>
          </w:p>
        </w:tc>
        <w:tc>
          <w:tcPr>
            <w:tcW w:w="1476" w:type="dxa"/>
          </w:tcPr>
          <w:p w14:paraId="03E70A75" w14:textId="77777777" w:rsidR="00032D12" w:rsidRPr="00E54C74" w:rsidRDefault="00032D12" w:rsidP="00CD6470">
            <w:pPr>
              <w:keepNext/>
              <w:keepLines/>
              <w:jc w:val="center"/>
              <w:rPr>
                <w:rFonts w:ascii="Arial Narrow" w:eastAsiaTheme="majorEastAsia" w:hAnsi="Arial Narrow" w:cstheme="majorBidi"/>
                <w:b/>
                <w:sz w:val="20"/>
              </w:rPr>
            </w:pPr>
            <w:r w:rsidRPr="00E54C74">
              <w:rPr>
                <w:rFonts w:ascii="Arial Narrow" w:eastAsiaTheme="majorEastAsia" w:hAnsi="Arial Narrow" w:cstheme="majorBidi"/>
                <w:b/>
                <w:sz w:val="20"/>
              </w:rPr>
              <w:t>100.0%</w:t>
            </w:r>
          </w:p>
        </w:tc>
      </w:tr>
    </w:tbl>
    <w:p w14:paraId="0865B2A1" w14:textId="77777777" w:rsidR="00032D12" w:rsidRPr="00E54C74" w:rsidRDefault="00032D12" w:rsidP="00CD6470">
      <w:pPr>
        <w:keepNext/>
        <w:keepLines/>
        <w:spacing w:after="120"/>
        <w:contextualSpacing/>
        <w:jc w:val="left"/>
        <w:rPr>
          <w:rFonts w:ascii="Arial Narrow" w:hAnsi="Arial Narrow"/>
          <w:snapToGrid w:val="0"/>
          <w:sz w:val="18"/>
          <w:szCs w:val="22"/>
        </w:rPr>
      </w:pPr>
      <w:r w:rsidRPr="00E54C74">
        <w:rPr>
          <w:rFonts w:ascii="Arial Narrow" w:hAnsi="Arial Narrow"/>
          <w:snapToGrid w:val="0"/>
          <w:sz w:val="18"/>
          <w:szCs w:val="22"/>
        </w:rPr>
        <w:t xml:space="preserve">Source: Tables 3.8-3 and 3.8-4, pp160-161 of the submission. </w:t>
      </w:r>
    </w:p>
    <w:p w14:paraId="40828695" w14:textId="77777777" w:rsidR="00032D12" w:rsidRDefault="00032D12" w:rsidP="00CD6470">
      <w:pPr>
        <w:keepNext/>
        <w:keepLines/>
        <w:spacing w:after="120"/>
        <w:contextualSpacing/>
        <w:jc w:val="left"/>
        <w:rPr>
          <w:rFonts w:ascii="Arial Narrow" w:hAnsi="Arial Narrow"/>
          <w:snapToGrid w:val="0"/>
          <w:sz w:val="18"/>
          <w:szCs w:val="22"/>
        </w:rPr>
      </w:pPr>
      <w:r w:rsidRPr="00E54C74">
        <w:rPr>
          <w:rFonts w:ascii="Arial Narrow" w:hAnsi="Arial Narrow"/>
          <w:snapToGrid w:val="0"/>
          <w:sz w:val="18"/>
          <w:szCs w:val="22"/>
        </w:rPr>
        <w:t>AE = adverse event; AEs = adverse events; EF = event free; IRP = incurable recurrence or progression; LR = local recurrence; PEM = pembrolizumab; RT = radiation therapy; SoC = standard of care</w:t>
      </w:r>
    </w:p>
    <w:p w14:paraId="6A71CF87" w14:textId="77777777" w:rsidR="00032D12" w:rsidRPr="00E54C74" w:rsidRDefault="00032D12" w:rsidP="00032D12">
      <w:pPr>
        <w:keepLines/>
        <w:spacing w:after="120"/>
        <w:contextualSpacing/>
        <w:jc w:val="left"/>
        <w:rPr>
          <w:rFonts w:ascii="Arial Narrow" w:hAnsi="Arial Narrow"/>
          <w:snapToGrid w:val="0"/>
          <w:sz w:val="18"/>
          <w:szCs w:val="22"/>
        </w:rPr>
      </w:pPr>
    </w:p>
    <w:p w14:paraId="1F80B9BB" w14:textId="316EE8A6" w:rsidR="0036620A" w:rsidRPr="00DE49A7" w:rsidRDefault="00032D12" w:rsidP="00234453">
      <w:pPr>
        <w:numPr>
          <w:ilvl w:val="1"/>
          <w:numId w:val="7"/>
        </w:numPr>
        <w:spacing w:before="60" w:after="60"/>
        <w:rPr>
          <w:rFonts w:asciiTheme="minorHAnsi" w:eastAsiaTheme="minorHAnsi" w:hAnsiTheme="minorHAnsi" w:cstheme="minorBidi"/>
          <w:szCs w:val="22"/>
        </w:rPr>
      </w:pPr>
      <w:bookmarkStart w:id="110" w:name="_Ref213933172"/>
      <w:r w:rsidRPr="00DE49A7">
        <w:rPr>
          <w:rFonts w:asciiTheme="minorHAnsi" w:eastAsiaTheme="minorHAnsi" w:hAnsiTheme="minorHAnsi" w:cstheme="minorBidi"/>
          <w:szCs w:val="22"/>
        </w:rPr>
        <w:lastRenderedPageBreak/>
        <w:t xml:space="preserve">The largest contributor to the incremental costs were the costs associated with pembrolizumab treatment in the neoadjuvant and adjuvant settings. Treatments costs were largely offset by costs of subsequent treatments in the IRP health state and costs of initial surgery and radiation therapy. Patients treated with </w:t>
      </w:r>
      <w:proofErr w:type="spellStart"/>
      <w:r w:rsidRPr="00DE49A7">
        <w:rPr>
          <w:rFonts w:asciiTheme="minorHAnsi" w:eastAsiaTheme="minorHAnsi" w:hAnsiTheme="minorHAnsi" w:cstheme="minorBidi"/>
          <w:szCs w:val="22"/>
        </w:rPr>
        <w:t>PEM+SoC</w:t>
      </w:r>
      <w:proofErr w:type="spellEnd"/>
      <w:r w:rsidRPr="00DE49A7">
        <w:rPr>
          <w:rFonts w:asciiTheme="minorHAnsi" w:eastAsiaTheme="minorHAnsi" w:hAnsiTheme="minorHAnsi" w:cstheme="minorBidi"/>
          <w:szCs w:val="22"/>
        </w:rPr>
        <w:t xml:space="preserve"> accrued substantially more benefits in the EFS health state while patients treated with SoC accrued slightly more benefits in the LR and IRP health states. This may be reasonable as patients in the SoC arm progressed more quickly and could receive immunotherapies in the IRP health state. Of note, patients would</w:t>
      </w:r>
      <w:r w:rsidR="003D7059">
        <w:rPr>
          <w:rFonts w:asciiTheme="minorHAnsi" w:eastAsiaTheme="minorHAnsi" w:hAnsiTheme="minorHAnsi" w:cstheme="minorBidi"/>
          <w:szCs w:val="22"/>
        </w:rPr>
        <w:t xml:space="preserve"> likely</w:t>
      </w:r>
      <w:r w:rsidRPr="00DE49A7">
        <w:rPr>
          <w:rFonts w:asciiTheme="minorHAnsi" w:eastAsiaTheme="minorHAnsi" w:hAnsiTheme="minorHAnsi" w:cstheme="minorBidi"/>
          <w:szCs w:val="22"/>
        </w:rPr>
        <w:t xml:space="preserve"> receive an even higher rate of immunotherapy in Australian clinical practice </w:t>
      </w:r>
      <w:r w:rsidR="00155B7D">
        <w:rPr>
          <w:rFonts w:asciiTheme="minorHAnsi" w:eastAsiaTheme="minorHAnsi" w:hAnsiTheme="minorHAnsi" w:cstheme="minorBidi"/>
          <w:szCs w:val="22"/>
        </w:rPr>
        <w:t xml:space="preserve">compared to that in the KN689 trial </w:t>
      </w:r>
      <w:r w:rsidRPr="00DE49A7">
        <w:rPr>
          <w:rFonts w:asciiTheme="minorHAnsi" w:eastAsiaTheme="minorHAnsi" w:hAnsiTheme="minorHAnsi" w:cstheme="minorBidi"/>
          <w:szCs w:val="22"/>
        </w:rPr>
        <w:t xml:space="preserve">and </w:t>
      </w:r>
      <w:r w:rsidR="00155B7D">
        <w:rPr>
          <w:rFonts w:asciiTheme="minorHAnsi" w:eastAsiaTheme="minorHAnsi" w:hAnsiTheme="minorHAnsi" w:cstheme="minorBidi"/>
          <w:szCs w:val="22"/>
        </w:rPr>
        <w:t xml:space="preserve">therefore </w:t>
      </w:r>
      <w:r w:rsidRPr="00DE49A7">
        <w:rPr>
          <w:rFonts w:asciiTheme="minorHAnsi" w:eastAsiaTheme="minorHAnsi" w:hAnsiTheme="minorHAnsi" w:cstheme="minorBidi"/>
          <w:szCs w:val="22"/>
        </w:rPr>
        <w:t>the incremental benefits may be lower compared to that observed in the KN689 trial (as the SoC arm in the trial is likely to be inferior to clinical practice). While the base case analysis adjusted the costs for increased use of immunotherapy, the benefits associated with this use were not adjusted for</w:t>
      </w:r>
      <w:r w:rsidR="0036620A" w:rsidRPr="00DE49A7">
        <w:rPr>
          <w:rFonts w:asciiTheme="minorHAnsi" w:eastAsiaTheme="minorHAnsi" w:hAnsiTheme="minorHAnsi" w:cstheme="minorBidi"/>
          <w:szCs w:val="22"/>
        </w:rPr>
        <w:t>.</w:t>
      </w:r>
      <w:r w:rsidR="0093209E">
        <w:rPr>
          <w:rFonts w:asciiTheme="minorHAnsi" w:eastAsiaTheme="minorHAnsi" w:hAnsiTheme="minorHAnsi" w:cstheme="minorBidi"/>
          <w:szCs w:val="22"/>
        </w:rPr>
        <w:t xml:space="preserve"> The pre-PBAC </w:t>
      </w:r>
      <w:r w:rsidR="000C443D">
        <w:rPr>
          <w:rFonts w:asciiTheme="minorHAnsi" w:eastAsiaTheme="minorHAnsi" w:hAnsiTheme="minorHAnsi" w:cstheme="minorBidi"/>
          <w:szCs w:val="22"/>
        </w:rPr>
        <w:t>R</w:t>
      </w:r>
      <w:r w:rsidR="0093209E">
        <w:rPr>
          <w:rFonts w:asciiTheme="minorHAnsi" w:eastAsiaTheme="minorHAnsi" w:hAnsiTheme="minorHAnsi" w:cstheme="minorBidi"/>
          <w:szCs w:val="22"/>
        </w:rPr>
        <w:t xml:space="preserve">esponse provided a revised base case with the inclusion of </w:t>
      </w:r>
      <w:r w:rsidR="0093209E" w:rsidRPr="00B10CE5">
        <w:rPr>
          <w:rFonts w:asciiTheme="minorHAnsi" w:eastAsiaTheme="minorHAnsi" w:hAnsiTheme="minorHAnsi" w:cstheme="minorBidi"/>
          <w:szCs w:val="22"/>
        </w:rPr>
        <w:t>HRs for OS comparing pembrolizumab containing treatments to chemotherapy regimens for the treatment of RM HNSCC</w:t>
      </w:r>
      <w:r w:rsidR="00B10CE5">
        <w:rPr>
          <w:rFonts w:asciiTheme="minorHAnsi" w:eastAsiaTheme="minorHAnsi" w:hAnsiTheme="minorHAnsi" w:cstheme="minorBidi"/>
          <w:szCs w:val="22"/>
        </w:rPr>
        <w:t xml:space="preserve"> </w:t>
      </w:r>
      <w:bookmarkEnd w:id="110"/>
      <w:r w:rsidR="00761510" w:rsidRPr="00E60BA6">
        <w:rPr>
          <w:rFonts w:asciiTheme="minorHAnsi" w:eastAsiaTheme="minorHAnsi" w:hAnsiTheme="minorHAnsi" w:cstheme="minorBidi"/>
          <w:szCs w:val="22"/>
        </w:rPr>
        <w:t xml:space="preserve">(see paragraph </w:t>
      </w:r>
      <w:r w:rsidR="00761510" w:rsidRPr="00E60BA6">
        <w:rPr>
          <w:rFonts w:asciiTheme="minorHAnsi" w:eastAsiaTheme="minorHAnsi" w:hAnsiTheme="minorHAnsi" w:cstheme="minorBidi"/>
          <w:szCs w:val="22"/>
        </w:rPr>
        <w:fldChar w:fldCharType="begin"/>
      </w:r>
      <w:r w:rsidR="00761510" w:rsidRPr="00E60BA6">
        <w:rPr>
          <w:rFonts w:asciiTheme="minorHAnsi" w:eastAsiaTheme="minorHAnsi" w:hAnsiTheme="minorHAnsi" w:cstheme="minorBidi"/>
          <w:szCs w:val="22"/>
        </w:rPr>
        <w:instrText xml:space="preserve"> REF _Ref213926867 \r \h </w:instrText>
      </w:r>
      <w:r w:rsidR="00761510">
        <w:rPr>
          <w:rFonts w:asciiTheme="minorHAnsi" w:eastAsiaTheme="minorHAnsi" w:hAnsiTheme="minorHAnsi" w:cstheme="minorBidi"/>
          <w:szCs w:val="22"/>
        </w:rPr>
        <w:instrText xml:space="preserve"> \* MERGEFORMAT </w:instrText>
      </w:r>
      <w:r w:rsidR="00761510" w:rsidRPr="00E60BA6">
        <w:rPr>
          <w:rFonts w:asciiTheme="minorHAnsi" w:eastAsiaTheme="minorHAnsi" w:hAnsiTheme="minorHAnsi" w:cstheme="minorBidi"/>
          <w:szCs w:val="22"/>
        </w:rPr>
      </w:r>
      <w:r w:rsidR="00761510" w:rsidRPr="00E60BA6">
        <w:rPr>
          <w:rFonts w:asciiTheme="minorHAnsi" w:eastAsiaTheme="minorHAnsi" w:hAnsiTheme="minorHAnsi" w:cstheme="minorBidi"/>
          <w:szCs w:val="22"/>
        </w:rPr>
        <w:fldChar w:fldCharType="separate"/>
      </w:r>
      <w:r w:rsidR="0084087D">
        <w:rPr>
          <w:rFonts w:asciiTheme="minorHAnsi" w:eastAsiaTheme="minorHAnsi" w:hAnsiTheme="minorHAnsi" w:cstheme="minorBidi"/>
          <w:szCs w:val="22"/>
        </w:rPr>
        <w:t>6.66</w:t>
      </w:r>
      <w:r w:rsidR="00761510" w:rsidRPr="00E60BA6">
        <w:rPr>
          <w:rFonts w:asciiTheme="minorHAnsi" w:eastAsiaTheme="minorHAnsi" w:hAnsiTheme="minorHAnsi" w:cstheme="minorBidi"/>
          <w:szCs w:val="22"/>
        </w:rPr>
        <w:fldChar w:fldCharType="end"/>
      </w:r>
      <w:r w:rsidR="00761510">
        <w:rPr>
          <w:rFonts w:asciiTheme="minorHAnsi" w:eastAsiaTheme="minorHAnsi" w:hAnsiTheme="minorHAnsi" w:cstheme="minorBidi"/>
          <w:szCs w:val="22"/>
        </w:rPr>
        <w:t xml:space="preserve">; </w:t>
      </w:r>
      <w:r w:rsidR="00761510">
        <w:rPr>
          <w:rFonts w:asciiTheme="minorHAnsi" w:eastAsiaTheme="minorHAnsi" w:hAnsiTheme="minorHAnsi" w:cstheme="minorBidi"/>
          <w:szCs w:val="22"/>
        </w:rPr>
        <w:fldChar w:fldCharType="begin"/>
      </w:r>
      <w:r w:rsidR="00761510">
        <w:rPr>
          <w:rFonts w:asciiTheme="minorHAnsi" w:eastAsiaTheme="minorHAnsi" w:hAnsiTheme="minorHAnsi" w:cstheme="minorBidi"/>
          <w:szCs w:val="22"/>
        </w:rPr>
        <w:instrText xml:space="preserve"> REF _Ref213924305 \h  \* MERGEFORMAT </w:instrText>
      </w:r>
      <w:r w:rsidR="00761510">
        <w:rPr>
          <w:rFonts w:asciiTheme="minorHAnsi" w:eastAsiaTheme="minorHAnsi" w:hAnsiTheme="minorHAnsi" w:cstheme="minorBidi"/>
          <w:szCs w:val="22"/>
        </w:rPr>
      </w:r>
      <w:r w:rsidR="00761510">
        <w:rPr>
          <w:rFonts w:asciiTheme="minorHAnsi" w:eastAsiaTheme="minorHAnsi" w:hAnsiTheme="minorHAnsi" w:cstheme="minorBidi"/>
          <w:szCs w:val="22"/>
        </w:rPr>
        <w:fldChar w:fldCharType="separate"/>
      </w:r>
      <w:r w:rsidR="0084087D" w:rsidRPr="0084087D">
        <w:rPr>
          <w:rFonts w:asciiTheme="minorHAnsi" w:eastAsiaTheme="minorHAnsi" w:hAnsiTheme="minorHAnsi" w:cstheme="minorBidi"/>
          <w:szCs w:val="22"/>
        </w:rPr>
        <w:t>Table 14</w:t>
      </w:r>
      <w:r w:rsidR="00761510">
        <w:rPr>
          <w:rFonts w:asciiTheme="minorHAnsi" w:eastAsiaTheme="minorHAnsi" w:hAnsiTheme="minorHAnsi" w:cstheme="minorBidi"/>
          <w:szCs w:val="22"/>
        </w:rPr>
        <w:fldChar w:fldCharType="end"/>
      </w:r>
      <w:r w:rsidR="00761510" w:rsidRPr="00E60BA6">
        <w:rPr>
          <w:rFonts w:asciiTheme="minorHAnsi" w:eastAsiaTheme="minorHAnsi" w:hAnsiTheme="minorHAnsi" w:cstheme="minorBidi"/>
          <w:szCs w:val="22"/>
        </w:rPr>
        <w:t>).</w:t>
      </w:r>
    </w:p>
    <w:p w14:paraId="7BB94AA9" w14:textId="7EB36E13" w:rsidR="0036620A" w:rsidRPr="0036620A" w:rsidRDefault="00857D12" w:rsidP="00234453">
      <w:pPr>
        <w:numPr>
          <w:ilvl w:val="1"/>
          <w:numId w:val="7"/>
        </w:numPr>
        <w:spacing w:before="60" w:after="60"/>
        <w:rPr>
          <w:rFonts w:asciiTheme="minorHAnsi" w:eastAsiaTheme="minorHAnsi" w:hAnsiTheme="minorHAnsi" w:cstheme="minorBidi"/>
          <w:szCs w:val="22"/>
        </w:rPr>
      </w:pPr>
      <w:bookmarkStart w:id="111" w:name="_Ref214174256"/>
      <w:r>
        <w:rPr>
          <w:rFonts w:asciiTheme="minorHAnsi" w:eastAsiaTheme="minorHAnsi" w:hAnsiTheme="minorHAnsi" w:cstheme="minorBidi"/>
          <w:szCs w:val="22"/>
        </w:rPr>
        <w:t xml:space="preserve">Figure 5 </w:t>
      </w:r>
      <w:r w:rsidR="001E5A6A">
        <w:rPr>
          <w:rFonts w:asciiTheme="minorHAnsi" w:eastAsiaTheme="minorHAnsi" w:hAnsiTheme="minorHAnsi" w:cstheme="minorBidi"/>
          <w:szCs w:val="22"/>
        </w:rPr>
        <w:t>illustrates</w:t>
      </w:r>
      <w:r>
        <w:rPr>
          <w:rFonts w:asciiTheme="minorHAnsi" w:eastAsiaTheme="minorHAnsi" w:hAnsiTheme="minorHAnsi" w:cstheme="minorBidi"/>
          <w:szCs w:val="22"/>
        </w:rPr>
        <w:t xml:space="preserve"> the </w:t>
      </w:r>
      <w:r w:rsidR="008E4171">
        <w:rPr>
          <w:rFonts w:asciiTheme="minorHAnsi" w:eastAsiaTheme="minorHAnsi" w:hAnsiTheme="minorHAnsi" w:cstheme="minorBidi"/>
          <w:szCs w:val="22"/>
        </w:rPr>
        <w:t>un</w:t>
      </w:r>
      <w:r>
        <w:rPr>
          <w:rFonts w:asciiTheme="minorHAnsi" w:eastAsiaTheme="minorHAnsi" w:hAnsiTheme="minorHAnsi" w:cstheme="minorBidi"/>
          <w:szCs w:val="22"/>
        </w:rPr>
        <w:t>discounted L</w:t>
      </w:r>
      <w:r w:rsidR="00531424">
        <w:rPr>
          <w:rFonts w:asciiTheme="minorHAnsi" w:eastAsiaTheme="minorHAnsi" w:hAnsiTheme="minorHAnsi" w:cstheme="minorBidi"/>
          <w:szCs w:val="22"/>
        </w:rPr>
        <w:t>Y</w:t>
      </w:r>
      <w:r>
        <w:rPr>
          <w:rFonts w:asciiTheme="minorHAnsi" w:eastAsiaTheme="minorHAnsi" w:hAnsiTheme="minorHAnsi" w:cstheme="minorBidi"/>
          <w:szCs w:val="22"/>
        </w:rPr>
        <w:t xml:space="preserve">s gained over the modelled time horizon across both arms. </w:t>
      </w:r>
      <w:r w:rsidR="00DF4F66">
        <w:rPr>
          <w:rFonts w:asciiTheme="minorHAnsi" w:eastAsiaTheme="minorHAnsi" w:hAnsiTheme="minorHAnsi" w:cstheme="minorBidi"/>
          <w:szCs w:val="22"/>
        </w:rPr>
        <w:t xml:space="preserve">Overall, </w:t>
      </w:r>
      <w:r w:rsidR="00153C93">
        <w:rPr>
          <w:rFonts w:asciiTheme="minorHAnsi" w:eastAsiaTheme="minorHAnsi" w:hAnsiTheme="minorHAnsi" w:cstheme="minorBidi"/>
          <w:szCs w:val="22"/>
        </w:rPr>
        <w:t xml:space="preserve">treatment with </w:t>
      </w:r>
      <w:proofErr w:type="spellStart"/>
      <w:r w:rsidR="00153C93">
        <w:rPr>
          <w:rFonts w:asciiTheme="minorHAnsi" w:eastAsiaTheme="minorHAnsi" w:hAnsiTheme="minorHAnsi" w:cstheme="minorBidi"/>
          <w:szCs w:val="22"/>
        </w:rPr>
        <w:t>PEM+S</w:t>
      </w:r>
      <w:r w:rsidR="00EF0379">
        <w:rPr>
          <w:rFonts w:asciiTheme="minorHAnsi" w:eastAsiaTheme="minorHAnsi" w:hAnsiTheme="minorHAnsi" w:cstheme="minorBidi"/>
          <w:szCs w:val="22"/>
        </w:rPr>
        <w:t>o</w:t>
      </w:r>
      <w:r w:rsidR="00153C93">
        <w:rPr>
          <w:rFonts w:asciiTheme="minorHAnsi" w:eastAsiaTheme="minorHAnsi" w:hAnsiTheme="minorHAnsi" w:cstheme="minorBidi"/>
          <w:szCs w:val="22"/>
        </w:rPr>
        <w:t>C</w:t>
      </w:r>
      <w:proofErr w:type="spellEnd"/>
      <w:r w:rsidR="00153C93">
        <w:rPr>
          <w:rFonts w:asciiTheme="minorHAnsi" w:eastAsiaTheme="minorHAnsi" w:hAnsiTheme="minorHAnsi" w:cstheme="minorBidi"/>
          <w:szCs w:val="22"/>
        </w:rPr>
        <w:t xml:space="preserve"> was projected to accrue</w:t>
      </w:r>
      <w:r w:rsidR="00BD5BA1">
        <w:rPr>
          <w:rFonts w:asciiTheme="minorHAnsi" w:eastAsiaTheme="minorHAnsi" w:hAnsiTheme="minorHAnsi" w:cstheme="minorBidi"/>
          <w:szCs w:val="22"/>
        </w:rPr>
        <w:t xml:space="preserve"> an additional</w:t>
      </w:r>
      <w:r w:rsidR="00153C93">
        <w:rPr>
          <w:rFonts w:asciiTheme="minorHAnsi" w:eastAsiaTheme="minorHAnsi" w:hAnsiTheme="minorHAnsi" w:cstheme="minorBidi"/>
          <w:szCs w:val="22"/>
        </w:rPr>
        <w:t xml:space="preserve"> </w:t>
      </w:r>
      <w:r w:rsidR="00531424">
        <w:rPr>
          <w:rFonts w:asciiTheme="minorHAnsi" w:eastAsiaTheme="minorHAnsi" w:hAnsiTheme="minorHAnsi" w:cstheme="minorBidi"/>
          <w:szCs w:val="22"/>
        </w:rPr>
        <w:t>1.31 L</w:t>
      </w:r>
      <w:r w:rsidR="007644FE">
        <w:rPr>
          <w:rFonts w:asciiTheme="minorHAnsi" w:eastAsiaTheme="minorHAnsi" w:hAnsiTheme="minorHAnsi" w:cstheme="minorBidi"/>
          <w:szCs w:val="22"/>
        </w:rPr>
        <w:t>Y</w:t>
      </w:r>
      <w:r w:rsidR="00531424">
        <w:rPr>
          <w:rFonts w:asciiTheme="minorHAnsi" w:eastAsiaTheme="minorHAnsi" w:hAnsiTheme="minorHAnsi" w:cstheme="minorBidi"/>
          <w:szCs w:val="22"/>
        </w:rPr>
        <w:t>s</w:t>
      </w:r>
      <w:r w:rsidR="007644FE">
        <w:rPr>
          <w:rFonts w:asciiTheme="minorHAnsi" w:eastAsiaTheme="minorHAnsi" w:hAnsiTheme="minorHAnsi" w:cstheme="minorBidi"/>
          <w:szCs w:val="22"/>
        </w:rPr>
        <w:t xml:space="preserve"> (undiscounted)</w:t>
      </w:r>
      <w:r w:rsidR="00FE23B5">
        <w:rPr>
          <w:rFonts w:asciiTheme="minorHAnsi" w:eastAsiaTheme="minorHAnsi" w:hAnsiTheme="minorHAnsi" w:cstheme="minorBidi"/>
          <w:szCs w:val="22"/>
        </w:rPr>
        <w:t xml:space="preserve"> </w:t>
      </w:r>
      <w:r w:rsidR="00153C93">
        <w:rPr>
          <w:rFonts w:asciiTheme="minorHAnsi" w:eastAsiaTheme="minorHAnsi" w:hAnsiTheme="minorHAnsi" w:cstheme="minorBidi"/>
          <w:szCs w:val="22"/>
        </w:rPr>
        <w:t>compared to SOC alone</w:t>
      </w:r>
      <w:r w:rsidR="00E35F4A">
        <w:rPr>
          <w:rFonts w:asciiTheme="minorHAnsi" w:eastAsiaTheme="minorHAnsi" w:hAnsiTheme="minorHAnsi" w:cstheme="minorBidi"/>
          <w:szCs w:val="22"/>
        </w:rPr>
        <w:t xml:space="preserve"> over the modelled time horizon</w:t>
      </w:r>
      <w:r w:rsidR="00153C93">
        <w:rPr>
          <w:rFonts w:asciiTheme="minorHAnsi" w:eastAsiaTheme="minorHAnsi" w:hAnsiTheme="minorHAnsi" w:cstheme="minorBidi"/>
          <w:szCs w:val="22"/>
        </w:rPr>
        <w:t xml:space="preserve">. </w:t>
      </w:r>
      <w:r w:rsidR="006A5C2B">
        <w:rPr>
          <w:rFonts w:asciiTheme="minorHAnsi" w:eastAsiaTheme="minorHAnsi" w:hAnsiTheme="minorHAnsi" w:cstheme="minorBidi"/>
          <w:szCs w:val="22"/>
        </w:rPr>
        <w:t>The incremental L</w:t>
      </w:r>
      <w:r w:rsidR="0059782A">
        <w:rPr>
          <w:rFonts w:asciiTheme="minorHAnsi" w:eastAsiaTheme="minorHAnsi" w:hAnsiTheme="minorHAnsi" w:cstheme="minorBidi"/>
          <w:szCs w:val="22"/>
        </w:rPr>
        <w:t>Ys were reduced</w:t>
      </w:r>
      <w:r w:rsidR="00D05280">
        <w:rPr>
          <w:rFonts w:asciiTheme="minorHAnsi" w:eastAsiaTheme="minorHAnsi" w:hAnsiTheme="minorHAnsi" w:cstheme="minorBidi"/>
          <w:szCs w:val="22"/>
        </w:rPr>
        <w:t xml:space="preserve"> from 1.31 to 0.99</w:t>
      </w:r>
      <w:r w:rsidR="0029212D">
        <w:rPr>
          <w:rFonts w:asciiTheme="minorHAnsi" w:eastAsiaTheme="minorHAnsi" w:hAnsiTheme="minorHAnsi" w:cstheme="minorBidi"/>
          <w:szCs w:val="22"/>
        </w:rPr>
        <w:t xml:space="preserve"> LYs</w:t>
      </w:r>
      <w:r w:rsidR="00D05280">
        <w:rPr>
          <w:rFonts w:asciiTheme="minorHAnsi" w:eastAsiaTheme="minorHAnsi" w:hAnsiTheme="minorHAnsi" w:cstheme="minorBidi"/>
          <w:szCs w:val="22"/>
        </w:rPr>
        <w:t xml:space="preserve"> (undiscounted)</w:t>
      </w:r>
      <w:r w:rsidR="0059782A">
        <w:rPr>
          <w:rFonts w:asciiTheme="minorHAnsi" w:eastAsiaTheme="minorHAnsi" w:hAnsiTheme="minorHAnsi" w:cstheme="minorBidi"/>
          <w:szCs w:val="22"/>
        </w:rPr>
        <w:t xml:space="preserve"> in the revised base case</w:t>
      </w:r>
      <w:r w:rsidR="00D05280">
        <w:rPr>
          <w:rFonts w:asciiTheme="minorHAnsi" w:eastAsiaTheme="minorHAnsi" w:hAnsiTheme="minorHAnsi" w:cstheme="minorBidi"/>
          <w:szCs w:val="22"/>
        </w:rPr>
        <w:t xml:space="preserve"> provided in the pre-PBAC Response.</w:t>
      </w:r>
      <w:bookmarkEnd w:id="111"/>
    </w:p>
    <w:p w14:paraId="6CFFB0BD" w14:textId="4207A2F8" w:rsidR="00032D12" w:rsidRPr="00E54C74" w:rsidRDefault="00032D12" w:rsidP="00032D12">
      <w:pPr>
        <w:keepNext/>
        <w:keepLines/>
        <w:jc w:val="left"/>
        <w:rPr>
          <w:rFonts w:ascii="Arial Narrow" w:hAnsi="Arial Narrow"/>
          <w:b/>
          <w:bCs/>
          <w:sz w:val="20"/>
          <w:szCs w:val="18"/>
        </w:rPr>
      </w:pPr>
      <w:r w:rsidRPr="00E54C74">
        <w:rPr>
          <w:rFonts w:ascii="Arial Narrow" w:hAnsi="Arial Narrow"/>
          <w:b/>
          <w:bCs/>
          <w:sz w:val="20"/>
          <w:szCs w:val="18"/>
        </w:rPr>
        <w:t xml:space="preserve">Figure </w:t>
      </w:r>
      <w:r w:rsidRPr="00E54C74">
        <w:rPr>
          <w:rFonts w:ascii="Arial Narrow" w:hAnsi="Arial Narrow"/>
          <w:b/>
          <w:bCs/>
          <w:sz w:val="20"/>
          <w:szCs w:val="18"/>
        </w:rPr>
        <w:fldChar w:fldCharType="begin"/>
      </w:r>
      <w:r w:rsidRPr="00E54C74">
        <w:rPr>
          <w:rFonts w:ascii="Arial Narrow" w:hAnsi="Arial Narrow"/>
          <w:b/>
          <w:bCs/>
          <w:sz w:val="20"/>
          <w:szCs w:val="18"/>
        </w:rPr>
        <w:instrText xml:space="preserve"> SEQ Figure \* ARABIC </w:instrText>
      </w:r>
      <w:r w:rsidRPr="00E54C74">
        <w:rPr>
          <w:rFonts w:ascii="Arial Narrow" w:hAnsi="Arial Narrow"/>
          <w:b/>
          <w:bCs/>
          <w:sz w:val="20"/>
          <w:szCs w:val="18"/>
        </w:rPr>
        <w:fldChar w:fldCharType="separate"/>
      </w:r>
      <w:r w:rsidR="0084087D">
        <w:rPr>
          <w:rFonts w:ascii="Arial Narrow" w:hAnsi="Arial Narrow"/>
          <w:b/>
          <w:bCs/>
          <w:noProof/>
          <w:sz w:val="20"/>
          <w:szCs w:val="18"/>
        </w:rPr>
        <w:t>5</w:t>
      </w:r>
      <w:r w:rsidRPr="00E54C74">
        <w:rPr>
          <w:rFonts w:ascii="Arial Narrow" w:hAnsi="Arial Narrow"/>
          <w:b/>
          <w:bCs/>
          <w:sz w:val="20"/>
          <w:szCs w:val="18"/>
        </w:rPr>
        <w:fldChar w:fldCharType="end"/>
      </w:r>
      <w:r w:rsidRPr="00E54C74">
        <w:rPr>
          <w:rFonts w:ascii="Arial Narrow" w:hAnsi="Arial Narrow"/>
          <w:b/>
          <w:bCs/>
          <w:sz w:val="20"/>
          <w:szCs w:val="18"/>
        </w:rPr>
        <w:t xml:space="preserve">: LYs (undiscounted) gained over the modelled time horizon, both treatment </w:t>
      </w:r>
      <w:r w:rsidR="00B24947" w:rsidRPr="00E54C74">
        <w:rPr>
          <w:rFonts w:ascii="Arial Narrow" w:hAnsi="Arial Narrow"/>
          <w:b/>
          <w:bCs/>
          <w:sz w:val="20"/>
          <w:szCs w:val="18"/>
        </w:rPr>
        <w:t>arms</w:t>
      </w:r>
    </w:p>
    <w:p w14:paraId="282C45C9" w14:textId="77777777" w:rsidR="00032D12" w:rsidRPr="00E54C74" w:rsidRDefault="00032D12" w:rsidP="00032D12">
      <w:pPr>
        <w:spacing w:before="60" w:after="60"/>
        <w:jc w:val="left"/>
        <w:rPr>
          <w:rFonts w:asciiTheme="minorHAnsi" w:eastAsiaTheme="minorHAnsi" w:hAnsiTheme="minorHAnsi" w:cstheme="minorBidi"/>
          <w:szCs w:val="22"/>
        </w:rPr>
      </w:pPr>
      <w:r w:rsidRPr="00E54C74">
        <w:rPr>
          <w:rFonts w:asciiTheme="minorHAnsi" w:eastAsiaTheme="minorHAnsi" w:hAnsiTheme="minorHAnsi" w:cstheme="minorBidi"/>
          <w:noProof/>
          <w:szCs w:val="22"/>
        </w:rPr>
        <w:drawing>
          <wp:inline distT="0" distB="0" distL="0" distR="0" wp14:anchorId="2304CC71" wp14:editId="36EE2D76">
            <wp:extent cx="4965405" cy="3094957"/>
            <wp:effectExtent l="0" t="0" r="6985" b="0"/>
            <wp:docPr id="1310524389" name="Picture 3" descr="Figure 5: LYs (undiscounted) gained over the modelled time horizon, both treatment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524389" name="Picture 3" descr="Figure 5: LYs (undiscounted) gained over the modelled time horizon, both treatment arms"/>
                    <pic:cNvPicPr/>
                  </pic:nvPicPr>
                  <pic:blipFill>
                    <a:blip r:embed="rId15"/>
                    <a:stretch>
                      <a:fillRect/>
                    </a:stretch>
                  </pic:blipFill>
                  <pic:spPr>
                    <a:xfrm>
                      <a:off x="0" y="0"/>
                      <a:ext cx="4967624" cy="3096340"/>
                    </a:xfrm>
                    <a:prstGeom prst="rect">
                      <a:avLst/>
                    </a:prstGeom>
                  </pic:spPr>
                </pic:pic>
              </a:graphicData>
            </a:graphic>
          </wp:inline>
        </w:drawing>
      </w:r>
    </w:p>
    <w:p w14:paraId="457E0510" w14:textId="77777777" w:rsidR="00032D12" w:rsidRPr="00E54C74" w:rsidRDefault="00032D12" w:rsidP="00032D12">
      <w:pPr>
        <w:keepLines/>
        <w:spacing w:after="120"/>
        <w:contextualSpacing/>
        <w:jc w:val="left"/>
        <w:rPr>
          <w:rFonts w:ascii="Arial Narrow" w:eastAsiaTheme="minorHAnsi" w:hAnsi="Arial Narrow"/>
          <w:snapToGrid w:val="0"/>
          <w:sz w:val="18"/>
          <w:szCs w:val="22"/>
        </w:rPr>
      </w:pPr>
      <w:r w:rsidRPr="00E54C74">
        <w:rPr>
          <w:rFonts w:ascii="Arial Narrow" w:eastAsiaTheme="minorHAnsi" w:hAnsi="Arial Narrow"/>
          <w:snapToGrid w:val="0"/>
          <w:sz w:val="18"/>
          <w:szCs w:val="22"/>
        </w:rPr>
        <w:t>Source: constructed during the evaluation, from Sheets ‘Trace_NeoAdjReg1’ and ‘Trace_NeoAdjReg2’ of the “Attachment 5 CEA’ workbook provided in the submission.</w:t>
      </w:r>
    </w:p>
    <w:p w14:paraId="0E9516E0" w14:textId="77777777" w:rsidR="00032D12" w:rsidRDefault="00032D12" w:rsidP="00032D12">
      <w:pPr>
        <w:keepLines/>
        <w:spacing w:after="120"/>
        <w:contextualSpacing/>
        <w:jc w:val="left"/>
        <w:rPr>
          <w:rFonts w:ascii="Arial Narrow" w:eastAsiaTheme="minorHAnsi" w:hAnsi="Arial Narrow"/>
          <w:snapToGrid w:val="0"/>
          <w:sz w:val="18"/>
          <w:szCs w:val="22"/>
        </w:rPr>
      </w:pPr>
      <w:r w:rsidRPr="00E54C74">
        <w:rPr>
          <w:rFonts w:ascii="Arial Narrow" w:eastAsiaTheme="minorHAnsi" w:hAnsi="Arial Narrow"/>
          <w:snapToGrid w:val="0"/>
          <w:sz w:val="18"/>
          <w:szCs w:val="22"/>
        </w:rPr>
        <w:t>LYG = life-years gained; LYs = life-years; OS = overall survival; PEM = pembrolizumab; SoC = standard of care</w:t>
      </w:r>
    </w:p>
    <w:p w14:paraId="089B3D9C" w14:textId="77777777" w:rsidR="00032D12" w:rsidRPr="00E54C74" w:rsidRDefault="00032D12" w:rsidP="00032D12">
      <w:pPr>
        <w:keepLines/>
        <w:spacing w:after="120"/>
        <w:contextualSpacing/>
        <w:jc w:val="left"/>
        <w:rPr>
          <w:rFonts w:ascii="Arial Narrow" w:eastAsiaTheme="minorHAnsi" w:hAnsi="Arial Narrow"/>
          <w:snapToGrid w:val="0"/>
          <w:sz w:val="18"/>
          <w:szCs w:val="22"/>
        </w:rPr>
      </w:pPr>
    </w:p>
    <w:p w14:paraId="10BF6A1F" w14:textId="41B3F33A" w:rsidR="00D06F9C" w:rsidRDefault="00032D12" w:rsidP="00234453">
      <w:pPr>
        <w:numPr>
          <w:ilvl w:val="1"/>
          <w:numId w:val="7"/>
        </w:numPr>
        <w:spacing w:before="60" w:after="60"/>
      </w:pPr>
      <w:r w:rsidRPr="00E54C74">
        <w:rPr>
          <w:rFonts w:asciiTheme="minorHAnsi" w:eastAsiaTheme="minorHAnsi" w:hAnsiTheme="minorHAnsi" w:cstheme="minorBidi"/>
          <w:szCs w:val="22"/>
        </w:rPr>
        <w:lastRenderedPageBreak/>
        <w:t xml:space="preserve">The results of key univariate </w:t>
      </w:r>
      <w:r w:rsidR="00D83762">
        <w:rPr>
          <w:rFonts w:asciiTheme="minorHAnsi" w:eastAsiaTheme="minorHAnsi" w:hAnsiTheme="minorHAnsi" w:cstheme="minorBidi"/>
          <w:szCs w:val="22"/>
        </w:rPr>
        <w:t xml:space="preserve">and multivariate </w:t>
      </w:r>
      <w:r w:rsidRPr="00E54C74">
        <w:rPr>
          <w:rFonts w:asciiTheme="minorHAnsi" w:eastAsiaTheme="minorHAnsi" w:hAnsiTheme="minorHAnsi" w:cstheme="minorBidi"/>
          <w:szCs w:val="22"/>
        </w:rPr>
        <w:t xml:space="preserve">sensitivity analyses are summarised in </w:t>
      </w:r>
      <w:r w:rsidRPr="00E54C74">
        <w:rPr>
          <w:rFonts w:asciiTheme="minorHAnsi" w:eastAsiaTheme="minorHAnsi" w:hAnsiTheme="minorHAnsi" w:cstheme="minorBidi"/>
          <w:szCs w:val="22"/>
        </w:rPr>
        <w:fldChar w:fldCharType="begin"/>
      </w:r>
      <w:r w:rsidRPr="00E54C74">
        <w:rPr>
          <w:rFonts w:asciiTheme="minorHAnsi" w:eastAsiaTheme="minorHAnsi" w:hAnsiTheme="minorHAnsi" w:cstheme="minorBidi"/>
          <w:szCs w:val="22"/>
        </w:rPr>
        <w:instrText xml:space="preserve"> REF _Ref206027631 \h  \* MERGEFORMAT </w:instrText>
      </w:r>
      <w:r w:rsidRPr="00E54C74">
        <w:rPr>
          <w:rFonts w:asciiTheme="minorHAnsi" w:eastAsiaTheme="minorHAnsi" w:hAnsiTheme="minorHAnsi" w:cstheme="minorBidi"/>
          <w:szCs w:val="22"/>
        </w:rPr>
      </w:r>
      <w:r w:rsidRPr="00E54C74">
        <w:rPr>
          <w:rFonts w:asciiTheme="minorHAnsi" w:eastAsiaTheme="minorHAnsi" w:hAnsiTheme="minorHAnsi" w:cstheme="minorBidi"/>
          <w:szCs w:val="22"/>
        </w:rPr>
        <w:fldChar w:fldCharType="separate"/>
      </w:r>
      <w:r w:rsidR="0084087D" w:rsidRPr="0084087D">
        <w:rPr>
          <w:rFonts w:asciiTheme="minorHAnsi" w:eastAsiaTheme="minorHAnsi" w:hAnsiTheme="minorHAnsi" w:cstheme="minorBidi"/>
          <w:szCs w:val="22"/>
        </w:rPr>
        <w:t>Table 13</w:t>
      </w:r>
      <w:r w:rsidRPr="00E54C74">
        <w:rPr>
          <w:rFonts w:asciiTheme="minorHAnsi" w:eastAsiaTheme="minorHAnsi" w:hAnsiTheme="minorHAnsi" w:cstheme="minorBidi"/>
          <w:szCs w:val="22"/>
        </w:rPr>
        <w:fldChar w:fldCharType="end"/>
      </w:r>
      <w:r w:rsidRPr="00E54C74">
        <w:rPr>
          <w:rFonts w:asciiTheme="minorHAnsi" w:eastAsiaTheme="minorHAnsi" w:hAnsiTheme="minorHAnsi" w:cstheme="minorBidi"/>
          <w:szCs w:val="22"/>
        </w:rPr>
        <w:t>.</w:t>
      </w:r>
      <w:r w:rsidR="00144DC6">
        <w:rPr>
          <w:rFonts w:asciiTheme="minorHAnsi" w:eastAsiaTheme="minorHAnsi" w:hAnsiTheme="minorHAnsi" w:cstheme="minorBidi"/>
          <w:szCs w:val="22"/>
        </w:rPr>
        <w:t xml:space="preserve"> </w:t>
      </w:r>
    </w:p>
    <w:p w14:paraId="6577482B" w14:textId="79348650" w:rsidR="009452A9" w:rsidRDefault="003B4FEA" w:rsidP="007125F4">
      <w:pPr>
        <w:numPr>
          <w:ilvl w:val="1"/>
          <w:numId w:val="7"/>
        </w:numPr>
        <w:spacing w:before="60" w:after="60"/>
        <w:rPr>
          <w:iCs/>
        </w:rPr>
      </w:pPr>
      <w:r w:rsidRPr="00477630">
        <w:rPr>
          <w:rFonts w:asciiTheme="minorHAnsi" w:eastAsiaTheme="minorHAnsi" w:hAnsiTheme="minorHAnsi" w:cstheme="minorBidi"/>
          <w:iCs/>
          <w:szCs w:val="22"/>
        </w:rPr>
        <w:t xml:space="preserve">The ESC agreed with the economic issues identified during the evaluation and noted that individual changes to inputs related to these issues did not have a significant impact on the ICER. However, overall, the ESC considered that there was substantial uncertainty associated with the economic model and that multivariate sensitivity analysis demonstrated a </w:t>
      </w:r>
      <w:r w:rsidR="00CB24C4" w:rsidRPr="00477630">
        <w:rPr>
          <w:rFonts w:asciiTheme="minorHAnsi" w:eastAsiaTheme="minorHAnsi" w:hAnsiTheme="minorHAnsi" w:cstheme="minorBidi"/>
          <w:iCs/>
          <w:szCs w:val="22"/>
        </w:rPr>
        <w:t xml:space="preserve">large </w:t>
      </w:r>
      <w:r w:rsidRPr="00477630">
        <w:rPr>
          <w:rFonts w:asciiTheme="minorHAnsi" w:eastAsiaTheme="minorHAnsi" w:hAnsiTheme="minorHAnsi" w:cstheme="minorBidi"/>
          <w:iCs/>
          <w:szCs w:val="22"/>
        </w:rPr>
        <w:t>cumulative effect</w:t>
      </w:r>
      <w:r w:rsidR="00F810D4">
        <w:rPr>
          <w:rFonts w:asciiTheme="minorHAnsi" w:eastAsiaTheme="minorHAnsi" w:hAnsiTheme="minorHAnsi" w:cstheme="minorBidi"/>
          <w:iCs/>
          <w:szCs w:val="22"/>
        </w:rPr>
        <w:t xml:space="preserve">. </w:t>
      </w:r>
      <w:r w:rsidRPr="00477630">
        <w:rPr>
          <w:rFonts w:asciiTheme="minorHAnsi" w:eastAsiaTheme="minorHAnsi" w:hAnsiTheme="minorHAnsi" w:cstheme="minorBidi"/>
          <w:iCs/>
          <w:szCs w:val="22"/>
        </w:rPr>
        <w:t>The ESC also noted that a 15-year time horizon and OS convergence would be appropriate to consider for inclusion, and that this would further increase the ICER.</w:t>
      </w:r>
      <w:r w:rsidR="002D5002">
        <w:rPr>
          <w:rFonts w:asciiTheme="minorHAnsi" w:eastAsiaTheme="minorHAnsi" w:hAnsiTheme="minorHAnsi" w:cstheme="minorBidi"/>
          <w:iCs/>
          <w:szCs w:val="22"/>
        </w:rPr>
        <w:t xml:space="preserve"> </w:t>
      </w:r>
      <w:r w:rsidR="002D5002" w:rsidRPr="002D5002">
        <w:rPr>
          <w:iCs/>
        </w:rPr>
        <w:t xml:space="preserve">The ESC also considered that alternative extrapolation functions would be informative to show as a sensitivity analysis but noted that there may not be sufficient data to inform these.  </w:t>
      </w:r>
    </w:p>
    <w:p w14:paraId="5556ACEB" w14:textId="058E9F7E" w:rsidR="0048343D" w:rsidRPr="009452A9" w:rsidRDefault="009452A9" w:rsidP="009452A9">
      <w:pPr>
        <w:jc w:val="left"/>
        <w:rPr>
          <w:iCs/>
        </w:rPr>
      </w:pPr>
      <w:r>
        <w:rPr>
          <w:iCs/>
        </w:rPr>
        <w:br w:type="page"/>
      </w:r>
    </w:p>
    <w:p w14:paraId="337C07B1" w14:textId="1F0BF1C0" w:rsidR="00032D12" w:rsidRPr="00E54C74" w:rsidRDefault="00032D12" w:rsidP="006A4DEC">
      <w:pPr>
        <w:keepNext/>
        <w:keepLines/>
        <w:rPr>
          <w:rFonts w:ascii="Arial Narrow" w:hAnsi="Arial Narrow"/>
          <w:b/>
          <w:bCs/>
          <w:sz w:val="20"/>
        </w:rPr>
      </w:pPr>
      <w:bookmarkStart w:id="112" w:name="_Ref206027631"/>
      <w:r w:rsidRPr="00E54C74">
        <w:rPr>
          <w:rFonts w:ascii="Arial Narrow" w:hAnsi="Arial Narrow"/>
          <w:b/>
          <w:bCs/>
          <w:sz w:val="20"/>
          <w:szCs w:val="18"/>
        </w:rPr>
        <w:lastRenderedPageBreak/>
        <w:t xml:space="preserve">Table </w:t>
      </w:r>
      <w:r w:rsidRPr="00E54C74">
        <w:rPr>
          <w:rFonts w:ascii="Arial Narrow" w:hAnsi="Arial Narrow"/>
          <w:b/>
          <w:bCs/>
          <w:sz w:val="20"/>
          <w:szCs w:val="18"/>
        </w:rPr>
        <w:fldChar w:fldCharType="begin"/>
      </w:r>
      <w:r w:rsidRPr="00E54C74">
        <w:rPr>
          <w:rFonts w:ascii="Arial Narrow" w:hAnsi="Arial Narrow"/>
          <w:b/>
          <w:bCs/>
          <w:sz w:val="20"/>
          <w:szCs w:val="18"/>
        </w:rPr>
        <w:instrText xml:space="preserve"> SEQ Table \* ARABIC </w:instrText>
      </w:r>
      <w:r w:rsidRPr="00E54C74">
        <w:rPr>
          <w:rFonts w:ascii="Arial Narrow" w:hAnsi="Arial Narrow"/>
          <w:b/>
          <w:bCs/>
          <w:sz w:val="20"/>
          <w:szCs w:val="18"/>
        </w:rPr>
        <w:fldChar w:fldCharType="separate"/>
      </w:r>
      <w:r w:rsidR="0084087D">
        <w:rPr>
          <w:rFonts w:ascii="Arial Narrow" w:hAnsi="Arial Narrow"/>
          <w:b/>
          <w:bCs/>
          <w:noProof/>
          <w:sz w:val="20"/>
          <w:szCs w:val="18"/>
        </w:rPr>
        <w:t>13</w:t>
      </w:r>
      <w:r w:rsidRPr="00E54C74">
        <w:rPr>
          <w:rFonts w:ascii="Arial Narrow" w:hAnsi="Arial Narrow"/>
          <w:b/>
          <w:bCs/>
          <w:sz w:val="20"/>
          <w:szCs w:val="18"/>
        </w:rPr>
        <w:fldChar w:fldCharType="end"/>
      </w:r>
      <w:bookmarkEnd w:id="112"/>
      <w:r w:rsidRPr="00E54C74">
        <w:rPr>
          <w:rFonts w:ascii="Arial Narrow" w:hAnsi="Arial Narrow"/>
          <w:b/>
          <w:bCs/>
          <w:sz w:val="20"/>
          <w:szCs w:val="18"/>
        </w:rPr>
        <w:t>:</w:t>
      </w:r>
      <w:r w:rsidRPr="00E54C74">
        <w:rPr>
          <w:rFonts w:ascii="Arial Narrow" w:hAnsi="Arial Narrow"/>
          <w:b/>
          <w:bCs/>
          <w:sz w:val="20"/>
        </w:rPr>
        <w:t xml:space="preserve">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Sensitivity analyses"/>
      </w:tblPr>
      <w:tblGrid>
        <w:gridCol w:w="3572"/>
        <w:gridCol w:w="1255"/>
        <w:gridCol w:w="1247"/>
        <w:gridCol w:w="1177"/>
        <w:gridCol w:w="1766"/>
      </w:tblGrid>
      <w:tr w:rsidR="00032D12" w:rsidRPr="006E012B" w14:paraId="527AE9D4" w14:textId="77777777" w:rsidTr="001A5E49">
        <w:trPr>
          <w:cantSplit/>
          <w:tblHeader/>
        </w:trPr>
        <w:tc>
          <w:tcPr>
            <w:tcW w:w="3572" w:type="dxa"/>
            <w:tcMar>
              <w:left w:w="28" w:type="dxa"/>
              <w:right w:w="28" w:type="dxa"/>
            </w:tcMar>
          </w:tcPr>
          <w:p w14:paraId="383FEBAA" w14:textId="77777777" w:rsidR="00032D12" w:rsidRPr="006E012B" w:rsidRDefault="00032D12" w:rsidP="006A4DEC">
            <w:pPr>
              <w:keepNext/>
              <w:keepLines/>
              <w:widowControl w:val="0"/>
              <w:jc w:val="center"/>
              <w:rPr>
                <w:rFonts w:ascii="Arial Narrow" w:eastAsiaTheme="majorEastAsia" w:hAnsi="Arial Narrow" w:cs="Times New Roman"/>
                <w:b/>
                <w:sz w:val="20"/>
              </w:rPr>
            </w:pPr>
            <w:r w:rsidRPr="006E012B">
              <w:rPr>
                <w:rFonts w:ascii="Arial Narrow" w:eastAsiaTheme="majorEastAsia" w:hAnsi="Arial Narrow" w:cs="Times New Roman"/>
                <w:b/>
                <w:sz w:val="20"/>
              </w:rPr>
              <w:t>Analyses</w:t>
            </w:r>
          </w:p>
        </w:tc>
        <w:tc>
          <w:tcPr>
            <w:tcW w:w="1255" w:type="dxa"/>
          </w:tcPr>
          <w:p w14:paraId="0740B4D9" w14:textId="77777777" w:rsidR="00032D12" w:rsidRPr="006E012B" w:rsidRDefault="00032D12" w:rsidP="006A4DEC">
            <w:pPr>
              <w:keepNext/>
              <w:keepLines/>
              <w:widowControl w:val="0"/>
              <w:jc w:val="center"/>
              <w:rPr>
                <w:rFonts w:ascii="Arial Narrow" w:eastAsiaTheme="majorEastAsia" w:hAnsi="Arial Narrow" w:cs="Times New Roman"/>
                <w:b/>
                <w:sz w:val="20"/>
              </w:rPr>
            </w:pPr>
            <w:r w:rsidRPr="006E012B">
              <w:rPr>
                <w:rFonts w:ascii="Arial Narrow" w:eastAsiaTheme="majorEastAsia" w:hAnsi="Arial Narrow" w:cs="Times New Roman"/>
                <w:b/>
                <w:sz w:val="20"/>
              </w:rPr>
              <w:t>Incremental cost</w:t>
            </w:r>
          </w:p>
        </w:tc>
        <w:tc>
          <w:tcPr>
            <w:tcW w:w="1247" w:type="dxa"/>
          </w:tcPr>
          <w:p w14:paraId="5866A55F" w14:textId="77777777" w:rsidR="00032D12" w:rsidRPr="006E012B" w:rsidRDefault="00032D12" w:rsidP="006A4DEC">
            <w:pPr>
              <w:keepNext/>
              <w:keepLines/>
              <w:widowControl w:val="0"/>
              <w:jc w:val="center"/>
              <w:rPr>
                <w:rFonts w:ascii="Arial Narrow" w:eastAsiaTheme="majorEastAsia" w:hAnsi="Arial Narrow" w:cs="Times New Roman"/>
                <w:b/>
                <w:sz w:val="20"/>
              </w:rPr>
            </w:pPr>
            <w:r w:rsidRPr="006E012B">
              <w:rPr>
                <w:rFonts w:ascii="Arial Narrow" w:eastAsiaTheme="majorEastAsia" w:hAnsi="Arial Narrow" w:cs="Times New Roman"/>
                <w:b/>
                <w:sz w:val="20"/>
              </w:rPr>
              <w:t>Incremental QALY</w:t>
            </w:r>
          </w:p>
        </w:tc>
        <w:tc>
          <w:tcPr>
            <w:tcW w:w="1177" w:type="dxa"/>
          </w:tcPr>
          <w:p w14:paraId="74E324B8" w14:textId="77777777" w:rsidR="00032D12" w:rsidRPr="006E012B" w:rsidRDefault="00032D12" w:rsidP="006A4DEC">
            <w:pPr>
              <w:keepNext/>
              <w:keepLines/>
              <w:widowControl w:val="0"/>
              <w:jc w:val="center"/>
              <w:rPr>
                <w:rFonts w:ascii="Arial Narrow" w:eastAsiaTheme="majorEastAsia" w:hAnsi="Arial Narrow" w:cs="Times New Roman"/>
                <w:b/>
                <w:sz w:val="20"/>
              </w:rPr>
            </w:pPr>
            <w:r w:rsidRPr="006E012B">
              <w:rPr>
                <w:rFonts w:ascii="Arial Narrow" w:eastAsiaTheme="majorEastAsia" w:hAnsi="Arial Narrow" w:cs="Times New Roman"/>
                <w:b/>
                <w:sz w:val="20"/>
              </w:rPr>
              <w:t>ICER</w:t>
            </w:r>
          </w:p>
        </w:tc>
        <w:tc>
          <w:tcPr>
            <w:tcW w:w="1766" w:type="dxa"/>
          </w:tcPr>
          <w:p w14:paraId="4904A6AC" w14:textId="77777777" w:rsidR="00032D12" w:rsidRPr="006E012B" w:rsidRDefault="00032D12" w:rsidP="006A4DEC">
            <w:pPr>
              <w:keepNext/>
              <w:keepLines/>
              <w:widowControl w:val="0"/>
              <w:jc w:val="center"/>
              <w:rPr>
                <w:rFonts w:ascii="Arial Narrow" w:eastAsiaTheme="majorEastAsia" w:hAnsi="Arial Narrow" w:cs="Times New Roman"/>
                <w:b/>
                <w:sz w:val="20"/>
              </w:rPr>
            </w:pPr>
            <w:r w:rsidRPr="006E012B">
              <w:rPr>
                <w:rFonts w:ascii="Arial Narrow" w:eastAsiaTheme="majorEastAsia" w:hAnsi="Arial Narrow" w:cs="Times New Roman"/>
                <w:b/>
                <w:sz w:val="20"/>
              </w:rPr>
              <w:t>% change from base case</w:t>
            </w:r>
          </w:p>
        </w:tc>
      </w:tr>
      <w:tr w:rsidR="00032D12" w:rsidRPr="006E012B" w14:paraId="37B9B516" w14:textId="77777777" w:rsidTr="001A5E49">
        <w:trPr>
          <w:cantSplit/>
        </w:trPr>
        <w:tc>
          <w:tcPr>
            <w:tcW w:w="3572" w:type="dxa"/>
            <w:tcMar>
              <w:left w:w="28" w:type="dxa"/>
              <w:right w:w="28" w:type="dxa"/>
            </w:tcMar>
          </w:tcPr>
          <w:p w14:paraId="50693F95" w14:textId="77777777" w:rsidR="00032D12" w:rsidRPr="006E012B" w:rsidRDefault="00032D12" w:rsidP="006A4DEC">
            <w:pPr>
              <w:keepNext/>
              <w:keepLines/>
              <w:widowControl w:val="0"/>
              <w:jc w:val="left"/>
              <w:rPr>
                <w:rFonts w:ascii="Arial Narrow" w:eastAsiaTheme="majorEastAsia" w:hAnsi="Arial Narrow" w:cstheme="majorBidi"/>
                <w:b/>
                <w:bCs/>
                <w:sz w:val="20"/>
              </w:rPr>
            </w:pPr>
            <w:r w:rsidRPr="006E012B">
              <w:rPr>
                <w:rFonts w:ascii="Arial Narrow" w:eastAsiaTheme="majorEastAsia" w:hAnsi="Arial Narrow" w:cstheme="majorBidi"/>
                <w:b/>
                <w:bCs/>
                <w:sz w:val="20"/>
              </w:rPr>
              <w:t>Base case</w:t>
            </w:r>
          </w:p>
        </w:tc>
        <w:tc>
          <w:tcPr>
            <w:tcW w:w="1255" w:type="dxa"/>
          </w:tcPr>
          <w:p w14:paraId="70B92199" w14:textId="375AB61C" w:rsidR="00032D12" w:rsidRPr="006E012B" w:rsidRDefault="00032D12" w:rsidP="006A4DEC">
            <w:pPr>
              <w:keepNext/>
              <w:keepLines/>
              <w:widowControl w:val="0"/>
              <w:jc w:val="center"/>
              <w:rPr>
                <w:rFonts w:ascii="Arial Narrow" w:eastAsiaTheme="majorEastAsia" w:hAnsi="Arial Narrow" w:cstheme="majorBidi"/>
                <w:b/>
                <w:sz w:val="20"/>
              </w:rPr>
            </w:pPr>
            <w:r w:rsidRPr="006E012B">
              <w:rPr>
                <w:rFonts w:ascii="Arial Narrow" w:eastAsiaTheme="majorEastAsia" w:hAnsi="Arial Narrow" w:cstheme="majorBidi"/>
                <w:b/>
                <w:sz w:val="20"/>
              </w:rPr>
              <w:t xml:space="preserve"> $</w:t>
            </w:r>
            <w:r w:rsidR="00576021" w:rsidRPr="001758D2">
              <w:rPr>
                <w:rFonts w:ascii="Arial Narrow" w:eastAsiaTheme="majorEastAsia" w:hAnsi="Arial Narrow" w:cstheme="majorBidi"/>
                <w:b/>
                <w:sz w:val="20"/>
                <w:highlight w:val="black"/>
              </w:rPr>
              <w:t>&amp;&amp;&amp;&amp;</w:t>
            </w:r>
          </w:p>
        </w:tc>
        <w:tc>
          <w:tcPr>
            <w:tcW w:w="1247" w:type="dxa"/>
          </w:tcPr>
          <w:p w14:paraId="094AEF0F" w14:textId="77777777" w:rsidR="00032D12" w:rsidRPr="006E012B" w:rsidRDefault="00032D12" w:rsidP="006A4DEC">
            <w:pPr>
              <w:keepNext/>
              <w:keepLines/>
              <w:widowControl w:val="0"/>
              <w:jc w:val="center"/>
              <w:rPr>
                <w:rFonts w:ascii="Arial Narrow" w:eastAsiaTheme="majorEastAsia" w:hAnsi="Arial Narrow" w:cstheme="majorBidi"/>
                <w:b/>
                <w:sz w:val="20"/>
              </w:rPr>
            </w:pPr>
            <w:r w:rsidRPr="006E012B">
              <w:rPr>
                <w:rFonts w:ascii="Arial Narrow" w:eastAsiaTheme="majorEastAsia" w:hAnsi="Arial Narrow" w:cstheme="majorBidi"/>
                <w:b/>
                <w:sz w:val="20"/>
              </w:rPr>
              <w:t>0.71</w:t>
            </w:r>
          </w:p>
        </w:tc>
        <w:tc>
          <w:tcPr>
            <w:tcW w:w="1177" w:type="dxa"/>
          </w:tcPr>
          <w:p w14:paraId="1AC1CB53" w14:textId="2D700B5D" w:rsidR="00032D12" w:rsidRPr="00130A7B" w:rsidRDefault="00032D12" w:rsidP="006A4DEC">
            <w:pPr>
              <w:keepNext/>
              <w:keepLines/>
              <w:widowControl w:val="0"/>
              <w:jc w:val="center"/>
              <w:rPr>
                <w:rFonts w:ascii="Arial Narrow" w:eastAsiaTheme="majorEastAsia" w:hAnsi="Arial Narrow" w:cstheme="majorBidi"/>
                <w:b/>
                <w:sz w:val="20"/>
                <w:vertAlign w:val="superscript"/>
              </w:rPr>
            </w:pPr>
            <w:r w:rsidRPr="006E012B">
              <w:rPr>
                <w:rFonts w:ascii="Arial Narrow" w:eastAsiaTheme="majorEastAsia" w:hAnsi="Arial Narrow" w:cstheme="majorBidi"/>
                <w:b/>
                <w:sz w:val="20"/>
              </w:rPr>
              <w:t xml:space="preserve"> </w:t>
            </w:r>
            <w:r w:rsidRPr="00DF0008">
              <w:rPr>
                <w:rFonts w:ascii="Arial Narrow" w:eastAsiaTheme="majorEastAsia" w:hAnsi="Arial Narrow" w:cstheme="majorBidi"/>
                <w:b/>
                <w:sz w:val="20"/>
              </w:rPr>
              <w:t>$</w:t>
            </w:r>
            <w:r w:rsidR="00576021" w:rsidRPr="001758D2">
              <w:rPr>
                <w:rFonts w:ascii="Arial Narrow" w:eastAsiaTheme="majorEastAsia" w:hAnsi="Arial Narrow" w:cstheme="majorBidi"/>
                <w:b/>
                <w:sz w:val="20"/>
                <w:highlight w:val="black"/>
              </w:rPr>
              <w:t>&amp;&amp;&amp;&amp;</w:t>
            </w:r>
            <w:r w:rsidR="00130A7B">
              <w:rPr>
                <w:rFonts w:ascii="Arial Narrow" w:eastAsiaTheme="majorEastAsia" w:hAnsi="Arial Narrow" w:cstheme="majorBidi"/>
                <w:b/>
                <w:sz w:val="20"/>
                <w:vertAlign w:val="superscript"/>
              </w:rPr>
              <w:t>1</w:t>
            </w:r>
          </w:p>
        </w:tc>
        <w:tc>
          <w:tcPr>
            <w:tcW w:w="1766" w:type="dxa"/>
          </w:tcPr>
          <w:p w14:paraId="17A1DD76" w14:textId="77777777" w:rsidR="00032D12" w:rsidRPr="006E012B" w:rsidRDefault="00032D12" w:rsidP="006A4DEC">
            <w:pPr>
              <w:keepNext/>
              <w:keepLines/>
              <w:widowControl w:val="0"/>
              <w:jc w:val="center"/>
              <w:rPr>
                <w:rFonts w:ascii="Arial Narrow" w:eastAsiaTheme="majorEastAsia" w:hAnsi="Arial Narrow" w:cstheme="majorBidi"/>
                <w:b/>
                <w:bCs/>
                <w:sz w:val="20"/>
              </w:rPr>
            </w:pPr>
            <w:r w:rsidRPr="006E012B">
              <w:rPr>
                <w:rFonts w:ascii="Arial Narrow" w:eastAsiaTheme="majorEastAsia" w:hAnsi="Arial Narrow" w:cstheme="majorBidi"/>
                <w:bCs/>
                <w:sz w:val="20"/>
              </w:rPr>
              <w:t>-</w:t>
            </w:r>
          </w:p>
        </w:tc>
      </w:tr>
      <w:tr w:rsidR="00032D12" w:rsidRPr="006E012B" w14:paraId="3885D2C1" w14:textId="77777777" w:rsidTr="007A0890">
        <w:trPr>
          <w:cantSplit/>
        </w:trPr>
        <w:tc>
          <w:tcPr>
            <w:tcW w:w="9017" w:type="dxa"/>
            <w:gridSpan w:val="5"/>
            <w:tcMar>
              <w:left w:w="28" w:type="dxa"/>
              <w:right w:w="28" w:type="dxa"/>
            </w:tcMar>
          </w:tcPr>
          <w:p w14:paraId="6A64CFD3" w14:textId="77777777" w:rsidR="00032D12" w:rsidRPr="006E012B" w:rsidRDefault="00032D12" w:rsidP="006A4DEC">
            <w:pPr>
              <w:keepNext/>
              <w:keepLines/>
              <w:widowControl w:val="0"/>
              <w:jc w:val="left"/>
              <w:rPr>
                <w:rFonts w:ascii="Arial Narrow" w:eastAsiaTheme="majorEastAsia" w:hAnsi="Arial Narrow" w:cstheme="majorBidi"/>
                <w:bCs/>
                <w:sz w:val="20"/>
              </w:rPr>
            </w:pPr>
            <w:r w:rsidRPr="006E012B">
              <w:rPr>
                <w:rFonts w:ascii="Arial Narrow" w:eastAsiaTheme="majorEastAsia" w:hAnsi="Arial Narrow" w:cstheme="majorBidi"/>
                <w:bCs/>
                <w:sz w:val="20"/>
              </w:rPr>
              <w:t>Discount rate (base case 5% costs and outcomes)</w:t>
            </w:r>
          </w:p>
        </w:tc>
      </w:tr>
      <w:tr w:rsidR="00032D12" w:rsidRPr="006E012B" w14:paraId="5A6066A3" w14:textId="77777777" w:rsidTr="001A5E49">
        <w:trPr>
          <w:cantSplit/>
        </w:trPr>
        <w:tc>
          <w:tcPr>
            <w:tcW w:w="3572" w:type="dxa"/>
            <w:tcMar>
              <w:left w:w="28" w:type="dxa"/>
              <w:right w:w="28" w:type="dxa"/>
            </w:tcMar>
          </w:tcPr>
          <w:p w14:paraId="00F30EAF" w14:textId="77777777" w:rsidR="00032D12" w:rsidRPr="006E012B" w:rsidRDefault="00032D12" w:rsidP="006A4DEC">
            <w:pPr>
              <w:keepNext/>
              <w:keepLines/>
              <w:widowControl w:val="0"/>
              <w:ind w:left="24" w:firstLine="142"/>
              <w:jc w:val="left"/>
              <w:rPr>
                <w:rFonts w:ascii="Arial Narrow" w:eastAsiaTheme="majorEastAsia" w:hAnsi="Arial Narrow" w:cstheme="majorBidi"/>
                <w:bCs/>
                <w:sz w:val="20"/>
              </w:rPr>
            </w:pPr>
            <w:r w:rsidRPr="006E012B">
              <w:rPr>
                <w:rFonts w:ascii="Arial Narrow" w:eastAsiaTheme="majorEastAsia" w:hAnsi="Arial Narrow" w:cstheme="majorBidi"/>
                <w:bCs/>
                <w:sz w:val="20"/>
              </w:rPr>
              <w:t>0% costs and outcomes</w:t>
            </w:r>
          </w:p>
        </w:tc>
        <w:tc>
          <w:tcPr>
            <w:tcW w:w="1255" w:type="dxa"/>
          </w:tcPr>
          <w:p w14:paraId="0786F784" w14:textId="0449BC48" w:rsidR="00032D12" w:rsidRPr="006E012B" w:rsidRDefault="00032D12" w:rsidP="006A4DEC">
            <w:pPr>
              <w:keepNext/>
              <w:keepLines/>
              <w:widowControl w:val="0"/>
              <w:jc w:val="center"/>
              <w:rPr>
                <w:rFonts w:ascii="Arial Narrow" w:eastAsiaTheme="majorEastAsia" w:hAnsi="Arial Narrow" w:cstheme="majorBidi"/>
                <w:bCs/>
                <w:sz w:val="20"/>
              </w:rPr>
            </w:pPr>
            <w:r w:rsidRPr="006E012B">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p>
        </w:tc>
        <w:tc>
          <w:tcPr>
            <w:tcW w:w="1247" w:type="dxa"/>
          </w:tcPr>
          <w:p w14:paraId="5FD22F4F" w14:textId="77777777" w:rsidR="00032D12" w:rsidRPr="006E012B" w:rsidRDefault="00032D12" w:rsidP="006A4DEC">
            <w:pPr>
              <w:keepNext/>
              <w:keepLines/>
              <w:widowControl w:val="0"/>
              <w:jc w:val="center"/>
              <w:rPr>
                <w:rFonts w:ascii="Arial Narrow" w:eastAsiaTheme="majorEastAsia" w:hAnsi="Arial Narrow" w:cstheme="majorBidi"/>
                <w:bCs/>
                <w:sz w:val="20"/>
              </w:rPr>
            </w:pPr>
            <w:r w:rsidRPr="006E012B">
              <w:rPr>
                <w:rFonts w:ascii="Arial Narrow" w:eastAsiaTheme="majorEastAsia" w:hAnsi="Arial Narrow" w:cstheme="majorBidi"/>
                <w:bCs/>
                <w:sz w:val="20"/>
              </w:rPr>
              <w:t>1.09</w:t>
            </w:r>
          </w:p>
        </w:tc>
        <w:tc>
          <w:tcPr>
            <w:tcW w:w="1177" w:type="dxa"/>
          </w:tcPr>
          <w:p w14:paraId="1D6DE36C" w14:textId="7EB01741" w:rsidR="00032D12" w:rsidRPr="00292D3B" w:rsidRDefault="00032D12" w:rsidP="006A4DEC">
            <w:pPr>
              <w:keepNext/>
              <w:keepLines/>
              <w:widowControl w:val="0"/>
              <w:jc w:val="center"/>
              <w:rPr>
                <w:rFonts w:ascii="Arial Narrow" w:eastAsiaTheme="majorEastAsia" w:hAnsi="Arial Narrow" w:cstheme="majorBidi"/>
                <w:bCs/>
                <w:sz w:val="20"/>
                <w:vertAlign w:val="superscript"/>
              </w:rPr>
            </w:pPr>
            <w:r w:rsidRPr="006E012B">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r w:rsidR="00292D3B">
              <w:rPr>
                <w:rFonts w:ascii="Arial Narrow" w:eastAsiaTheme="majorEastAsia" w:hAnsi="Arial Narrow" w:cstheme="majorBidi"/>
                <w:bCs/>
                <w:sz w:val="20"/>
                <w:vertAlign w:val="superscript"/>
              </w:rPr>
              <w:t>2</w:t>
            </w:r>
          </w:p>
        </w:tc>
        <w:tc>
          <w:tcPr>
            <w:tcW w:w="1766" w:type="dxa"/>
          </w:tcPr>
          <w:p w14:paraId="1BBA6FD1" w14:textId="76D3638F" w:rsidR="00032D12" w:rsidRPr="00291FB6" w:rsidRDefault="00032D12" w:rsidP="006A4DEC">
            <w:pPr>
              <w:keepNext/>
              <w:keepLines/>
              <w:widowControl w:val="0"/>
              <w:jc w:val="center"/>
              <w:rPr>
                <w:rFonts w:ascii="Arial Narrow" w:eastAsiaTheme="majorEastAsia" w:hAnsi="Arial Narrow" w:cstheme="majorBidi"/>
                <w:sz w:val="20"/>
                <w:highlight w:val="darkGray"/>
              </w:rPr>
            </w:pPr>
            <w:r w:rsidRPr="0024680C">
              <w:rPr>
                <w:rFonts w:ascii="Arial Narrow" w:eastAsiaTheme="majorEastAsia" w:hAnsi="Arial Narrow" w:cstheme="majorBidi"/>
                <w:sz w:val="20"/>
              </w:rPr>
              <w:t>-</w:t>
            </w:r>
            <w:r w:rsidR="00576021" w:rsidRPr="001758D2">
              <w:rPr>
                <w:rFonts w:ascii="Arial Narrow" w:eastAsiaTheme="majorEastAsia" w:hAnsi="Arial Narrow" w:cstheme="majorBidi"/>
                <w:sz w:val="20"/>
                <w:highlight w:val="black"/>
              </w:rPr>
              <w:t>&amp;&amp;&amp;&amp;</w:t>
            </w:r>
            <w:r w:rsidRPr="00DF0008">
              <w:rPr>
                <w:rFonts w:ascii="Arial Narrow" w:eastAsiaTheme="majorEastAsia" w:hAnsi="Arial Narrow" w:cstheme="majorBidi"/>
                <w:sz w:val="20"/>
              </w:rPr>
              <w:t>%</w:t>
            </w:r>
          </w:p>
        </w:tc>
      </w:tr>
      <w:tr w:rsidR="00032D12" w:rsidRPr="006E012B" w14:paraId="21F90EA7" w14:textId="77777777" w:rsidTr="001A5E49">
        <w:trPr>
          <w:cantSplit/>
        </w:trPr>
        <w:tc>
          <w:tcPr>
            <w:tcW w:w="3572" w:type="dxa"/>
            <w:tcMar>
              <w:left w:w="28" w:type="dxa"/>
              <w:right w:w="28" w:type="dxa"/>
            </w:tcMar>
          </w:tcPr>
          <w:p w14:paraId="3F4E6085" w14:textId="77777777" w:rsidR="00032D12" w:rsidRPr="006E012B" w:rsidRDefault="00032D12" w:rsidP="006A4DEC">
            <w:pPr>
              <w:keepNext/>
              <w:keepLines/>
              <w:widowControl w:val="0"/>
              <w:ind w:left="24" w:firstLine="142"/>
              <w:jc w:val="left"/>
              <w:rPr>
                <w:rFonts w:ascii="Arial Narrow" w:eastAsiaTheme="majorEastAsia" w:hAnsi="Arial Narrow" w:cstheme="majorBidi"/>
                <w:bCs/>
                <w:sz w:val="20"/>
              </w:rPr>
            </w:pPr>
            <w:r w:rsidRPr="006E012B">
              <w:rPr>
                <w:rFonts w:ascii="Arial Narrow" w:eastAsiaTheme="majorEastAsia" w:hAnsi="Arial Narrow" w:cstheme="majorBidi"/>
                <w:bCs/>
                <w:sz w:val="20"/>
              </w:rPr>
              <w:t>3.5% costs and outcomes</w:t>
            </w:r>
          </w:p>
        </w:tc>
        <w:tc>
          <w:tcPr>
            <w:tcW w:w="1255" w:type="dxa"/>
          </w:tcPr>
          <w:p w14:paraId="3CD997F9" w14:textId="4D7C6988" w:rsidR="00032D12" w:rsidRPr="006E012B" w:rsidRDefault="00032D12" w:rsidP="006A4DEC">
            <w:pPr>
              <w:keepNext/>
              <w:keepLines/>
              <w:widowControl w:val="0"/>
              <w:jc w:val="center"/>
              <w:rPr>
                <w:rFonts w:ascii="Arial Narrow" w:eastAsiaTheme="majorEastAsia" w:hAnsi="Arial Narrow" w:cstheme="majorBidi"/>
                <w:bCs/>
                <w:sz w:val="20"/>
              </w:rPr>
            </w:pPr>
            <w:r w:rsidRPr="006E012B">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p>
        </w:tc>
        <w:tc>
          <w:tcPr>
            <w:tcW w:w="1247" w:type="dxa"/>
          </w:tcPr>
          <w:p w14:paraId="02A7F424" w14:textId="77777777" w:rsidR="00032D12" w:rsidRPr="006E012B" w:rsidRDefault="00032D12" w:rsidP="006A4DEC">
            <w:pPr>
              <w:keepNext/>
              <w:keepLines/>
              <w:widowControl w:val="0"/>
              <w:jc w:val="center"/>
              <w:rPr>
                <w:rFonts w:ascii="Arial Narrow" w:eastAsiaTheme="majorEastAsia" w:hAnsi="Arial Narrow" w:cstheme="majorBidi"/>
                <w:bCs/>
                <w:sz w:val="20"/>
              </w:rPr>
            </w:pPr>
            <w:r w:rsidRPr="006E012B">
              <w:rPr>
                <w:rFonts w:ascii="Arial Narrow" w:eastAsiaTheme="majorEastAsia" w:hAnsi="Arial Narrow" w:cstheme="majorBidi"/>
                <w:bCs/>
                <w:sz w:val="20"/>
              </w:rPr>
              <w:t>0.79</w:t>
            </w:r>
          </w:p>
        </w:tc>
        <w:tc>
          <w:tcPr>
            <w:tcW w:w="1177" w:type="dxa"/>
          </w:tcPr>
          <w:p w14:paraId="004DC3E7" w14:textId="6B40CC84" w:rsidR="00032D12" w:rsidRPr="00130A7B" w:rsidRDefault="00032D12" w:rsidP="006A4DEC">
            <w:pPr>
              <w:keepNext/>
              <w:keepLines/>
              <w:widowControl w:val="0"/>
              <w:jc w:val="center"/>
              <w:rPr>
                <w:rFonts w:ascii="Arial Narrow" w:eastAsiaTheme="majorEastAsia" w:hAnsi="Arial Narrow" w:cstheme="majorBidi"/>
                <w:bCs/>
                <w:sz w:val="20"/>
                <w:vertAlign w:val="superscript"/>
              </w:rPr>
            </w:pPr>
            <w:r w:rsidRPr="006E012B">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r w:rsidR="00130A7B">
              <w:rPr>
                <w:rFonts w:ascii="Arial Narrow" w:eastAsiaTheme="majorEastAsia" w:hAnsi="Arial Narrow" w:cstheme="majorBidi"/>
                <w:bCs/>
                <w:sz w:val="20"/>
                <w:vertAlign w:val="superscript"/>
              </w:rPr>
              <w:t>1</w:t>
            </w:r>
          </w:p>
        </w:tc>
        <w:tc>
          <w:tcPr>
            <w:tcW w:w="1766" w:type="dxa"/>
          </w:tcPr>
          <w:p w14:paraId="42611896" w14:textId="0FE63539" w:rsidR="00032D12" w:rsidRPr="00291FB6" w:rsidRDefault="00032D12" w:rsidP="006A4DEC">
            <w:pPr>
              <w:keepNext/>
              <w:keepLines/>
              <w:widowControl w:val="0"/>
              <w:jc w:val="center"/>
              <w:rPr>
                <w:rFonts w:ascii="Arial Narrow" w:eastAsiaTheme="majorEastAsia" w:hAnsi="Arial Narrow" w:cstheme="majorBidi"/>
                <w:sz w:val="20"/>
                <w:highlight w:val="darkGray"/>
              </w:rPr>
            </w:pPr>
            <w:r w:rsidRPr="009D65AF">
              <w:rPr>
                <w:rFonts w:ascii="Arial Narrow" w:eastAsiaTheme="majorEastAsia" w:hAnsi="Arial Narrow" w:cstheme="majorBidi"/>
                <w:sz w:val="20"/>
              </w:rPr>
              <w:t>-</w:t>
            </w:r>
            <w:r w:rsidR="00576021" w:rsidRPr="001758D2">
              <w:rPr>
                <w:rFonts w:ascii="Arial Narrow" w:eastAsiaTheme="majorEastAsia" w:hAnsi="Arial Narrow" w:cstheme="majorBidi"/>
                <w:sz w:val="20"/>
                <w:highlight w:val="black"/>
              </w:rPr>
              <w:t>&amp;&amp;&amp;&amp;</w:t>
            </w:r>
            <w:r w:rsidRPr="009D65AF">
              <w:rPr>
                <w:rFonts w:ascii="Arial Narrow" w:eastAsiaTheme="majorEastAsia" w:hAnsi="Arial Narrow" w:cstheme="majorBidi"/>
                <w:sz w:val="20"/>
              </w:rPr>
              <w:t>%</w:t>
            </w:r>
          </w:p>
        </w:tc>
      </w:tr>
      <w:tr w:rsidR="00032D12" w:rsidRPr="006E012B" w14:paraId="0F3C4D81" w14:textId="77777777" w:rsidTr="007A0890">
        <w:trPr>
          <w:cantSplit/>
        </w:trPr>
        <w:tc>
          <w:tcPr>
            <w:tcW w:w="9017" w:type="dxa"/>
            <w:gridSpan w:val="5"/>
            <w:tcMar>
              <w:left w:w="28" w:type="dxa"/>
              <w:right w:w="28" w:type="dxa"/>
            </w:tcMar>
          </w:tcPr>
          <w:p w14:paraId="6AB3CFEB" w14:textId="77777777" w:rsidR="00032D12" w:rsidRPr="006E012B" w:rsidRDefault="00032D12" w:rsidP="006A4DEC">
            <w:pPr>
              <w:keepNext/>
              <w:keepLines/>
              <w:widowControl w:val="0"/>
              <w:jc w:val="left"/>
              <w:rPr>
                <w:rFonts w:ascii="Arial Narrow" w:eastAsiaTheme="majorEastAsia" w:hAnsi="Arial Narrow" w:cstheme="majorBidi"/>
                <w:bCs/>
                <w:sz w:val="20"/>
              </w:rPr>
            </w:pPr>
            <w:r w:rsidRPr="006E012B">
              <w:rPr>
                <w:rFonts w:ascii="Arial Narrow" w:eastAsiaTheme="majorEastAsia" w:hAnsi="Arial Narrow" w:cstheme="majorBidi"/>
                <w:bCs/>
                <w:sz w:val="20"/>
              </w:rPr>
              <w:t>Time horizon (base case 25 years)</w:t>
            </w:r>
          </w:p>
        </w:tc>
      </w:tr>
      <w:tr w:rsidR="00032D12" w:rsidRPr="006E012B" w14:paraId="363CA4AC" w14:textId="77777777" w:rsidTr="001A5E49">
        <w:trPr>
          <w:cantSplit/>
        </w:trPr>
        <w:tc>
          <w:tcPr>
            <w:tcW w:w="3572" w:type="dxa"/>
            <w:tcMar>
              <w:left w:w="28" w:type="dxa"/>
              <w:right w:w="28" w:type="dxa"/>
            </w:tcMar>
          </w:tcPr>
          <w:p w14:paraId="17760D41" w14:textId="77777777" w:rsidR="00032D12" w:rsidRPr="006E012B" w:rsidRDefault="00032D12" w:rsidP="002D62E2">
            <w:pPr>
              <w:keepLines/>
              <w:widowControl w:val="0"/>
              <w:ind w:left="166"/>
              <w:jc w:val="left"/>
              <w:rPr>
                <w:rFonts w:ascii="Arial Narrow" w:eastAsiaTheme="majorEastAsia" w:hAnsi="Arial Narrow" w:cstheme="majorBidi"/>
                <w:bCs/>
                <w:sz w:val="20"/>
              </w:rPr>
            </w:pPr>
            <w:r w:rsidRPr="006E012B">
              <w:rPr>
                <w:rFonts w:ascii="Arial Narrow" w:eastAsiaTheme="majorEastAsia" w:hAnsi="Arial Narrow" w:cstheme="majorBidi"/>
                <w:bCs/>
                <w:sz w:val="20"/>
              </w:rPr>
              <w:t xml:space="preserve">15 years </w:t>
            </w:r>
          </w:p>
        </w:tc>
        <w:tc>
          <w:tcPr>
            <w:tcW w:w="1255" w:type="dxa"/>
          </w:tcPr>
          <w:p w14:paraId="26E743B7" w14:textId="13283389" w:rsidR="00032D12" w:rsidRPr="006E012B" w:rsidRDefault="00032D12">
            <w:pPr>
              <w:pStyle w:val="TableText0"/>
              <w:jc w:val="center"/>
            </w:pPr>
            <w:r w:rsidRPr="006E012B">
              <w:t>$</w:t>
            </w:r>
            <w:r w:rsidR="00576021" w:rsidRPr="001758D2">
              <w:rPr>
                <w:highlight w:val="black"/>
              </w:rPr>
              <w:t>&amp;&amp;&amp;&amp;</w:t>
            </w:r>
          </w:p>
        </w:tc>
        <w:tc>
          <w:tcPr>
            <w:tcW w:w="1247" w:type="dxa"/>
          </w:tcPr>
          <w:p w14:paraId="111D99CD" w14:textId="77777777" w:rsidR="00032D12" w:rsidRPr="006E012B" w:rsidRDefault="00032D12">
            <w:pPr>
              <w:pStyle w:val="TableText0"/>
              <w:jc w:val="center"/>
            </w:pPr>
            <w:r w:rsidRPr="006E012B">
              <w:t>0.58</w:t>
            </w:r>
          </w:p>
        </w:tc>
        <w:tc>
          <w:tcPr>
            <w:tcW w:w="1177" w:type="dxa"/>
          </w:tcPr>
          <w:p w14:paraId="37A20A8A" w14:textId="2C91807F" w:rsidR="00032D12" w:rsidRPr="00437CF7" w:rsidRDefault="00032D12">
            <w:pPr>
              <w:pStyle w:val="TableText0"/>
              <w:jc w:val="center"/>
              <w:rPr>
                <w:vertAlign w:val="superscript"/>
              </w:rPr>
            </w:pPr>
            <w:r w:rsidRPr="00DF0008">
              <w:t>$</w:t>
            </w:r>
            <w:r w:rsidR="00576021" w:rsidRPr="001758D2">
              <w:rPr>
                <w:highlight w:val="black"/>
              </w:rPr>
              <w:t>&amp;&amp;&amp;&amp;</w:t>
            </w:r>
            <w:r w:rsidR="00437CF7">
              <w:rPr>
                <w:vertAlign w:val="superscript"/>
              </w:rPr>
              <w:t>3</w:t>
            </w:r>
          </w:p>
        </w:tc>
        <w:tc>
          <w:tcPr>
            <w:tcW w:w="1766" w:type="dxa"/>
          </w:tcPr>
          <w:p w14:paraId="5E7B2B65" w14:textId="19103AD5" w:rsidR="00032D12" w:rsidRPr="003711BD" w:rsidRDefault="00576021">
            <w:pPr>
              <w:pStyle w:val="TableText0"/>
              <w:jc w:val="center"/>
              <w:rPr>
                <w:highlight w:val="yellow"/>
              </w:rPr>
            </w:pPr>
            <w:r w:rsidRPr="001758D2">
              <w:rPr>
                <w:highlight w:val="black"/>
              </w:rPr>
              <w:t>&amp;&amp;&amp;&amp;</w:t>
            </w:r>
            <w:r w:rsidR="00032D12" w:rsidRPr="00417592">
              <w:t>%</w:t>
            </w:r>
          </w:p>
        </w:tc>
      </w:tr>
      <w:tr w:rsidR="00032D12" w:rsidRPr="006E012B" w14:paraId="0BA84B60" w14:textId="77777777" w:rsidTr="001A5E49">
        <w:trPr>
          <w:cantSplit/>
        </w:trPr>
        <w:tc>
          <w:tcPr>
            <w:tcW w:w="3572" w:type="dxa"/>
            <w:tcMar>
              <w:left w:w="28" w:type="dxa"/>
              <w:right w:w="28" w:type="dxa"/>
            </w:tcMar>
          </w:tcPr>
          <w:p w14:paraId="4F86324D" w14:textId="77777777" w:rsidR="00032D12" w:rsidRPr="006E012B" w:rsidRDefault="00032D12" w:rsidP="002D62E2">
            <w:pPr>
              <w:keepLines/>
              <w:widowControl w:val="0"/>
              <w:ind w:left="166"/>
              <w:jc w:val="left"/>
              <w:rPr>
                <w:rFonts w:ascii="Arial Narrow" w:eastAsiaTheme="majorEastAsia" w:hAnsi="Arial Narrow" w:cstheme="majorBidi"/>
                <w:bCs/>
                <w:sz w:val="20"/>
              </w:rPr>
            </w:pPr>
            <w:r w:rsidRPr="006E012B">
              <w:rPr>
                <w:rFonts w:ascii="Arial Narrow" w:eastAsiaTheme="majorEastAsia" w:hAnsi="Arial Narrow" w:cstheme="majorBidi"/>
                <w:bCs/>
                <w:sz w:val="20"/>
              </w:rPr>
              <w:t xml:space="preserve">20 years </w:t>
            </w:r>
          </w:p>
        </w:tc>
        <w:tc>
          <w:tcPr>
            <w:tcW w:w="1255" w:type="dxa"/>
          </w:tcPr>
          <w:p w14:paraId="6A448950" w14:textId="0C7FC408" w:rsidR="00032D12" w:rsidRPr="006E012B" w:rsidRDefault="00032D12">
            <w:pPr>
              <w:keepLines/>
              <w:widowControl w:val="0"/>
              <w:jc w:val="center"/>
              <w:rPr>
                <w:rFonts w:ascii="Arial Narrow" w:eastAsiaTheme="majorEastAsia" w:hAnsi="Arial Narrow" w:cstheme="majorBidi"/>
                <w:bCs/>
                <w:sz w:val="20"/>
              </w:rPr>
            </w:pPr>
            <w:r w:rsidRPr="006E012B">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p>
        </w:tc>
        <w:tc>
          <w:tcPr>
            <w:tcW w:w="1247" w:type="dxa"/>
          </w:tcPr>
          <w:p w14:paraId="6254BDFE" w14:textId="77777777" w:rsidR="00032D12" w:rsidRPr="006E012B" w:rsidRDefault="00032D12">
            <w:pPr>
              <w:keepLines/>
              <w:widowControl w:val="0"/>
              <w:jc w:val="center"/>
              <w:rPr>
                <w:rFonts w:ascii="Arial Narrow" w:eastAsiaTheme="majorEastAsia" w:hAnsi="Arial Narrow" w:cstheme="majorBidi"/>
                <w:bCs/>
                <w:sz w:val="20"/>
              </w:rPr>
            </w:pPr>
            <w:r w:rsidRPr="006E012B">
              <w:rPr>
                <w:rFonts w:ascii="Arial Narrow" w:eastAsiaTheme="majorEastAsia" w:hAnsi="Arial Narrow" w:cstheme="majorBidi"/>
                <w:bCs/>
                <w:sz w:val="20"/>
              </w:rPr>
              <w:t>0.66</w:t>
            </w:r>
          </w:p>
        </w:tc>
        <w:tc>
          <w:tcPr>
            <w:tcW w:w="1177" w:type="dxa"/>
          </w:tcPr>
          <w:p w14:paraId="6809A3BF" w14:textId="5E0C21E3" w:rsidR="00032D12" w:rsidRPr="00437CF7" w:rsidRDefault="00032D12">
            <w:pPr>
              <w:keepLines/>
              <w:widowControl w:val="0"/>
              <w:jc w:val="center"/>
              <w:rPr>
                <w:rFonts w:ascii="Arial Narrow" w:eastAsiaTheme="majorEastAsia" w:hAnsi="Arial Narrow" w:cstheme="majorBidi"/>
                <w:bCs/>
                <w:sz w:val="20"/>
                <w:vertAlign w:val="superscript"/>
              </w:rPr>
            </w:pPr>
            <w:r w:rsidRPr="00DF0008">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r w:rsidR="00437CF7">
              <w:rPr>
                <w:rFonts w:ascii="Arial Narrow" w:eastAsiaTheme="majorEastAsia" w:hAnsi="Arial Narrow" w:cstheme="majorBidi"/>
                <w:bCs/>
                <w:sz w:val="20"/>
                <w:vertAlign w:val="superscript"/>
              </w:rPr>
              <w:t>3</w:t>
            </w:r>
          </w:p>
        </w:tc>
        <w:tc>
          <w:tcPr>
            <w:tcW w:w="1766" w:type="dxa"/>
          </w:tcPr>
          <w:p w14:paraId="54DBB47F" w14:textId="5BB0E89A" w:rsidR="00032D12" w:rsidRPr="003711BD" w:rsidRDefault="00576021">
            <w:pPr>
              <w:keepLines/>
              <w:widowControl w:val="0"/>
              <w:jc w:val="center"/>
              <w:rPr>
                <w:rFonts w:ascii="Arial Narrow" w:eastAsiaTheme="majorEastAsia" w:hAnsi="Arial Narrow" w:cstheme="majorBidi"/>
                <w:sz w:val="20"/>
                <w:highlight w:val="yellow"/>
              </w:rPr>
            </w:pPr>
            <w:r w:rsidRPr="001758D2">
              <w:rPr>
                <w:rFonts w:ascii="Arial Narrow" w:eastAsiaTheme="majorEastAsia" w:hAnsi="Arial Narrow" w:cstheme="majorBidi"/>
                <w:sz w:val="20"/>
                <w:highlight w:val="black"/>
              </w:rPr>
              <w:t>&amp;&amp;&amp;&amp;</w:t>
            </w:r>
            <w:r w:rsidR="00032D12" w:rsidRPr="00417592">
              <w:rPr>
                <w:rFonts w:ascii="Arial Narrow" w:eastAsiaTheme="majorEastAsia" w:hAnsi="Arial Narrow" w:cstheme="majorBidi"/>
                <w:sz w:val="20"/>
              </w:rPr>
              <w:t>%</w:t>
            </w:r>
          </w:p>
        </w:tc>
      </w:tr>
      <w:tr w:rsidR="00032D12" w:rsidRPr="006E012B" w14:paraId="31F45818" w14:textId="77777777" w:rsidTr="007A0890">
        <w:trPr>
          <w:cantSplit/>
        </w:trPr>
        <w:tc>
          <w:tcPr>
            <w:tcW w:w="9017" w:type="dxa"/>
            <w:gridSpan w:val="5"/>
            <w:tcMar>
              <w:left w:w="28" w:type="dxa"/>
              <w:right w:w="28" w:type="dxa"/>
            </w:tcMar>
          </w:tcPr>
          <w:p w14:paraId="5FBEB360" w14:textId="69384D85" w:rsidR="00032D12" w:rsidRPr="006E012B" w:rsidRDefault="00032D12">
            <w:pPr>
              <w:keepLines/>
              <w:widowControl w:val="0"/>
              <w:jc w:val="left"/>
              <w:rPr>
                <w:rFonts w:ascii="Arial Narrow" w:eastAsiaTheme="majorEastAsia" w:hAnsi="Arial Narrow" w:cstheme="majorBidi"/>
                <w:bCs/>
                <w:sz w:val="20"/>
              </w:rPr>
            </w:pPr>
            <w:r w:rsidRPr="006E012B">
              <w:rPr>
                <w:rFonts w:ascii="Arial Narrow" w:eastAsiaTheme="majorEastAsia" w:hAnsi="Arial Narrow" w:cstheme="majorBidi"/>
                <w:bCs/>
                <w:sz w:val="20"/>
              </w:rPr>
              <w:t>Extrapolation (base case: log-logistic/Gompertz/gen-gamma</w:t>
            </w:r>
            <w:r w:rsidR="009A6AB8" w:rsidRPr="006E012B">
              <w:rPr>
                <w:rFonts w:ascii="Arial Narrow" w:eastAsiaTheme="majorEastAsia" w:hAnsi="Arial Narrow" w:cstheme="majorBidi"/>
                <w:bCs/>
                <w:sz w:val="20"/>
              </w:rPr>
              <w:t>)</w:t>
            </w:r>
          </w:p>
        </w:tc>
      </w:tr>
      <w:tr w:rsidR="00032D12" w:rsidRPr="006E012B" w14:paraId="3F06EF81" w14:textId="77777777" w:rsidTr="001A5E49">
        <w:trPr>
          <w:cantSplit/>
        </w:trPr>
        <w:tc>
          <w:tcPr>
            <w:tcW w:w="3572" w:type="dxa"/>
            <w:tcMar>
              <w:left w:w="28" w:type="dxa"/>
              <w:right w:w="28" w:type="dxa"/>
            </w:tcMar>
          </w:tcPr>
          <w:p w14:paraId="05E471FB" w14:textId="323FDAAD" w:rsidR="00032D12" w:rsidRPr="006E012B" w:rsidRDefault="00032D12" w:rsidP="002D62E2">
            <w:pPr>
              <w:keepLines/>
              <w:widowControl w:val="0"/>
              <w:ind w:left="166"/>
              <w:jc w:val="left"/>
              <w:rPr>
                <w:rFonts w:ascii="Arial Narrow" w:eastAsiaTheme="majorEastAsia" w:hAnsi="Arial Narrow" w:cstheme="majorBidi"/>
                <w:bCs/>
                <w:sz w:val="20"/>
              </w:rPr>
            </w:pPr>
            <w:proofErr w:type="spellStart"/>
            <w:r w:rsidRPr="006E012B">
              <w:rPr>
                <w:rFonts w:ascii="Arial Narrow" w:eastAsiaTheme="majorEastAsia" w:hAnsi="Arial Narrow" w:cstheme="majorBidi"/>
                <w:bCs/>
                <w:sz w:val="20"/>
              </w:rPr>
              <w:t>PEM+SoC</w:t>
            </w:r>
            <w:proofErr w:type="spellEnd"/>
            <w:r w:rsidRPr="006E012B">
              <w:rPr>
                <w:rFonts w:ascii="Arial Narrow" w:eastAsiaTheme="majorEastAsia" w:hAnsi="Arial Narrow" w:cstheme="majorBidi"/>
                <w:bCs/>
                <w:sz w:val="20"/>
              </w:rPr>
              <w:t>: exponential/gen</w:t>
            </w:r>
            <w:r w:rsidR="00887402" w:rsidRPr="006E012B">
              <w:rPr>
                <w:rFonts w:ascii="Arial Narrow" w:eastAsiaTheme="majorEastAsia" w:hAnsi="Arial Narrow" w:cstheme="majorBidi"/>
                <w:bCs/>
                <w:sz w:val="20"/>
              </w:rPr>
              <w:t xml:space="preserve"> </w:t>
            </w:r>
            <w:r w:rsidRPr="006E012B">
              <w:rPr>
                <w:rFonts w:ascii="Arial Narrow" w:eastAsiaTheme="majorEastAsia" w:hAnsi="Arial Narrow" w:cstheme="majorBidi"/>
                <w:bCs/>
                <w:sz w:val="20"/>
              </w:rPr>
              <w:t>gamma/gen</w:t>
            </w:r>
            <w:r w:rsidR="00887402" w:rsidRPr="006E012B">
              <w:rPr>
                <w:rFonts w:ascii="Arial Narrow" w:eastAsiaTheme="majorEastAsia" w:hAnsi="Arial Narrow" w:cstheme="majorBidi"/>
                <w:bCs/>
                <w:sz w:val="20"/>
              </w:rPr>
              <w:t xml:space="preserve"> </w:t>
            </w:r>
            <w:r w:rsidRPr="006E012B">
              <w:rPr>
                <w:rFonts w:ascii="Arial Narrow" w:eastAsiaTheme="majorEastAsia" w:hAnsi="Arial Narrow" w:cstheme="majorBidi"/>
                <w:bCs/>
                <w:sz w:val="20"/>
              </w:rPr>
              <w:t>gamma</w:t>
            </w:r>
          </w:p>
          <w:p w14:paraId="27F554D2" w14:textId="4AF9CADF" w:rsidR="00032D12" w:rsidRPr="006E012B" w:rsidRDefault="00032D12" w:rsidP="002D62E2">
            <w:pPr>
              <w:keepLines/>
              <w:widowControl w:val="0"/>
              <w:ind w:left="166"/>
              <w:jc w:val="left"/>
              <w:rPr>
                <w:rFonts w:ascii="Arial Narrow" w:eastAsiaTheme="majorEastAsia" w:hAnsi="Arial Narrow" w:cstheme="majorBidi"/>
                <w:bCs/>
                <w:sz w:val="20"/>
              </w:rPr>
            </w:pPr>
            <w:r w:rsidRPr="006E012B">
              <w:rPr>
                <w:rFonts w:ascii="Arial Narrow" w:eastAsiaTheme="majorEastAsia" w:hAnsi="Arial Narrow" w:cstheme="majorBidi"/>
                <w:bCs/>
                <w:sz w:val="20"/>
              </w:rPr>
              <w:t>SoC: log-logistic/gen</w:t>
            </w:r>
            <w:r w:rsidR="00887402" w:rsidRPr="006E012B">
              <w:rPr>
                <w:rFonts w:ascii="Arial Narrow" w:eastAsiaTheme="majorEastAsia" w:hAnsi="Arial Narrow" w:cstheme="majorBidi"/>
                <w:bCs/>
                <w:sz w:val="20"/>
              </w:rPr>
              <w:t xml:space="preserve"> </w:t>
            </w:r>
            <w:r w:rsidRPr="006E012B">
              <w:rPr>
                <w:rFonts w:ascii="Arial Narrow" w:eastAsiaTheme="majorEastAsia" w:hAnsi="Arial Narrow" w:cstheme="majorBidi"/>
                <w:bCs/>
                <w:sz w:val="20"/>
              </w:rPr>
              <w:t xml:space="preserve">gamma/gen-gamma) </w:t>
            </w:r>
            <w:r w:rsidRPr="006E012B">
              <w:rPr>
                <w:rFonts w:ascii="Arial Narrow" w:eastAsiaTheme="majorEastAsia" w:hAnsi="Arial Narrow" w:cstheme="majorBidi"/>
                <w:b/>
                <w:sz w:val="20"/>
              </w:rPr>
              <w:t>(#4)</w:t>
            </w:r>
          </w:p>
        </w:tc>
        <w:tc>
          <w:tcPr>
            <w:tcW w:w="1255" w:type="dxa"/>
            <w:vAlign w:val="center"/>
          </w:tcPr>
          <w:p w14:paraId="09C3BD55" w14:textId="7D9CD14D" w:rsidR="00032D12" w:rsidRPr="006E012B" w:rsidRDefault="00032D12" w:rsidP="009430CC">
            <w:pPr>
              <w:keepLines/>
              <w:widowControl w:val="0"/>
              <w:jc w:val="center"/>
              <w:rPr>
                <w:rFonts w:ascii="Arial Narrow" w:eastAsiaTheme="majorEastAsia" w:hAnsi="Arial Narrow" w:cstheme="majorBidi"/>
                <w:bCs/>
                <w:sz w:val="20"/>
              </w:rPr>
            </w:pPr>
            <w:r w:rsidRPr="006E012B">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p>
        </w:tc>
        <w:tc>
          <w:tcPr>
            <w:tcW w:w="1247" w:type="dxa"/>
            <w:vAlign w:val="center"/>
          </w:tcPr>
          <w:p w14:paraId="35430C78" w14:textId="77777777" w:rsidR="00032D12" w:rsidRPr="006E012B" w:rsidRDefault="00032D12" w:rsidP="009430CC">
            <w:pPr>
              <w:keepLines/>
              <w:widowControl w:val="0"/>
              <w:jc w:val="center"/>
              <w:rPr>
                <w:rFonts w:ascii="Arial Narrow" w:eastAsiaTheme="majorEastAsia" w:hAnsi="Arial Narrow" w:cstheme="majorBidi"/>
                <w:bCs/>
                <w:sz w:val="20"/>
              </w:rPr>
            </w:pPr>
            <w:r w:rsidRPr="006E012B">
              <w:rPr>
                <w:rFonts w:ascii="Arial Narrow" w:eastAsiaTheme="majorEastAsia" w:hAnsi="Arial Narrow" w:cstheme="majorBidi"/>
                <w:bCs/>
                <w:sz w:val="20"/>
              </w:rPr>
              <w:t>0.61</w:t>
            </w:r>
          </w:p>
        </w:tc>
        <w:tc>
          <w:tcPr>
            <w:tcW w:w="1177" w:type="dxa"/>
            <w:vAlign w:val="center"/>
          </w:tcPr>
          <w:p w14:paraId="68421FF9" w14:textId="6AFB4122" w:rsidR="00032D12" w:rsidRPr="00437CF7" w:rsidRDefault="00032D12" w:rsidP="009430CC">
            <w:pPr>
              <w:keepLines/>
              <w:widowControl w:val="0"/>
              <w:jc w:val="center"/>
              <w:rPr>
                <w:rFonts w:ascii="Arial Narrow" w:eastAsiaTheme="majorEastAsia" w:hAnsi="Arial Narrow" w:cstheme="majorBidi"/>
                <w:bCs/>
                <w:sz w:val="20"/>
                <w:vertAlign w:val="superscript"/>
              </w:rPr>
            </w:pPr>
            <w:r w:rsidRPr="006E012B">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r w:rsidR="00437CF7">
              <w:rPr>
                <w:rFonts w:ascii="Arial Narrow" w:eastAsiaTheme="majorEastAsia" w:hAnsi="Arial Narrow" w:cstheme="majorBidi"/>
                <w:bCs/>
                <w:sz w:val="20"/>
                <w:vertAlign w:val="superscript"/>
              </w:rPr>
              <w:t>3</w:t>
            </w:r>
          </w:p>
        </w:tc>
        <w:tc>
          <w:tcPr>
            <w:tcW w:w="1766" w:type="dxa"/>
            <w:vAlign w:val="center"/>
          </w:tcPr>
          <w:p w14:paraId="4BD17F21" w14:textId="19D624F5" w:rsidR="00032D12" w:rsidRPr="0082416B" w:rsidRDefault="00576021" w:rsidP="009430CC">
            <w:pPr>
              <w:keepLines/>
              <w:widowControl w:val="0"/>
              <w:jc w:val="center"/>
              <w:rPr>
                <w:rFonts w:ascii="Arial Narrow" w:eastAsiaTheme="majorEastAsia" w:hAnsi="Arial Narrow" w:cstheme="majorBidi"/>
                <w:bCs/>
                <w:sz w:val="20"/>
                <w:highlight w:val="darkGray"/>
              </w:rPr>
            </w:pPr>
            <w:r w:rsidRPr="001758D2">
              <w:rPr>
                <w:rFonts w:ascii="Arial Narrow" w:eastAsiaTheme="majorEastAsia" w:hAnsi="Arial Narrow" w:cstheme="majorBidi"/>
                <w:bCs/>
                <w:sz w:val="20"/>
                <w:highlight w:val="black"/>
              </w:rPr>
              <w:t>&amp;&amp;&amp;&amp;</w:t>
            </w:r>
            <w:r w:rsidR="00032D12" w:rsidRPr="001F0D46">
              <w:rPr>
                <w:rFonts w:ascii="Arial Narrow" w:eastAsiaTheme="majorEastAsia" w:hAnsi="Arial Narrow" w:cstheme="majorBidi"/>
                <w:bCs/>
                <w:sz w:val="20"/>
              </w:rPr>
              <w:t>%</w:t>
            </w:r>
          </w:p>
        </w:tc>
      </w:tr>
      <w:tr w:rsidR="00AF6A27" w:rsidRPr="006E012B" w14:paraId="4F3B5148" w14:textId="77777777" w:rsidTr="001A5E49">
        <w:trPr>
          <w:cantSplit/>
        </w:trPr>
        <w:tc>
          <w:tcPr>
            <w:tcW w:w="3572" w:type="dxa"/>
            <w:tcMar>
              <w:left w:w="28" w:type="dxa"/>
              <w:right w:w="28" w:type="dxa"/>
            </w:tcMar>
          </w:tcPr>
          <w:p w14:paraId="04201686" w14:textId="1F24A000" w:rsidR="002D62E2" w:rsidRPr="006E012B" w:rsidRDefault="00AF6A27" w:rsidP="002D62E2">
            <w:pPr>
              <w:keepLines/>
              <w:widowControl w:val="0"/>
              <w:ind w:left="166"/>
              <w:jc w:val="left"/>
              <w:rPr>
                <w:rFonts w:ascii="Arial Narrow" w:eastAsiaTheme="majorEastAsia" w:hAnsi="Arial Narrow" w:cstheme="majorBidi"/>
                <w:bCs/>
                <w:sz w:val="20"/>
              </w:rPr>
            </w:pPr>
            <w:proofErr w:type="spellStart"/>
            <w:r w:rsidRPr="006E012B">
              <w:rPr>
                <w:rFonts w:ascii="Arial Narrow" w:eastAsiaTheme="majorEastAsia" w:hAnsi="Arial Narrow" w:cstheme="majorBidi"/>
                <w:bCs/>
                <w:sz w:val="20"/>
              </w:rPr>
              <w:t>PEM+SoC</w:t>
            </w:r>
            <w:proofErr w:type="spellEnd"/>
            <w:r w:rsidRPr="006E012B">
              <w:rPr>
                <w:rFonts w:ascii="Arial Narrow" w:eastAsiaTheme="majorEastAsia" w:hAnsi="Arial Narrow" w:cstheme="majorBidi"/>
                <w:bCs/>
                <w:sz w:val="20"/>
              </w:rPr>
              <w:t>: exponential/gen gamma/Gompertz</w:t>
            </w:r>
          </w:p>
          <w:p w14:paraId="2AD1C2E1" w14:textId="2C428E33" w:rsidR="00AF6A27" w:rsidRPr="006E012B" w:rsidRDefault="00AF6A27" w:rsidP="002D62E2">
            <w:pPr>
              <w:keepLines/>
              <w:widowControl w:val="0"/>
              <w:ind w:left="166"/>
              <w:jc w:val="left"/>
              <w:rPr>
                <w:rFonts w:ascii="Arial Narrow" w:eastAsiaTheme="majorEastAsia" w:hAnsi="Arial Narrow" w:cstheme="majorBidi"/>
                <w:bCs/>
                <w:sz w:val="20"/>
              </w:rPr>
            </w:pPr>
            <w:r w:rsidRPr="006E012B">
              <w:rPr>
                <w:rFonts w:ascii="Arial Narrow" w:eastAsiaTheme="majorEastAsia" w:hAnsi="Arial Narrow" w:cstheme="majorBidi"/>
                <w:bCs/>
                <w:sz w:val="20"/>
              </w:rPr>
              <w:t>SoC: gen gamma/gen gamma/gen gamma</w:t>
            </w:r>
          </w:p>
        </w:tc>
        <w:tc>
          <w:tcPr>
            <w:tcW w:w="1255" w:type="dxa"/>
            <w:vAlign w:val="center"/>
          </w:tcPr>
          <w:p w14:paraId="4C2DF28D" w14:textId="13817873" w:rsidR="00AF6A27" w:rsidRPr="006E012B" w:rsidRDefault="00AF6A27" w:rsidP="009430CC">
            <w:pPr>
              <w:pStyle w:val="Tabletext"/>
              <w:jc w:val="center"/>
              <w:rPr>
                <w:rFonts w:eastAsiaTheme="majorEastAsia" w:cstheme="majorBidi"/>
                <w:bCs/>
              </w:rPr>
            </w:pPr>
            <w:r w:rsidRPr="006E012B">
              <w:t>$</w:t>
            </w:r>
            <w:r w:rsidR="00576021" w:rsidRPr="001758D2">
              <w:rPr>
                <w:highlight w:val="black"/>
              </w:rPr>
              <w:t>&amp;&amp;&amp;&amp;</w:t>
            </w:r>
          </w:p>
        </w:tc>
        <w:tc>
          <w:tcPr>
            <w:tcW w:w="1247" w:type="dxa"/>
            <w:vAlign w:val="center"/>
          </w:tcPr>
          <w:p w14:paraId="19BEE9A3" w14:textId="2957108F" w:rsidR="00AF6A27" w:rsidRPr="006E012B" w:rsidRDefault="00AF6A27" w:rsidP="009430CC">
            <w:pPr>
              <w:pStyle w:val="Tabletext"/>
              <w:jc w:val="center"/>
              <w:rPr>
                <w:rFonts w:eastAsiaTheme="majorEastAsia" w:cstheme="majorBidi"/>
                <w:bCs/>
              </w:rPr>
            </w:pPr>
            <w:r w:rsidRPr="006E012B">
              <w:t>0.50</w:t>
            </w:r>
          </w:p>
        </w:tc>
        <w:tc>
          <w:tcPr>
            <w:tcW w:w="1177" w:type="dxa"/>
            <w:vAlign w:val="center"/>
          </w:tcPr>
          <w:p w14:paraId="4C15C098" w14:textId="53D803FC" w:rsidR="00AF6A27" w:rsidRPr="00437CF7" w:rsidRDefault="00AF6A27" w:rsidP="009430CC">
            <w:pPr>
              <w:pStyle w:val="Tabletext"/>
              <w:jc w:val="center"/>
              <w:rPr>
                <w:rFonts w:eastAsiaTheme="majorEastAsia" w:cstheme="majorBidi"/>
                <w:bCs/>
                <w:vertAlign w:val="superscript"/>
              </w:rPr>
            </w:pPr>
            <w:r w:rsidRPr="006E012B">
              <w:t>$</w:t>
            </w:r>
            <w:r w:rsidR="00576021" w:rsidRPr="001758D2">
              <w:rPr>
                <w:highlight w:val="black"/>
              </w:rPr>
              <w:t>&amp;&amp;&amp;&amp;</w:t>
            </w:r>
            <w:r w:rsidR="00437CF7">
              <w:rPr>
                <w:vertAlign w:val="superscript"/>
              </w:rPr>
              <w:t>3</w:t>
            </w:r>
          </w:p>
        </w:tc>
        <w:tc>
          <w:tcPr>
            <w:tcW w:w="1766" w:type="dxa"/>
            <w:vAlign w:val="center"/>
          </w:tcPr>
          <w:p w14:paraId="798A71C3" w14:textId="0BE028AA" w:rsidR="00AF6A27" w:rsidRPr="0082416B" w:rsidRDefault="00576021" w:rsidP="009430CC">
            <w:pPr>
              <w:pStyle w:val="Tabletext"/>
              <w:jc w:val="center"/>
              <w:rPr>
                <w:rFonts w:eastAsiaTheme="majorEastAsia" w:cstheme="majorBidi"/>
                <w:bCs/>
                <w:highlight w:val="darkGray"/>
              </w:rPr>
            </w:pPr>
            <w:r w:rsidRPr="001758D2">
              <w:rPr>
                <w:highlight w:val="black"/>
              </w:rPr>
              <w:t>&amp;&amp;&amp;&amp;</w:t>
            </w:r>
            <w:r w:rsidR="00AF6A27" w:rsidRPr="001F0D46">
              <w:t>%</w:t>
            </w:r>
          </w:p>
        </w:tc>
      </w:tr>
      <w:tr w:rsidR="00AF6A27" w:rsidRPr="006E012B" w14:paraId="04440C72" w14:textId="77777777" w:rsidTr="001A5E49">
        <w:trPr>
          <w:cantSplit/>
        </w:trPr>
        <w:tc>
          <w:tcPr>
            <w:tcW w:w="3572" w:type="dxa"/>
            <w:tcMar>
              <w:left w:w="28" w:type="dxa"/>
              <w:right w:w="28" w:type="dxa"/>
            </w:tcMar>
          </w:tcPr>
          <w:p w14:paraId="0C590BDD" w14:textId="2A5CDA5C" w:rsidR="002D62E2" w:rsidRPr="006E012B" w:rsidRDefault="00AF6A27" w:rsidP="002D62E2">
            <w:pPr>
              <w:keepLines/>
              <w:widowControl w:val="0"/>
              <w:ind w:left="166"/>
              <w:jc w:val="left"/>
              <w:rPr>
                <w:rFonts w:ascii="Arial Narrow" w:eastAsiaTheme="majorEastAsia" w:hAnsi="Arial Narrow" w:cstheme="majorBidi"/>
                <w:bCs/>
                <w:sz w:val="20"/>
              </w:rPr>
            </w:pPr>
            <w:proofErr w:type="spellStart"/>
            <w:r w:rsidRPr="006E012B">
              <w:rPr>
                <w:rFonts w:ascii="Arial Narrow" w:eastAsiaTheme="majorEastAsia" w:hAnsi="Arial Narrow" w:cstheme="majorBidi"/>
                <w:bCs/>
                <w:sz w:val="20"/>
              </w:rPr>
              <w:t>PEM+SoC</w:t>
            </w:r>
            <w:proofErr w:type="spellEnd"/>
            <w:r w:rsidRPr="006E012B">
              <w:rPr>
                <w:rFonts w:ascii="Arial Narrow" w:eastAsiaTheme="majorEastAsia" w:hAnsi="Arial Narrow" w:cstheme="majorBidi"/>
                <w:bCs/>
                <w:sz w:val="20"/>
              </w:rPr>
              <w:t>: exponential/Gompertz/gen gamma</w:t>
            </w:r>
          </w:p>
          <w:p w14:paraId="3F3A7BA4" w14:textId="64FA93BB" w:rsidR="00AF6A27" w:rsidRPr="006E012B" w:rsidRDefault="00AF6A27" w:rsidP="002D62E2">
            <w:pPr>
              <w:keepLines/>
              <w:widowControl w:val="0"/>
              <w:ind w:left="166"/>
              <w:jc w:val="left"/>
              <w:rPr>
                <w:rFonts w:ascii="Arial Narrow" w:eastAsiaTheme="majorEastAsia" w:hAnsi="Arial Narrow" w:cstheme="majorBidi"/>
                <w:bCs/>
                <w:sz w:val="20"/>
              </w:rPr>
            </w:pPr>
            <w:r w:rsidRPr="006E012B">
              <w:rPr>
                <w:rFonts w:ascii="Arial Narrow" w:eastAsiaTheme="majorEastAsia" w:hAnsi="Arial Narrow" w:cstheme="majorBidi"/>
                <w:bCs/>
                <w:sz w:val="20"/>
              </w:rPr>
              <w:t>SoC: ge</w:t>
            </w:r>
            <w:r w:rsidR="000511E4" w:rsidRPr="006E012B">
              <w:rPr>
                <w:rFonts w:ascii="Arial Narrow" w:eastAsiaTheme="majorEastAsia" w:hAnsi="Arial Narrow" w:cstheme="majorBidi"/>
                <w:bCs/>
                <w:sz w:val="20"/>
              </w:rPr>
              <w:t xml:space="preserve">n </w:t>
            </w:r>
            <w:r w:rsidRPr="006E012B">
              <w:rPr>
                <w:rFonts w:ascii="Arial Narrow" w:eastAsiaTheme="majorEastAsia" w:hAnsi="Arial Narrow" w:cstheme="majorBidi"/>
                <w:bCs/>
                <w:sz w:val="20"/>
              </w:rPr>
              <w:t>gamma/Gompertz/gen gamma</w:t>
            </w:r>
          </w:p>
        </w:tc>
        <w:tc>
          <w:tcPr>
            <w:tcW w:w="1255" w:type="dxa"/>
            <w:vAlign w:val="center"/>
          </w:tcPr>
          <w:p w14:paraId="41A61154" w14:textId="4E234E32" w:rsidR="00AF6A27" w:rsidRPr="006E012B" w:rsidRDefault="00AF6A27" w:rsidP="009430CC">
            <w:pPr>
              <w:pStyle w:val="Tabletext"/>
              <w:jc w:val="center"/>
              <w:rPr>
                <w:rFonts w:eastAsiaTheme="majorEastAsia" w:cstheme="majorBidi"/>
                <w:bCs/>
              </w:rPr>
            </w:pPr>
            <w:r w:rsidRPr="006E012B">
              <w:t>$</w:t>
            </w:r>
            <w:r w:rsidR="00576021" w:rsidRPr="001758D2">
              <w:rPr>
                <w:highlight w:val="black"/>
              </w:rPr>
              <w:t>&amp;&amp;&amp;&amp;</w:t>
            </w:r>
          </w:p>
        </w:tc>
        <w:tc>
          <w:tcPr>
            <w:tcW w:w="1247" w:type="dxa"/>
            <w:vAlign w:val="center"/>
          </w:tcPr>
          <w:p w14:paraId="1AF399B0" w14:textId="6F592FE8" w:rsidR="00AF6A27" w:rsidRPr="006E012B" w:rsidRDefault="00AF6A27" w:rsidP="009430CC">
            <w:pPr>
              <w:pStyle w:val="Tabletext"/>
              <w:jc w:val="center"/>
              <w:rPr>
                <w:rFonts w:eastAsiaTheme="majorEastAsia" w:cstheme="majorBidi"/>
                <w:bCs/>
              </w:rPr>
            </w:pPr>
            <w:r w:rsidRPr="006E012B">
              <w:t>0.40</w:t>
            </w:r>
          </w:p>
        </w:tc>
        <w:tc>
          <w:tcPr>
            <w:tcW w:w="1177" w:type="dxa"/>
            <w:vAlign w:val="center"/>
          </w:tcPr>
          <w:p w14:paraId="0E5BA412" w14:textId="15CEAB82" w:rsidR="00AF6A27" w:rsidRPr="00A6147A" w:rsidRDefault="00AF6A27" w:rsidP="009430CC">
            <w:pPr>
              <w:pStyle w:val="Tabletext"/>
              <w:jc w:val="center"/>
              <w:rPr>
                <w:rFonts w:eastAsiaTheme="majorEastAsia" w:cstheme="majorBidi"/>
                <w:bCs/>
                <w:vertAlign w:val="superscript"/>
              </w:rPr>
            </w:pPr>
            <w:r w:rsidRPr="006E012B">
              <w:t>$</w:t>
            </w:r>
            <w:r w:rsidR="00576021" w:rsidRPr="001758D2">
              <w:rPr>
                <w:highlight w:val="black"/>
              </w:rPr>
              <w:t>&amp;&amp;&amp;&amp;</w:t>
            </w:r>
            <w:r w:rsidR="00A6147A">
              <w:rPr>
                <w:vertAlign w:val="superscript"/>
              </w:rPr>
              <w:t>4</w:t>
            </w:r>
          </w:p>
        </w:tc>
        <w:tc>
          <w:tcPr>
            <w:tcW w:w="1766" w:type="dxa"/>
            <w:vAlign w:val="center"/>
          </w:tcPr>
          <w:p w14:paraId="6CB203AE" w14:textId="06F30FC3" w:rsidR="00AF6A27" w:rsidRPr="0082416B" w:rsidRDefault="00576021" w:rsidP="009430CC">
            <w:pPr>
              <w:pStyle w:val="Tabletext"/>
              <w:jc w:val="center"/>
              <w:rPr>
                <w:rFonts w:eastAsiaTheme="majorEastAsia" w:cstheme="majorBidi"/>
                <w:bCs/>
                <w:highlight w:val="darkGray"/>
              </w:rPr>
            </w:pPr>
            <w:r w:rsidRPr="001758D2">
              <w:rPr>
                <w:highlight w:val="black"/>
              </w:rPr>
              <w:t>&amp;&amp;&amp;&amp;</w:t>
            </w:r>
            <w:r w:rsidR="00AF6A27" w:rsidRPr="001F0D46">
              <w:t>%</w:t>
            </w:r>
          </w:p>
        </w:tc>
      </w:tr>
      <w:tr w:rsidR="00032D12" w:rsidRPr="006E012B" w14:paraId="4D6B5C57" w14:textId="77777777" w:rsidTr="001A5E49">
        <w:trPr>
          <w:cantSplit/>
        </w:trPr>
        <w:tc>
          <w:tcPr>
            <w:tcW w:w="3572" w:type="dxa"/>
            <w:tcMar>
              <w:left w:w="28" w:type="dxa"/>
              <w:right w:w="28" w:type="dxa"/>
            </w:tcMar>
          </w:tcPr>
          <w:p w14:paraId="081EEB87" w14:textId="719F98A3" w:rsidR="00032D12" w:rsidRPr="006E012B" w:rsidRDefault="00032D12" w:rsidP="002D62E2">
            <w:pPr>
              <w:keepLines/>
              <w:widowControl w:val="0"/>
              <w:ind w:left="166"/>
              <w:jc w:val="left"/>
              <w:rPr>
                <w:rFonts w:ascii="Arial Narrow" w:eastAsiaTheme="majorEastAsia" w:hAnsi="Arial Narrow" w:cstheme="majorBidi"/>
                <w:bCs/>
                <w:sz w:val="20"/>
              </w:rPr>
            </w:pPr>
            <w:r w:rsidRPr="006E012B">
              <w:rPr>
                <w:rFonts w:ascii="Arial Narrow" w:eastAsiaTheme="majorEastAsia" w:hAnsi="Arial Narrow" w:cstheme="majorBidi"/>
                <w:bCs/>
                <w:sz w:val="20"/>
              </w:rPr>
              <w:t>Log-normal/Gen gamma/Gen gamma</w:t>
            </w:r>
          </w:p>
        </w:tc>
        <w:tc>
          <w:tcPr>
            <w:tcW w:w="1255" w:type="dxa"/>
            <w:vAlign w:val="center"/>
          </w:tcPr>
          <w:p w14:paraId="253E4E58" w14:textId="4AFA8FF3" w:rsidR="00032D12" w:rsidRPr="006E012B" w:rsidRDefault="00032D12" w:rsidP="009430CC">
            <w:pPr>
              <w:keepLines/>
              <w:widowControl w:val="0"/>
              <w:jc w:val="center"/>
              <w:rPr>
                <w:rFonts w:ascii="Arial Narrow" w:eastAsiaTheme="majorEastAsia" w:hAnsi="Arial Narrow" w:cstheme="majorBidi"/>
                <w:bCs/>
                <w:sz w:val="20"/>
              </w:rPr>
            </w:pPr>
            <w:r w:rsidRPr="006E012B">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p>
        </w:tc>
        <w:tc>
          <w:tcPr>
            <w:tcW w:w="1247" w:type="dxa"/>
            <w:vAlign w:val="center"/>
          </w:tcPr>
          <w:p w14:paraId="62505790" w14:textId="77777777" w:rsidR="00032D12" w:rsidRPr="006E012B" w:rsidRDefault="00032D12" w:rsidP="009430CC">
            <w:pPr>
              <w:keepLines/>
              <w:widowControl w:val="0"/>
              <w:jc w:val="center"/>
              <w:rPr>
                <w:rFonts w:ascii="Arial Narrow" w:eastAsiaTheme="majorEastAsia" w:hAnsi="Arial Narrow" w:cstheme="majorBidi"/>
                <w:bCs/>
                <w:sz w:val="20"/>
              </w:rPr>
            </w:pPr>
            <w:r w:rsidRPr="006E012B">
              <w:rPr>
                <w:rFonts w:ascii="Arial Narrow" w:eastAsiaTheme="majorEastAsia" w:hAnsi="Arial Narrow" w:cstheme="majorBidi"/>
                <w:bCs/>
                <w:sz w:val="20"/>
              </w:rPr>
              <w:t>0.83</w:t>
            </w:r>
          </w:p>
        </w:tc>
        <w:tc>
          <w:tcPr>
            <w:tcW w:w="1177" w:type="dxa"/>
            <w:vAlign w:val="center"/>
          </w:tcPr>
          <w:p w14:paraId="3F3C2819" w14:textId="58A11CF5" w:rsidR="00032D12" w:rsidRPr="00130A7B" w:rsidRDefault="00032D12" w:rsidP="009430CC">
            <w:pPr>
              <w:keepLines/>
              <w:widowControl w:val="0"/>
              <w:jc w:val="center"/>
              <w:rPr>
                <w:rFonts w:ascii="Arial Narrow" w:eastAsiaTheme="majorEastAsia" w:hAnsi="Arial Narrow" w:cstheme="majorBidi"/>
                <w:bCs/>
                <w:sz w:val="20"/>
                <w:vertAlign w:val="superscript"/>
              </w:rPr>
            </w:pPr>
            <w:r w:rsidRPr="006E012B">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r w:rsidR="00130A7B">
              <w:rPr>
                <w:rFonts w:ascii="Arial Narrow" w:eastAsiaTheme="majorEastAsia" w:hAnsi="Arial Narrow" w:cstheme="majorBidi"/>
                <w:bCs/>
                <w:sz w:val="20"/>
                <w:vertAlign w:val="superscript"/>
              </w:rPr>
              <w:t>1</w:t>
            </w:r>
          </w:p>
        </w:tc>
        <w:tc>
          <w:tcPr>
            <w:tcW w:w="1766" w:type="dxa"/>
            <w:vAlign w:val="center"/>
          </w:tcPr>
          <w:p w14:paraId="01DB196F" w14:textId="42DC2619" w:rsidR="00032D12" w:rsidRPr="0082416B" w:rsidRDefault="00032D12" w:rsidP="009430CC">
            <w:pPr>
              <w:keepLines/>
              <w:widowControl w:val="0"/>
              <w:jc w:val="center"/>
              <w:rPr>
                <w:rFonts w:ascii="Arial Narrow" w:eastAsiaTheme="majorEastAsia" w:hAnsi="Arial Narrow" w:cstheme="majorBidi"/>
                <w:bCs/>
                <w:sz w:val="20"/>
                <w:highlight w:val="darkGray"/>
              </w:rPr>
            </w:pPr>
            <w:r w:rsidRPr="001F0D46">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r w:rsidRPr="001F0D46">
              <w:rPr>
                <w:rFonts w:ascii="Arial Narrow" w:eastAsiaTheme="majorEastAsia" w:hAnsi="Arial Narrow" w:cstheme="majorBidi"/>
                <w:bCs/>
                <w:sz w:val="20"/>
              </w:rPr>
              <w:t>%</w:t>
            </w:r>
          </w:p>
        </w:tc>
      </w:tr>
      <w:tr w:rsidR="00032D12" w:rsidRPr="006E012B" w14:paraId="32C1EDC8" w14:textId="77777777" w:rsidTr="001A5E49">
        <w:trPr>
          <w:cantSplit/>
        </w:trPr>
        <w:tc>
          <w:tcPr>
            <w:tcW w:w="3572" w:type="dxa"/>
            <w:tcMar>
              <w:left w:w="28" w:type="dxa"/>
              <w:right w:w="28" w:type="dxa"/>
            </w:tcMar>
          </w:tcPr>
          <w:p w14:paraId="116224D6" w14:textId="6B0F1141" w:rsidR="00032D12" w:rsidRPr="006E012B" w:rsidRDefault="00032D12" w:rsidP="002D62E2">
            <w:pPr>
              <w:keepLines/>
              <w:widowControl w:val="0"/>
              <w:ind w:left="166"/>
              <w:jc w:val="left"/>
              <w:rPr>
                <w:rFonts w:ascii="Arial Narrow" w:eastAsiaTheme="majorEastAsia" w:hAnsi="Arial Narrow" w:cstheme="majorBidi"/>
                <w:bCs/>
                <w:sz w:val="20"/>
              </w:rPr>
            </w:pPr>
            <w:r w:rsidRPr="006E012B">
              <w:rPr>
                <w:rFonts w:ascii="Arial Narrow" w:eastAsiaTheme="majorEastAsia" w:hAnsi="Arial Narrow" w:cstheme="majorBidi"/>
                <w:bCs/>
                <w:sz w:val="20"/>
              </w:rPr>
              <w:t>Log-normal/Gompertz/Gen gamma</w:t>
            </w:r>
          </w:p>
        </w:tc>
        <w:tc>
          <w:tcPr>
            <w:tcW w:w="1255" w:type="dxa"/>
            <w:vAlign w:val="center"/>
          </w:tcPr>
          <w:p w14:paraId="7D2BEAD1" w14:textId="492D8C35" w:rsidR="00032D12" w:rsidRPr="006E012B" w:rsidRDefault="00032D12" w:rsidP="009430CC">
            <w:pPr>
              <w:keepLines/>
              <w:widowControl w:val="0"/>
              <w:jc w:val="center"/>
              <w:rPr>
                <w:rFonts w:ascii="Arial Narrow" w:eastAsiaTheme="majorEastAsia" w:hAnsi="Arial Narrow" w:cstheme="majorBidi"/>
                <w:bCs/>
                <w:sz w:val="20"/>
              </w:rPr>
            </w:pPr>
            <w:r w:rsidRPr="006E012B">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p>
        </w:tc>
        <w:tc>
          <w:tcPr>
            <w:tcW w:w="1247" w:type="dxa"/>
            <w:vAlign w:val="center"/>
          </w:tcPr>
          <w:p w14:paraId="18DC3C23" w14:textId="77777777" w:rsidR="00032D12" w:rsidRPr="006E012B" w:rsidRDefault="00032D12" w:rsidP="009430CC">
            <w:pPr>
              <w:keepLines/>
              <w:widowControl w:val="0"/>
              <w:jc w:val="center"/>
              <w:rPr>
                <w:rFonts w:ascii="Arial Narrow" w:eastAsiaTheme="majorEastAsia" w:hAnsi="Arial Narrow" w:cstheme="majorBidi"/>
                <w:bCs/>
                <w:sz w:val="20"/>
              </w:rPr>
            </w:pPr>
            <w:r w:rsidRPr="006E012B">
              <w:rPr>
                <w:rFonts w:ascii="Arial Narrow" w:eastAsiaTheme="majorEastAsia" w:hAnsi="Arial Narrow" w:cstheme="majorBidi"/>
                <w:bCs/>
                <w:sz w:val="20"/>
              </w:rPr>
              <w:t>0.62</w:t>
            </w:r>
          </w:p>
        </w:tc>
        <w:tc>
          <w:tcPr>
            <w:tcW w:w="1177" w:type="dxa"/>
            <w:vAlign w:val="center"/>
          </w:tcPr>
          <w:p w14:paraId="53FBB918" w14:textId="0F27492E" w:rsidR="00032D12" w:rsidRPr="00437CF7" w:rsidRDefault="00032D12" w:rsidP="009430CC">
            <w:pPr>
              <w:keepLines/>
              <w:widowControl w:val="0"/>
              <w:jc w:val="center"/>
              <w:rPr>
                <w:rFonts w:ascii="Arial Narrow" w:eastAsiaTheme="majorEastAsia" w:hAnsi="Arial Narrow" w:cstheme="majorBidi"/>
                <w:bCs/>
                <w:sz w:val="20"/>
                <w:vertAlign w:val="superscript"/>
              </w:rPr>
            </w:pPr>
            <w:r w:rsidRPr="006E012B">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r w:rsidR="00437CF7">
              <w:rPr>
                <w:rFonts w:ascii="Arial Narrow" w:eastAsiaTheme="majorEastAsia" w:hAnsi="Arial Narrow" w:cstheme="majorBidi"/>
                <w:bCs/>
                <w:sz w:val="20"/>
                <w:vertAlign w:val="superscript"/>
              </w:rPr>
              <w:t>3</w:t>
            </w:r>
          </w:p>
        </w:tc>
        <w:tc>
          <w:tcPr>
            <w:tcW w:w="1766" w:type="dxa"/>
            <w:vAlign w:val="center"/>
          </w:tcPr>
          <w:p w14:paraId="7AF8B843" w14:textId="39F22FEB" w:rsidR="00032D12" w:rsidRPr="0082416B" w:rsidRDefault="00576021" w:rsidP="009430CC">
            <w:pPr>
              <w:keepLines/>
              <w:widowControl w:val="0"/>
              <w:jc w:val="center"/>
              <w:rPr>
                <w:rFonts w:ascii="Arial Narrow" w:eastAsiaTheme="majorEastAsia" w:hAnsi="Arial Narrow" w:cstheme="majorBidi"/>
                <w:bCs/>
                <w:sz w:val="20"/>
                <w:highlight w:val="darkGray"/>
              </w:rPr>
            </w:pPr>
            <w:r w:rsidRPr="001758D2">
              <w:rPr>
                <w:rFonts w:ascii="Arial Narrow" w:eastAsiaTheme="majorEastAsia" w:hAnsi="Arial Narrow" w:cstheme="majorBidi"/>
                <w:bCs/>
                <w:sz w:val="20"/>
                <w:highlight w:val="black"/>
              </w:rPr>
              <w:t>&amp;&amp;&amp;&amp;</w:t>
            </w:r>
            <w:r w:rsidR="00032D12" w:rsidRPr="001F0D46">
              <w:rPr>
                <w:rFonts w:ascii="Arial Narrow" w:eastAsiaTheme="majorEastAsia" w:hAnsi="Arial Narrow" w:cstheme="majorBidi"/>
                <w:bCs/>
                <w:sz w:val="20"/>
              </w:rPr>
              <w:t>%</w:t>
            </w:r>
          </w:p>
        </w:tc>
      </w:tr>
      <w:tr w:rsidR="00032D12" w:rsidRPr="006E012B" w:rsidDel="00A7486F" w14:paraId="19F0D871" w14:textId="77777777" w:rsidTr="007A0890">
        <w:trPr>
          <w:cantSplit/>
        </w:trPr>
        <w:tc>
          <w:tcPr>
            <w:tcW w:w="9017" w:type="dxa"/>
            <w:gridSpan w:val="5"/>
            <w:tcMar>
              <w:left w:w="28" w:type="dxa"/>
              <w:right w:w="28" w:type="dxa"/>
            </w:tcMar>
          </w:tcPr>
          <w:p w14:paraId="5784BA6D" w14:textId="3300B349" w:rsidR="00032D12" w:rsidRPr="006E012B" w:rsidDel="00A7486F" w:rsidRDefault="00032D12">
            <w:pPr>
              <w:keepLines/>
              <w:widowControl w:val="0"/>
              <w:jc w:val="left"/>
              <w:rPr>
                <w:rFonts w:ascii="Arial Narrow" w:eastAsiaTheme="majorEastAsia" w:hAnsi="Arial Narrow" w:cstheme="majorBidi"/>
                <w:bCs/>
                <w:sz w:val="20"/>
              </w:rPr>
            </w:pPr>
            <w:r w:rsidRPr="006E012B">
              <w:rPr>
                <w:rFonts w:ascii="Arial Narrow" w:eastAsiaTheme="majorEastAsia" w:hAnsi="Arial Narrow" w:cstheme="majorBidi"/>
                <w:bCs/>
                <w:sz w:val="20"/>
              </w:rPr>
              <w:t>Treatment effect waning</w:t>
            </w:r>
            <w:r w:rsidR="0014015F" w:rsidRPr="006E012B">
              <w:rPr>
                <w:rFonts w:ascii="Arial Narrow" w:eastAsiaTheme="majorEastAsia" w:hAnsi="Arial Narrow" w:cstheme="majorBidi"/>
                <w:bCs/>
                <w:sz w:val="20"/>
              </w:rPr>
              <w:t xml:space="preserve"> (base case: between years 7 and 10)</w:t>
            </w:r>
          </w:p>
        </w:tc>
      </w:tr>
      <w:tr w:rsidR="00032D12" w:rsidRPr="006E012B" w:rsidDel="00A7486F" w14:paraId="2A935B9A" w14:textId="77777777" w:rsidTr="001A5E49">
        <w:trPr>
          <w:cantSplit/>
        </w:trPr>
        <w:tc>
          <w:tcPr>
            <w:tcW w:w="3572" w:type="dxa"/>
            <w:tcMar>
              <w:left w:w="28" w:type="dxa"/>
              <w:right w:w="28" w:type="dxa"/>
            </w:tcMar>
          </w:tcPr>
          <w:p w14:paraId="47AC2FA8" w14:textId="77777777" w:rsidR="00032D12" w:rsidRPr="006E012B" w:rsidDel="00A7486F" w:rsidRDefault="00032D12" w:rsidP="009A6AB8">
            <w:pPr>
              <w:keepLines/>
              <w:widowControl w:val="0"/>
              <w:ind w:left="166"/>
              <w:jc w:val="left"/>
              <w:rPr>
                <w:rFonts w:ascii="Arial Narrow" w:eastAsiaTheme="majorEastAsia" w:hAnsi="Arial Narrow" w:cstheme="majorBidi"/>
                <w:bCs/>
                <w:sz w:val="20"/>
              </w:rPr>
            </w:pPr>
            <w:r w:rsidRPr="006E012B">
              <w:rPr>
                <w:rFonts w:ascii="Arial Narrow" w:eastAsiaTheme="majorEastAsia" w:hAnsi="Arial Narrow" w:cstheme="majorBidi"/>
                <w:bCs/>
                <w:sz w:val="20"/>
              </w:rPr>
              <w:t>Waning between years 5 and 7</w:t>
            </w:r>
          </w:p>
        </w:tc>
        <w:tc>
          <w:tcPr>
            <w:tcW w:w="1255" w:type="dxa"/>
          </w:tcPr>
          <w:p w14:paraId="33AD1A3F" w14:textId="787299BD" w:rsidR="00032D12" w:rsidRPr="006E012B" w:rsidDel="00A7486F" w:rsidRDefault="00032D12">
            <w:pPr>
              <w:pStyle w:val="Tabletext"/>
              <w:jc w:val="center"/>
              <w:rPr>
                <w:rFonts w:eastAsiaTheme="majorEastAsia" w:cstheme="majorBidi"/>
                <w:bCs/>
              </w:rPr>
            </w:pPr>
            <w:r w:rsidRPr="006E012B">
              <w:t>$</w:t>
            </w:r>
            <w:r w:rsidR="00576021" w:rsidRPr="001758D2">
              <w:rPr>
                <w:highlight w:val="black"/>
              </w:rPr>
              <w:t>&amp;&amp;&amp;&amp;</w:t>
            </w:r>
          </w:p>
        </w:tc>
        <w:tc>
          <w:tcPr>
            <w:tcW w:w="1247" w:type="dxa"/>
          </w:tcPr>
          <w:p w14:paraId="12D4B10A" w14:textId="77777777" w:rsidR="00032D12" w:rsidRPr="006E012B" w:rsidDel="00A7486F" w:rsidRDefault="00032D12">
            <w:pPr>
              <w:pStyle w:val="Tabletext"/>
              <w:jc w:val="center"/>
              <w:rPr>
                <w:rFonts w:eastAsiaTheme="majorEastAsia" w:cstheme="majorBidi"/>
                <w:bCs/>
              </w:rPr>
            </w:pPr>
            <w:r w:rsidRPr="006E012B">
              <w:t>0.73</w:t>
            </w:r>
          </w:p>
        </w:tc>
        <w:tc>
          <w:tcPr>
            <w:tcW w:w="1177" w:type="dxa"/>
          </w:tcPr>
          <w:p w14:paraId="0498916C" w14:textId="6D1E341E" w:rsidR="00032D12" w:rsidRPr="00130A7B" w:rsidDel="00A7486F" w:rsidRDefault="00032D12">
            <w:pPr>
              <w:pStyle w:val="Tabletext"/>
              <w:jc w:val="center"/>
              <w:rPr>
                <w:rFonts w:eastAsiaTheme="majorEastAsia" w:cstheme="majorBidi"/>
                <w:bCs/>
                <w:vertAlign w:val="superscript"/>
              </w:rPr>
            </w:pPr>
            <w:r w:rsidRPr="006E012B">
              <w:t>$</w:t>
            </w:r>
            <w:r w:rsidR="00576021" w:rsidRPr="001758D2">
              <w:rPr>
                <w:highlight w:val="black"/>
              </w:rPr>
              <w:t>&amp;&amp;&amp;&amp;</w:t>
            </w:r>
            <w:r w:rsidR="00130A7B">
              <w:rPr>
                <w:vertAlign w:val="superscript"/>
              </w:rPr>
              <w:t>1</w:t>
            </w:r>
          </w:p>
        </w:tc>
        <w:tc>
          <w:tcPr>
            <w:tcW w:w="1766" w:type="dxa"/>
          </w:tcPr>
          <w:p w14:paraId="6C0F85F8" w14:textId="4E6F0D78" w:rsidR="00032D12" w:rsidRPr="0082416B" w:rsidDel="00A7486F" w:rsidRDefault="00032D12">
            <w:pPr>
              <w:pStyle w:val="Tabletext"/>
              <w:jc w:val="center"/>
              <w:rPr>
                <w:rFonts w:eastAsiaTheme="majorEastAsia" w:cstheme="majorBidi"/>
                <w:bCs/>
                <w:highlight w:val="darkGray"/>
              </w:rPr>
            </w:pPr>
            <w:r w:rsidRPr="001F0D46">
              <w:t>-</w:t>
            </w:r>
            <w:r w:rsidR="00576021" w:rsidRPr="001758D2">
              <w:rPr>
                <w:highlight w:val="black"/>
              </w:rPr>
              <w:t>&amp;&amp;&amp;&amp;</w:t>
            </w:r>
            <w:r w:rsidRPr="001F0D46">
              <w:t>%</w:t>
            </w:r>
          </w:p>
        </w:tc>
      </w:tr>
      <w:tr w:rsidR="00032D12" w:rsidRPr="006E012B" w:rsidDel="00A7486F" w14:paraId="40E68B2B" w14:textId="77777777" w:rsidTr="001A5E49">
        <w:trPr>
          <w:cantSplit/>
        </w:trPr>
        <w:tc>
          <w:tcPr>
            <w:tcW w:w="3572" w:type="dxa"/>
            <w:tcMar>
              <w:left w:w="28" w:type="dxa"/>
              <w:right w:w="28" w:type="dxa"/>
            </w:tcMar>
          </w:tcPr>
          <w:p w14:paraId="337392DA" w14:textId="77777777" w:rsidR="00032D12" w:rsidRPr="006E012B" w:rsidRDefault="00032D12" w:rsidP="009A6AB8">
            <w:pPr>
              <w:keepLines/>
              <w:widowControl w:val="0"/>
              <w:ind w:left="166"/>
              <w:jc w:val="left"/>
              <w:rPr>
                <w:rFonts w:ascii="Arial Narrow" w:eastAsiaTheme="majorEastAsia" w:hAnsi="Arial Narrow" w:cstheme="majorBidi"/>
                <w:bCs/>
                <w:sz w:val="20"/>
              </w:rPr>
            </w:pPr>
            <w:r w:rsidRPr="006E012B">
              <w:rPr>
                <w:rFonts w:ascii="Arial Narrow" w:eastAsiaTheme="majorEastAsia" w:hAnsi="Arial Narrow" w:cstheme="majorBidi"/>
                <w:bCs/>
                <w:sz w:val="20"/>
              </w:rPr>
              <w:t>No treatment waning</w:t>
            </w:r>
          </w:p>
        </w:tc>
        <w:tc>
          <w:tcPr>
            <w:tcW w:w="1255" w:type="dxa"/>
          </w:tcPr>
          <w:p w14:paraId="73D58A63" w14:textId="50510C1F" w:rsidR="00032D12" w:rsidRPr="006E012B" w:rsidRDefault="00032D12">
            <w:pPr>
              <w:pStyle w:val="TableText0"/>
              <w:jc w:val="center"/>
            </w:pPr>
            <w:r w:rsidRPr="006E012B">
              <w:t xml:space="preserve"> $</w:t>
            </w:r>
            <w:r w:rsidR="00576021" w:rsidRPr="001758D2">
              <w:rPr>
                <w:highlight w:val="black"/>
              </w:rPr>
              <w:t>&amp;&amp;&amp;&amp;</w:t>
            </w:r>
          </w:p>
        </w:tc>
        <w:tc>
          <w:tcPr>
            <w:tcW w:w="1247" w:type="dxa"/>
          </w:tcPr>
          <w:p w14:paraId="622AE5F5" w14:textId="77777777" w:rsidR="00032D12" w:rsidRPr="006E012B" w:rsidRDefault="00032D12">
            <w:pPr>
              <w:pStyle w:val="TableText0"/>
              <w:jc w:val="center"/>
            </w:pPr>
            <w:r w:rsidRPr="006E012B">
              <w:t>0.74</w:t>
            </w:r>
          </w:p>
        </w:tc>
        <w:tc>
          <w:tcPr>
            <w:tcW w:w="1177" w:type="dxa"/>
          </w:tcPr>
          <w:p w14:paraId="22C4DAB9" w14:textId="63C41A9B" w:rsidR="00032D12" w:rsidRPr="00130A7B" w:rsidRDefault="00032D12">
            <w:pPr>
              <w:pStyle w:val="TableText0"/>
              <w:jc w:val="center"/>
              <w:rPr>
                <w:vertAlign w:val="superscript"/>
              </w:rPr>
            </w:pPr>
            <w:r w:rsidRPr="006E012B">
              <w:t xml:space="preserve"> $</w:t>
            </w:r>
            <w:r w:rsidR="00576021" w:rsidRPr="001758D2">
              <w:rPr>
                <w:highlight w:val="black"/>
              </w:rPr>
              <w:t>&amp;&amp;&amp;&amp;</w:t>
            </w:r>
            <w:r w:rsidR="00130A7B">
              <w:rPr>
                <w:vertAlign w:val="superscript"/>
              </w:rPr>
              <w:t>1</w:t>
            </w:r>
          </w:p>
        </w:tc>
        <w:tc>
          <w:tcPr>
            <w:tcW w:w="1766" w:type="dxa"/>
          </w:tcPr>
          <w:p w14:paraId="7507A234" w14:textId="56C5B527" w:rsidR="00032D12" w:rsidRPr="0082416B" w:rsidRDefault="00032D12">
            <w:pPr>
              <w:pStyle w:val="TableText0"/>
              <w:jc w:val="center"/>
              <w:rPr>
                <w:highlight w:val="darkGray"/>
              </w:rPr>
            </w:pPr>
            <w:r w:rsidRPr="001F0D46">
              <w:t>-</w:t>
            </w:r>
            <w:r w:rsidR="00576021" w:rsidRPr="001758D2">
              <w:rPr>
                <w:highlight w:val="black"/>
              </w:rPr>
              <w:t>&amp;&amp;&amp;&amp;</w:t>
            </w:r>
            <w:r w:rsidRPr="001F0D46">
              <w:t>%</w:t>
            </w:r>
          </w:p>
        </w:tc>
      </w:tr>
      <w:tr w:rsidR="00032D12" w:rsidRPr="006E012B" w:rsidDel="00A7486F" w14:paraId="2C8EA66C" w14:textId="77777777" w:rsidTr="007A0890">
        <w:trPr>
          <w:cantSplit/>
        </w:trPr>
        <w:tc>
          <w:tcPr>
            <w:tcW w:w="9017" w:type="dxa"/>
            <w:gridSpan w:val="5"/>
            <w:tcMar>
              <w:left w:w="28" w:type="dxa"/>
              <w:right w:w="28" w:type="dxa"/>
            </w:tcMar>
          </w:tcPr>
          <w:p w14:paraId="6775C836" w14:textId="77777777" w:rsidR="00032D12" w:rsidRPr="006E012B" w:rsidRDefault="00032D12">
            <w:pPr>
              <w:pStyle w:val="TableText0"/>
            </w:pPr>
            <w:r w:rsidRPr="006E012B">
              <w:rPr>
                <w:bCs w:val="0"/>
              </w:rPr>
              <w:t>Transition probabilities for the IRP health state (base case: using trial data)</w:t>
            </w:r>
          </w:p>
        </w:tc>
      </w:tr>
      <w:tr w:rsidR="00032D12" w:rsidRPr="006E012B" w:rsidDel="00A7486F" w14:paraId="0BD68FCD" w14:textId="77777777" w:rsidTr="001A5E49">
        <w:trPr>
          <w:cantSplit/>
        </w:trPr>
        <w:tc>
          <w:tcPr>
            <w:tcW w:w="3572" w:type="dxa"/>
            <w:tcMar>
              <w:left w:w="28" w:type="dxa"/>
              <w:right w:w="28" w:type="dxa"/>
            </w:tcMar>
          </w:tcPr>
          <w:p w14:paraId="779338CD" w14:textId="77777777" w:rsidR="00032D12" w:rsidRPr="006E012B" w:rsidRDefault="00032D12" w:rsidP="003D31AD">
            <w:pPr>
              <w:keepLines/>
              <w:widowControl w:val="0"/>
              <w:ind w:left="166"/>
              <w:jc w:val="left"/>
              <w:rPr>
                <w:rFonts w:ascii="Arial Narrow" w:eastAsiaTheme="majorEastAsia" w:hAnsi="Arial Narrow" w:cstheme="majorBidi"/>
                <w:bCs/>
                <w:sz w:val="20"/>
              </w:rPr>
            </w:pPr>
            <w:r w:rsidRPr="006E012B">
              <w:rPr>
                <w:rFonts w:ascii="Arial Narrow" w:eastAsiaTheme="majorEastAsia" w:hAnsi="Arial Narrow" w:cstheme="majorBidi"/>
                <w:bCs/>
                <w:sz w:val="20"/>
              </w:rPr>
              <w:t xml:space="preserve">Using HRs for OS from external sources for immunotherapies in the SoC arm </w:t>
            </w:r>
            <w:r w:rsidRPr="006E012B">
              <w:rPr>
                <w:rFonts w:ascii="Arial Narrow" w:eastAsiaTheme="majorEastAsia" w:hAnsi="Arial Narrow" w:cstheme="majorBidi"/>
                <w:b/>
                <w:sz w:val="20"/>
              </w:rPr>
              <w:t>(#5)</w:t>
            </w:r>
          </w:p>
        </w:tc>
        <w:tc>
          <w:tcPr>
            <w:tcW w:w="1255" w:type="dxa"/>
            <w:vAlign w:val="center"/>
          </w:tcPr>
          <w:p w14:paraId="65F6F9D2" w14:textId="5CCC069E" w:rsidR="00032D12" w:rsidRPr="006E012B" w:rsidRDefault="00032D12" w:rsidP="009430CC">
            <w:pPr>
              <w:pStyle w:val="TableText0"/>
              <w:jc w:val="center"/>
            </w:pPr>
            <w:r w:rsidRPr="006E012B">
              <w:t>$</w:t>
            </w:r>
            <w:r w:rsidR="00576021" w:rsidRPr="001758D2">
              <w:rPr>
                <w:highlight w:val="black"/>
              </w:rPr>
              <w:t>&amp;&amp;&amp;&amp;</w:t>
            </w:r>
          </w:p>
        </w:tc>
        <w:tc>
          <w:tcPr>
            <w:tcW w:w="1247" w:type="dxa"/>
            <w:vAlign w:val="center"/>
          </w:tcPr>
          <w:p w14:paraId="4EDAD61D" w14:textId="77777777" w:rsidR="00032D12" w:rsidRPr="006E012B" w:rsidRDefault="00032D12" w:rsidP="009430CC">
            <w:pPr>
              <w:pStyle w:val="TableText0"/>
              <w:jc w:val="center"/>
            </w:pPr>
            <w:r w:rsidRPr="006E012B">
              <w:t>0.58</w:t>
            </w:r>
          </w:p>
        </w:tc>
        <w:tc>
          <w:tcPr>
            <w:tcW w:w="1177" w:type="dxa"/>
            <w:vAlign w:val="center"/>
          </w:tcPr>
          <w:p w14:paraId="3C54F4CC" w14:textId="5C709AE5" w:rsidR="00032D12" w:rsidRPr="00437CF7" w:rsidRDefault="00032D12" w:rsidP="009430CC">
            <w:pPr>
              <w:pStyle w:val="TableText0"/>
              <w:jc w:val="center"/>
              <w:rPr>
                <w:vertAlign w:val="superscript"/>
              </w:rPr>
            </w:pPr>
            <w:r w:rsidRPr="006E012B">
              <w:t>$</w:t>
            </w:r>
            <w:r w:rsidR="00576021" w:rsidRPr="001758D2">
              <w:rPr>
                <w:highlight w:val="black"/>
              </w:rPr>
              <w:t>&amp;&amp;&amp;&amp;</w:t>
            </w:r>
            <w:r w:rsidR="00437CF7">
              <w:rPr>
                <w:vertAlign w:val="superscript"/>
              </w:rPr>
              <w:t>3</w:t>
            </w:r>
          </w:p>
        </w:tc>
        <w:tc>
          <w:tcPr>
            <w:tcW w:w="1766" w:type="dxa"/>
            <w:vAlign w:val="center"/>
          </w:tcPr>
          <w:p w14:paraId="223FFCEB" w14:textId="1C311997" w:rsidR="00032D12" w:rsidRPr="006E012B" w:rsidRDefault="00576021" w:rsidP="009430CC">
            <w:pPr>
              <w:pStyle w:val="TableText0"/>
              <w:jc w:val="center"/>
            </w:pPr>
            <w:r w:rsidRPr="001758D2">
              <w:rPr>
                <w:highlight w:val="black"/>
              </w:rPr>
              <w:t>&amp;&amp;&amp;&amp;</w:t>
            </w:r>
            <w:r w:rsidR="00032D12" w:rsidRPr="001F0D46">
              <w:t>%</w:t>
            </w:r>
          </w:p>
        </w:tc>
      </w:tr>
      <w:tr w:rsidR="00AD0C9B" w:rsidRPr="006E012B" w14:paraId="590FE6DF" w14:textId="77777777" w:rsidTr="007A0890">
        <w:trPr>
          <w:cantSplit/>
        </w:trPr>
        <w:tc>
          <w:tcPr>
            <w:tcW w:w="9017" w:type="dxa"/>
            <w:gridSpan w:val="5"/>
            <w:tcMar>
              <w:left w:w="28" w:type="dxa"/>
              <w:right w:w="28" w:type="dxa"/>
            </w:tcMar>
          </w:tcPr>
          <w:p w14:paraId="5FB25FBE" w14:textId="638F739E" w:rsidR="00AD0C9B" w:rsidRPr="006E012B" w:rsidRDefault="00AD0C9B" w:rsidP="00AD0C9B">
            <w:pPr>
              <w:keepLines/>
              <w:widowControl w:val="0"/>
              <w:rPr>
                <w:rFonts w:ascii="Arial Narrow" w:eastAsiaTheme="majorEastAsia" w:hAnsi="Arial Narrow" w:cstheme="majorBidi"/>
                <w:bCs/>
                <w:sz w:val="20"/>
              </w:rPr>
            </w:pPr>
            <w:r w:rsidRPr="006E012B">
              <w:rPr>
                <w:rFonts w:ascii="Arial Narrow" w:eastAsiaTheme="majorEastAsia" w:hAnsi="Arial Narrow" w:cstheme="majorBidi"/>
                <w:bCs/>
                <w:sz w:val="20"/>
              </w:rPr>
              <w:t>Subsequent treatment costs</w:t>
            </w:r>
          </w:p>
        </w:tc>
      </w:tr>
      <w:tr w:rsidR="00032D12" w:rsidRPr="006E012B" w14:paraId="1759EC5A" w14:textId="77777777" w:rsidTr="001A5E49">
        <w:trPr>
          <w:cantSplit/>
        </w:trPr>
        <w:tc>
          <w:tcPr>
            <w:tcW w:w="3572" w:type="dxa"/>
            <w:tcMar>
              <w:left w:w="28" w:type="dxa"/>
              <w:right w:w="28" w:type="dxa"/>
            </w:tcMar>
          </w:tcPr>
          <w:p w14:paraId="5218D399" w14:textId="6A692A40" w:rsidR="00032D12" w:rsidRPr="007A16D4" w:rsidRDefault="00032D12" w:rsidP="00AD0C9B">
            <w:pPr>
              <w:keepLines/>
              <w:widowControl w:val="0"/>
              <w:ind w:left="166"/>
              <w:jc w:val="left"/>
              <w:rPr>
                <w:rFonts w:ascii="Arial Narrow" w:eastAsiaTheme="majorEastAsia" w:hAnsi="Arial Narrow" w:cstheme="majorBidi"/>
                <w:bCs/>
                <w:sz w:val="20"/>
              </w:rPr>
            </w:pPr>
            <w:r w:rsidRPr="007A16D4">
              <w:rPr>
                <w:rFonts w:ascii="Arial Narrow" w:eastAsiaTheme="majorEastAsia" w:hAnsi="Arial Narrow" w:cstheme="majorBidi"/>
                <w:bCs/>
                <w:sz w:val="20"/>
              </w:rPr>
              <w:t xml:space="preserve">Applying costs to 80% of patients in the IRP health state </w:t>
            </w:r>
            <w:r w:rsidRPr="007A16D4">
              <w:rPr>
                <w:rFonts w:ascii="Arial Narrow" w:eastAsiaTheme="majorEastAsia" w:hAnsi="Arial Narrow" w:cstheme="majorBidi"/>
                <w:b/>
                <w:sz w:val="20"/>
              </w:rPr>
              <w:t>(#2)</w:t>
            </w:r>
          </w:p>
        </w:tc>
        <w:tc>
          <w:tcPr>
            <w:tcW w:w="1255" w:type="dxa"/>
            <w:vAlign w:val="center"/>
          </w:tcPr>
          <w:p w14:paraId="1D7A8594" w14:textId="4308FE45" w:rsidR="00032D12" w:rsidRPr="007A16D4" w:rsidRDefault="00032D12" w:rsidP="009430CC">
            <w:pPr>
              <w:keepLines/>
              <w:widowControl w:val="0"/>
              <w:jc w:val="center"/>
              <w:rPr>
                <w:rFonts w:ascii="Arial Narrow" w:eastAsiaTheme="majorEastAsia" w:hAnsi="Arial Narrow" w:cstheme="majorBidi"/>
                <w:bCs/>
                <w:sz w:val="20"/>
              </w:rPr>
            </w:pPr>
            <w:r w:rsidRPr="007A16D4">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p>
        </w:tc>
        <w:tc>
          <w:tcPr>
            <w:tcW w:w="1247" w:type="dxa"/>
            <w:vAlign w:val="center"/>
          </w:tcPr>
          <w:p w14:paraId="00632EF3" w14:textId="77777777" w:rsidR="00032D12" w:rsidRPr="007A16D4" w:rsidRDefault="00032D12" w:rsidP="009430CC">
            <w:pPr>
              <w:keepLines/>
              <w:widowControl w:val="0"/>
              <w:jc w:val="center"/>
              <w:rPr>
                <w:rFonts w:ascii="Arial Narrow" w:eastAsiaTheme="majorEastAsia" w:hAnsi="Arial Narrow" w:cstheme="majorBidi"/>
                <w:bCs/>
                <w:sz w:val="20"/>
              </w:rPr>
            </w:pPr>
            <w:r w:rsidRPr="007A16D4">
              <w:rPr>
                <w:rFonts w:ascii="Arial Narrow" w:eastAsiaTheme="majorEastAsia" w:hAnsi="Arial Narrow" w:cstheme="majorBidi"/>
                <w:bCs/>
                <w:sz w:val="20"/>
              </w:rPr>
              <w:t>0.71</w:t>
            </w:r>
          </w:p>
        </w:tc>
        <w:tc>
          <w:tcPr>
            <w:tcW w:w="1177" w:type="dxa"/>
            <w:vAlign w:val="center"/>
          </w:tcPr>
          <w:p w14:paraId="780CCBE2" w14:textId="29C4C5CD" w:rsidR="00032D12" w:rsidRPr="00437CF7" w:rsidRDefault="00032D12" w:rsidP="009430CC">
            <w:pPr>
              <w:keepLines/>
              <w:widowControl w:val="0"/>
              <w:jc w:val="center"/>
              <w:rPr>
                <w:rFonts w:ascii="Arial Narrow" w:eastAsiaTheme="majorEastAsia" w:hAnsi="Arial Narrow" w:cstheme="majorBidi"/>
                <w:bCs/>
                <w:sz w:val="20"/>
                <w:vertAlign w:val="superscript"/>
              </w:rPr>
            </w:pPr>
            <w:r w:rsidRPr="007A16D4">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r w:rsidR="00437CF7">
              <w:rPr>
                <w:rFonts w:ascii="Arial Narrow" w:eastAsiaTheme="majorEastAsia" w:hAnsi="Arial Narrow" w:cstheme="majorBidi"/>
                <w:bCs/>
                <w:sz w:val="20"/>
                <w:vertAlign w:val="superscript"/>
              </w:rPr>
              <w:t>3</w:t>
            </w:r>
          </w:p>
        </w:tc>
        <w:tc>
          <w:tcPr>
            <w:tcW w:w="1766" w:type="dxa"/>
            <w:vAlign w:val="center"/>
          </w:tcPr>
          <w:p w14:paraId="1DF6925E" w14:textId="7C749225" w:rsidR="00032D12" w:rsidRPr="0082416B" w:rsidRDefault="00576021" w:rsidP="009430CC">
            <w:pPr>
              <w:keepLines/>
              <w:widowControl w:val="0"/>
              <w:jc w:val="center"/>
              <w:rPr>
                <w:rFonts w:ascii="Arial Narrow" w:eastAsiaTheme="majorEastAsia" w:hAnsi="Arial Narrow" w:cstheme="majorBidi"/>
                <w:bCs/>
                <w:sz w:val="20"/>
                <w:highlight w:val="darkGray"/>
              </w:rPr>
            </w:pPr>
            <w:r w:rsidRPr="001758D2">
              <w:rPr>
                <w:rFonts w:ascii="Arial Narrow" w:eastAsiaTheme="majorEastAsia" w:hAnsi="Arial Narrow" w:cstheme="majorBidi"/>
                <w:bCs/>
                <w:sz w:val="20"/>
                <w:highlight w:val="black"/>
              </w:rPr>
              <w:t>&amp;&amp;&amp;&amp;</w:t>
            </w:r>
            <w:r w:rsidR="00032D12" w:rsidRPr="001F0D46">
              <w:rPr>
                <w:rFonts w:ascii="Arial Narrow" w:eastAsiaTheme="majorEastAsia" w:hAnsi="Arial Narrow" w:cstheme="majorBidi"/>
                <w:bCs/>
                <w:sz w:val="20"/>
              </w:rPr>
              <w:t>%</w:t>
            </w:r>
          </w:p>
        </w:tc>
      </w:tr>
      <w:tr w:rsidR="00032D12" w:rsidRPr="006E012B" w14:paraId="0DB6B60C" w14:textId="77777777" w:rsidTr="001A5E49">
        <w:trPr>
          <w:cantSplit/>
        </w:trPr>
        <w:tc>
          <w:tcPr>
            <w:tcW w:w="3572" w:type="dxa"/>
            <w:tcMar>
              <w:left w:w="28" w:type="dxa"/>
              <w:right w:w="28" w:type="dxa"/>
            </w:tcMar>
          </w:tcPr>
          <w:p w14:paraId="6FCD081E" w14:textId="77777777" w:rsidR="00032D12" w:rsidRPr="007A16D4" w:rsidRDefault="00032D12" w:rsidP="00AD0C9B">
            <w:pPr>
              <w:keepLines/>
              <w:widowControl w:val="0"/>
              <w:ind w:left="166"/>
              <w:jc w:val="left"/>
              <w:rPr>
                <w:rFonts w:ascii="Arial Narrow" w:eastAsiaTheme="majorEastAsia" w:hAnsi="Arial Narrow" w:cstheme="majorBidi"/>
                <w:bCs/>
                <w:sz w:val="20"/>
              </w:rPr>
            </w:pPr>
            <w:r w:rsidRPr="007A16D4">
              <w:rPr>
                <w:rFonts w:ascii="Arial Narrow" w:eastAsiaTheme="majorEastAsia" w:hAnsi="Arial Narrow" w:cstheme="majorBidi"/>
                <w:bCs/>
                <w:sz w:val="20"/>
              </w:rPr>
              <w:t xml:space="preserve">Applying costs to 90% of patients in the IRP health state </w:t>
            </w:r>
            <w:r w:rsidRPr="007A16D4">
              <w:rPr>
                <w:rFonts w:ascii="Arial Narrow" w:eastAsiaTheme="majorEastAsia" w:hAnsi="Arial Narrow" w:cstheme="majorBidi"/>
                <w:b/>
                <w:sz w:val="20"/>
              </w:rPr>
              <w:t>(#3)</w:t>
            </w:r>
          </w:p>
        </w:tc>
        <w:tc>
          <w:tcPr>
            <w:tcW w:w="1255" w:type="dxa"/>
            <w:vAlign w:val="center"/>
          </w:tcPr>
          <w:p w14:paraId="27BD556B" w14:textId="68951883" w:rsidR="00032D12" w:rsidRPr="007A16D4" w:rsidRDefault="00032D12" w:rsidP="009430CC">
            <w:pPr>
              <w:pStyle w:val="Tabletext"/>
              <w:jc w:val="center"/>
              <w:rPr>
                <w:rFonts w:eastAsiaTheme="majorEastAsia" w:cstheme="majorBidi"/>
                <w:bCs/>
              </w:rPr>
            </w:pPr>
            <w:r w:rsidRPr="007A16D4">
              <w:t>$</w:t>
            </w:r>
            <w:r w:rsidR="00576021" w:rsidRPr="001758D2">
              <w:rPr>
                <w:highlight w:val="black"/>
              </w:rPr>
              <w:t>&amp;&amp;&amp;&amp;</w:t>
            </w:r>
          </w:p>
        </w:tc>
        <w:tc>
          <w:tcPr>
            <w:tcW w:w="1247" w:type="dxa"/>
            <w:vAlign w:val="center"/>
          </w:tcPr>
          <w:p w14:paraId="2582C0B7" w14:textId="77777777" w:rsidR="00032D12" w:rsidRPr="007A16D4" w:rsidRDefault="00032D12" w:rsidP="009430CC">
            <w:pPr>
              <w:pStyle w:val="Tabletext"/>
              <w:jc w:val="center"/>
              <w:rPr>
                <w:rFonts w:eastAsiaTheme="majorEastAsia" w:cstheme="majorBidi"/>
                <w:bCs/>
              </w:rPr>
            </w:pPr>
            <w:r w:rsidRPr="007A16D4">
              <w:t>0.71</w:t>
            </w:r>
          </w:p>
        </w:tc>
        <w:tc>
          <w:tcPr>
            <w:tcW w:w="1177" w:type="dxa"/>
            <w:vAlign w:val="center"/>
          </w:tcPr>
          <w:p w14:paraId="2427F3F7" w14:textId="62525958" w:rsidR="00032D12" w:rsidRPr="00130A7B" w:rsidRDefault="00032D12" w:rsidP="009430CC">
            <w:pPr>
              <w:pStyle w:val="Tabletext"/>
              <w:jc w:val="center"/>
              <w:rPr>
                <w:rFonts w:eastAsiaTheme="majorEastAsia" w:cstheme="majorBidi"/>
                <w:bCs/>
                <w:vertAlign w:val="superscript"/>
              </w:rPr>
            </w:pPr>
            <w:r w:rsidRPr="007A16D4">
              <w:t>$</w:t>
            </w:r>
            <w:r w:rsidR="00576021" w:rsidRPr="001758D2">
              <w:rPr>
                <w:highlight w:val="black"/>
              </w:rPr>
              <w:t>&amp;&amp;&amp;&amp;</w:t>
            </w:r>
            <w:r w:rsidR="00130A7B">
              <w:rPr>
                <w:vertAlign w:val="superscript"/>
              </w:rPr>
              <w:t>1</w:t>
            </w:r>
          </w:p>
        </w:tc>
        <w:tc>
          <w:tcPr>
            <w:tcW w:w="1766" w:type="dxa"/>
            <w:vAlign w:val="center"/>
          </w:tcPr>
          <w:p w14:paraId="2BC70926" w14:textId="382E4788" w:rsidR="00032D12" w:rsidRPr="0082416B" w:rsidRDefault="00576021" w:rsidP="009430CC">
            <w:pPr>
              <w:pStyle w:val="Tabletext"/>
              <w:jc w:val="center"/>
              <w:rPr>
                <w:rFonts w:eastAsiaTheme="majorEastAsia" w:cstheme="majorBidi"/>
                <w:bCs/>
                <w:highlight w:val="darkGray"/>
              </w:rPr>
            </w:pPr>
            <w:r w:rsidRPr="001758D2">
              <w:rPr>
                <w:highlight w:val="black"/>
              </w:rPr>
              <w:t>&amp;&amp;&amp;&amp;</w:t>
            </w:r>
            <w:r w:rsidR="00032D12" w:rsidRPr="001F0D46">
              <w:t>%</w:t>
            </w:r>
          </w:p>
        </w:tc>
      </w:tr>
      <w:tr w:rsidR="00032D12" w:rsidRPr="006E012B" w14:paraId="40260187" w14:textId="77777777" w:rsidTr="001A5E49">
        <w:trPr>
          <w:cantSplit/>
        </w:trPr>
        <w:tc>
          <w:tcPr>
            <w:tcW w:w="3572" w:type="dxa"/>
            <w:tcMar>
              <w:left w:w="28" w:type="dxa"/>
              <w:right w:w="28" w:type="dxa"/>
            </w:tcMar>
          </w:tcPr>
          <w:p w14:paraId="3572A986" w14:textId="14BA7659" w:rsidR="00032D12" w:rsidRPr="007A16D4" w:rsidRDefault="00032D12" w:rsidP="00AD0C9B">
            <w:pPr>
              <w:keepLines/>
              <w:widowControl w:val="0"/>
              <w:ind w:left="166"/>
              <w:jc w:val="left"/>
              <w:rPr>
                <w:rFonts w:ascii="Arial Narrow" w:eastAsiaTheme="majorEastAsia" w:hAnsi="Arial Narrow" w:cstheme="majorBidi"/>
                <w:bCs/>
                <w:sz w:val="20"/>
              </w:rPr>
            </w:pPr>
            <w:r w:rsidRPr="007A16D4">
              <w:rPr>
                <w:rFonts w:ascii="Arial Narrow" w:eastAsiaTheme="majorEastAsia" w:hAnsi="Arial Narrow" w:cstheme="majorBidi"/>
                <w:bCs/>
                <w:sz w:val="20"/>
              </w:rPr>
              <w:t xml:space="preserve">Applying initial surgery costs to 88.7% and 87.75% of patients across both arms </w:t>
            </w:r>
            <w:r w:rsidRPr="007A16D4">
              <w:rPr>
                <w:rFonts w:ascii="Arial Narrow" w:eastAsiaTheme="majorEastAsia" w:hAnsi="Arial Narrow" w:cstheme="majorBidi"/>
                <w:b/>
                <w:sz w:val="20"/>
              </w:rPr>
              <w:t>(#1)</w:t>
            </w:r>
          </w:p>
        </w:tc>
        <w:tc>
          <w:tcPr>
            <w:tcW w:w="1255" w:type="dxa"/>
            <w:vAlign w:val="center"/>
          </w:tcPr>
          <w:p w14:paraId="0ADE583E" w14:textId="262F7F1A" w:rsidR="00032D12" w:rsidRPr="00266AEC" w:rsidRDefault="00032D12" w:rsidP="009430CC">
            <w:pPr>
              <w:keepLines/>
              <w:widowControl w:val="0"/>
              <w:jc w:val="center"/>
              <w:rPr>
                <w:rFonts w:ascii="Arial Narrow" w:eastAsiaTheme="majorEastAsia" w:hAnsi="Arial Narrow" w:cstheme="majorBidi"/>
                <w:bCs/>
                <w:sz w:val="20"/>
                <w:vertAlign w:val="superscript"/>
              </w:rPr>
            </w:pPr>
            <w:r w:rsidRPr="007A16D4">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p>
        </w:tc>
        <w:tc>
          <w:tcPr>
            <w:tcW w:w="1247" w:type="dxa"/>
            <w:vAlign w:val="center"/>
          </w:tcPr>
          <w:p w14:paraId="0EEBFED8" w14:textId="77777777" w:rsidR="00032D12" w:rsidRPr="007A16D4" w:rsidRDefault="00032D12" w:rsidP="009430CC">
            <w:pPr>
              <w:keepLines/>
              <w:widowControl w:val="0"/>
              <w:jc w:val="center"/>
              <w:rPr>
                <w:rFonts w:ascii="Arial Narrow" w:eastAsiaTheme="majorEastAsia" w:hAnsi="Arial Narrow" w:cstheme="majorBidi"/>
                <w:bCs/>
                <w:sz w:val="20"/>
              </w:rPr>
            </w:pPr>
            <w:r w:rsidRPr="007A16D4">
              <w:rPr>
                <w:rFonts w:ascii="Arial Narrow" w:eastAsiaTheme="majorEastAsia" w:hAnsi="Arial Narrow" w:cstheme="majorBidi"/>
                <w:bCs/>
                <w:sz w:val="20"/>
              </w:rPr>
              <w:t>0.71</w:t>
            </w:r>
          </w:p>
        </w:tc>
        <w:tc>
          <w:tcPr>
            <w:tcW w:w="1177" w:type="dxa"/>
            <w:vAlign w:val="center"/>
          </w:tcPr>
          <w:p w14:paraId="0E9C606A" w14:textId="36A0DE34" w:rsidR="00032D12" w:rsidRPr="00437CF7" w:rsidRDefault="00032D12" w:rsidP="009430CC">
            <w:pPr>
              <w:keepLines/>
              <w:widowControl w:val="0"/>
              <w:jc w:val="center"/>
              <w:rPr>
                <w:rFonts w:ascii="Arial Narrow" w:eastAsiaTheme="majorEastAsia" w:hAnsi="Arial Narrow" w:cstheme="majorBidi"/>
                <w:bCs/>
                <w:sz w:val="20"/>
                <w:vertAlign w:val="superscript"/>
              </w:rPr>
            </w:pPr>
            <w:r w:rsidRPr="007A16D4">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r w:rsidR="00437CF7">
              <w:rPr>
                <w:rFonts w:ascii="Arial Narrow" w:eastAsiaTheme="majorEastAsia" w:hAnsi="Arial Narrow" w:cstheme="majorBidi"/>
                <w:bCs/>
                <w:sz w:val="20"/>
                <w:vertAlign w:val="superscript"/>
              </w:rPr>
              <w:t>3</w:t>
            </w:r>
          </w:p>
        </w:tc>
        <w:tc>
          <w:tcPr>
            <w:tcW w:w="1766" w:type="dxa"/>
            <w:vAlign w:val="center"/>
          </w:tcPr>
          <w:p w14:paraId="202B81F9" w14:textId="4D9649B3" w:rsidR="00032D12" w:rsidRPr="0082416B" w:rsidRDefault="00576021" w:rsidP="009430CC">
            <w:pPr>
              <w:keepLines/>
              <w:widowControl w:val="0"/>
              <w:jc w:val="center"/>
              <w:rPr>
                <w:rFonts w:ascii="Arial Narrow" w:eastAsiaTheme="majorEastAsia" w:hAnsi="Arial Narrow" w:cstheme="majorBidi"/>
                <w:bCs/>
                <w:sz w:val="20"/>
                <w:highlight w:val="darkGray"/>
              </w:rPr>
            </w:pPr>
            <w:r w:rsidRPr="001758D2">
              <w:rPr>
                <w:rFonts w:ascii="Arial Narrow" w:eastAsiaTheme="majorEastAsia" w:hAnsi="Arial Narrow" w:cstheme="majorBidi"/>
                <w:bCs/>
                <w:sz w:val="20"/>
                <w:highlight w:val="black"/>
              </w:rPr>
              <w:t>&amp;&amp;&amp;&amp;</w:t>
            </w:r>
            <w:r w:rsidR="00032D12" w:rsidRPr="001F0D46">
              <w:rPr>
                <w:rFonts w:ascii="Arial Narrow" w:eastAsiaTheme="majorEastAsia" w:hAnsi="Arial Narrow" w:cstheme="majorBidi"/>
                <w:bCs/>
                <w:sz w:val="20"/>
              </w:rPr>
              <w:t>%</w:t>
            </w:r>
          </w:p>
        </w:tc>
      </w:tr>
      <w:tr w:rsidR="00032D12" w:rsidRPr="006E012B" w14:paraId="099989F8" w14:textId="77777777" w:rsidTr="007A0890">
        <w:trPr>
          <w:cantSplit/>
        </w:trPr>
        <w:tc>
          <w:tcPr>
            <w:tcW w:w="9017" w:type="dxa"/>
            <w:gridSpan w:val="5"/>
            <w:tcMar>
              <w:left w:w="28" w:type="dxa"/>
              <w:right w:w="28" w:type="dxa"/>
            </w:tcMar>
          </w:tcPr>
          <w:p w14:paraId="0D156A3E" w14:textId="77777777" w:rsidR="00032D12" w:rsidRPr="006E012B" w:rsidRDefault="00032D12">
            <w:pPr>
              <w:keepLines/>
              <w:widowControl w:val="0"/>
              <w:jc w:val="left"/>
              <w:rPr>
                <w:rFonts w:ascii="Arial Narrow" w:eastAsiaTheme="majorEastAsia" w:hAnsi="Arial Narrow" w:cstheme="majorBidi"/>
                <w:bCs/>
                <w:sz w:val="20"/>
              </w:rPr>
            </w:pPr>
            <w:r w:rsidRPr="006E012B">
              <w:rPr>
                <w:rFonts w:ascii="Arial Narrow" w:eastAsiaTheme="majorEastAsia" w:hAnsi="Arial Narrow" w:cstheme="majorBidi"/>
                <w:bCs/>
                <w:sz w:val="20"/>
              </w:rPr>
              <w:t>Terminal care costs</w:t>
            </w:r>
          </w:p>
        </w:tc>
      </w:tr>
      <w:tr w:rsidR="00032D12" w:rsidRPr="006E012B" w14:paraId="33DEC6AE" w14:textId="77777777" w:rsidTr="001A5E49">
        <w:trPr>
          <w:cantSplit/>
        </w:trPr>
        <w:tc>
          <w:tcPr>
            <w:tcW w:w="3572" w:type="dxa"/>
            <w:tcMar>
              <w:left w:w="28" w:type="dxa"/>
              <w:right w:w="28" w:type="dxa"/>
            </w:tcMar>
          </w:tcPr>
          <w:p w14:paraId="624EA078" w14:textId="77777777" w:rsidR="00032D12" w:rsidRPr="006E012B" w:rsidRDefault="00032D12" w:rsidP="00D40D00">
            <w:pPr>
              <w:keepLines/>
              <w:widowControl w:val="0"/>
              <w:ind w:left="166"/>
              <w:jc w:val="left"/>
              <w:rPr>
                <w:rFonts w:ascii="Arial Narrow" w:eastAsiaTheme="majorEastAsia" w:hAnsi="Arial Narrow" w:cstheme="majorBidi"/>
                <w:bCs/>
                <w:sz w:val="20"/>
              </w:rPr>
            </w:pPr>
            <w:r w:rsidRPr="006E012B">
              <w:rPr>
                <w:rFonts w:ascii="Arial Narrow" w:eastAsiaTheme="majorEastAsia" w:hAnsi="Arial Narrow" w:cstheme="majorBidi"/>
                <w:bCs/>
                <w:sz w:val="20"/>
              </w:rPr>
              <w:t>Sourced from Goldsbury, 2018</w:t>
            </w:r>
          </w:p>
        </w:tc>
        <w:tc>
          <w:tcPr>
            <w:tcW w:w="1255" w:type="dxa"/>
            <w:vAlign w:val="center"/>
          </w:tcPr>
          <w:p w14:paraId="7D6F1054" w14:textId="30B95232" w:rsidR="00032D12" w:rsidRPr="006E012B" w:rsidRDefault="00032D12" w:rsidP="009430CC">
            <w:pPr>
              <w:keepLines/>
              <w:widowControl w:val="0"/>
              <w:jc w:val="center"/>
              <w:rPr>
                <w:rFonts w:ascii="Arial Narrow" w:eastAsiaTheme="majorEastAsia" w:hAnsi="Arial Narrow" w:cstheme="majorBidi"/>
                <w:bCs/>
                <w:sz w:val="20"/>
              </w:rPr>
            </w:pPr>
            <w:r w:rsidRPr="006E012B">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p>
        </w:tc>
        <w:tc>
          <w:tcPr>
            <w:tcW w:w="1247" w:type="dxa"/>
            <w:vAlign w:val="center"/>
          </w:tcPr>
          <w:p w14:paraId="28D26692" w14:textId="77777777" w:rsidR="00032D12" w:rsidRPr="006E012B" w:rsidRDefault="00032D12" w:rsidP="009430CC">
            <w:pPr>
              <w:keepLines/>
              <w:widowControl w:val="0"/>
              <w:jc w:val="center"/>
              <w:rPr>
                <w:rFonts w:ascii="Arial Narrow" w:eastAsiaTheme="majorEastAsia" w:hAnsi="Arial Narrow" w:cstheme="majorBidi"/>
                <w:bCs/>
                <w:sz w:val="20"/>
              </w:rPr>
            </w:pPr>
            <w:r w:rsidRPr="006E012B">
              <w:rPr>
                <w:rFonts w:ascii="Arial Narrow" w:eastAsiaTheme="majorEastAsia" w:hAnsi="Arial Narrow" w:cstheme="majorBidi"/>
                <w:bCs/>
                <w:sz w:val="20"/>
              </w:rPr>
              <w:t>0.71</w:t>
            </w:r>
          </w:p>
        </w:tc>
        <w:tc>
          <w:tcPr>
            <w:tcW w:w="1177" w:type="dxa"/>
            <w:vAlign w:val="center"/>
          </w:tcPr>
          <w:p w14:paraId="2AB5B2DA" w14:textId="33C39D9E" w:rsidR="00032D12" w:rsidRPr="00130A7B" w:rsidRDefault="00032D12" w:rsidP="009430CC">
            <w:pPr>
              <w:keepLines/>
              <w:widowControl w:val="0"/>
              <w:jc w:val="center"/>
              <w:rPr>
                <w:rFonts w:ascii="Arial Narrow" w:eastAsiaTheme="majorEastAsia" w:hAnsi="Arial Narrow" w:cstheme="majorBidi"/>
                <w:bCs/>
                <w:sz w:val="20"/>
                <w:vertAlign w:val="superscript"/>
              </w:rPr>
            </w:pPr>
            <w:r w:rsidRPr="006E012B">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r w:rsidR="00130A7B">
              <w:rPr>
                <w:rFonts w:ascii="Arial Narrow" w:eastAsiaTheme="majorEastAsia" w:hAnsi="Arial Narrow" w:cstheme="majorBidi"/>
                <w:bCs/>
                <w:sz w:val="20"/>
                <w:vertAlign w:val="superscript"/>
              </w:rPr>
              <w:t>1</w:t>
            </w:r>
          </w:p>
        </w:tc>
        <w:tc>
          <w:tcPr>
            <w:tcW w:w="1766" w:type="dxa"/>
            <w:vAlign w:val="center"/>
          </w:tcPr>
          <w:p w14:paraId="179B176F" w14:textId="16FB194A" w:rsidR="00032D12" w:rsidRPr="0082416B" w:rsidRDefault="00032D12" w:rsidP="009430CC">
            <w:pPr>
              <w:keepLines/>
              <w:widowControl w:val="0"/>
              <w:jc w:val="center"/>
              <w:rPr>
                <w:rFonts w:ascii="Arial Narrow" w:eastAsiaTheme="majorEastAsia" w:hAnsi="Arial Narrow" w:cstheme="majorBidi"/>
                <w:bCs/>
                <w:sz w:val="20"/>
                <w:highlight w:val="darkGray"/>
              </w:rPr>
            </w:pPr>
            <w:r w:rsidRPr="001F0D46">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r w:rsidRPr="001F0D46">
              <w:rPr>
                <w:rFonts w:ascii="Arial Narrow" w:eastAsiaTheme="majorEastAsia" w:hAnsi="Arial Narrow" w:cstheme="majorBidi"/>
                <w:bCs/>
                <w:sz w:val="20"/>
              </w:rPr>
              <w:t>%</w:t>
            </w:r>
          </w:p>
        </w:tc>
      </w:tr>
      <w:tr w:rsidR="00032D12" w:rsidRPr="006E012B" w14:paraId="4667E93D" w14:textId="77777777" w:rsidTr="001A5E49">
        <w:trPr>
          <w:cantSplit/>
        </w:trPr>
        <w:tc>
          <w:tcPr>
            <w:tcW w:w="3572" w:type="dxa"/>
            <w:tcMar>
              <w:left w:w="28" w:type="dxa"/>
              <w:right w:w="28" w:type="dxa"/>
            </w:tcMar>
          </w:tcPr>
          <w:p w14:paraId="0478D463" w14:textId="77777777" w:rsidR="00032D12" w:rsidRPr="006E012B" w:rsidRDefault="00032D12" w:rsidP="00D40D00">
            <w:pPr>
              <w:keepLines/>
              <w:widowControl w:val="0"/>
              <w:ind w:left="166"/>
              <w:jc w:val="left"/>
              <w:rPr>
                <w:rFonts w:ascii="Arial Narrow" w:eastAsiaTheme="majorEastAsia" w:hAnsi="Arial Narrow" w:cstheme="majorBidi"/>
                <w:bCs/>
                <w:sz w:val="20"/>
              </w:rPr>
            </w:pPr>
            <w:r w:rsidRPr="006E012B">
              <w:rPr>
                <w:rFonts w:ascii="Arial Narrow" w:eastAsiaTheme="majorEastAsia" w:hAnsi="Arial Narrow" w:cstheme="majorBidi"/>
                <w:bCs/>
                <w:sz w:val="20"/>
              </w:rPr>
              <w:t>Excluded</w:t>
            </w:r>
          </w:p>
        </w:tc>
        <w:tc>
          <w:tcPr>
            <w:tcW w:w="1255" w:type="dxa"/>
          </w:tcPr>
          <w:p w14:paraId="2A787EE8" w14:textId="119DF855" w:rsidR="00032D12" w:rsidRPr="006E012B" w:rsidRDefault="00032D12">
            <w:pPr>
              <w:keepLines/>
              <w:widowControl w:val="0"/>
              <w:jc w:val="center"/>
              <w:rPr>
                <w:rFonts w:ascii="Arial Narrow" w:eastAsiaTheme="majorEastAsia" w:hAnsi="Arial Narrow" w:cstheme="majorBidi"/>
                <w:bCs/>
                <w:sz w:val="20"/>
              </w:rPr>
            </w:pPr>
            <w:r w:rsidRPr="006E012B">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p>
        </w:tc>
        <w:tc>
          <w:tcPr>
            <w:tcW w:w="1247" w:type="dxa"/>
          </w:tcPr>
          <w:p w14:paraId="6BA952CF" w14:textId="77777777" w:rsidR="00032D12" w:rsidRPr="006E012B" w:rsidRDefault="00032D12">
            <w:pPr>
              <w:keepLines/>
              <w:widowControl w:val="0"/>
              <w:jc w:val="center"/>
              <w:rPr>
                <w:rFonts w:ascii="Arial Narrow" w:eastAsiaTheme="majorEastAsia" w:hAnsi="Arial Narrow" w:cstheme="majorBidi"/>
                <w:bCs/>
                <w:sz w:val="20"/>
              </w:rPr>
            </w:pPr>
            <w:r w:rsidRPr="006E012B">
              <w:rPr>
                <w:rFonts w:ascii="Arial Narrow" w:eastAsiaTheme="majorEastAsia" w:hAnsi="Arial Narrow" w:cstheme="majorBidi"/>
                <w:bCs/>
                <w:sz w:val="20"/>
              </w:rPr>
              <w:t>0.71</w:t>
            </w:r>
          </w:p>
        </w:tc>
        <w:tc>
          <w:tcPr>
            <w:tcW w:w="1177" w:type="dxa"/>
          </w:tcPr>
          <w:p w14:paraId="59DAC8CE" w14:textId="3AA9F39B" w:rsidR="00032D12" w:rsidRPr="00130A7B" w:rsidRDefault="00032D12">
            <w:pPr>
              <w:keepLines/>
              <w:widowControl w:val="0"/>
              <w:jc w:val="center"/>
              <w:rPr>
                <w:rFonts w:ascii="Arial Narrow" w:eastAsiaTheme="majorEastAsia" w:hAnsi="Arial Narrow" w:cstheme="majorBidi"/>
                <w:bCs/>
                <w:sz w:val="20"/>
                <w:vertAlign w:val="superscript"/>
              </w:rPr>
            </w:pPr>
            <w:r w:rsidRPr="006E012B">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r w:rsidR="00130A7B">
              <w:rPr>
                <w:rFonts w:ascii="Arial Narrow" w:eastAsiaTheme="majorEastAsia" w:hAnsi="Arial Narrow" w:cstheme="majorBidi"/>
                <w:bCs/>
                <w:sz w:val="20"/>
                <w:vertAlign w:val="superscript"/>
              </w:rPr>
              <w:t>1</w:t>
            </w:r>
          </w:p>
        </w:tc>
        <w:tc>
          <w:tcPr>
            <w:tcW w:w="1766" w:type="dxa"/>
          </w:tcPr>
          <w:p w14:paraId="39567F8C" w14:textId="25FF9DDC" w:rsidR="00032D12" w:rsidRPr="0082416B" w:rsidRDefault="00576021">
            <w:pPr>
              <w:keepLines/>
              <w:widowControl w:val="0"/>
              <w:jc w:val="center"/>
              <w:rPr>
                <w:rFonts w:ascii="Arial Narrow" w:eastAsiaTheme="majorEastAsia" w:hAnsi="Arial Narrow" w:cstheme="majorBidi"/>
                <w:bCs/>
                <w:sz w:val="20"/>
                <w:highlight w:val="darkGray"/>
              </w:rPr>
            </w:pPr>
            <w:r w:rsidRPr="001758D2">
              <w:rPr>
                <w:rFonts w:ascii="Arial Narrow" w:eastAsiaTheme="majorEastAsia" w:hAnsi="Arial Narrow" w:cstheme="majorBidi"/>
                <w:bCs/>
                <w:sz w:val="20"/>
                <w:highlight w:val="black"/>
              </w:rPr>
              <w:t>&amp;&amp;&amp;&amp;</w:t>
            </w:r>
            <w:r w:rsidR="00032D12" w:rsidRPr="00EC46A1">
              <w:rPr>
                <w:rFonts w:ascii="Arial Narrow" w:eastAsiaTheme="majorEastAsia" w:hAnsi="Arial Narrow" w:cstheme="majorBidi"/>
                <w:bCs/>
                <w:sz w:val="20"/>
              </w:rPr>
              <w:t>%</w:t>
            </w:r>
          </w:p>
        </w:tc>
      </w:tr>
      <w:tr w:rsidR="00032D12" w:rsidRPr="006E012B" w14:paraId="09CC5A86" w14:textId="77777777" w:rsidTr="007A0890">
        <w:trPr>
          <w:cantSplit/>
        </w:trPr>
        <w:tc>
          <w:tcPr>
            <w:tcW w:w="9017" w:type="dxa"/>
            <w:gridSpan w:val="5"/>
            <w:tcMar>
              <w:left w:w="28" w:type="dxa"/>
              <w:right w:w="28" w:type="dxa"/>
            </w:tcMar>
          </w:tcPr>
          <w:p w14:paraId="1B6B98A9" w14:textId="77777777" w:rsidR="00032D12" w:rsidRPr="006E012B" w:rsidRDefault="00032D12">
            <w:pPr>
              <w:keepLines/>
              <w:widowControl w:val="0"/>
              <w:jc w:val="left"/>
              <w:rPr>
                <w:rFonts w:ascii="Arial Narrow" w:eastAsiaTheme="majorEastAsia" w:hAnsi="Arial Narrow" w:cstheme="majorBidi"/>
                <w:bCs/>
                <w:sz w:val="20"/>
              </w:rPr>
            </w:pPr>
            <w:r w:rsidRPr="006E012B">
              <w:rPr>
                <w:rFonts w:ascii="Arial Narrow" w:eastAsiaTheme="majorEastAsia" w:hAnsi="Arial Narrow" w:cstheme="majorBidi"/>
                <w:bCs/>
                <w:sz w:val="20"/>
              </w:rPr>
              <w:t xml:space="preserve">Censoring rule (base case: censored at last disease assessment) </w:t>
            </w:r>
          </w:p>
        </w:tc>
      </w:tr>
      <w:tr w:rsidR="00032D12" w:rsidRPr="006E012B" w14:paraId="6136F56C" w14:textId="77777777" w:rsidTr="001A5E49">
        <w:trPr>
          <w:cantSplit/>
        </w:trPr>
        <w:tc>
          <w:tcPr>
            <w:tcW w:w="3572" w:type="dxa"/>
            <w:tcMar>
              <w:left w:w="28" w:type="dxa"/>
              <w:right w:w="28" w:type="dxa"/>
            </w:tcMar>
          </w:tcPr>
          <w:p w14:paraId="7FB972F5" w14:textId="77777777" w:rsidR="00032D12" w:rsidRPr="006E012B" w:rsidRDefault="00032D12" w:rsidP="00D40D00">
            <w:pPr>
              <w:keepLines/>
              <w:widowControl w:val="0"/>
              <w:ind w:left="166"/>
              <w:jc w:val="left"/>
              <w:rPr>
                <w:rFonts w:ascii="Arial Narrow" w:eastAsiaTheme="majorEastAsia" w:hAnsi="Arial Narrow" w:cstheme="majorBidi"/>
                <w:bCs/>
                <w:sz w:val="20"/>
              </w:rPr>
            </w:pPr>
            <w:r w:rsidRPr="006E012B">
              <w:rPr>
                <w:rFonts w:ascii="Arial Narrow" w:eastAsiaTheme="majorEastAsia" w:hAnsi="Arial Narrow" w:cstheme="majorBidi"/>
                <w:bCs/>
                <w:sz w:val="20"/>
              </w:rPr>
              <w:t>Censored at last date patient was known to be alive</w:t>
            </w:r>
          </w:p>
        </w:tc>
        <w:tc>
          <w:tcPr>
            <w:tcW w:w="1255" w:type="dxa"/>
            <w:vAlign w:val="center"/>
          </w:tcPr>
          <w:p w14:paraId="087C2E9F" w14:textId="743A217F" w:rsidR="00032D12" w:rsidRPr="006E012B" w:rsidRDefault="00032D12" w:rsidP="00D40D00">
            <w:pPr>
              <w:widowControl w:val="0"/>
              <w:jc w:val="center"/>
              <w:rPr>
                <w:rFonts w:ascii="Arial Narrow" w:eastAsiaTheme="majorEastAsia" w:hAnsi="Arial Narrow" w:cs="Times New Roman"/>
                <w:bCs/>
                <w:snapToGrid w:val="0"/>
                <w:sz w:val="20"/>
              </w:rPr>
            </w:pPr>
            <w:r w:rsidRPr="006E012B">
              <w:rPr>
                <w:rFonts w:ascii="Arial Narrow" w:hAnsi="Arial Narrow" w:cs="Times New Roman"/>
                <w:snapToGrid w:val="0"/>
                <w:sz w:val="20"/>
              </w:rPr>
              <w:t>$</w:t>
            </w:r>
            <w:r w:rsidR="00576021" w:rsidRPr="001758D2">
              <w:rPr>
                <w:rFonts w:ascii="Arial Narrow" w:hAnsi="Arial Narrow" w:cs="Times New Roman"/>
                <w:snapToGrid w:val="0"/>
                <w:sz w:val="20"/>
                <w:highlight w:val="black"/>
              </w:rPr>
              <w:t>&amp;&amp;&amp;&amp;</w:t>
            </w:r>
          </w:p>
        </w:tc>
        <w:tc>
          <w:tcPr>
            <w:tcW w:w="1247" w:type="dxa"/>
            <w:vAlign w:val="center"/>
          </w:tcPr>
          <w:p w14:paraId="1F1548EE" w14:textId="77777777" w:rsidR="00032D12" w:rsidRPr="006E012B" w:rsidRDefault="00032D12" w:rsidP="00D40D00">
            <w:pPr>
              <w:widowControl w:val="0"/>
              <w:jc w:val="center"/>
              <w:rPr>
                <w:rFonts w:ascii="Arial Narrow" w:eastAsiaTheme="majorEastAsia" w:hAnsi="Arial Narrow" w:cs="Times New Roman"/>
                <w:bCs/>
                <w:snapToGrid w:val="0"/>
                <w:sz w:val="20"/>
              </w:rPr>
            </w:pPr>
            <w:r w:rsidRPr="006E012B">
              <w:rPr>
                <w:rFonts w:ascii="Arial Narrow" w:hAnsi="Arial Narrow" w:cs="Times New Roman"/>
                <w:snapToGrid w:val="0"/>
                <w:sz w:val="20"/>
              </w:rPr>
              <w:t>0.70</w:t>
            </w:r>
          </w:p>
        </w:tc>
        <w:tc>
          <w:tcPr>
            <w:tcW w:w="1177" w:type="dxa"/>
            <w:vAlign w:val="center"/>
          </w:tcPr>
          <w:p w14:paraId="0E9B8AA9" w14:textId="00443F7F" w:rsidR="00032D12" w:rsidRPr="00130A7B" w:rsidRDefault="00032D12" w:rsidP="00D40D00">
            <w:pPr>
              <w:widowControl w:val="0"/>
              <w:jc w:val="center"/>
              <w:rPr>
                <w:rFonts w:ascii="Arial Narrow" w:eastAsiaTheme="majorEastAsia" w:hAnsi="Arial Narrow" w:cs="Times New Roman"/>
                <w:bCs/>
                <w:snapToGrid w:val="0"/>
                <w:sz w:val="20"/>
                <w:vertAlign w:val="superscript"/>
              </w:rPr>
            </w:pPr>
            <w:r w:rsidRPr="006E012B">
              <w:rPr>
                <w:rFonts w:ascii="Arial Narrow" w:hAnsi="Arial Narrow" w:cs="Times New Roman"/>
                <w:snapToGrid w:val="0"/>
                <w:sz w:val="20"/>
              </w:rPr>
              <w:t>$</w:t>
            </w:r>
            <w:r w:rsidR="00576021" w:rsidRPr="001758D2">
              <w:rPr>
                <w:rFonts w:ascii="Arial Narrow" w:hAnsi="Arial Narrow" w:cs="Times New Roman"/>
                <w:snapToGrid w:val="0"/>
                <w:sz w:val="20"/>
                <w:highlight w:val="black"/>
              </w:rPr>
              <w:t>&amp;&amp;&amp;&amp;</w:t>
            </w:r>
            <w:r w:rsidR="00130A7B">
              <w:rPr>
                <w:rFonts w:ascii="Arial Narrow" w:hAnsi="Arial Narrow" w:cs="Times New Roman"/>
                <w:snapToGrid w:val="0"/>
                <w:sz w:val="20"/>
                <w:vertAlign w:val="superscript"/>
              </w:rPr>
              <w:t>1</w:t>
            </w:r>
          </w:p>
        </w:tc>
        <w:tc>
          <w:tcPr>
            <w:tcW w:w="1766" w:type="dxa"/>
            <w:vAlign w:val="center"/>
          </w:tcPr>
          <w:p w14:paraId="002331B7" w14:textId="44ED3A0E" w:rsidR="00032D12" w:rsidRPr="006E012B" w:rsidRDefault="00576021" w:rsidP="00D40D00">
            <w:pPr>
              <w:widowControl w:val="0"/>
              <w:jc w:val="center"/>
              <w:rPr>
                <w:rFonts w:ascii="Arial Narrow" w:eastAsiaTheme="majorEastAsia" w:hAnsi="Arial Narrow" w:cs="Times New Roman"/>
                <w:bCs/>
                <w:snapToGrid w:val="0"/>
                <w:sz w:val="20"/>
              </w:rPr>
            </w:pPr>
            <w:r w:rsidRPr="001758D2">
              <w:rPr>
                <w:rFonts w:ascii="Arial Narrow" w:hAnsi="Arial Narrow" w:cs="Times New Roman"/>
                <w:snapToGrid w:val="0"/>
                <w:sz w:val="20"/>
                <w:highlight w:val="black"/>
              </w:rPr>
              <w:t>&amp;&amp;&amp;&amp;</w:t>
            </w:r>
            <w:r w:rsidR="00032D12" w:rsidRPr="00EC46A1">
              <w:rPr>
                <w:rFonts w:ascii="Arial Narrow" w:hAnsi="Arial Narrow" w:cs="Times New Roman"/>
                <w:snapToGrid w:val="0"/>
                <w:sz w:val="20"/>
              </w:rPr>
              <w:t>%</w:t>
            </w:r>
          </w:p>
        </w:tc>
      </w:tr>
      <w:tr w:rsidR="00032D12" w:rsidRPr="006E012B" w14:paraId="77C54644" w14:textId="77777777" w:rsidTr="007A0890">
        <w:trPr>
          <w:cantSplit/>
        </w:trPr>
        <w:tc>
          <w:tcPr>
            <w:tcW w:w="9017" w:type="dxa"/>
            <w:gridSpan w:val="5"/>
            <w:tcMar>
              <w:left w:w="28" w:type="dxa"/>
              <w:right w:w="28" w:type="dxa"/>
            </w:tcMar>
          </w:tcPr>
          <w:p w14:paraId="14721611" w14:textId="77777777" w:rsidR="00032D12" w:rsidRPr="006E012B" w:rsidRDefault="00032D12">
            <w:pPr>
              <w:keepLines/>
              <w:widowControl w:val="0"/>
              <w:jc w:val="left"/>
              <w:rPr>
                <w:rFonts w:ascii="Arial Narrow" w:eastAsiaTheme="majorEastAsia" w:hAnsi="Arial Narrow" w:cstheme="majorBidi"/>
                <w:bCs/>
                <w:sz w:val="20"/>
              </w:rPr>
            </w:pPr>
            <w:r w:rsidRPr="006E012B">
              <w:rPr>
                <w:rFonts w:ascii="Arial Narrow" w:eastAsiaTheme="majorEastAsia" w:hAnsi="Arial Narrow" w:cstheme="majorBidi"/>
                <w:bCs/>
                <w:sz w:val="20"/>
              </w:rPr>
              <w:t>Utility values (base case: EF=0.835, LR=0.767, IRP=0.753)</w:t>
            </w:r>
          </w:p>
        </w:tc>
      </w:tr>
      <w:tr w:rsidR="00032D12" w:rsidRPr="006E012B" w14:paraId="5904E420" w14:textId="77777777" w:rsidTr="001A5E49">
        <w:trPr>
          <w:cantSplit/>
        </w:trPr>
        <w:tc>
          <w:tcPr>
            <w:tcW w:w="3572" w:type="dxa"/>
            <w:tcMar>
              <w:left w:w="28" w:type="dxa"/>
              <w:right w:w="28" w:type="dxa"/>
            </w:tcMar>
          </w:tcPr>
          <w:p w14:paraId="1E15B63F" w14:textId="11E2E3C7" w:rsidR="00032D12" w:rsidRPr="006E012B" w:rsidRDefault="00032D12" w:rsidP="006921DB">
            <w:pPr>
              <w:keepLines/>
              <w:widowControl w:val="0"/>
              <w:ind w:left="166"/>
              <w:jc w:val="left"/>
              <w:rPr>
                <w:rFonts w:ascii="Arial Narrow" w:eastAsiaTheme="majorEastAsia" w:hAnsi="Arial Narrow" w:cstheme="majorBidi"/>
                <w:bCs/>
                <w:sz w:val="20"/>
              </w:rPr>
            </w:pPr>
            <w:r w:rsidRPr="006E012B">
              <w:rPr>
                <w:rFonts w:ascii="Arial Narrow" w:eastAsiaTheme="majorEastAsia" w:hAnsi="Arial Narrow" w:cstheme="majorBidi"/>
                <w:bCs/>
                <w:sz w:val="20"/>
              </w:rPr>
              <w:t>IRP, post-progression = 0.713 (KN048 trial) – Australian based utilities</w:t>
            </w:r>
          </w:p>
        </w:tc>
        <w:tc>
          <w:tcPr>
            <w:tcW w:w="1255" w:type="dxa"/>
            <w:vAlign w:val="center"/>
          </w:tcPr>
          <w:p w14:paraId="41FD4D3A" w14:textId="2CB92B23" w:rsidR="00032D12" w:rsidRPr="006E012B" w:rsidRDefault="00032D12" w:rsidP="009430CC">
            <w:pPr>
              <w:keepLines/>
              <w:widowControl w:val="0"/>
              <w:jc w:val="center"/>
              <w:rPr>
                <w:rFonts w:ascii="Arial Narrow" w:eastAsiaTheme="majorEastAsia" w:hAnsi="Arial Narrow" w:cstheme="majorBidi"/>
                <w:bCs/>
                <w:sz w:val="20"/>
              </w:rPr>
            </w:pPr>
            <w:r w:rsidRPr="006E012B">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p>
        </w:tc>
        <w:tc>
          <w:tcPr>
            <w:tcW w:w="1247" w:type="dxa"/>
            <w:vAlign w:val="center"/>
          </w:tcPr>
          <w:p w14:paraId="2D8888B5" w14:textId="77777777" w:rsidR="00032D12" w:rsidRPr="006E012B" w:rsidRDefault="00032D12" w:rsidP="009430CC">
            <w:pPr>
              <w:keepLines/>
              <w:widowControl w:val="0"/>
              <w:jc w:val="center"/>
              <w:rPr>
                <w:rFonts w:ascii="Arial Narrow" w:eastAsiaTheme="majorEastAsia" w:hAnsi="Arial Narrow" w:cstheme="majorBidi"/>
                <w:bCs/>
                <w:sz w:val="20"/>
              </w:rPr>
            </w:pPr>
            <w:r w:rsidRPr="006E012B">
              <w:rPr>
                <w:rFonts w:ascii="Arial Narrow" w:eastAsiaTheme="majorEastAsia" w:hAnsi="Arial Narrow" w:cstheme="majorBidi"/>
                <w:bCs/>
                <w:sz w:val="20"/>
              </w:rPr>
              <w:t>0.76</w:t>
            </w:r>
          </w:p>
        </w:tc>
        <w:tc>
          <w:tcPr>
            <w:tcW w:w="1177" w:type="dxa"/>
            <w:vAlign w:val="center"/>
          </w:tcPr>
          <w:p w14:paraId="69F14B0A" w14:textId="05B1A7EB" w:rsidR="00032D12" w:rsidRPr="00130A7B" w:rsidRDefault="00032D12" w:rsidP="009430CC">
            <w:pPr>
              <w:keepLines/>
              <w:widowControl w:val="0"/>
              <w:jc w:val="center"/>
              <w:rPr>
                <w:rFonts w:ascii="Arial Narrow" w:eastAsiaTheme="majorEastAsia" w:hAnsi="Arial Narrow" w:cstheme="majorBidi"/>
                <w:bCs/>
                <w:sz w:val="20"/>
                <w:vertAlign w:val="superscript"/>
              </w:rPr>
            </w:pPr>
            <w:r w:rsidRPr="006E012B">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r w:rsidR="00130A7B">
              <w:rPr>
                <w:rFonts w:ascii="Arial Narrow" w:eastAsiaTheme="majorEastAsia" w:hAnsi="Arial Narrow" w:cstheme="majorBidi"/>
                <w:bCs/>
                <w:sz w:val="20"/>
                <w:vertAlign w:val="superscript"/>
              </w:rPr>
              <w:t>1</w:t>
            </w:r>
          </w:p>
        </w:tc>
        <w:tc>
          <w:tcPr>
            <w:tcW w:w="1766" w:type="dxa"/>
            <w:vAlign w:val="center"/>
          </w:tcPr>
          <w:p w14:paraId="68D89CD1" w14:textId="53EA228D" w:rsidR="00032D12" w:rsidRPr="0082416B" w:rsidRDefault="00032D12" w:rsidP="009430CC">
            <w:pPr>
              <w:keepLines/>
              <w:widowControl w:val="0"/>
              <w:jc w:val="center"/>
              <w:rPr>
                <w:rFonts w:ascii="Arial Narrow" w:eastAsiaTheme="majorEastAsia" w:hAnsi="Arial Narrow" w:cstheme="majorBidi"/>
                <w:bCs/>
                <w:sz w:val="20"/>
                <w:highlight w:val="darkGray"/>
              </w:rPr>
            </w:pPr>
            <w:r w:rsidRPr="00EC46A1">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r w:rsidRPr="00EC46A1">
              <w:rPr>
                <w:rFonts w:ascii="Arial Narrow" w:eastAsiaTheme="majorEastAsia" w:hAnsi="Arial Narrow" w:cstheme="majorBidi"/>
                <w:bCs/>
                <w:sz w:val="20"/>
              </w:rPr>
              <w:t>%</w:t>
            </w:r>
          </w:p>
        </w:tc>
      </w:tr>
      <w:tr w:rsidR="00032D12" w:rsidRPr="006E012B" w14:paraId="69CF4ADF" w14:textId="77777777" w:rsidTr="001A5E49">
        <w:trPr>
          <w:cantSplit/>
        </w:trPr>
        <w:tc>
          <w:tcPr>
            <w:tcW w:w="3572" w:type="dxa"/>
            <w:tcMar>
              <w:left w:w="28" w:type="dxa"/>
              <w:right w:w="28" w:type="dxa"/>
            </w:tcMar>
          </w:tcPr>
          <w:p w14:paraId="2BB0968A" w14:textId="77777777" w:rsidR="00032D12" w:rsidRPr="006E012B" w:rsidRDefault="00032D12" w:rsidP="006921DB">
            <w:pPr>
              <w:keepLines/>
              <w:widowControl w:val="0"/>
              <w:ind w:left="166"/>
              <w:jc w:val="left"/>
              <w:rPr>
                <w:rFonts w:ascii="Arial Narrow" w:eastAsiaTheme="majorEastAsia" w:hAnsi="Arial Narrow" w:cstheme="majorBidi"/>
                <w:bCs/>
                <w:sz w:val="20"/>
              </w:rPr>
            </w:pPr>
            <w:r w:rsidRPr="006E012B">
              <w:rPr>
                <w:rFonts w:ascii="Arial Narrow" w:eastAsiaTheme="majorEastAsia" w:hAnsi="Arial Narrow" w:cstheme="majorBidi"/>
                <w:bCs/>
                <w:sz w:val="20"/>
              </w:rPr>
              <w:t xml:space="preserve">EF, 0.891, LR, 0.819, IRP (pre- and post-progression), 0.806] – Australian based utilities </w:t>
            </w:r>
          </w:p>
        </w:tc>
        <w:tc>
          <w:tcPr>
            <w:tcW w:w="1255" w:type="dxa"/>
            <w:vAlign w:val="center"/>
          </w:tcPr>
          <w:p w14:paraId="308BE9BA" w14:textId="20F671B0" w:rsidR="00032D12" w:rsidRPr="006E012B" w:rsidRDefault="00032D12" w:rsidP="009430CC">
            <w:pPr>
              <w:keepLines/>
              <w:widowControl w:val="0"/>
              <w:jc w:val="center"/>
              <w:rPr>
                <w:rFonts w:ascii="Arial Narrow" w:eastAsiaTheme="majorEastAsia" w:hAnsi="Arial Narrow" w:cstheme="majorBidi"/>
                <w:bCs/>
                <w:sz w:val="20"/>
              </w:rPr>
            </w:pPr>
            <w:r w:rsidRPr="006E012B">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p>
        </w:tc>
        <w:tc>
          <w:tcPr>
            <w:tcW w:w="1247" w:type="dxa"/>
            <w:vAlign w:val="center"/>
          </w:tcPr>
          <w:p w14:paraId="029243E4" w14:textId="77777777" w:rsidR="00032D12" w:rsidRPr="006E012B" w:rsidRDefault="00032D12" w:rsidP="009430CC">
            <w:pPr>
              <w:keepLines/>
              <w:widowControl w:val="0"/>
              <w:jc w:val="center"/>
              <w:rPr>
                <w:rFonts w:ascii="Arial Narrow" w:eastAsiaTheme="majorEastAsia" w:hAnsi="Arial Narrow" w:cstheme="majorBidi"/>
                <w:bCs/>
                <w:sz w:val="20"/>
              </w:rPr>
            </w:pPr>
            <w:r w:rsidRPr="006E012B">
              <w:rPr>
                <w:rFonts w:ascii="Arial Narrow" w:eastAsiaTheme="majorEastAsia" w:hAnsi="Arial Narrow" w:cstheme="majorBidi"/>
                <w:bCs/>
                <w:sz w:val="20"/>
              </w:rPr>
              <w:t>0.75</w:t>
            </w:r>
          </w:p>
        </w:tc>
        <w:tc>
          <w:tcPr>
            <w:tcW w:w="1177" w:type="dxa"/>
            <w:vAlign w:val="center"/>
          </w:tcPr>
          <w:p w14:paraId="40432199" w14:textId="6B6D61BE" w:rsidR="00032D12" w:rsidRPr="00130A7B" w:rsidRDefault="00032D12" w:rsidP="009430CC">
            <w:pPr>
              <w:keepLines/>
              <w:widowControl w:val="0"/>
              <w:jc w:val="center"/>
              <w:rPr>
                <w:rFonts w:ascii="Arial Narrow" w:eastAsiaTheme="majorEastAsia" w:hAnsi="Arial Narrow" w:cstheme="majorBidi"/>
                <w:bCs/>
                <w:sz w:val="20"/>
                <w:vertAlign w:val="superscript"/>
              </w:rPr>
            </w:pPr>
            <w:r w:rsidRPr="006E012B">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r w:rsidR="00130A7B">
              <w:rPr>
                <w:rFonts w:ascii="Arial Narrow" w:eastAsiaTheme="majorEastAsia" w:hAnsi="Arial Narrow" w:cstheme="majorBidi"/>
                <w:bCs/>
                <w:sz w:val="20"/>
                <w:vertAlign w:val="superscript"/>
              </w:rPr>
              <w:t>1</w:t>
            </w:r>
          </w:p>
        </w:tc>
        <w:tc>
          <w:tcPr>
            <w:tcW w:w="1766" w:type="dxa"/>
            <w:vAlign w:val="center"/>
          </w:tcPr>
          <w:p w14:paraId="6A6CC505" w14:textId="1464DCD4" w:rsidR="00032D12" w:rsidRPr="0082416B" w:rsidRDefault="00032D12" w:rsidP="009430CC">
            <w:pPr>
              <w:keepLines/>
              <w:widowControl w:val="0"/>
              <w:jc w:val="center"/>
              <w:rPr>
                <w:rFonts w:ascii="Arial Narrow" w:eastAsiaTheme="majorEastAsia" w:hAnsi="Arial Narrow" w:cstheme="majorBidi"/>
                <w:bCs/>
                <w:sz w:val="20"/>
                <w:highlight w:val="darkGray"/>
              </w:rPr>
            </w:pPr>
            <w:r w:rsidRPr="00EC46A1">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r w:rsidRPr="00EC46A1">
              <w:rPr>
                <w:rFonts w:ascii="Arial Narrow" w:eastAsiaTheme="majorEastAsia" w:hAnsi="Arial Narrow" w:cstheme="majorBidi"/>
                <w:bCs/>
                <w:sz w:val="20"/>
              </w:rPr>
              <w:t>%</w:t>
            </w:r>
          </w:p>
        </w:tc>
      </w:tr>
      <w:tr w:rsidR="00032D12" w:rsidRPr="006E012B" w14:paraId="680A2851" w14:textId="77777777" w:rsidTr="007A0890">
        <w:trPr>
          <w:cantSplit/>
        </w:trPr>
        <w:tc>
          <w:tcPr>
            <w:tcW w:w="9017" w:type="dxa"/>
            <w:gridSpan w:val="5"/>
            <w:tcMar>
              <w:left w:w="28" w:type="dxa"/>
              <w:right w:w="28" w:type="dxa"/>
            </w:tcMar>
          </w:tcPr>
          <w:p w14:paraId="75D42E89" w14:textId="77777777" w:rsidR="00032D12" w:rsidRPr="006E012B" w:rsidRDefault="00032D12">
            <w:pPr>
              <w:keepLines/>
              <w:widowControl w:val="0"/>
              <w:jc w:val="left"/>
              <w:rPr>
                <w:rFonts w:ascii="Arial Narrow" w:eastAsiaTheme="majorEastAsia" w:hAnsi="Arial Narrow" w:cstheme="majorBidi"/>
                <w:b/>
                <w:sz w:val="20"/>
              </w:rPr>
            </w:pPr>
            <w:r w:rsidRPr="006E012B">
              <w:rPr>
                <w:rFonts w:ascii="Arial Narrow" w:eastAsiaTheme="majorEastAsia" w:hAnsi="Arial Narrow" w:cstheme="majorBidi"/>
                <w:b/>
                <w:sz w:val="20"/>
              </w:rPr>
              <w:t>Multivariate analyses</w:t>
            </w:r>
          </w:p>
        </w:tc>
      </w:tr>
      <w:tr w:rsidR="00032D12" w:rsidRPr="006E012B" w14:paraId="390E2C1D" w14:textId="77777777" w:rsidTr="001A5E49">
        <w:trPr>
          <w:cantSplit/>
        </w:trPr>
        <w:tc>
          <w:tcPr>
            <w:tcW w:w="3572" w:type="dxa"/>
            <w:tcMar>
              <w:left w:w="28" w:type="dxa"/>
              <w:right w:w="28" w:type="dxa"/>
            </w:tcMar>
          </w:tcPr>
          <w:p w14:paraId="0B2D6649" w14:textId="77777777" w:rsidR="00032D12" w:rsidRPr="006E012B" w:rsidRDefault="00032D12" w:rsidP="00336D1B">
            <w:pPr>
              <w:keepLines/>
              <w:widowControl w:val="0"/>
              <w:ind w:left="166"/>
              <w:jc w:val="left"/>
              <w:rPr>
                <w:rFonts w:ascii="Arial Narrow" w:eastAsiaTheme="majorEastAsia" w:hAnsi="Arial Narrow" w:cstheme="majorBidi"/>
                <w:bCs/>
                <w:sz w:val="20"/>
              </w:rPr>
            </w:pPr>
            <w:r w:rsidRPr="006E012B">
              <w:rPr>
                <w:rFonts w:ascii="Arial Narrow" w:eastAsiaTheme="majorEastAsia" w:hAnsi="Arial Narrow" w:cstheme="majorBidi"/>
                <w:bCs/>
                <w:sz w:val="20"/>
              </w:rPr>
              <w:t>#1, #2</w:t>
            </w:r>
          </w:p>
        </w:tc>
        <w:tc>
          <w:tcPr>
            <w:tcW w:w="1255" w:type="dxa"/>
          </w:tcPr>
          <w:p w14:paraId="67B9AF4C" w14:textId="31C8268B" w:rsidR="00032D12" w:rsidRPr="00266AEC" w:rsidRDefault="00032D12">
            <w:pPr>
              <w:pStyle w:val="TableText0"/>
              <w:jc w:val="center"/>
              <w:rPr>
                <w:vertAlign w:val="superscript"/>
              </w:rPr>
            </w:pPr>
            <w:r w:rsidRPr="006E012B">
              <w:t>$</w:t>
            </w:r>
            <w:r w:rsidR="00576021" w:rsidRPr="001758D2">
              <w:rPr>
                <w:highlight w:val="black"/>
              </w:rPr>
              <w:t>&amp;&amp;&amp;&amp;</w:t>
            </w:r>
          </w:p>
        </w:tc>
        <w:tc>
          <w:tcPr>
            <w:tcW w:w="1247" w:type="dxa"/>
          </w:tcPr>
          <w:p w14:paraId="5986F0F5" w14:textId="77777777" w:rsidR="00032D12" w:rsidRPr="006E012B" w:rsidRDefault="00032D12">
            <w:pPr>
              <w:pStyle w:val="TableText0"/>
              <w:jc w:val="center"/>
            </w:pPr>
            <w:r w:rsidRPr="006E012B">
              <w:t>0.71</w:t>
            </w:r>
          </w:p>
        </w:tc>
        <w:tc>
          <w:tcPr>
            <w:tcW w:w="1177" w:type="dxa"/>
          </w:tcPr>
          <w:p w14:paraId="28D6C950" w14:textId="25FCB35A" w:rsidR="00032D12" w:rsidRPr="00437CF7" w:rsidRDefault="00032D12">
            <w:pPr>
              <w:pStyle w:val="TableText0"/>
              <w:jc w:val="center"/>
              <w:rPr>
                <w:vertAlign w:val="superscript"/>
              </w:rPr>
            </w:pPr>
            <w:r w:rsidRPr="006E012B">
              <w:t>$</w:t>
            </w:r>
            <w:r w:rsidR="00576021" w:rsidRPr="001758D2">
              <w:rPr>
                <w:highlight w:val="black"/>
              </w:rPr>
              <w:t>&amp;&amp;&amp;&amp;</w:t>
            </w:r>
            <w:r w:rsidR="00437CF7">
              <w:rPr>
                <w:vertAlign w:val="superscript"/>
              </w:rPr>
              <w:t>3</w:t>
            </w:r>
          </w:p>
        </w:tc>
        <w:tc>
          <w:tcPr>
            <w:tcW w:w="1766" w:type="dxa"/>
          </w:tcPr>
          <w:p w14:paraId="52F5C187" w14:textId="4C59AA33" w:rsidR="00032D12" w:rsidRPr="0082416B" w:rsidRDefault="00576021">
            <w:pPr>
              <w:pStyle w:val="TableText0"/>
              <w:jc w:val="center"/>
              <w:rPr>
                <w:highlight w:val="darkGray"/>
              </w:rPr>
            </w:pPr>
            <w:r w:rsidRPr="001758D2">
              <w:rPr>
                <w:highlight w:val="black"/>
              </w:rPr>
              <w:t>&amp;&amp;&amp;&amp;</w:t>
            </w:r>
            <w:r w:rsidR="00032D12" w:rsidRPr="00EC46A1">
              <w:t>%</w:t>
            </w:r>
          </w:p>
        </w:tc>
      </w:tr>
      <w:tr w:rsidR="00032D12" w:rsidRPr="006E012B" w14:paraId="43E9BB6C" w14:textId="77777777" w:rsidTr="001A5E49">
        <w:trPr>
          <w:cantSplit/>
        </w:trPr>
        <w:tc>
          <w:tcPr>
            <w:tcW w:w="3572" w:type="dxa"/>
            <w:tcMar>
              <w:left w:w="28" w:type="dxa"/>
              <w:right w:w="28" w:type="dxa"/>
            </w:tcMar>
          </w:tcPr>
          <w:p w14:paraId="6FBF26BB" w14:textId="77777777" w:rsidR="00032D12" w:rsidRPr="006E012B" w:rsidRDefault="00032D12" w:rsidP="00336D1B">
            <w:pPr>
              <w:keepLines/>
              <w:widowControl w:val="0"/>
              <w:ind w:left="166"/>
              <w:jc w:val="left"/>
              <w:rPr>
                <w:rFonts w:ascii="Arial Narrow" w:eastAsiaTheme="majorEastAsia" w:hAnsi="Arial Narrow" w:cstheme="majorBidi"/>
                <w:bCs/>
                <w:sz w:val="20"/>
              </w:rPr>
            </w:pPr>
            <w:r w:rsidRPr="006E012B">
              <w:rPr>
                <w:rFonts w:ascii="Arial Narrow" w:eastAsiaTheme="majorEastAsia" w:hAnsi="Arial Narrow" w:cstheme="majorBidi"/>
                <w:bCs/>
                <w:sz w:val="20"/>
              </w:rPr>
              <w:t>#1, #2, #4</w:t>
            </w:r>
          </w:p>
        </w:tc>
        <w:tc>
          <w:tcPr>
            <w:tcW w:w="1255" w:type="dxa"/>
          </w:tcPr>
          <w:p w14:paraId="133DB7BE" w14:textId="79A74B1B" w:rsidR="00032D12" w:rsidRPr="006E012B" w:rsidRDefault="00032D12">
            <w:pPr>
              <w:pStyle w:val="TableText0"/>
              <w:jc w:val="center"/>
            </w:pPr>
            <w:r w:rsidRPr="006E012B">
              <w:t>$</w:t>
            </w:r>
            <w:r w:rsidR="00576021" w:rsidRPr="001758D2">
              <w:rPr>
                <w:highlight w:val="black"/>
              </w:rPr>
              <w:t>&amp;&amp;&amp;&amp;</w:t>
            </w:r>
          </w:p>
        </w:tc>
        <w:tc>
          <w:tcPr>
            <w:tcW w:w="1247" w:type="dxa"/>
          </w:tcPr>
          <w:p w14:paraId="41BEA567" w14:textId="77777777" w:rsidR="00032D12" w:rsidRPr="006E012B" w:rsidRDefault="00032D12">
            <w:pPr>
              <w:pStyle w:val="TableText0"/>
              <w:jc w:val="center"/>
            </w:pPr>
            <w:r w:rsidRPr="006E012B">
              <w:t>0.61</w:t>
            </w:r>
          </w:p>
        </w:tc>
        <w:tc>
          <w:tcPr>
            <w:tcW w:w="1177" w:type="dxa"/>
          </w:tcPr>
          <w:p w14:paraId="49DC2ECB" w14:textId="748E7A86" w:rsidR="00032D12" w:rsidRPr="00437CF7" w:rsidRDefault="00032D12">
            <w:pPr>
              <w:pStyle w:val="TableText0"/>
              <w:jc w:val="center"/>
              <w:rPr>
                <w:vertAlign w:val="superscript"/>
              </w:rPr>
            </w:pPr>
            <w:r w:rsidRPr="006E012B">
              <w:t>$</w:t>
            </w:r>
            <w:r w:rsidR="00576021" w:rsidRPr="001758D2">
              <w:rPr>
                <w:highlight w:val="black"/>
              </w:rPr>
              <w:t>&amp;&amp;&amp;&amp;</w:t>
            </w:r>
            <w:r w:rsidR="00437CF7">
              <w:rPr>
                <w:vertAlign w:val="superscript"/>
              </w:rPr>
              <w:t>3</w:t>
            </w:r>
          </w:p>
        </w:tc>
        <w:tc>
          <w:tcPr>
            <w:tcW w:w="1766" w:type="dxa"/>
          </w:tcPr>
          <w:p w14:paraId="1EFBFB70" w14:textId="15DC034D" w:rsidR="00032D12" w:rsidRPr="0082416B" w:rsidRDefault="00576021">
            <w:pPr>
              <w:pStyle w:val="TableText0"/>
              <w:jc w:val="center"/>
              <w:rPr>
                <w:highlight w:val="darkGray"/>
              </w:rPr>
            </w:pPr>
            <w:r w:rsidRPr="001758D2">
              <w:rPr>
                <w:highlight w:val="black"/>
              </w:rPr>
              <w:t>&amp;&amp;&amp;&amp;</w:t>
            </w:r>
            <w:r w:rsidR="00032D12" w:rsidRPr="00EC46A1">
              <w:t>%</w:t>
            </w:r>
          </w:p>
        </w:tc>
      </w:tr>
      <w:tr w:rsidR="00032D12" w:rsidRPr="006E012B" w14:paraId="68B86145" w14:textId="77777777" w:rsidTr="001A5E49">
        <w:trPr>
          <w:cantSplit/>
        </w:trPr>
        <w:tc>
          <w:tcPr>
            <w:tcW w:w="3572" w:type="dxa"/>
            <w:tcMar>
              <w:left w:w="28" w:type="dxa"/>
              <w:right w:w="28" w:type="dxa"/>
            </w:tcMar>
          </w:tcPr>
          <w:p w14:paraId="78C7FFDD" w14:textId="77777777" w:rsidR="00032D12" w:rsidRPr="006E012B" w:rsidRDefault="00032D12" w:rsidP="00336D1B">
            <w:pPr>
              <w:keepLines/>
              <w:widowControl w:val="0"/>
              <w:ind w:left="166"/>
              <w:jc w:val="left"/>
              <w:rPr>
                <w:rFonts w:ascii="Arial Narrow" w:eastAsiaTheme="majorEastAsia" w:hAnsi="Arial Narrow" w:cstheme="majorBidi"/>
                <w:bCs/>
                <w:sz w:val="20"/>
              </w:rPr>
            </w:pPr>
            <w:r w:rsidRPr="006E012B">
              <w:rPr>
                <w:rFonts w:ascii="Arial Narrow" w:eastAsiaTheme="majorEastAsia" w:hAnsi="Arial Narrow" w:cstheme="majorBidi"/>
                <w:bCs/>
                <w:sz w:val="20"/>
              </w:rPr>
              <w:t>#1, #2, #4, #5</w:t>
            </w:r>
          </w:p>
        </w:tc>
        <w:tc>
          <w:tcPr>
            <w:tcW w:w="1255" w:type="dxa"/>
          </w:tcPr>
          <w:p w14:paraId="2BAFB520" w14:textId="63371732" w:rsidR="00032D12" w:rsidRPr="006E012B" w:rsidRDefault="00032D12">
            <w:pPr>
              <w:pStyle w:val="Tabletext"/>
              <w:jc w:val="center"/>
              <w:rPr>
                <w:rFonts w:eastAsiaTheme="majorEastAsia" w:cstheme="majorBidi"/>
                <w:bCs/>
              </w:rPr>
            </w:pPr>
            <w:r w:rsidRPr="006E012B">
              <w:t>$</w:t>
            </w:r>
            <w:r w:rsidR="00576021" w:rsidRPr="001758D2">
              <w:rPr>
                <w:highlight w:val="black"/>
              </w:rPr>
              <w:t>&amp;&amp;&amp;&amp;</w:t>
            </w:r>
          </w:p>
        </w:tc>
        <w:tc>
          <w:tcPr>
            <w:tcW w:w="1247" w:type="dxa"/>
          </w:tcPr>
          <w:p w14:paraId="0EC45F93" w14:textId="77777777" w:rsidR="00032D12" w:rsidRPr="006E012B" w:rsidRDefault="00032D12">
            <w:pPr>
              <w:pStyle w:val="Tabletext"/>
              <w:jc w:val="center"/>
              <w:rPr>
                <w:rFonts w:eastAsiaTheme="majorEastAsia" w:cstheme="majorBidi"/>
                <w:bCs/>
              </w:rPr>
            </w:pPr>
            <w:r w:rsidRPr="006E012B">
              <w:t>0.49</w:t>
            </w:r>
          </w:p>
        </w:tc>
        <w:tc>
          <w:tcPr>
            <w:tcW w:w="1177" w:type="dxa"/>
          </w:tcPr>
          <w:p w14:paraId="1E9340CD" w14:textId="32C85302" w:rsidR="00032D12" w:rsidRPr="00A6147A" w:rsidRDefault="00032D12">
            <w:pPr>
              <w:pStyle w:val="Tabletext"/>
              <w:jc w:val="center"/>
              <w:rPr>
                <w:rFonts w:eastAsiaTheme="majorEastAsia" w:cstheme="majorBidi"/>
                <w:bCs/>
                <w:vertAlign w:val="superscript"/>
              </w:rPr>
            </w:pPr>
            <w:r w:rsidRPr="006E012B">
              <w:t>$</w:t>
            </w:r>
            <w:r w:rsidR="00576021" w:rsidRPr="001758D2">
              <w:rPr>
                <w:highlight w:val="black"/>
              </w:rPr>
              <w:t>&amp;&amp;&amp;&amp;</w:t>
            </w:r>
            <w:r w:rsidR="00A6147A">
              <w:rPr>
                <w:vertAlign w:val="superscript"/>
              </w:rPr>
              <w:t>5</w:t>
            </w:r>
          </w:p>
        </w:tc>
        <w:tc>
          <w:tcPr>
            <w:tcW w:w="1766" w:type="dxa"/>
          </w:tcPr>
          <w:p w14:paraId="1229CD5F" w14:textId="141AA57B" w:rsidR="00032D12" w:rsidRPr="0082416B" w:rsidRDefault="00576021">
            <w:pPr>
              <w:pStyle w:val="Tabletext"/>
              <w:jc w:val="center"/>
              <w:rPr>
                <w:rFonts w:eastAsiaTheme="majorEastAsia" w:cstheme="majorBidi"/>
                <w:bCs/>
                <w:highlight w:val="darkGray"/>
              </w:rPr>
            </w:pPr>
            <w:r w:rsidRPr="001758D2">
              <w:rPr>
                <w:highlight w:val="black"/>
              </w:rPr>
              <w:t>&amp;&amp;&amp;&amp;</w:t>
            </w:r>
            <w:r w:rsidR="00032D12" w:rsidRPr="00EC46A1">
              <w:t>%</w:t>
            </w:r>
          </w:p>
        </w:tc>
      </w:tr>
    </w:tbl>
    <w:p w14:paraId="29AB29F4" w14:textId="77777777" w:rsidR="00032D12" w:rsidRPr="00E54C74" w:rsidRDefault="00032D12" w:rsidP="00032D12">
      <w:pPr>
        <w:keepLines/>
        <w:spacing w:after="120"/>
        <w:contextualSpacing/>
        <w:jc w:val="left"/>
        <w:rPr>
          <w:rFonts w:ascii="Arial Narrow" w:hAnsi="Arial Narrow"/>
          <w:snapToGrid w:val="0"/>
          <w:sz w:val="18"/>
          <w:szCs w:val="22"/>
        </w:rPr>
      </w:pPr>
      <w:r w:rsidRPr="006E012B">
        <w:rPr>
          <w:rFonts w:ascii="Arial Narrow" w:hAnsi="Arial Narrow"/>
          <w:snapToGrid w:val="0"/>
          <w:sz w:val="18"/>
          <w:szCs w:val="22"/>
        </w:rPr>
        <w:t>Source: tabulated during the evaluation,</w:t>
      </w:r>
      <w:r w:rsidRPr="00E54C74">
        <w:rPr>
          <w:rFonts w:ascii="Arial Narrow" w:hAnsi="Arial Narrow"/>
          <w:snapToGrid w:val="0"/>
          <w:sz w:val="18"/>
          <w:szCs w:val="22"/>
        </w:rPr>
        <w:t xml:space="preserve"> from Table 3.9-1, pp163-165 of the submission and the “Attachment 5 CEA” workbook provided in the submission. </w:t>
      </w:r>
    </w:p>
    <w:p w14:paraId="26753841" w14:textId="77777777" w:rsidR="00032D12" w:rsidRDefault="00032D12" w:rsidP="00032D12">
      <w:pPr>
        <w:keepLines/>
        <w:spacing w:after="120"/>
        <w:contextualSpacing/>
        <w:jc w:val="left"/>
        <w:rPr>
          <w:rFonts w:ascii="Arial Narrow" w:hAnsi="Arial Narrow"/>
          <w:snapToGrid w:val="0"/>
          <w:sz w:val="18"/>
          <w:szCs w:val="22"/>
        </w:rPr>
      </w:pPr>
      <w:r w:rsidRPr="00E54C74">
        <w:rPr>
          <w:rFonts w:ascii="Arial Narrow" w:hAnsi="Arial Narrow"/>
          <w:snapToGrid w:val="0"/>
          <w:sz w:val="18"/>
          <w:szCs w:val="22"/>
        </w:rPr>
        <w:lastRenderedPageBreak/>
        <w:t xml:space="preserve">AEs = adverse events; EF = event free; Gen gamma = generalised gamma; </w:t>
      </w:r>
      <w:r>
        <w:rPr>
          <w:rFonts w:ascii="Arial Narrow" w:hAnsi="Arial Narrow"/>
          <w:snapToGrid w:val="0"/>
          <w:sz w:val="18"/>
          <w:szCs w:val="22"/>
        </w:rPr>
        <w:t xml:space="preserve">HRs = hazard ratios; </w:t>
      </w:r>
      <w:r w:rsidRPr="00E54C74">
        <w:rPr>
          <w:rFonts w:ascii="Arial Narrow" w:hAnsi="Arial Narrow"/>
          <w:snapToGrid w:val="0"/>
          <w:sz w:val="18"/>
          <w:szCs w:val="22"/>
        </w:rPr>
        <w:t xml:space="preserve">ICER = incremental cost-effectiveness ratio; IRP = incurable recurrence or progression; LR = local recurrence; </w:t>
      </w:r>
      <w:r>
        <w:rPr>
          <w:rFonts w:ascii="Arial Narrow" w:hAnsi="Arial Narrow"/>
          <w:snapToGrid w:val="0"/>
          <w:sz w:val="18"/>
          <w:szCs w:val="22"/>
        </w:rPr>
        <w:t xml:space="preserve">OS = overall survival; </w:t>
      </w:r>
      <w:r w:rsidRPr="00E54C74">
        <w:rPr>
          <w:rFonts w:ascii="Arial Narrow" w:hAnsi="Arial Narrow"/>
          <w:snapToGrid w:val="0"/>
          <w:sz w:val="18"/>
          <w:szCs w:val="22"/>
        </w:rPr>
        <w:t>PEM = pembrolizumab; QALY = quality adjusted life year; SoC = standard of care</w:t>
      </w:r>
    </w:p>
    <w:p w14:paraId="69F08B2E" w14:textId="77777777" w:rsidR="004B4608" w:rsidRPr="004B4608" w:rsidRDefault="004B4608" w:rsidP="004B4608">
      <w:pPr>
        <w:jc w:val="left"/>
        <w:rPr>
          <w:rFonts w:ascii="Arial Narrow" w:hAnsi="Arial Narrow"/>
          <w:i/>
          <w:sz w:val="18"/>
          <w:szCs w:val="18"/>
        </w:rPr>
      </w:pPr>
      <w:r w:rsidRPr="004B4608">
        <w:rPr>
          <w:rFonts w:ascii="Arial Narrow" w:hAnsi="Arial Narrow"/>
          <w:i/>
          <w:sz w:val="18"/>
          <w:szCs w:val="18"/>
        </w:rPr>
        <w:t xml:space="preserve">The redacted values correspond to the following ranges: </w:t>
      </w:r>
    </w:p>
    <w:p w14:paraId="4C185826" w14:textId="5BB5BF5B" w:rsidR="004B4608" w:rsidRPr="004B4608" w:rsidRDefault="004B4608" w:rsidP="004B4608">
      <w:pPr>
        <w:jc w:val="left"/>
        <w:rPr>
          <w:rFonts w:ascii="Arial Narrow" w:hAnsi="Arial Narrow"/>
          <w:i/>
          <w:sz w:val="18"/>
          <w:szCs w:val="18"/>
        </w:rPr>
      </w:pPr>
      <w:r w:rsidRPr="004B4608">
        <w:rPr>
          <w:rFonts w:ascii="Arial Narrow" w:hAnsi="Arial Narrow"/>
          <w:i/>
          <w:sz w:val="18"/>
          <w:szCs w:val="18"/>
          <w:vertAlign w:val="superscript"/>
        </w:rPr>
        <w:t>1</w:t>
      </w:r>
      <w:r w:rsidRPr="004B4608">
        <w:rPr>
          <w:rFonts w:ascii="Arial Narrow" w:hAnsi="Arial Narrow"/>
          <w:i/>
          <w:sz w:val="18"/>
          <w:szCs w:val="18"/>
        </w:rPr>
        <w:t xml:space="preserve"> </w:t>
      </w:r>
      <w:r w:rsidR="00130A7B" w:rsidRPr="00130A7B">
        <w:rPr>
          <w:rFonts w:ascii="Arial Narrow" w:hAnsi="Arial Narrow"/>
          <w:i/>
          <w:sz w:val="18"/>
          <w:szCs w:val="18"/>
        </w:rPr>
        <w:t>$25,000 to &lt; $35,000</w:t>
      </w:r>
    </w:p>
    <w:p w14:paraId="5CFA8DFB" w14:textId="6B4650DF" w:rsidR="004B4608" w:rsidRPr="004B4608" w:rsidRDefault="004B4608" w:rsidP="004B4608">
      <w:pPr>
        <w:jc w:val="left"/>
        <w:rPr>
          <w:rFonts w:ascii="Arial Narrow" w:hAnsi="Arial Narrow"/>
          <w:i/>
          <w:sz w:val="18"/>
          <w:szCs w:val="18"/>
        </w:rPr>
      </w:pPr>
      <w:r w:rsidRPr="004B4608">
        <w:rPr>
          <w:rFonts w:ascii="Arial Narrow" w:hAnsi="Arial Narrow"/>
          <w:i/>
          <w:sz w:val="18"/>
          <w:szCs w:val="18"/>
          <w:vertAlign w:val="superscript"/>
        </w:rPr>
        <w:t>2</w:t>
      </w:r>
      <w:r w:rsidRPr="004B4608">
        <w:rPr>
          <w:rFonts w:ascii="Arial Narrow" w:hAnsi="Arial Narrow"/>
          <w:i/>
          <w:sz w:val="18"/>
          <w:szCs w:val="18"/>
        </w:rPr>
        <w:t xml:space="preserve"> </w:t>
      </w:r>
      <w:r w:rsidR="00292D3B" w:rsidRPr="00292D3B">
        <w:rPr>
          <w:rFonts w:ascii="Arial Narrow" w:hAnsi="Arial Narrow"/>
          <w:i/>
          <w:sz w:val="18"/>
          <w:szCs w:val="18"/>
        </w:rPr>
        <w:t>$15,000 to &lt; $25,000</w:t>
      </w:r>
    </w:p>
    <w:p w14:paraId="1325D0C5" w14:textId="1BC7F799" w:rsidR="004B4608" w:rsidRPr="004B4608" w:rsidRDefault="004B4608" w:rsidP="004B4608">
      <w:pPr>
        <w:jc w:val="left"/>
        <w:rPr>
          <w:rFonts w:ascii="Arial Narrow" w:hAnsi="Arial Narrow"/>
          <w:i/>
          <w:sz w:val="18"/>
          <w:szCs w:val="18"/>
        </w:rPr>
      </w:pPr>
      <w:r w:rsidRPr="004B4608">
        <w:rPr>
          <w:rFonts w:ascii="Arial Narrow" w:hAnsi="Arial Narrow"/>
          <w:i/>
          <w:sz w:val="18"/>
          <w:szCs w:val="18"/>
          <w:vertAlign w:val="superscript"/>
        </w:rPr>
        <w:t>3</w:t>
      </w:r>
      <w:r w:rsidRPr="004B4608">
        <w:rPr>
          <w:rFonts w:ascii="Arial Narrow" w:hAnsi="Arial Narrow"/>
          <w:i/>
          <w:sz w:val="18"/>
          <w:szCs w:val="18"/>
        </w:rPr>
        <w:t xml:space="preserve"> </w:t>
      </w:r>
      <w:r w:rsidR="00437CF7" w:rsidRPr="00437CF7">
        <w:rPr>
          <w:rFonts w:ascii="Arial Narrow" w:hAnsi="Arial Narrow"/>
          <w:i/>
          <w:sz w:val="18"/>
          <w:szCs w:val="18"/>
        </w:rPr>
        <w:t>$35,000 to &lt; $45,000</w:t>
      </w:r>
    </w:p>
    <w:p w14:paraId="2CC6CF56" w14:textId="60BEC90B" w:rsidR="004B4608" w:rsidRPr="004B4608" w:rsidRDefault="004B4608" w:rsidP="004B4608">
      <w:pPr>
        <w:jc w:val="left"/>
        <w:rPr>
          <w:rFonts w:ascii="Arial Narrow" w:hAnsi="Arial Narrow"/>
          <w:i/>
          <w:sz w:val="18"/>
          <w:szCs w:val="18"/>
        </w:rPr>
      </w:pPr>
      <w:r w:rsidRPr="004B4608">
        <w:rPr>
          <w:rFonts w:ascii="Arial Narrow" w:hAnsi="Arial Narrow"/>
          <w:i/>
          <w:sz w:val="18"/>
          <w:szCs w:val="18"/>
          <w:vertAlign w:val="superscript"/>
        </w:rPr>
        <w:t>4</w:t>
      </w:r>
      <w:r w:rsidRPr="004B4608">
        <w:rPr>
          <w:rFonts w:ascii="Arial Narrow" w:hAnsi="Arial Narrow"/>
          <w:i/>
          <w:sz w:val="18"/>
          <w:szCs w:val="18"/>
        </w:rPr>
        <w:t xml:space="preserve"> </w:t>
      </w:r>
      <w:r w:rsidR="00A6147A" w:rsidRPr="00A6147A">
        <w:rPr>
          <w:rFonts w:ascii="Arial Narrow" w:hAnsi="Arial Narrow"/>
          <w:i/>
          <w:sz w:val="18"/>
          <w:szCs w:val="18"/>
        </w:rPr>
        <w:t>$55,000 to &lt; $75,000</w:t>
      </w:r>
    </w:p>
    <w:p w14:paraId="25A54454" w14:textId="7D72C546" w:rsidR="004B4608" w:rsidRPr="004B4608" w:rsidRDefault="004B4608" w:rsidP="004B4608">
      <w:pPr>
        <w:jc w:val="left"/>
        <w:rPr>
          <w:rFonts w:ascii="Arial Narrow" w:hAnsi="Arial Narrow"/>
          <w:i/>
          <w:sz w:val="18"/>
          <w:szCs w:val="18"/>
        </w:rPr>
      </w:pPr>
      <w:r w:rsidRPr="004B4608">
        <w:rPr>
          <w:rFonts w:ascii="Arial Narrow" w:hAnsi="Arial Narrow"/>
          <w:i/>
          <w:sz w:val="18"/>
          <w:szCs w:val="18"/>
          <w:vertAlign w:val="superscript"/>
        </w:rPr>
        <w:t>5</w:t>
      </w:r>
      <w:r w:rsidRPr="004B4608">
        <w:rPr>
          <w:rFonts w:ascii="Arial Narrow" w:hAnsi="Arial Narrow"/>
          <w:i/>
          <w:sz w:val="18"/>
          <w:szCs w:val="18"/>
        </w:rPr>
        <w:t xml:space="preserve"> </w:t>
      </w:r>
      <w:r w:rsidR="00CB7468" w:rsidRPr="00CB7468">
        <w:rPr>
          <w:rFonts w:ascii="Arial Narrow" w:hAnsi="Arial Narrow"/>
          <w:i/>
          <w:sz w:val="18"/>
          <w:szCs w:val="18"/>
        </w:rPr>
        <w:t>$45,000 to &lt; $55,000</w:t>
      </w:r>
    </w:p>
    <w:p w14:paraId="48656A38" w14:textId="77777777" w:rsidR="004B4608" w:rsidRDefault="004B4608" w:rsidP="00032D12">
      <w:pPr>
        <w:keepLines/>
        <w:spacing w:after="120"/>
        <w:contextualSpacing/>
        <w:jc w:val="left"/>
        <w:rPr>
          <w:rFonts w:ascii="Arial Narrow" w:hAnsi="Arial Narrow"/>
          <w:snapToGrid w:val="0"/>
          <w:sz w:val="18"/>
          <w:szCs w:val="22"/>
        </w:rPr>
      </w:pPr>
    </w:p>
    <w:p w14:paraId="47C1616C" w14:textId="50A2257F" w:rsidR="00A16674" w:rsidRDefault="000E63FC" w:rsidP="00075D45">
      <w:pPr>
        <w:numPr>
          <w:ilvl w:val="1"/>
          <w:numId w:val="7"/>
        </w:numPr>
        <w:spacing w:before="60" w:after="60"/>
      </w:pPr>
      <w:bookmarkStart w:id="113" w:name="_Toc206432640"/>
      <w:bookmarkStart w:id="114" w:name="_Toc209004709"/>
      <w:r>
        <w:t xml:space="preserve">In order to </w:t>
      </w:r>
      <w:r w:rsidR="00BC7F2A">
        <w:t>address issues raised by the ESC, the</w:t>
      </w:r>
      <w:r w:rsidR="007125F4">
        <w:t xml:space="preserve"> pre-PBAC Response provided a revised base case (</w:t>
      </w:r>
      <w:r w:rsidR="00A16674">
        <w:fldChar w:fldCharType="begin"/>
      </w:r>
      <w:r w:rsidR="00A16674">
        <w:instrText xml:space="preserve"> REF _Ref213924305 \h  \* MERGEFORMAT </w:instrText>
      </w:r>
      <w:r w:rsidR="00A16674">
        <w:fldChar w:fldCharType="separate"/>
      </w:r>
      <w:r w:rsidR="0084087D" w:rsidRPr="0084087D">
        <w:t>Table 14</w:t>
      </w:r>
      <w:r w:rsidR="00A16674">
        <w:fldChar w:fldCharType="end"/>
      </w:r>
      <w:r w:rsidR="00A16674">
        <w:t>). Rev</w:t>
      </w:r>
      <w:bookmarkStart w:id="115" w:name="_Ref213926867"/>
      <w:r w:rsidR="00A16674">
        <w:t>isions to the model included:</w:t>
      </w:r>
      <w:bookmarkEnd w:id="115"/>
    </w:p>
    <w:p w14:paraId="77FF65E5" w14:textId="1095CEF8" w:rsidR="007125F4" w:rsidRDefault="00043BC4" w:rsidP="008B251F">
      <w:pPr>
        <w:pStyle w:val="ListParagraph"/>
        <w:numPr>
          <w:ilvl w:val="0"/>
          <w:numId w:val="30"/>
        </w:numPr>
        <w:spacing w:before="60" w:after="60"/>
      </w:pPr>
      <w:r>
        <w:t>T</w:t>
      </w:r>
      <w:r w:rsidR="00890818" w:rsidRPr="00890818">
        <w:t xml:space="preserve">he </w:t>
      </w:r>
      <w:r w:rsidR="00B66DA5">
        <w:t>percentage</w:t>
      </w:r>
      <w:r w:rsidR="00890818" w:rsidRPr="00890818">
        <w:t xml:space="preserve"> of</w:t>
      </w:r>
      <w:r>
        <w:t xml:space="preserve"> patients</w:t>
      </w:r>
      <w:r w:rsidR="00C87E71">
        <w:t xml:space="preserve"> </w:t>
      </w:r>
      <w:r w:rsidR="00D25C1D">
        <w:t xml:space="preserve">that are </w:t>
      </w:r>
      <w:r w:rsidR="00C87E71">
        <w:t xml:space="preserve">applied initial surgery costs </w:t>
      </w:r>
      <w:r w:rsidR="007A53D9">
        <w:t xml:space="preserve">was </w:t>
      </w:r>
      <w:r w:rsidR="00C87E71">
        <w:t>changed from</w:t>
      </w:r>
      <w:r w:rsidR="00DD28E6">
        <w:t xml:space="preserve"> </w:t>
      </w:r>
      <w:r w:rsidR="003D7BE8">
        <w:t>being based on the</w:t>
      </w:r>
      <w:r w:rsidR="00DD28E6">
        <w:t xml:space="preserve"> proportion of patients treated to the proportion of patients</w:t>
      </w:r>
      <w:r w:rsidR="00890818" w:rsidRPr="00890818">
        <w:t xml:space="preserve"> randomised, i.e., 88.7% (n=322) and 87.75% (n=308) of patients randomised to the </w:t>
      </w:r>
      <w:proofErr w:type="spellStart"/>
      <w:r w:rsidR="00890818" w:rsidRPr="00890818">
        <w:t>PEM+SoC</w:t>
      </w:r>
      <w:proofErr w:type="spellEnd"/>
      <w:r w:rsidR="00890818" w:rsidRPr="00890818">
        <w:t xml:space="preserve"> and SoC arms, respectively</w:t>
      </w:r>
      <w:r w:rsidR="00860C3F">
        <w:t>;</w:t>
      </w:r>
    </w:p>
    <w:p w14:paraId="72B1C751" w14:textId="5427CED6" w:rsidR="00140AC7" w:rsidRDefault="005C0E64" w:rsidP="008B251F">
      <w:pPr>
        <w:pStyle w:val="ListParagraph"/>
        <w:numPr>
          <w:ilvl w:val="0"/>
          <w:numId w:val="30"/>
        </w:numPr>
        <w:spacing w:before="60" w:after="60"/>
      </w:pPr>
      <w:r>
        <w:t>The percentage of patients assumed to receive s</w:t>
      </w:r>
      <w:r w:rsidR="00EC586C" w:rsidRPr="00EC586C">
        <w:rPr>
          <w:rFonts w:ascii="Calibri" w:hAnsi="Calibri"/>
        </w:rPr>
        <w:t>ubsequent treatment costs</w:t>
      </w:r>
      <w:r>
        <w:t xml:space="preserve"> in the IRP health state (both arms) was reduced from 100%</w:t>
      </w:r>
      <w:r w:rsidR="00EC586C" w:rsidRPr="00EC586C">
        <w:rPr>
          <w:rFonts w:ascii="Calibri" w:hAnsi="Calibri"/>
        </w:rPr>
        <w:t xml:space="preserve"> to 80% of patients</w:t>
      </w:r>
      <w:r w:rsidR="00860C3F">
        <w:t>;</w:t>
      </w:r>
    </w:p>
    <w:p w14:paraId="184E92D6" w14:textId="2112535B" w:rsidR="00860C3F" w:rsidRDefault="00AB6E64" w:rsidP="008B251F">
      <w:pPr>
        <w:pStyle w:val="ListParagraph"/>
        <w:numPr>
          <w:ilvl w:val="0"/>
          <w:numId w:val="30"/>
        </w:numPr>
        <w:spacing w:before="60" w:after="60"/>
      </w:pPr>
      <w:r>
        <w:t xml:space="preserve">The </w:t>
      </w:r>
      <w:r w:rsidR="00B6734B">
        <w:t xml:space="preserve">time horizon </w:t>
      </w:r>
      <w:r>
        <w:t xml:space="preserve">was reduced </w:t>
      </w:r>
      <w:r w:rsidR="00B6734B">
        <w:t>from 2</w:t>
      </w:r>
      <w:r w:rsidR="00164759">
        <w:t>5</w:t>
      </w:r>
      <w:r w:rsidR="00B6734B">
        <w:t xml:space="preserve"> years to 2</w:t>
      </w:r>
      <w:r w:rsidR="00164759">
        <w:t>0</w:t>
      </w:r>
      <w:r w:rsidR="00B6734B">
        <w:t xml:space="preserve"> years; </w:t>
      </w:r>
    </w:p>
    <w:p w14:paraId="065092BF" w14:textId="2BEC4F81" w:rsidR="00B6734B" w:rsidRDefault="00320E4A" w:rsidP="008B251F">
      <w:pPr>
        <w:pStyle w:val="ListParagraph"/>
        <w:numPr>
          <w:ilvl w:val="0"/>
          <w:numId w:val="30"/>
        </w:numPr>
        <w:spacing w:before="60" w:after="60"/>
      </w:pPr>
      <w:r w:rsidRPr="00320E4A">
        <w:t>T</w:t>
      </w:r>
      <w:r>
        <w:t>he source of t</w:t>
      </w:r>
      <w:r w:rsidRPr="00320E4A">
        <w:t xml:space="preserve">ransition probabilities for the IRP health state </w:t>
      </w:r>
      <w:r w:rsidR="00164759">
        <w:t>was</w:t>
      </w:r>
      <w:r>
        <w:t xml:space="preserve"> changed from </w:t>
      </w:r>
      <w:r w:rsidR="00B64681" w:rsidRPr="000A707F">
        <w:t xml:space="preserve">KN689 trial data </w:t>
      </w:r>
      <w:r w:rsidR="00B64681">
        <w:t>to</w:t>
      </w:r>
      <w:r w:rsidRPr="00320E4A">
        <w:t xml:space="preserve"> OS HRs </w:t>
      </w:r>
      <w:r w:rsidR="000A707F">
        <w:t>(external sources) that account</w:t>
      </w:r>
      <w:r w:rsidRPr="00320E4A">
        <w:t xml:space="preserve"> for</w:t>
      </w:r>
      <w:r w:rsidR="000A707F">
        <w:t xml:space="preserve"> the use of</w:t>
      </w:r>
      <w:r w:rsidRPr="00320E4A">
        <w:t xml:space="preserve"> immunotherapies in the SoC arm</w:t>
      </w:r>
      <w:r w:rsidR="00CA1B06">
        <w:t>; and</w:t>
      </w:r>
    </w:p>
    <w:p w14:paraId="7BA7C293" w14:textId="2802FD57" w:rsidR="005170E5" w:rsidRDefault="00CE1645" w:rsidP="00D55F11">
      <w:pPr>
        <w:pStyle w:val="ListParagraph"/>
        <w:numPr>
          <w:ilvl w:val="0"/>
          <w:numId w:val="30"/>
        </w:numPr>
        <w:spacing w:before="60" w:after="60"/>
      </w:pPr>
      <w:r>
        <w:t>The proposed effective ex-manufacturer price</w:t>
      </w:r>
      <w:r w:rsidR="007019D3">
        <w:t xml:space="preserve"> of pembrolizumab </w:t>
      </w:r>
      <w:r w:rsidR="00E60C47">
        <w:t xml:space="preserve">was reduced from </w:t>
      </w:r>
      <w:r w:rsidR="00FD16E0">
        <w:t>$</w:t>
      </w:r>
      <w:r w:rsidR="00576021" w:rsidRPr="001758D2">
        <w:rPr>
          <w:highlight w:val="black"/>
        </w:rPr>
        <w:t>&amp;&amp;&amp;&amp;</w:t>
      </w:r>
      <w:r w:rsidR="00FD16E0" w:rsidRPr="00BF0233">
        <w:t xml:space="preserve"> to</w:t>
      </w:r>
      <w:r w:rsidR="00FD16E0" w:rsidRPr="00AC4D53">
        <w:t xml:space="preserve"> </w:t>
      </w:r>
      <w:r w:rsidR="002F21CC" w:rsidRPr="006B3825">
        <w:t>$</w:t>
      </w:r>
      <w:r w:rsidR="00576021" w:rsidRPr="001758D2">
        <w:rPr>
          <w:highlight w:val="black"/>
        </w:rPr>
        <w:t>&amp;&amp;&amp;&amp;</w:t>
      </w:r>
      <w:r w:rsidR="002F21CC">
        <w:t xml:space="preserve"> per 100 mg vial.</w:t>
      </w:r>
    </w:p>
    <w:p w14:paraId="7FBBB62F" w14:textId="637595FB" w:rsidR="00EB59FF" w:rsidRPr="003B4CC1" w:rsidRDefault="007125F4" w:rsidP="00EB59FF">
      <w:pPr>
        <w:rPr>
          <w:rFonts w:ascii="Arial" w:hAnsi="Arial"/>
          <w:b/>
          <w:bCs/>
          <w:color w:val="000000" w:themeColor="text1"/>
          <w:sz w:val="22"/>
          <w:szCs w:val="22"/>
        </w:rPr>
      </w:pPr>
      <w:bookmarkStart w:id="116" w:name="_Ref213924305"/>
      <w:bookmarkStart w:id="117" w:name="_Ref213927382"/>
      <w:r w:rsidRPr="00E54C74">
        <w:rPr>
          <w:rFonts w:ascii="Arial Narrow" w:hAnsi="Arial Narrow"/>
          <w:b/>
          <w:bCs/>
          <w:sz w:val="20"/>
          <w:szCs w:val="18"/>
        </w:rPr>
        <w:t xml:space="preserve">Table </w:t>
      </w:r>
      <w:r w:rsidRPr="00E54C74">
        <w:rPr>
          <w:rFonts w:ascii="Arial Narrow" w:hAnsi="Arial Narrow"/>
          <w:b/>
          <w:bCs/>
          <w:sz w:val="20"/>
          <w:szCs w:val="18"/>
        </w:rPr>
        <w:fldChar w:fldCharType="begin"/>
      </w:r>
      <w:r w:rsidRPr="00E54C74">
        <w:rPr>
          <w:rFonts w:ascii="Arial Narrow" w:hAnsi="Arial Narrow"/>
          <w:b/>
          <w:bCs/>
          <w:sz w:val="20"/>
          <w:szCs w:val="18"/>
        </w:rPr>
        <w:instrText xml:space="preserve"> SEQ Table \* ARABIC </w:instrText>
      </w:r>
      <w:r w:rsidRPr="00E54C74">
        <w:rPr>
          <w:rFonts w:ascii="Arial Narrow" w:hAnsi="Arial Narrow"/>
          <w:b/>
          <w:bCs/>
          <w:sz w:val="20"/>
          <w:szCs w:val="18"/>
        </w:rPr>
        <w:fldChar w:fldCharType="separate"/>
      </w:r>
      <w:r w:rsidR="0084087D">
        <w:rPr>
          <w:rFonts w:ascii="Arial Narrow" w:hAnsi="Arial Narrow"/>
          <w:b/>
          <w:bCs/>
          <w:noProof/>
          <w:sz w:val="20"/>
          <w:szCs w:val="18"/>
        </w:rPr>
        <w:t>14</w:t>
      </w:r>
      <w:r w:rsidRPr="00E54C74">
        <w:rPr>
          <w:rFonts w:ascii="Arial Narrow" w:hAnsi="Arial Narrow"/>
          <w:b/>
          <w:bCs/>
          <w:sz w:val="20"/>
          <w:szCs w:val="18"/>
        </w:rPr>
        <w:fldChar w:fldCharType="end"/>
      </w:r>
      <w:bookmarkEnd w:id="116"/>
      <w:r w:rsidRPr="00E54C74">
        <w:rPr>
          <w:rFonts w:ascii="Arial Narrow" w:hAnsi="Arial Narrow"/>
          <w:b/>
          <w:bCs/>
          <w:sz w:val="20"/>
          <w:szCs w:val="18"/>
        </w:rPr>
        <w:t>:</w:t>
      </w:r>
      <w:r w:rsidR="00EB59FF" w:rsidRPr="00FB541B">
        <w:rPr>
          <w:rFonts w:ascii="Arial Narrow" w:hAnsi="Arial Narrow"/>
          <w:b/>
          <w:bCs/>
          <w:sz w:val="20"/>
          <w:szCs w:val="18"/>
        </w:rPr>
        <w:t xml:space="preserve"> </w:t>
      </w:r>
      <w:r w:rsidR="00FB541B" w:rsidRPr="00FB541B">
        <w:rPr>
          <w:rFonts w:ascii="Arial Narrow" w:hAnsi="Arial Narrow"/>
          <w:b/>
          <w:bCs/>
          <w:sz w:val="20"/>
          <w:szCs w:val="18"/>
        </w:rPr>
        <w:t xml:space="preserve">Pre-PBAC Response: </w:t>
      </w:r>
      <w:r w:rsidR="00FB541B">
        <w:rPr>
          <w:rFonts w:ascii="Arial Narrow" w:hAnsi="Arial Narrow"/>
          <w:b/>
          <w:bCs/>
          <w:sz w:val="20"/>
          <w:szCs w:val="18"/>
        </w:rPr>
        <w:t>r</w:t>
      </w:r>
      <w:r w:rsidR="00B10181">
        <w:rPr>
          <w:rFonts w:ascii="Arial Narrow" w:hAnsi="Arial Narrow"/>
          <w:b/>
          <w:bCs/>
          <w:sz w:val="20"/>
          <w:szCs w:val="18"/>
        </w:rPr>
        <w:t>evised base case</w:t>
      </w:r>
      <w:bookmarkEnd w:id="117"/>
      <w:r w:rsidR="00B10181">
        <w:rPr>
          <w:rFonts w:ascii="Arial Narrow" w:hAnsi="Arial Narrow"/>
          <w:b/>
          <w:bCs/>
          <w:sz w:val="20"/>
          <w:szCs w:val="18"/>
        </w:rPr>
        <w:t xml:space="preserve"> </w:t>
      </w:r>
    </w:p>
    <w:tbl>
      <w:tblPr>
        <w:tblStyle w:val="TableGrid"/>
        <w:tblW w:w="5000" w:type="pct"/>
        <w:tblLook w:val="04A0" w:firstRow="1" w:lastRow="0" w:firstColumn="1" w:lastColumn="0" w:noHBand="0" w:noVBand="1"/>
        <w:tblCaption w:val="Table 14: Pre-PBAC Response: revised base case "/>
      </w:tblPr>
      <w:tblGrid>
        <w:gridCol w:w="3641"/>
        <w:gridCol w:w="1344"/>
        <w:gridCol w:w="1344"/>
        <w:gridCol w:w="1344"/>
        <w:gridCol w:w="1344"/>
      </w:tblGrid>
      <w:tr w:rsidR="003568FE" w:rsidRPr="00327B9A" w14:paraId="2D5F7C80" w14:textId="77777777" w:rsidTr="00F55232">
        <w:trPr>
          <w:tblHeader/>
        </w:trPr>
        <w:tc>
          <w:tcPr>
            <w:tcW w:w="2019" w:type="pct"/>
            <w:vAlign w:val="center"/>
          </w:tcPr>
          <w:p w14:paraId="5F4918F1" w14:textId="718BA89C" w:rsidR="003568FE" w:rsidRPr="00FB541B" w:rsidRDefault="003568FE" w:rsidP="003568FE">
            <w:pPr>
              <w:rPr>
                <w:rFonts w:ascii="Arial Narrow" w:hAnsi="Arial Narrow"/>
                <w:b/>
                <w:bCs/>
                <w:sz w:val="20"/>
                <w:szCs w:val="18"/>
              </w:rPr>
            </w:pPr>
            <w:r>
              <w:rPr>
                <w:rFonts w:ascii="Arial Narrow" w:hAnsi="Arial Narrow"/>
                <w:b/>
                <w:bCs/>
                <w:sz w:val="20"/>
                <w:szCs w:val="18"/>
              </w:rPr>
              <w:t>Model changes</w:t>
            </w:r>
          </w:p>
        </w:tc>
        <w:tc>
          <w:tcPr>
            <w:tcW w:w="745" w:type="pct"/>
          </w:tcPr>
          <w:p w14:paraId="124EB6BC" w14:textId="6C57C44F" w:rsidR="003568FE" w:rsidRPr="00FB541B" w:rsidRDefault="003568FE" w:rsidP="00F55232">
            <w:pPr>
              <w:keepNext/>
              <w:keepLines/>
              <w:jc w:val="center"/>
              <w:rPr>
                <w:rFonts w:ascii="Arial Narrow" w:hAnsi="Arial Narrow"/>
                <w:b/>
                <w:bCs/>
                <w:sz w:val="20"/>
                <w:szCs w:val="18"/>
              </w:rPr>
            </w:pPr>
            <w:r>
              <w:rPr>
                <w:rFonts w:ascii="Arial Narrow" w:hAnsi="Arial Narrow"/>
                <w:b/>
                <w:bCs/>
                <w:sz w:val="20"/>
                <w:szCs w:val="18"/>
              </w:rPr>
              <w:t>Incremental cost</w:t>
            </w:r>
          </w:p>
        </w:tc>
        <w:tc>
          <w:tcPr>
            <w:tcW w:w="745" w:type="pct"/>
          </w:tcPr>
          <w:p w14:paraId="70C51453" w14:textId="45BFF3C2" w:rsidR="003568FE" w:rsidRPr="00FB541B" w:rsidRDefault="00F55232" w:rsidP="00F55232">
            <w:pPr>
              <w:keepNext/>
              <w:keepLines/>
              <w:jc w:val="center"/>
              <w:rPr>
                <w:rFonts w:ascii="Arial Narrow" w:hAnsi="Arial Narrow"/>
                <w:b/>
                <w:bCs/>
                <w:sz w:val="20"/>
                <w:szCs w:val="18"/>
              </w:rPr>
            </w:pPr>
            <w:r>
              <w:rPr>
                <w:rFonts w:ascii="Arial Narrow" w:hAnsi="Arial Narrow"/>
                <w:b/>
                <w:bCs/>
                <w:sz w:val="20"/>
                <w:szCs w:val="18"/>
              </w:rPr>
              <w:t>Incremental QALY</w:t>
            </w:r>
          </w:p>
        </w:tc>
        <w:tc>
          <w:tcPr>
            <w:tcW w:w="745" w:type="pct"/>
          </w:tcPr>
          <w:p w14:paraId="745CFFAA" w14:textId="51AEEAE9" w:rsidR="003568FE" w:rsidRPr="00FB541B" w:rsidRDefault="003568FE" w:rsidP="00F55232">
            <w:pPr>
              <w:keepNext/>
              <w:keepLines/>
              <w:jc w:val="center"/>
              <w:rPr>
                <w:rFonts w:ascii="Arial Narrow" w:hAnsi="Arial Narrow"/>
                <w:b/>
                <w:bCs/>
                <w:sz w:val="20"/>
                <w:szCs w:val="18"/>
              </w:rPr>
            </w:pPr>
            <w:r w:rsidRPr="00FB541B">
              <w:rPr>
                <w:rFonts w:ascii="Arial Narrow" w:hAnsi="Arial Narrow"/>
                <w:b/>
                <w:bCs/>
                <w:sz w:val="20"/>
                <w:szCs w:val="18"/>
              </w:rPr>
              <w:t>ICER</w:t>
            </w:r>
          </w:p>
        </w:tc>
        <w:tc>
          <w:tcPr>
            <w:tcW w:w="745" w:type="pct"/>
          </w:tcPr>
          <w:p w14:paraId="53A99FAC" w14:textId="6F5C823D" w:rsidR="003568FE" w:rsidRPr="00FB541B" w:rsidRDefault="00F55232" w:rsidP="003568FE">
            <w:pPr>
              <w:keepNext/>
              <w:keepLines/>
              <w:jc w:val="left"/>
              <w:rPr>
                <w:rFonts w:ascii="Arial Narrow" w:hAnsi="Arial Narrow"/>
                <w:b/>
                <w:bCs/>
                <w:sz w:val="20"/>
                <w:szCs w:val="18"/>
              </w:rPr>
            </w:pPr>
            <w:r w:rsidRPr="006E012B">
              <w:rPr>
                <w:rFonts w:ascii="Arial Narrow" w:eastAsiaTheme="majorEastAsia" w:hAnsi="Arial Narrow" w:cs="Times New Roman"/>
                <w:b/>
                <w:sz w:val="20"/>
              </w:rPr>
              <w:t>% change from base case</w:t>
            </w:r>
          </w:p>
        </w:tc>
      </w:tr>
      <w:tr w:rsidR="00F55232" w:rsidRPr="00327B9A" w14:paraId="073DAD6A" w14:textId="77777777" w:rsidTr="0028295C">
        <w:trPr>
          <w:trHeight w:val="64"/>
        </w:trPr>
        <w:tc>
          <w:tcPr>
            <w:tcW w:w="2019" w:type="pct"/>
          </w:tcPr>
          <w:p w14:paraId="43380D5F" w14:textId="3AD43CBF" w:rsidR="00F55232" w:rsidRPr="00FB541B" w:rsidRDefault="00F55232" w:rsidP="00F55232">
            <w:pPr>
              <w:rPr>
                <w:rFonts w:ascii="Arial Narrow" w:hAnsi="Arial Narrow"/>
                <w:b/>
                <w:bCs/>
                <w:sz w:val="20"/>
                <w:szCs w:val="18"/>
              </w:rPr>
            </w:pPr>
            <w:r>
              <w:rPr>
                <w:rFonts w:ascii="Arial Narrow" w:hAnsi="Arial Narrow"/>
                <w:b/>
                <w:bCs/>
                <w:sz w:val="20"/>
                <w:szCs w:val="18"/>
              </w:rPr>
              <w:t>Base case</w:t>
            </w:r>
          </w:p>
        </w:tc>
        <w:tc>
          <w:tcPr>
            <w:tcW w:w="745" w:type="pct"/>
            <w:vAlign w:val="center"/>
          </w:tcPr>
          <w:p w14:paraId="5865CB4E" w14:textId="285F9C61" w:rsidR="00F55232" w:rsidRPr="00FB541B" w:rsidRDefault="00F55232" w:rsidP="0028295C">
            <w:pPr>
              <w:jc w:val="center"/>
              <w:rPr>
                <w:rFonts w:ascii="Arial Narrow" w:hAnsi="Arial Narrow"/>
                <w:b/>
                <w:bCs/>
                <w:sz w:val="20"/>
                <w:szCs w:val="18"/>
              </w:rPr>
            </w:pPr>
            <w:r w:rsidRPr="006E012B">
              <w:rPr>
                <w:rFonts w:ascii="Arial Narrow" w:eastAsiaTheme="majorEastAsia" w:hAnsi="Arial Narrow" w:cstheme="majorBidi"/>
                <w:b/>
                <w:sz w:val="20"/>
              </w:rPr>
              <w:t>$</w:t>
            </w:r>
            <w:r w:rsidR="00576021" w:rsidRPr="001758D2">
              <w:rPr>
                <w:rFonts w:ascii="Arial Narrow" w:eastAsiaTheme="majorEastAsia" w:hAnsi="Arial Narrow" w:cstheme="majorBidi"/>
                <w:b/>
                <w:sz w:val="20"/>
                <w:highlight w:val="black"/>
              </w:rPr>
              <w:t>&amp;&amp;&amp;&amp;</w:t>
            </w:r>
          </w:p>
        </w:tc>
        <w:tc>
          <w:tcPr>
            <w:tcW w:w="745" w:type="pct"/>
            <w:vAlign w:val="center"/>
          </w:tcPr>
          <w:p w14:paraId="5435485A" w14:textId="1CD5AA3F" w:rsidR="00F55232" w:rsidRPr="00FB541B" w:rsidRDefault="00F55232" w:rsidP="0028295C">
            <w:pPr>
              <w:jc w:val="center"/>
              <w:rPr>
                <w:rFonts w:ascii="Arial Narrow" w:hAnsi="Arial Narrow"/>
                <w:b/>
                <w:bCs/>
                <w:sz w:val="20"/>
                <w:szCs w:val="18"/>
              </w:rPr>
            </w:pPr>
            <w:r w:rsidRPr="006E012B">
              <w:rPr>
                <w:rFonts w:ascii="Arial Narrow" w:eastAsiaTheme="majorEastAsia" w:hAnsi="Arial Narrow" w:cstheme="majorBidi"/>
                <w:b/>
                <w:sz w:val="20"/>
              </w:rPr>
              <w:t>0.71</w:t>
            </w:r>
          </w:p>
        </w:tc>
        <w:tc>
          <w:tcPr>
            <w:tcW w:w="745" w:type="pct"/>
            <w:vAlign w:val="center"/>
          </w:tcPr>
          <w:p w14:paraId="58D6493F" w14:textId="2F828001" w:rsidR="00F55232" w:rsidRPr="00D05C99" w:rsidRDefault="00F55232" w:rsidP="0028295C">
            <w:pPr>
              <w:jc w:val="center"/>
              <w:rPr>
                <w:rFonts w:ascii="Arial Narrow" w:hAnsi="Arial Narrow"/>
                <w:b/>
                <w:bCs/>
                <w:sz w:val="20"/>
                <w:szCs w:val="18"/>
                <w:vertAlign w:val="superscript"/>
              </w:rPr>
            </w:pPr>
            <w:r w:rsidRPr="006E012B">
              <w:rPr>
                <w:rFonts w:ascii="Arial Narrow" w:eastAsiaTheme="majorEastAsia" w:hAnsi="Arial Narrow" w:cstheme="majorBidi"/>
                <w:b/>
                <w:sz w:val="20"/>
              </w:rPr>
              <w:t>$</w:t>
            </w:r>
            <w:r w:rsidR="00576021" w:rsidRPr="001758D2">
              <w:rPr>
                <w:rFonts w:ascii="Arial Narrow" w:eastAsiaTheme="majorEastAsia" w:hAnsi="Arial Narrow" w:cstheme="majorBidi"/>
                <w:b/>
                <w:sz w:val="20"/>
                <w:highlight w:val="black"/>
              </w:rPr>
              <w:t>&amp;&amp;&amp;&amp;</w:t>
            </w:r>
            <w:r w:rsidR="00D05C99">
              <w:rPr>
                <w:rFonts w:ascii="Arial Narrow" w:eastAsiaTheme="majorEastAsia" w:hAnsi="Arial Narrow" w:cstheme="majorBidi"/>
                <w:b/>
                <w:sz w:val="20"/>
                <w:vertAlign w:val="superscript"/>
              </w:rPr>
              <w:t>1</w:t>
            </w:r>
          </w:p>
        </w:tc>
        <w:tc>
          <w:tcPr>
            <w:tcW w:w="745" w:type="pct"/>
            <w:vAlign w:val="center"/>
          </w:tcPr>
          <w:p w14:paraId="1B257672" w14:textId="5CBDAE76" w:rsidR="00F55232" w:rsidRPr="00FB541B" w:rsidRDefault="00F55232" w:rsidP="0028295C">
            <w:pPr>
              <w:jc w:val="center"/>
              <w:rPr>
                <w:rFonts w:ascii="Arial Narrow" w:hAnsi="Arial Narrow"/>
                <w:b/>
                <w:bCs/>
                <w:sz w:val="20"/>
                <w:szCs w:val="18"/>
              </w:rPr>
            </w:pPr>
            <w:r w:rsidRPr="006E012B">
              <w:rPr>
                <w:rFonts w:ascii="Arial Narrow" w:eastAsiaTheme="majorEastAsia" w:hAnsi="Arial Narrow" w:cstheme="majorBidi"/>
                <w:bCs/>
                <w:sz w:val="20"/>
              </w:rPr>
              <w:t>-</w:t>
            </w:r>
          </w:p>
        </w:tc>
      </w:tr>
      <w:tr w:rsidR="003966FC" w:rsidRPr="00327B9A" w14:paraId="45BA82D1" w14:textId="77777777" w:rsidTr="00CB5FD6">
        <w:tc>
          <w:tcPr>
            <w:tcW w:w="2019" w:type="pct"/>
            <w:tcBorders>
              <w:bottom w:val="single" w:sz="4" w:space="0" w:color="auto"/>
            </w:tcBorders>
          </w:tcPr>
          <w:p w14:paraId="64325F3F" w14:textId="0CB3132C" w:rsidR="003966FC" w:rsidRPr="000D1748" w:rsidRDefault="003966FC" w:rsidP="003966FC">
            <w:pPr>
              <w:rPr>
                <w:rFonts w:ascii="Arial Narrow" w:hAnsi="Arial Narrow"/>
                <w:sz w:val="20"/>
                <w:szCs w:val="18"/>
              </w:rPr>
            </w:pPr>
            <w:r w:rsidRPr="007A16D4">
              <w:rPr>
                <w:rFonts w:ascii="Arial Narrow" w:eastAsiaTheme="majorEastAsia" w:hAnsi="Arial Narrow" w:cstheme="majorBidi"/>
                <w:bCs/>
                <w:sz w:val="20"/>
              </w:rPr>
              <w:t xml:space="preserve">Applying initial surgery costs to 88.7% and 87.75% of patients across both arms </w:t>
            </w:r>
            <w:r w:rsidRPr="007A16D4">
              <w:rPr>
                <w:rFonts w:ascii="Arial Narrow" w:eastAsiaTheme="majorEastAsia" w:hAnsi="Arial Narrow" w:cstheme="majorBidi"/>
                <w:b/>
                <w:sz w:val="20"/>
              </w:rPr>
              <w:t>(#1)</w:t>
            </w:r>
          </w:p>
        </w:tc>
        <w:tc>
          <w:tcPr>
            <w:tcW w:w="745" w:type="pct"/>
            <w:tcBorders>
              <w:bottom w:val="single" w:sz="4" w:space="0" w:color="auto"/>
            </w:tcBorders>
            <w:vAlign w:val="center"/>
          </w:tcPr>
          <w:p w14:paraId="7B7CE660" w14:textId="7EBF0ADC" w:rsidR="003966FC" w:rsidRPr="000D1748" w:rsidRDefault="003966FC" w:rsidP="003966FC">
            <w:pPr>
              <w:jc w:val="center"/>
              <w:rPr>
                <w:rFonts w:ascii="Arial Narrow" w:hAnsi="Arial Narrow"/>
                <w:sz w:val="20"/>
                <w:szCs w:val="18"/>
              </w:rPr>
            </w:pPr>
            <w:r w:rsidRPr="007A16D4">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p>
        </w:tc>
        <w:tc>
          <w:tcPr>
            <w:tcW w:w="745" w:type="pct"/>
            <w:tcBorders>
              <w:bottom w:val="single" w:sz="4" w:space="0" w:color="auto"/>
            </w:tcBorders>
            <w:vAlign w:val="center"/>
          </w:tcPr>
          <w:p w14:paraId="019EDFB3" w14:textId="26ECA12C" w:rsidR="003966FC" w:rsidRPr="000D1748" w:rsidRDefault="003966FC" w:rsidP="003966FC">
            <w:pPr>
              <w:jc w:val="center"/>
              <w:rPr>
                <w:rFonts w:ascii="Arial Narrow" w:hAnsi="Arial Narrow"/>
                <w:sz w:val="20"/>
                <w:szCs w:val="18"/>
              </w:rPr>
            </w:pPr>
            <w:r w:rsidRPr="007A16D4">
              <w:rPr>
                <w:rFonts w:ascii="Arial Narrow" w:eastAsiaTheme="majorEastAsia" w:hAnsi="Arial Narrow" w:cstheme="majorBidi"/>
                <w:bCs/>
                <w:sz w:val="20"/>
              </w:rPr>
              <w:t>0.71</w:t>
            </w:r>
          </w:p>
        </w:tc>
        <w:tc>
          <w:tcPr>
            <w:tcW w:w="745" w:type="pct"/>
            <w:tcBorders>
              <w:bottom w:val="single" w:sz="4" w:space="0" w:color="auto"/>
            </w:tcBorders>
            <w:vAlign w:val="center"/>
          </w:tcPr>
          <w:p w14:paraId="7430F1C0" w14:textId="4EC5341A" w:rsidR="003966FC" w:rsidRPr="00D05C99" w:rsidRDefault="003966FC" w:rsidP="003966FC">
            <w:pPr>
              <w:jc w:val="center"/>
              <w:rPr>
                <w:rFonts w:ascii="Arial Narrow" w:hAnsi="Arial Narrow"/>
                <w:sz w:val="20"/>
                <w:szCs w:val="18"/>
                <w:vertAlign w:val="superscript"/>
              </w:rPr>
            </w:pPr>
            <w:r w:rsidRPr="007A16D4">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r w:rsidR="00D05C99">
              <w:rPr>
                <w:rFonts w:ascii="Arial Narrow" w:eastAsiaTheme="majorEastAsia" w:hAnsi="Arial Narrow" w:cstheme="majorBidi"/>
                <w:bCs/>
                <w:sz w:val="20"/>
                <w:vertAlign w:val="superscript"/>
              </w:rPr>
              <w:t>2</w:t>
            </w:r>
          </w:p>
        </w:tc>
        <w:tc>
          <w:tcPr>
            <w:tcW w:w="745" w:type="pct"/>
            <w:tcBorders>
              <w:bottom w:val="single" w:sz="4" w:space="0" w:color="auto"/>
            </w:tcBorders>
            <w:vAlign w:val="center"/>
          </w:tcPr>
          <w:p w14:paraId="46F87C04" w14:textId="26E6C589" w:rsidR="003966FC" w:rsidRPr="007B39E4" w:rsidRDefault="00576021" w:rsidP="003966FC">
            <w:pPr>
              <w:jc w:val="center"/>
              <w:rPr>
                <w:rFonts w:ascii="Arial Narrow" w:hAnsi="Arial Narrow"/>
                <w:sz w:val="20"/>
                <w:szCs w:val="18"/>
                <w:highlight w:val="darkGray"/>
              </w:rPr>
            </w:pPr>
            <w:r w:rsidRPr="001758D2">
              <w:rPr>
                <w:rFonts w:ascii="Arial Narrow" w:eastAsiaTheme="majorEastAsia" w:hAnsi="Arial Narrow" w:cstheme="majorBidi"/>
                <w:bCs/>
                <w:sz w:val="20"/>
                <w:highlight w:val="black"/>
              </w:rPr>
              <w:t>&amp;&amp;&amp;&amp;</w:t>
            </w:r>
            <w:r w:rsidR="003966FC" w:rsidRPr="009709BC">
              <w:rPr>
                <w:rFonts w:ascii="Arial Narrow" w:eastAsiaTheme="majorEastAsia" w:hAnsi="Arial Narrow" w:cstheme="majorBidi"/>
                <w:bCs/>
                <w:sz w:val="20"/>
              </w:rPr>
              <w:t>%</w:t>
            </w:r>
          </w:p>
        </w:tc>
      </w:tr>
      <w:tr w:rsidR="00C73F7B" w:rsidRPr="00327B9A" w14:paraId="315FE180" w14:textId="77777777" w:rsidTr="00CB5FD6">
        <w:tc>
          <w:tcPr>
            <w:tcW w:w="2019" w:type="pct"/>
          </w:tcPr>
          <w:p w14:paraId="1F39574E" w14:textId="664CA73E" w:rsidR="00C73F7B" w:rsidRPr="000D1748" w:rsidRDefault="00C73F7B" w:rsidP="00C73F7B">
            <w:pPr>
              <w:rPr>
                <w:rFonts w:ascii="Arial Narrow" w:hAnsi="Arial Narrow"/>
                <w:sz w:val="20"/>
                <w:szCs w:val="18"/>
              </w:rPr>
            </w:pPr>
            <w:r w:rsidRPr="007A16D4">
              <w:rPr>
                <w:rFonts w:ascii="Arial Narrow" w:eastAsiaTheme="majorEastAsia" w:hAnsi="Arial Narrow" w:cstheme="majorBidi"/>
                <w:bCs/>
                <w:sz w:val="20"/>
              </w:rPr>
              <w:t xml:space="preserve">Applying </w:t>
            </w:r>
            <w:r w:rsidR="00EC586C">
              <w:rPr>
                <w:rFonts w:ascii="Arial Narrow" w:eastAsiaTheme="majorEastAsia" w:hAnsi="Arial Narrow" w:cstheme="majorBidi"/>
                <w:bCs/>
                <w:sz w:val="20"/>
              </w:rPr>
              <w:t xml:space="preserve">subsequent treatment </w:t>
            </w:r>
            <w:r w:rsidRPr="007A16D4">
              <w:rPr>
                <w:rFonts w:ascii="Arial Narrow" w:eastAsiaTheme="majorEastAsia" w:hAnsi="Arial Narrow" w:cstheme="majorBidi"/>
                <w:bCs/>
                <w:sz w:val="20"/>
              </w:rPr>
              <w:t>costs to 80% of patients in the IRP health state</w:t>
            </w:r>
            <w:r w:rsidR="00EC586C">
              <w:rPr>
                <w:rFonts w:ascii="Arial Narrow" w:eastAsiaTheme="majorEastAsia" w:hAnsi="Arial Narrow" w:cstheme="majorBidi"/>
                <w:bCs/>
                <w:sz w:val="20"/>
              </w:rPr>
              <w:t xml:space="preserve"> (both arms)</w:t>
            </w:r>
            <w:r w:rsidRPr="007A16D4">
              <w:rPr>
                <w:rFonts w:ascii="Arial Narrow" w:eastAsiaTheme="majorEastAsia" w:hAnsi="Arial Narrow" w:cstheme="majorBidi"/>
                <w:bCs/>
                <w:sz w:val="20"/>
              </w:rPr>
              <w:t xml:space="preserve"> </w:t>
            </w:r>
            <w:r w:rsidRPr="007A16D4">
              <w:rPr>
                <w:rFonts w:ascii="Arial Narrow" w:eastAsiaTheme="majorEastAsia" w:hAnsi="Arial Narrow" w:cstheme="majorBidi"/>
                <w:b/>
                <w:sz w:val="20"/>
              </w:rPr>
              <w:t>(#2)</w:t>
            </w:r>
          </w:p>
        </w:tc>
        <w:tc>
          <w:tcPr>
            <w:tcW w:w="745" w:type="pct"/>
            <w:vAlign w:val="center"/>
          </w:tcPr>
          <w:p w14:paraId="75D71AD5" w14:textId="4D49BF01" w:rsidR="00C73F7B" w:rsidRPr="000D1748" w:rsidRDefault="00C73F7B" w:rsidP="00C73F7B">
            <w:pPr>
              <w:jc w:val="center"/>
              <w:rPr>
                <w:rFonts w:ascii="Arial Narrow" w:hAnsi="Arial Narrow"/>
                <w:sz w:val="20"/>
                <w:szCs w:val="18"/>
              </w:rPr>
            </w:pPr>
            <w:r w:rsidRPr="007A16D4">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p>
        </w:tc>
        <w:tc>
          <w:tcPr>
            <w:tcW w:w="745" w:type="pct"/>
            <w:vAlign w:val="center"/>
          </w:tcPr>
          <w:p w14:paraId="582D52DE" w14:textId="7B66DE80" w:rsidR="00C73F7B" w:rsidRPr="000D1748" w:rsidRDefault="00C73F7B" w:rsidP="00C73F7B">
            <w:pPr>
              <w:jc w:val="center"/>
              <w:rPr>
                <w:rFonts w:ascii="Arial Narrow" w:hAnsi="Arial Narrow"/>
                <w:sz w:val="20"/>
                <w:szCs w:val="18"/>
              </w:rPr>
            </w:pPr>
            <w:r w:rsidRPr="007A16D4">
              <w:rPr>
                <w:rFonts w:ascii="Arial Narrow" w:eastAsiaTheme="majorEastAsia" w:hAnsi="Arial Narrow" w:cstheme="majorBidi"/>
                <w:bCs/>
                <w:sz w:val="20"/>
              </w:rPr>
              <w:t>0.71</w:t>
            </w:r>
          </w:p>
        </w:tc>
        <w:tc>
          <w:tcPr>
            <w:tcW w:w="745" w:type="pct"/>
            <w:vAlign w:val="center"/>
          </w:tcPr>
          <w:p w14:paraId="199062A3" w14:textId="7D75A20B" w:rsidR="00C73F7B" w:rsidRPr="00D05C99" w:rsidRDefault="00C73F7B" w:rsidP="00C73F7B">
            <w:pPr>
              <w:jc w:val="center"/>
              <w:rPr>
                <w:rFonts w:ascii="Arial Narrow" w:hAnsi="Arial Narrow"/>
                <w:sz w:val="20"/>
                <w:szCs w:val="18"/>
                <w:vertAlign w:val="superscript"/>
              </w:rPr>
            </w:pPr>
            <w:r w:rsidRPr="007A16D4">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r w:rsidR="00D05C99">
              <w:rPr>
                <w:rFonts w:ascii="Arial Narrow" w:eastAsiaTheme="majorEastAsia" w:hAnsi="Arial Narrow" w:cstheme="majorBidi"/>
                <w:bCs/>
                <w:sz w:val="20"/>
                <w:vertAlign w:val="superscript"/>
              </w:rPr>
              <w:t>2</w:t>
            </w:r>
          </w:p>
        </w:tc>
        <w:tc>
          <w:tcPr>
            <w:tcW w:w="745" w:type="pct"/>
            <w:vAlign w:val="center"/>
          </w:tcPr>
          <w:p w14:paraId="5DD0E14B" w14:textId="541DB4FB" w:rsidR="00C73F7B" w:rsidRPr="007B39E4" w:rsidRDefault="00576021" w:rsidP="00C73F7B">
            <w:pPr>
              <w:jc w:val="center"/>
              <w:rPr>
                <w:rFonts w:ascii="Arial Narrow" w:hAnsi="Arial Narrow"/>
                <w:sz w:val="20"/>
                <w:szCs w:val="18"/>
                <w:highlight w:val="darkGray"/>
              </w:rPr>
            </w:pPr>
            <w:r w:rsidRPr="001758D2">
              <w:rPr>
                <w:rFonts w:ascii="Arial Narrow" w:eastAsiaTheme="majorEastAsia" w:hAnsi="Arial Narrow" w:cstheme="majorBidi"/>
                <w:bCs/>
                <w:sz w:val="20"/>
                <w:highlight w:val="black"/>
              </w:rPr>
              <w:t>&amp;&amp;&amp;&amp;</w:t>
            </w:r>
            <w:r w:rsidR="00C73F7B" w:rsidRPr="009709BC">
              <w:rPr>
                <w:rFonts w:ascii="Arial Narrow" w:eastAsiaTheme="majorEastAsia" w:hAnsi="Arial Narrow" w:cstheme="majorBidi"/>
                <w:bCs/>
                <w:sz w:val="20"/>
              </w:rPr>
              <w:t>%</w:t>
            </w:r>
          </w:p>
        </w:tc>
      </w:tr>
      <w:tr w:rsidR="00D207B1" w:rsidRPr="00327B9A" w14:paraId="4F483DA0" w14:textId="77777777" w:rsidTr="00F55232">
        <w:tc>
          <w:tcPr>
            <w:tcW w:w="2019" w:type="pct"/>
          </w:tcPr>
          <w:p w14:paraId="465AAA84" w14:textId="776DDF6E" w:rsidR="00D207B1" w:rsidRPr="000D1748" w:rsidRDefault="00D207B1" w:rsidP="00D207B1">
            <w:pPr>
              <w:rPr>
                <w:rFonts w:ascii="Arial Narrow" w:hAnsi="Arial Narrow"/>
                <w:sz w:val="20"/>
                <w:szCs w:val="18"/>
              </w:rPr>
            </w:pPr>
            <w:r w:rsidRPr="006E012B">
              <w:rPr>
                <w:rFonts w:ascii="Arial Narrow" w:eastAsiaTheme="majorEastAsia" w:hAnsi="Arial Narrow" w:cstheme="majorBidi"/>
                <w:bCs/>
                <w:sz w:val="20"/>
              </w:rPr>
              <w:t xml:space="preserve">20 years </w:t>
            </w:r>
            <w:r w:rsidRPr="00D207B1">
              <w:rPr>
                <w:rFonts w:ascii="Arial Narrow" w:eastAsiaTheme="majorEastAsia" w:hAnsi="Arial Narrow" w:cstheme="majorBidi"/>
                <w:b/>
                <w:sz w:val="20"/>
              </w:rPr>
              <w:t>(#3)</w:t>
            </w:r>
          </w:p>
        </w:tc>
        <w:tc>
          <w:tcPr>
            <w:tcW w:w="745" w:type="pct"/>
          </w:tcPr>
          <w:p w14:paraId="1F4C5A94" w14:textId="3FD02084" w:rsidR="00D207B1" w:rsidRPr="000D1748" w:rsidRDefault="00D207B1" w:rsidP="00D207B1">
            <w:pPr>
              <w:jc w:val="center"/>
              <w:rPr>
                <w:rFonts w:ascii="Arial Narrow" w:hAnsi="Arial Narrow"/>
                <w:sz w:val="20"/>
                <w:szCs w:val="18"/>
              </w:rPr>
            </w:pPr>
            <w:r w:rsidRPr="006E012B">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p>
        </w:tc>
        <w:tc>
          <w:tcPr>
            <w:tcW w:w="745" w:type="pct"/>
          </w:tcPr>
          <w:p w14:paraId="4F3BA453" w14:textId="0BC53DFC" w:rsidR="00D207B1" w:rsidRPr="000D1748" w:rsidRDefault="00D207B1" w:rsidP="00D207B1">
            <w:pPr>
              <w:jc w:val="center"/>
              <w:rPr>
                <w:rFonts w:ascii="Arial Narrow" w:hAnsi="Arial Narrow"/>
                <w:sz w:val="20"/>
                <w:szCs w:val="18"/>
              </w:rPr>
            </w:pPr>
            <w:r w:rsidRPr="006E012B">
              <w:rPr>
                <w:rFonts w:ascii="Arial Narrow" w:eastAsiaTheme="majorEastAsia" w:hAnsi="Arial Narrow" w:cstheme="majorBidi"/>
                <w:bCs/>
                <w:sz w:val="20"/>
              </w:rPr>
              <w:t>0.66</w:t>
            </w:r>
          </w:p>
        </w:tc>
        <w:tc>
          <w:tcPr>
            <w:tcW w:w="745" w:type="pct"/>
          </w:tcPr>
          <w:p w14:paraId="502AA031" w14:textId="6E5F8CA6" w:rsidR="00D207B1" w:rsidRPr="00D05C99" w:rsidRDefault="00D207B1" w:rsidP="00D207B1">
            <w:pPr>
              <w:jc w:val="center"/>
              <w:rPr>
                <w:rFonts w:ascii="Arial Narrow" w:hAnsi="Arial Narrow"/>
                <w:sz w:val="20"/>
                <w:szCs w:val="18"/>
                <w:vertAlign w:val="superscript"/>
              </w:rPr>
            </w:pPr>
            <w:r w:rsidRPr="006E012B">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r w:rsidR="00D05C99">
              <w:rPr>
                <w:rFonts w:ascii="Arial Narrow" w:eastAsiaTheme="majorEastAsia" w:hAnsi="Arial Narrow" w:cstheme="majorBidi"/>
                <w:bCs/>
                <w:sz w:val="20"/>
                <w:vertAlign w:val="superscript"/>
              </w:rPr>
              <w:t>2</w:t>
            </w:r>
          </w:p>
        </w:tc>
        <w:tc>
          <w:tcPr>
            <w:tcW w:w="745" w:type="pct"/>
          </w:tcPr>
          <w:p w14:paraId="3E1BE5B6" w14:textId="3F49EFFA" w:rsidR="00D207B1" w:rsidRPr="007B39E4" w:rsidRDefault="00576021" w:rsidP="00D207B1">
            <w:pPr>
              <w:jc w:val="center"/>
              <w:rPr>
                <w:rFonts w:ascii="Arial Narrow" w:hAnsi="Arial Narrow"/>
                <w:sz w:val="20"/>
                <w:szCs w:val="18"/>
                <w:highlight w:val="darkGray"/>
              </w:rPr>
            </w:pPr>
            <w:r w:rsidRPr="001758D2">
              <w:rPr>
                <w:rFonts w:ascii="Arial Narrow" w:eastAsiaTheme="majorEastAsia" w:hAnsi="Arial Narrow" w:cstheme="majorBidi"/>
                <w:bCs/>
                <w:sz w:val="20"/>
                <w:highlight w:val="black"/>
              </w:rPr>
              <w:t>&amp;&amp;&amp;&amp;</w:t>
            </w:r>
            <w:r w:rsidR="00D207B1" w:rsidRPr="009709BC">
              <w:rPr>
                <w:rFonts w:ascii="Arial Narrow" w:eastAsiaTheme="majorEastAsia" w:hAnsi="Arial Narrow" w:cstheme="majorBidi"/>
                <w:bCs/>
                <w:sz w:val="20"/>
              </w:rPr>
              <w:t>%</w:t>
            </w:r>
          </w:p>
        </w:tc>
      </w:tr>
      <w:tr w:rsidR="004A1A6C" w:rsidRPr="00327B9A" w14:paraId="233965F6" w14:textId="77777777" w:rsidTr="004873E7">
        <w:tc>
          <w:tcPr>
            <w:tcW w:w="2019" w:type="pct"/>
            <w:tcBorders>
              <w:bottom w:val="single" w:sz="4" w:space="0" w:color="auto"/>
            </w:tcBorders>
          </w:tcPr>
          <w:p w14:paraId="2170FA0B" w14:textId="63515AC0" w:rsidR="004A1A6C" w:rsidRPr="000F0BEA" w:rsidRDefault="004A1A6C" w:rsidP="004A1A6C">
            <w:pPr>
              <w:jc w:val="left"/>
              <w:rPr>
                <w:rFonts w:ascii="Arial Narrow" w:eastAsiaTheme="majorEastAsia" w:hAnsi="Arial Narrow" w:cstheme="majorBidi"/>
                <w:bCs/>
                <w:sz w:val="20"/>
              </w:rPr>
            </w:pPr>
            <w:r w:rsidRPr="000F0BEA">
              <w:rPr>
                <w:rFonts w:ascii="Arial Narrow" w:eastAsiaTheme="majorEastAsia" w:hAnsi="Arial Narrow" w:cstheme="majorBidi"/>
                <w:bCs/>
                <w:sz w:val="20"/>
              </w:rPr>
              <w:t>Transition probabilities for the IRP health state</w:t>
            </w:r>
            <w:r w:rsidRPr="006E012B">
              <w:rPr>
                <w:rFonts w:ascii="Arial Narrow" w:eastAsiaTheme="majorEastAsia" w:hAnsi="Arial Narrow" w:cstheme="majorBidi"/>
                <w:bCs/>
                <w:sz w:val="20"/>
              </w:rPr>
              <w:t xml:space="preserve"> </w:t>
            </w:r>
            <w:r>
              <w:rPr>
                <w:rFonts w:ascii="Arial Narrow" w:eastAsiaTheme="majorEastAsia" w:hAnsi="Arial Narrow" w:cstheme="majorBidi"/>
                <w:bCs/>
                <w:sz w:val="20"/>
              </w:rPr>
              <w:t>u</w:t>
            </w:r>
            <w:r w:rsidRPr="006E012B">
              <w:rPr>
                <w:rFonts w:ascii="Arial Narrow" w:eastAsiaTheme="majorEastAsia" w:hAnsi="Arial Narrow" w:cstheme="majorBidi"/>
                <w:bCs/>
                <w:sz w:val="20"/>
              </w:rPr>
              <w:t>s</w:t>
            </w:r>
            <w:r>
              <w:rPr>
                <w:rFonts w:ascii="Arial Narrow" w:eastAsiaTheme="majorEastAsia" w:hAnsi="Arial Narrow" w:cstheme="majorBidi"/>
                <w:bCs/>
                <w:sz w:val="20"/>
              </w:rPr>
              <w:t xml:space="preserve">e OS </w:t>
            </w:r>
            <w:r w:rsidRPr="006E012B">
              <w:rPr>
                <w:rFonts w:ascii="Arial Narrow" w:eastAsiaTheme="majorEastAsia" w:hAnsi="Arial Narrow" w:cstheme="majorBidi"/>
                <w:bCs/>
                <w:sz w:val="20"/>
              </w:rPr>
              <w:t xml:space="preserve">HRs </w:t>
            </w:r>
            <w:r>
              <w:rPr>
                <w:rFonts w:ascii="Arial Narrow" w:eastAsiaTheme="majorEastAsia" w:hAnsi="Arial Narrow" w:cstheme="majorBidi"/>
                <w:bCs/>
                <w:sz w:val="20"/>
              </w:rPr>
              <w:t>accounting for</w:t>
            </w:r>
            <w:r w:rsidRPr="006E012B">
              <w:rPr>
                <w:rFonts w:ascii="Arial Narrow" w:eastAsiaTheme="majorEastAsia" w:hAnsi="Arial Narrow" w:cstheme="majorBidi"/>
                <w:bCs/>
                <w:sz w:val="20"/>
              </w:rPr>
              <w:t xml:space="preserve"> immunotherapies in the SoC arm</w:t>
            </w:r>
            <w:r>
              <w:rPr>
                <w:rFonts w:ascii="Arial Narrow" w:eastAsiaTheme="majorEastAsia" w:hAnsi="Arial Narrow" w:cstheme="majorBidi"/>
                <w:bCs/>
                <w:sz w:val="20"/>
              </w:rPr>
              <w:t xml:space="preserve"> </w:t>
            </w:r>
            <w:r w:rsidRPr="004873E7">
              <w:rPr>
                <w:rFonts w:ascii="Arial Narrow" w:eastAsiaTheme="majorEastAsia" w:hAnsi="Arial Narrow" w:cstheme="majorBidi"/>
                <w:b/>
                <w:sz w:val="20"/>
              </w:rPr>
              <w:t>(#4)</w:t>
            </w:r>
          </w:p>
        </w:tc>
        <w:tc>
          <w:tcPr>
            <w:tcW w:w="745" w:type="pct"/>
            <w:tcBorders>
              <w:bottom w:val="single" w:sz="4" w:space="0" w:color="auto"/>
            </w:tcBorders>
            <w:vAlign w:val="center"/>
          </w:tcPr>
          <w:p w14:paraId="06354673" w14:textId="095D1822" w:rsidR="004A1A6C" w:rsidRPr="004A1A6C" w:rsidRDefault="004A1A6C" w:rsidP="004A1A6C">
            <w:pPr>
              <w:jc w:val="center"/>
              <w:rPr>
                <w:rFonts w:ascii="Arial Narrow" w:eastAsiaTheme="majorEastAsia" w:hAnsi="Arial Narrow" w:cstheme="majorBidi"/>
                <w:bCs/>
                <w:sz w:val="20"/>
              </w:rPr>
            </w:pPr>
            <w:r w:rsidRPr="004A1A6C">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p>
        </w:tc>
        <w:tc>
          <w:tcPr>
            <w:tcW w:w="745" w:type="pct"/>
            <w:tcBorders>
              <w:bottom w:val="single" w:sz="4" w:space="0" w:color="auto"/>
            </w:tcBorders>
            <w:vAlign w:val="center"/>
          </w:tcPr>
          <w:p w14:paraId="44DC6412" w14:textId="5DDA2B03" w:rsidR="004A1A6C" w:rsidRPr="004A1A6C" w:rsidRDefault="004A1A6C" w:rsidP="004A1A6C">
            <w:pPr>
              <w:jc w:val="center"/>
              <w:rPr>
                <w:rFonts w:ascii="Arial Narrow" w:eastAsiaTheme="majorEastAsia" w:hAnsi="Arial Narrow" w:cstheme="majorBidi"/>
                <w:bCs/>
                <w:sz w:val="20"/>
              </w:rPr>
            </w:pPr>
            <w:r w:rsidRPr="004A1A6C">
              <w:rPr>
                <w:rFonts w:ascii="Arial Narrow" w:eastAsiaTheme="majorEastAsia" w:hAnsi="Arial Narrow" w:cstheme="majorBidi"/>
                <w:bCs/>
                <w:sz w:val="20"/>
              </w:rPr>
              <w:t>0.58</w:t>
            </w:r>
          </w:p>
        </w:tc>
        <w:tc>
          <w:tcPr>
            <w:tcW w:w="745" w:type="pct"/>
            <w:tcBorders>
              <w:bottom w:val="single" w:sz="4" w:space="0" w:color="auto"/>
            </w:tcBorders>
            <w:vAlign w:val="center"/>
          </w:tcPr>
          <w:p w14:paraId="49E17B16" w14:textId="134CF9E7" w:rsidR="004A1A6C" w:rsidRPr="00D05C99" w:rsidRDefault="004A1A6C" w:rsidP="004A1A6C">
            <w:pPr>
              <w:jc w:val="center"/>
              <w:rPr>
                <w:rFonts w:ascii="Arial Narrow" w:hAnsi="Arial Narrow"/>
                <w:sz w:val="20"/>
                <w:szCs w:val="18"/>
                <w:vertAlign w:val="superscript"/>
              </w:rPr>
            </w:pPr>
            <w:r w:rsidRPr="000D1748">
              <w:rPr>
                <w:rFonts w:ascii="Arial Narrow" w:hAnsi="Arial Narrow"/>
                <w:sz w:val="20"/>
                <w:szCs w:val="18"/>
              </w:rPr>
              <w:t>$</w:t>
            </w:r>
            <w:r w:rsidR="00576021" w:rsidRPr="001758D2">
              <w:rPr>
                <w:rFonts w:ascii="Arial Narrow" w:hAnsi="Arial Narrow"/>
                <w:sz w:val="20"/>
                <w:szCs w:val="18"/>
                <w:highlight w:val="black"/>
              </w:rPr>
              <w:t>&amp;&amp;&amp;&amp;</w:t>
            </w:r>
            <w:r w:rsidR="00D05C99">
              <w:rPr>
                <w:rFonts w:ascii="Arial Narrow" w:hAnsi="Arial Narrow"/>
                <w:sz w:val="20"/>
                <w:szCs w:val="18"/>
                <w:vertAlign w:val="superscript"/>
              </w:rPr>
              <w:t>2</w:t>
            </w:r>
          </w:p>
        </w:tc>
        <w:tc>
          <w:tcPr>
            <w:tcW w:w="745" w:type="pct"/>
            <w:tcBorders>
              <w:bottom w:val="single" w:sz="4" w:space="0" w:color="auto"/>
            </w:tcBorders>
            <w:vAlign w:val="center"/>
          </w:tcPr>
          <w:p w14:paraId="55F7EC84" w14:textId="46C45DC4" w:rsidR="004A1A6C" w:rsidRPr="007B39E4" w:rsidRDefault="00576021" w:rsidP="004A1A6C">
            <w:pPr>
              <w:jc w:val="center"/>
              <w:rPr>
                <w:rFonts w:ascii="Arial Narrow" w:hAnsi="Arial Narrow"/>
                <w:sz w:val="20"/>
                <w:szCs w:val="18"/>
                <w:highlight w:val="darkGray"/>
              </w:rPr>
            </w:pPr>
            <w:r w:rsidRPr="001758D2">
              <w:rPr>
                <w:rFonts w:ascii="Arial Narrow" w:hAnsi="Arial Narrow"/>
                <w:sz w:val="20"/>
                <w:szCs w:val="18"/>
                <w:highlight w:val="black"/>
              </w:rPr>
              <w:t>&amp;&amp;&amp;&amp;</w:t>
            </w:r>
            <w:r w:rsidR="004A1A6C" w:rsidRPr="009709BC">
              <w:rPr>
                <w:rFonts w:ascii="Arial Narrow" w:hAnsi="Arial Narrow"/>
                <w:sz w:val="20"/>
                <w:szCs w:val="18"/>
              </w:rPr>
              <w:t>%</w:t>
            </w:r>
          </w:p>
        </w:tc>
      </w:tr>
      <w:tr w:rsidR="003568FE" w:rsidRPr="00327B9A" w14:paraId="156A2E86" w14:textId="77777777" w:rsidTr="006858CD">
        <w:tc>
          <w:tcPr>
            <w:tcW w:w="2019" w:type="pct"/>
            <w:tcBorders>
              <w:bottom w:val="single" w:sz="4" w:space="0" w:color="auto"/>
            </w:tcBorders>
          </w:tcPr>
          <w:p w14:paraId="6C095852" w14:textId="6DC64301" w:rsidR="003568FE" w:rsidRPr="000D1748" w:rsidRDefault="00794292" w:rsidP="00794292">
            <w:pPr>
              <w:rPr>
                <w:rFonts w:ascii="Arial Narrow" w:hAnsi="Arial Narrow"/>
                <w:sz w:val="20"/>
                <w:szCs w:val="18"/>
              </w:rPr>
            </w:pPr>
            <w:r>
              <w:rPr>
                <w:rFonts w:ascii="Arial Narrow" w:hAnsi="Arial Narrow"/>
                <w:sz w:val="20"/>
                <w:szCs w:val="18"/>
              </w:rPr>
              <w:t>#1 + #2 + #3 +</w:t>
            </w:r>
            <w:r w:rsidR="00C53FB9">
              <w:rPr>
                <w:rFonts w:ascii="Arial Narrow" w:hAnsi="Arial Narrow"/>
                <w:sz w:val="20"/>
                <w:szCs w:val="18"/>
              </w:rPr>
              <w:t xml:space="preserve"> </w:t>
            </w:r>
            <w:r>
              <w:rPr>
                <w:rFonts w:ascii="Arial Narrow" w:hAnsi="Arial Narrow"/>
                <w:sz w:val="20"/>
                <w:szCs w:val="18"/>
              </w:rPr>
              <w:t>#4</w:t>
            </w:r>
          </w:p>
        </w:tc>
        <w:tc>
          <w:tcPr>
            <w:tcW w:w="745" w:type="pct"/>
            <w:tcBorders>
              <w:bottom w:val="single" w:sz="4" w:space="0" w:color="auto"/>
            </w:tcBorders>
          </w:tcPr>
          <w:p w14:paraId="3D8E2658" w14:textId="2752ACF5" w:rsidR="003568FE" w:rsidRPr="000D1748" w:rsidRDefault="00EE71CE" w:rsidP="000D1748">
            <w:pPr>
              <w:jc w:val="center"/>
              <w:rPr>
                <w:rFonts w:ascii="Arial Narrow" w:hAnsi="Arial Narrow"/>
                <w:sz w:val="20"/>
                <w:szCs w:val="18"/>
              </w:rPr>
            </w:pPr>
            <w:r>
              <w:rPr>
                <w:rFonts w:ascii="Arial Narrow" w:hAnsi="Arial Narrow"/>
                <w:sz w:val="20"/>
                <w:szCs w:val="18"/>
              </w:rPr>
              <w:t>$</w:t>
            </w:r>
            <w:r w:rsidR="00576021" w:rsidRPr="001758D2">
              <w:rPr>
                <w:rFonts w:ascii="Arial Narrow" w:hAnsi="Arial Narrow"/>
                <w:sz w:val="20"/>
                <w:szCs w:val="18"/>
                <w:highlight w:val="black"/>
              </w:rPr>
              <w:t>&amp;&amp;&amp;&amp;</w:t>
            </w:r>
          </w:p>
        </w:tc>
        <w:tc>
          <w:tcPr>
            <w:tcW w:w="745" w:type="pct"/>
            <w:tcBorders>
              <w:bottom w:val="single" w:sz="4" w:space="0" w:color="auto"/>
            </w:tcBorders>
          </w:tcPr>
          <w:p w14:paraId="1161CED2" w14:textId="3F40422C" w:rsidR="003568FE" w:rsidRPr="000D1748" w:rsidRDefault="009046EA" w:rsidP="000D1748">
            <w:pPr>
              <w:jc w:val="center"/>
              <w:rPr>
                <w:rFonts w:ascii="Arial Narrow" w:hAnsi="Arial Narrow"/>
                <w:sz w:val="20"/>
                <w:szCs w:val="18"/>
              </w:rPr>
            </w:pPr>
            <w:r>
              <w:rPr>
                <w:rFonts w:ascii="Arial Narrow" w:hAnsi="Arial Narrow"/>
                <w:sz w:val="20"/>
                <w:szCs w:val="18"/>
              </w:rPr>
              <w:t>0.56</w:t>
            </w:r>
          </w:p>
        </w:tc>
        <w:tc>
          <w:tcPr>
            <w:tcW w:w="745" w:type="pct"/>
            <w:tcBorders>
              <w:bottom w:val="single" w:sz="4" w:space="0" w:color="auto"/>
            </w:tcBorders>
          </w:tcPr>
          <w:p w14:paraId="4D62C05E" w14:textId="1279A2E8" w:rsidR="003568FE" w:rsidRPr="00D05C99" w:rsidRDefault="003568FE" w:rsidP="000D1748">
            <w:pPr>
              <w:jc w:val="center"/>
              <w:rPr>
                <w:rFonts w:ascii="Arial Narrow" w:hAnsi="Arial Narrow"/>
                <w:sz w:val="20"/>
                <w:szCs w:val="18"/>
                <w:vertAlign w:val="superscript"/>
              </w:rPr>
            </w:pPr>
            <w:r w:rsidRPr="000D1748">
              <w:rPr>
                <w:rFonts w:ascii="Arial Narrow" w:hAnsi="Arial Narrow"/>
                <w:sz w:val="20"/>
                <w:szCs w:val="18"/>
              </w:rPr>
              <w:t>$</w:t>
            </w:r>
            <w:r w:rsidR="00576021" w:rsidRPr="001758D2">
              <w:rPr>
                <w:rFonts w:ascii="Arial Narrow" w:hAnsi="Arial Narrow"/>
                <w:sz w:val="20"/>
                <w:szCs w:val="18"/>
                <w:highlight w:val="black"/>
              </w:rPr>
              <w:t>&amp;&amp;&amp;&amp;</w:t>
            </w:r>
            <w:r w:rsidR="00D05C99">
              <w:rPr>
                <w:rFonts w:ascii="Arial Narrow" w:hAnsi="Arial Narrow"/>
                <w:sz w:val="20"/>
                <w:szCs w:val="18"/>
                <w:vertAlign w:val="superscript"/>
              </w:rPr>
              <w:t>3</w:t>
            </w:r>
          </w:p>
        </w:tc>
        <w:tc>
          <w:tcPr>
            <w:tcW w:w="745" w:type="pct"/>
            <w:tcBorders>
              <w:bottom w:val="single" w:sz="4" w:space="0" w:color="auto"/>
            </w:tcBorders>
          </w:tcPr>
          <w:p w14:paraId="70480163" w14:textId="32911822" w:rsidR="003568FE" w:rsidRPr="007B39E4" w:rsidRDefault="00576021" w:rsidP="000D1748">
            <w:pPr>
              <w:jc w:val="center"/>
              <w:rPr>
                <w:rFonts w:ascii="Arial Narrow" w:hAnsi="Arial Narrow"/>
                <w:sz w:val="20"/>
                <w:szCs w:val="18"/>
                <w:highlight w:val="darkGray"/>
              </w:rPr>
            </w:pPr>
            <w:r w:rsidRPr="001758D2">
              <w:rPr>
                <w:rFonts w:ascii="Arial Narrow" w:hAnsi="Arial Narrow"/>
                <w:sz w:val="20"/>
                <w:szCs w:val="18"/>
                <w:highlight w:val="black"/>
              </w:rPr>
              <w:t>&amp;&amp;&amp;&amp;</w:t>
            </w:r>
            <w:r w:rsidR="000D1748" w:rsidRPr="009709BC">
              <w:rPr>
                <w:rFonts w:ascii="Arial Narrow" w:hAnsi="Arial Narrow"/>
                <w:sz w:val="20"/>
                <w:szCs w:val="18"/>
              </w:rPr>
              <w:t>%</w:t>
            </w:r>
          </w:p>
        </w:tc>
      </w:tr>
      <w:tr w:rsidR="003568FE" w:rsidRPr="003B4CC1" w14:paraId="5E578AFB" w14:textId="77777777" w:rsidTr="0094708D">
        <w:tc>
          <w:tcPr>
            <w:tcW w:w="2019" w:type="pct"/>
            <w:tcBorders>
              <w:top w:val="single" w:sz="4" w:space="0" w:color="auto"/>
            </w:tcBorders>
          </w:tcPr>
          <w:p w14:paraId="212D9263" w14:textId="77777777" w:rsidR="00C53FB9" w:rsidRPr="00C53FB9" w:rsidRDefault="009046EA" w:rsidP="006858CD">
            <w:pPr>
              <w:rPr>
                <w:rFonts w:ascii="Arial Narrow" w:hAnsi="Arial Narrow"/>
                <w:b/>
                <w:bCs/>
                <w:sz w:val="20"/>
                <w:szCs w:val="18"/>
              </w:rPr>
            </w:pPr>
            <w:r w:rsidRPr="00C53FB9">
              <w:rPr>
                <w:rFonts w:ascii="Arial Narrow" w:hAnsi="Arial Narrow"/>
                <w:b/>
                <w:bCs/>
                <w:sz w:val="20"/>
                <w:szCs w:val="18"/>
              </w:rPr>
              <w:t>#1 + #2 + #3 +</w:t>
            </w:r>
            <w:r w:rsidR="00C53FB9" w:rsidRPr="00C53FB9">
              <w:rPr>
                <w:rFonts w:ascii="Arial Narrow" w:hAnsi="Arial Narrow"/>
                <w:b/>
                <w:bCs/>
                <w:sz w:val="20"/>
                <w:szCs w:val="18"/>
              </w:rPr>
              <w:t xml:space="preserve"> </w:t>
            </w:r>
            <w:r w:rsidRPr="00C53FB9">
              <w:rPr>
                <w:rFonts w:ascii="Arial Narrow" w:hAnsi="Arial Narrow"/>
                <w:b/>
                <w:bCs/>
                <w:sz w:val="20"/>
                <w:szCs w:val="18"/>
              </w:rPr>
              <w:t xml:space="preserve">#4 </w:t>
            </w:r>
          </w:p>
          <w:p w14:paraId="25879263" w14:textId="53F27970" w:rsidR="003568FE" w:rsidRPr="00C53FB9" w:rsidRDefault="009046EA" w:rsidP="006858CD">
            <w:pPr>
              <w:rPr>
                <w:rFonts w:ascii="Arial Narrow" w:hAnsi="Arial Narrow"/>
                <w:b/>
                <w:bCs/>
                <w:sz w:val="20"/>
                <w:szCs w:val="18"/>
              </w:rPr>
            </w:pPr>
            <w:r w:rsidRPr="00C53FB9">
              <w:rPr>
                <w:rFonts w:ascii="Arial Narrow" w:hAnsi="Arial Narrow"/>
                <w:b/>
                <w:bCs/>
                <w:sz w:val="20"/>
                <w:szCs w:val="18"/>
              </w:rPr>
              <w:t>+ price reduction</w:t>
            </w:r>
            <w:r w:rsidR="00181F23" w:rsidRPr="00C53FB9">
              <w:rPr>
                <w:rFonts w:ascii="Arial Narrow" w:hAnsi="Arial Narrow"/>
                <w:b/>
                <w:bCs/>
                <w:sz w:val="20"/>
                <w:szCs w:val="18"/>
              </w:rPr>
              <w:t xml:space="preserve"> </w:t>
            </w:r>
            <w:r w:rsidR="00181F23" w:rsidRPr="006B3825">
              <w:rPr>
                <w:rFonts w:ascii="Arial Narrow" w:hAnsi="Arial Narrow"/>
                <w:b/>
                <w:bCs/>
                <w:sz w:val="20"/>
                <w:szCs w:val="18"/>
              </w:rPr>
              <w:t>(</w:t>
            </w:r>
            <w:r w:rsidR="00CB2C4E" w:rsidRPr="006B3825">
              <w:rPr>
                <w:rFonts w:ascii="Arial Narrow" w:hAnsi="Arial Narrow"/>
                <w:b/>
                <w:bCs/>
                <w:sz w:val="20"/>
                <w:szCs w:val="18"/>
              </w:rPr>
              <w:t>$</w:t>
            </w:r>
            <w:r w:rsidR="00576021" w:rsidRPr="001758D2">
              <w:rPr>
                <w:rFonts w:ascii="Arial Narrow" w:hAnsi="Arial Narrow"/>
                <w:b/>
                <w:bCs/>
                <w:sz w:val="20"/>
                <w:szCs w:val="18"/>
                <w:highlight w:val="black"/>
              </w:rPr>
              <w:t>&amp;&amp;&amp;&amp;</w:t>
            </w:r>
            <w:r w:rsidR="00CB2C4E" w:rsidRPr="00C53FB9">
              <w:rPr>
                <w:rFonts w:ascii="Arial Narrow" w:hAnsi="Arial Narrow"/>
                <w:b/>
                <w:bCs/>
                <w:sz w:val="20"/>
                <w:szCs w:val="18"/>
              </w:rPr>
              <w:t xml:space="preserve"> net AEMP)</w:t>
            </w:r>
          </w:p>
        </w:tc>
        <w:tc>
          <w:tcPr>
            <w:tcW w:w="745" w:type="pct"/>
            <w:tcBorders>
              <w:top w:val="single" w:sz="4" w:space="0" w:color="auto"/>
            </w:tcBorders>
            <w:vAlign w:val="center"/>
          </w:tcPr>
          <w:p w14:paraId="5D07B349" w14:textId="120B00A9" w:rsidR="003568FE" w:rsidRPr="00C53FB9" w:rsidRDefault="0094708D" w:rsidP="0094708D">
            <w:pPr>
              <w:jc w:val="center"/>
              <w:rPr>
                <w:rFonts w:ascii="Arial Narrow" w:hAnsi="Arial Narrow"/>
                <w:b/>
                <w:bCs/>
                <w:sz w:val="20"/>
                <w:szCs w:val="18"/>
              </w:rPr>
            </w:pPr>
            <w:r>
              <w:rPr>
                <w:rFonts w:ascii="Arial Narrow" w:hAnsi="Arial Narrow"/>
                <w:b/>
                <w:bCs/>
                <w:sz w:val="20"/>
                <w:szCs w:val="18"/>
              </w:rPr>
              <w:t>$</w:t>
            </w:r>
            <w:r w:rsidR="00576021" w:rsidRPr="001758D2">
              <w:rPr>
                <w:rFonts w:ascii="Arial Narrow" w:hAnsi="Arial Narrow"/>
                <w:b/>
                <w:bCs/>
                <w:sz w:val="20"/>
                <w:szCs w:val="18"/>
                <w:highlight w:val="black"/>
              </w:rPr>
              <w:t>&amp;&amp;&amp;&amp;</w:t>
            </w:r>
          </w:p>
        </w:tc>
        <w:tc>
          <w:tcPr>
            <w:tcW w:w="745" w:type="pct"/>
            <w:tcBorders>
              <w:top w:val="single" w:sz="4" w:space="0" w:color="auto"/>
            </w:tcBorders>
            <w:vAlign w:val="center"/>
          </w:tcPr>
          <w:p w14:paraId="0B75D0C3" w14:textId="6EB0DD2E" w:rsidR="003568FE" w:rsidRPr="00C53FB9" w:rsidRDefault="0094708D" w:rsidP="0094708D">
            <w:pPr>
              <w:jc w:val="center"/>
              <w:rPr>
                <w:rFonts w:ascii="Arial Narrow" w:hAnsi="Arial Narrow"/>
                <w:b/>
                <w:bCs/>
                <w:sz w:val="20"/>
                <w:szCs w:val="18"/>
              </w:rPr>
            </w:pPr>
            <w:r>
              <w:rPr>
                <w:rFonts w:ascii="Arial Narrow" w:hAnsi="Arial Narrow"/>
                <w:b/>
                <w:bCs/>
                <w:sz w:val="20"/>
                <w:szCs w:val="18"/>
              </w:rPr>
              <w:t>0.56</w:t>
            </w:r>
          </w:p>
        </w:tc>
        <w:tc>
          <w:tcPr>
            <w:tcW w:w="745" w:type="pct"/>
            <w:tcBorders>
              <w:top w:val="single" w:sz="4" w:space="0" w:color="auto"/>
            </w:tcBorders>
            <w:vAlign w:val="center"/>
          </w:tcPr>
          <w:p w14:paraId="4FEBD055" w14:textId="69AA4678" w:rsidR="003568FE" w:rsidRPr="00D05C99" w:rsidRDefault="003568FE" w:rsidP="0094708D">
            <w:pPr>
              <w:jc w:val="center"/>
              <w:rPr>
                <w:rFonts w:ascii="Arial Narrow" w:hAnsi="Arial Narrow"/>
                <w:b/>
                <w:bCs/>
                <w:sz w:val="20"/>
                <w:szCs w:val="18"/>
                <w:vertAlign w:val="superscript"/>
              </w:rPr>
            </w:pPr>
            <w:r w:rsidRPr="00C53FB9">
              <w:rPr>
                <w:rFonts w:ascii="Arial Narrow" w:hAnsi="Arial Narrow"/>
                <w:b/>
                <w:bCs/>
                <w:sz w:val="20"/>
                <w:szCs w:val="18"/>
              </w:rPr>
              <w:t>$</w:t>
            </w:r>
            <w:r w:rsidR="00576021" w:rsidRPr="001758D2">
              <w:rPr>
                <w:rFonts w:ascii="Arial Narrow" w:hAnsi="Arial Narrow"/>
                <w:b/>
                <w:bCs/>
                <w:sz w:val="20"/>
                <w:szCs w:val="18"/>
                <w:highlight w:val="black"/>
              </w:rPr>
              <w:t>&amp;&amp;&amp;&amp;</w:t>
            </w:r>
            <w:r w:rsidR="00D05C99">
              <w:rPr>
                <w:rFonts w:ascii="Arial Narrow" w:hAnsi="Arial Narrow"/>
                <w:b/>
                <w:bCs/>
                <w:sz w:val="20"/>
                <w:szCs w:val="18"/>
                <w:vertAlign w:val="superscript"/>
              </w:rPr>
              <w:t>2</w:t>
            </w:r>
          </w:p>
        </w:tc>
        <w:tc>
          <w:tcPr>
            <w:tcW w:w="745" w:type="pct"/>
            <w:tcBorders>
              <w:top w:val="single" w:sz="4" w:space="0" w:color="auto"/>
            </w:tcBorders>
            <w:vAlign w:val="center"/>
          </w:tcPr>
          <w:p w14:paraId="41D68921" w14:textId="74894EBA" w:rsidR="003568FE" w:rsidRPr="007B39E4" w:rsidRDefault="00576021" w:rsidP="000B0238">
            <w:pPr>
              <w:jc w:val="center"/>
              <w:rPr>
                <w:rFonts w:ascii="Arial Narrow" w:hAnsi="Arial Narrow"/>
                <w:b/>
                <w:bCs/>
                <w:sz w:val="20"/>
                <w:szCs w:val="18"/>
                <w:highlight w:val="darkGray"/>
              </w:rPr>
            </w:pPr>
            <w:r w:rsidRPr="001758D2">
              <w:rPr>
                <w:rFonts w:ascii="Arial Narrow" w:hAnsi="Arial Narrow"/>
                <w:b/>
                <w:bCs/>
                <w:sz w:val="20"/>
                <w:szCs w:val="18"/>
                <w:highlight w:val="black"/>
              </w:rPr>
              <w:t>&amp;&amp;&amp;&amp;</w:t>
            </w:r>
            <w:r w:rsidR="000B0238" w:rsidRPr="009709BC">
              <w:rPr>
                <w:rFonts w:ascii="Arial Narrow" w:hAnsi="Arial Narrow"/>
                <w:b/>
                <w:bCs/>
                <w:sz w:val="20"/>
                <w:szCs w:val="18"/>
              </w:rPr>
              <w:t>%</w:t>
            </w:r>
          </w:p>
        </w:tc>
      </w:tr>
    </w:tbl>
    <w:p w14:paraId="4EE39EC9" w14:textId="77777777" w:rsidR="00D05C99" w:rsidRPr="004B4608" w:rsidRDefault="00D05C99" w:rsidP="00D05C99">
      <w:pPr>
        <w:jc w:val="left"/>
        <w:rPr>
          <w:rFonts w:ascii="Arial Narrow" w:hAnsi="Arial Narrow"/>
          <w:i/>
          <w:sz w:val="18"/>
          <w:szCs w:val="18"/>
        </w:rPr>
      </w:pPr>
      <w:r w:rsidRPr="004B4608">
        <w:rPr>
          <w:rFonts w:ascii="Arial Narrow" w:hAnsi="Arial Narrow"/>
          <w:i/>
          <w:sz w:val="18"/>
          <w:szCs w:val="18"/>
        </w:rPr>
        <w:t xml:space="preserve">The redacted values correspond to the following ranges: </w:t>
      </w:r>
    </w:p>
    <w:p w14:paraId="0D4F65AE" w14:textId="77777777" w:rsidR="00D05C99" w:rsidRPr="004B4608" w:rsidRDefault="00D05C99" w:rsidP="00D05C99">
      <w:pPr>
        <w:jc w:val="left"/>
        <w:rPr>
          <w:rFonts w:ascii="Arial Narrow" w:hAnsi="Arial Narrow"/>
          <w:i/>
          <w:sz w:val="18"/>
          <w:szCs w:val="18"/>
        </w:rPr>
      </w:pPr>
      <w:r w:rsidRPr="004B4608">
        <w:rPr>
          <w:rFonts w:ascii="Arial Narrow" w:hAnsi="Arial Narrow"/>
          <w:i/>
          <w:sz w:val="18"/>
          <w:szCs w:val="18"/>
          <w:vertAlign w:val="superscript"/>
        </w:rPr>
        <w:t>1</w:t>
      </w:r>
      <w:r w:rsidRPr="004B4608">
        <w:rPr>
          <w:rFonts w:ascii="Arial Narrow" w:hAnsi="Arial Narrow"/>
          <w:i/>
          <w:sz w:val="18"/>
          <w:szCs w:val="18"/>
        </w:rPr>
        <w:t xml:space="preserve"> </w:t>
      </w:r>
      <w:r w:rsidRPr="00130A7B">
        <w:rPr>
          <w:rFonts w:ascii="Arial Narrow" w:hAnsi="Arial Narrow"/>
          <w:i/>
          <w:sz w:val="18"/>
          <w:szCs w:val="18"/>
        </w:rPr>
        <w:t>$25,000 to &lt; $35,000</w:t>
      </w:r>
    </w:p>
    <w:p w14:paraId="39FC83D3" w14:textId="0DC1E462" w:rsidR="00D05C99" w:rsidRPr="004B4608" w:rsidRDefault="00D05C99" w:rsidP="00D05C99">
      <w:pPr>
        <w:jc w:val="left"/>
        <w:rPr>
          <w:rFonts w:ascii="Arial Narrow" w:hAnsi="Arial Narrow"/>
          <w:i/>
          <w:sz w:val="18"/>
          <w:szCs w:val="18"/>
        </w:rPr>
      </w:pPr>
      <w:r w:rsidRPr="004B4608">
        <w:rPr>
          <w:rFonts w:ascii="Arial Narrow" w:hAnsi="Arial Narrow"/>
          <w:i/>
          <w:sz w:val="18"/>
          <w:szCs w:val="18"/>
          <w:vertAlign w:val="superscript"/>
        </w:rPr>
        <w:t>2</w:t>
      </w:r>
      <w:r w:rsidRPr="004B4608">
        <w:rPr>
          <w:rFonts w:ascii="Arial Narrow" w:hAnsi="Arial Narrow"/>
          <w:i/>
          <w:sz w:val="18"/>
          <w:szCs w:val="18"/>
        </w:rPr>
        <w:t xml:space="preserve"> </w:t>
      </w:r>
      <w:r w:rsidRPr="00D05C99">
        <w:rPr>
          <w:rFonts w:ascii="Arial Narrow" w:hAnsi="Arial Narrow"/>
          <w:i/>
          <w:sz w:val="18"/>
          <w:szCs w:val="18"/>
        </w:rPr>
        <w:t>$35,000 to &lt; $45,000</w:t>
      </w:r>
    </w:p>
    <w:p w14:paraId="275A17A9" w14:textId="17AFB105" w:rsidR="00D05C99" w:rsidRPr="004B4608" w:rsidRDefault="00D05C99" w:rsidP="00D05C99">
      <w:pPr>
        <w:jc w:val="left"/>
        <w:rPr>
          <w:rFonts w:ascii="Arial Narrow" w:hAnsi="Arial Narrow"/>
          <w:i/>
          <w:sz w:val="18"/>
          <w:szCs w:val="18"/>
        </w:rPr>
      </w:pPr>
      <w:r w:rsidRPr="004B4608">
        <w:rPr>
          <w:rFonts w:ascii="Arial Narrow" w:hAnsi="Arial Narrow"/>
          <w:i/>
          <w:sz w:val="18"/>
          <w:szCs w:val="18"/>
          <w:vertAlign w:val="superscript"/>
        </w:rPr>
        <w:t>3</w:t>
      </w:r>
      <w:r w:rsidRPr="004B4608">
        <w:rPr>
          <w:rFonts w:ascii="Arial Narrow" w:hAnsi="Arial Narrow"/>
          <w:i/>
          <w:sz w:val="18"/>
          <w:szCs w:val="18"/>
        </w:rPr>
        <w:t xml:space="preserve"> </w:t>
      </w:r>
      <w:r w:rsidRPr="00D05C99">
        <w:rPr>
          <w:rFonts w:ascii="Arial Narrow" w:hAnsi="Arial Narrow"/>
          <w:i/>
          <w:sz w:val="18"/>
          <w:szCs w:val="18"/>
        </w:rPr>
        <w:t>45,000 to &lt; $55,000</w:t>
      </w:r>
    </w:p>
    <w:p w14:paraId="79FBDB71" w14:textId="7EAF4D47" w:rsidR="00032D12" w:rsidRPr="00E54C74" w:rsidRDefault="00032D12" w:rsidP="00032D12">
      <w:pPr>
        <w:pStyle w:val="4-SubsectionHeading"/>
        <w:rPr>
          <w:b w:val="0"/>
          <w:i w:val="0"/>
        </w:rPr>
      </w:pPr>
      <w:r w:rsidRPr="00E54C74">
        <w:t>Drug cost/patient/course</w:t>
      </w:r>
      <w:bookmarkEnd w:id="96"/>
      <w:bookmarkEnd w:id="113"/>
      <w:bookmarkEnd w:id="114"/>
    </w:p>
    <w:p w14:paraId="4E1E8958" w14:textId="0BE1217E" w:rsidR="00032D12" w:rsidRPr="00DE49A7" w:rsidRDefault="00032D12" w:rsidP="00234453">
      <w:pPr>
        <w:numPr>
          <w:ilvl w:val="1"/>
          <w:numId w:val="7"/>
        </w:numPr>
        <w:spacing w:before="60" w:after="60"/>
        <w:rPr>
          <w:rFonts w:asciiTheme="minorHAnsi" w:eastAsiaTheme="minorHAnsi" w:hAnsiTheme="minorHAnsi" w:cstheme="minorBidi"/>
          <w:szCs w:val="22"/>
        </w:rPr>
      </w:pPr>
      <w:bookmarkStart w:id="118" w:name="_Ref104805102"/>
      <w:r w:rsidRPr="00DE49A7">
        <w:rPr>
          <w:rFonts w:asciiTheme="minorHAnsi" w:eastAsiaTheme="minorHAnsi" w:hAnsiTheme="minorHAnsi" w:cstheme="minorBidi"/>
          <w:szCs w:val="22"/>
        </w:rPr>
        <w:t xml:space="preserve">The total drug cost per patient per course for pembrolizumab, as estimated in the economic analysis and financial estimates, is presented in </w:t>
      </w:r>
      <w:r w:rsidRPr="00DE49A7">
        <w:rPr>
          <w:rFonts w:eastAsiaTheme="minorHAnsi"/>
        </w:rPr>
        <w:fldChar w:fldCharType="begin"/>
      </w:r>
      <w:r w:rsidRPr="00DE49A7">
        <w:rPr>
          <w:rFonts w:eastAsiaTheme="minorHAnsi"/>
        </w:rPr>
        <w:instrText xml:space="preserve"> REF _Ref206427748 \h  \* MERGEFORMAT </w:instrText>
      </w:r>
      <w:r w:rsidRPr="00DE49A7">
        <w:rPr>
          <w:rFonts w:eastAsiaTheme="minorHAnsi"/>
        </w:rPr>
      </w:r>
      <w:r w:rsidRPr="00DE49A7">
        <w:rPr>
          <w:rFonts w:eastAsiaTheme="minorHAnsi"/>
        </w:rPr>
        <w:fldChar w:fldCharType="separate"/>
      </w:r>
      <w:r w:rsidR="0084087D" w:rsidRPr="0084087D">
        <w:t>Table 15</w:t>
      </w:r>
      <w:r w:rsidRPr="00DE49A7">
        <w:rPr>
          <w:rFonts w:eastAsiaTheme="minorHAnsi"/>
        </w:rPr>
        <w:fldChar w:fldCharType="end"/>
      </w:r>
      <w:r w:rsidRPr="00DE49A7">
        <w:rPr>
          <w:rFonts w:asciiTheme="minorHAnsi" w:eastAsiaTheme="minorHAnsi" w:hAnsiTheme="minorHAnsi" w:cstheme="minorBidi"/>
          <w:szCs w:val="22"/>
        </w:rPr>
        <w:t xml:space="preserve">. The economic analysis and financial estimates assumed that all patients would receive the Q3W dose </w:t>
      </w:r>
      <w:r w:rsidRPr="00DE49A7">
        <w:rPr>
          <w:rFonts w:asciiTheme="minorHAnsi" w:eastAsiaTheme="minorHAnsi" w:hAnsiTheme="minorHAnsi" w:cstheme="minorBidi"/>
          <w:szCs w:val="22"/>
        </w:rPr>
        <w:lastRenderedPageBreak/>
        <w:t xml:space="preserve">in the adjuvant therapy phase. </w:t>
      </w:r>
      <w:r w:rsidR="00947E0B">
        <w:rPr>
          <w:rFonts w:asciiTheme="minorHAnsi" w:eastAsiaTheme="minorHAnsi" w:hAnsiTheme="minorHAnsi" w:cstheme="minorBidi"/>
          <w:szCs w:val="22"/>
        </w:rPr>
        <w:t xml:space="preserve">The PBAC noted the cost per patient per course </w:t>
      </w:r>
      <w:r w:rsidR="00A211D1">
        <w:rPr>
          <w:rFonts w:asciiTheme="minorHAnsi" w:eastAsiaTheme="minorHAnsi" w:hAnsiTheme="minorHAnsi" w:cstheme="minorBidi"/>
          <w:szCs w:val="22"/>
        </w:rPr>
        <w:t xml:space="preserve">using the effective price proposed in the pre-PBAC response was </w:t>
      </w:r>
      <w:r w:rsidR="00062CDC" w:rsidRPr="00C55B9D">
        <w:rPr>
          <w:rFonts w:asciiTheme="minorHAnsi" w:eastAsiaTheme="minorHAnsi" w:hAnsiTheme="minorHAnsi" w:cstheme="minorBidi"/>
          <w:szCs w:val="22"/>
        </w:rPr>
        <w:t>$</w:t>
      </w:r>
      <w:r w:rsidR="00576021" w:rsidRPr="001758D2">
        <w:rPr>
          <w:rFonts w:asciiTheme="minorHAnsi" w:eastAsiaTheme="minorHAnsi" w:hAnsiTheme="minorHAnsi" w:cstheme="minorBidi"/>
          <w:szCs w:val="22"/>
          <w:highlight w:val="black"/>
        </w:rPr>
        <w:t>&amp;&amp;&amp;&amp;</w:t>
      </w:r>
      <w:r w:rsidR="00A211D1" w:rsidRPr="00C55B9D">
        <w:rPr>
          <w:rFonts w:asciiTheme="minorHAnsi" w:eastAsiaTheme="minorHAnsi" w:hAnsiTheme="minorHAnsi" w:cstheme="minorBidi"/>
          <w:szCs w:val="22"/>
        </w:rPr>
        <w:t>.</w:t>
      </w:r>
      <w:r w:rsidR="00A211D1">
        <w:rPr>
          <w:rFonts w:asciiTheme="minorHAnsi" w:eastAsiaTheme="minorHAnsi" w:hAnsiTheme="minorHAnsi" w:cstheme="minorBidi"/>
          <w:szCs w:val="22"/>
        </w:rPr>
        <w:t xml:space="preserve">  </w:t>
      </w:r>
    </w:p>
    <w:p w14:paraId="0487C239" w14:textId="336DBEFB" w:rsidR="00032D12" w:rsidRPr="00E54C74" w:rsidRDefault="00032D12" w:rsidP="00032D12">
      <w:pPr>
        <w:keepNext/>
        <w:keepLines/>
        <w:rPr>
          <w:rFonts w:ascii="Arial Narrow" w:hAnsi="Arial Narrow"/>
          <w:b/>
          <w:bCs/>
          <w:sz w:val="20"/>
        </w:rPr>
      </w:pPr>
      <w:bookmarkStart w:id="119" w:name="_Ref206427748"/>
      <w:r w:rsidRPr="00E54C74">
        <w:rPr>
          <w:rFonts w:ascii="Arial Narrow" w:hAnsi="Arial Narrow"/>
          <w:b/>
          <w:bCs/>
          <w:sz w:val="20"/>
          <w:szCs w:val="18"/>
        </w:rPr>
        <w:t xml:space="preserve">Table </w:t>
      </w:r>
      <w:r w:rsidRPr="00E54C74">
        <w:rPr>
          <w:rFonts w:ascii="Arial Narrow" w:hAnsi="Arial Narrow"/>
          <w:b/>
          <w:bCs/>
          <w:sz w:val="20"/>
          <w:szCs w:val="18"/>
        </w:rPr>
        <w:fldChar w:fldCharType="begin"/>
      </w:r>
      <w:r w:rsidRPr="00E54C74">
        <w:rPr>
          <w:rFonts w:ascii="Arial Narrow" w:hAnsi="Arial Narrow"/>
          <w:b/>
          <w:bCs/>
          <w:sz w:val="20"/>
          <w:szCs w:val="18"/>
        </w:rPr>
        <w:instrText xml:space="preserve"> SEQ Table \* ARABIC </w:instrText>
      </w:r>
      <w:r w:rsidRPr="00E54C74">
        <w:rPr>
          <w:rFonts w:ascii="Arial Narrow" w:hAnsi="Arial Narrow"/>
          <w:b/>
          <w:bCs/>
          <w:sz w:val="20"/>
          <w:szCs w:val="18"/>
        </w:rPr>
        <w:fldChar w:fldCharType="separate"/>
      </w:r>
      <w:r w:rsidR="0084087D">
        <w:rPr>
          <w:rFonts w:ascii="Arial Narrow" w:hAnsi="Arial Narrow"/>
          <w:b/>
          <w:bCs/>
          <w:noProof/>
          <w:sz w:val="20"/>
          <w:szCs w:val="18"/>
        </w:rPr>
        <w:t>15</w:t>
      </w:r>
      <w:r w:rsidRPr="00E54C74">
        <w:rPr>
          <w:rFonts w:ascii="Arial Narrow" w:hAnsi="Arial Narrow"/>
          <w:b/>
          <w:bCs/>
          <w:noProof/>
          <w:sz w:val="20"/>
          <w:szCs w:val="18"/>
        </w:rPr>
        <w:fldChar w:fldCharType="end"/>
      </w:r>
      <w:bookmarkEnd w:id="118"/>
      <w:bookmarkEnd w:id="119"/>
      <w:r w:rsidRPr="00E54C74">
        <w:rPr>
          <w:rFonts w:ascii="Arial Narrow" w:hAnsi="Arial Narrow"/>
          <w:b/>
          <w:bCs/>
          <w:sz w:val="20"/>
          <w:szCs w:val="18"/>
        </w:rPr>
        <w:t>:</w:t>
      </w:r>
      <w:r w:rsidRPr="00E54C74">
        <w:rPr>
          <w:rFonts w:ascii="Arial Narrow" w:hAnsi="Arial Narrow"/>
          <w:b/>
          <w:bCs/>
          <w:sz w:val="20"/>
        </w:rPr>
        <w:t xml:space="preserve"> Drug cost per patient for </w:t>
      </w:r>
      <w:r>
        <w:rPr>
          <w:rFonts w:ascii="Arial Narrow" w:hAnsi="Arial Narrow"/>
          <w:b/>
          <w:bCs/>
          <w:sz w:val="20"/>
        </w:rPr>
        <w:t xml:space="preserve">pembrolizumab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5: Drug cost per patient for pembrolizumab "/>
      </w:tblPr>
      <w:tblGrid>
        <w:gridCol w:w="1555"/>
        <w:gridCol w:w="2519"/>
        <w:gridCol w:w="2519"/>
        <w:gridCol w:w="2424"/>
      </w:tblGrid>
      <w:tr w:rsidR="006A4DEC" w:rsidRPr="00E54C74" w14:paraId="04EE5B95" w14:textId="77777777" w:rsidTr="006A4DEC">
        <w:trPr>
          <w:cantSplit/>
          <w:tblHeader/>
          <w:jc w:val="center"/>
        </w:trPr>
        <w:tc>
          <w:tcPr>
            <w:tcW w:w="862" w:type="pct"/>
            <w:vMerge w:val="restart"/>
            <w:vAlign w:val="center"/>
          </w:tcPr>
          <w:p w14:paraId="6732C299" w14:textId="77777777" w:rsidR="006A4DEC" w:rsidRPr="00E54C74" w:rsidRDefault="006A4DEC">
            <w:pPr>
              <w:keepNext/>
              <w:keepLines/>
              <w:jc w:val="center"/>
              <w:rPr>
                <w:rFonts w:ascii="Arial Narrow" w:eastAsiaTheme="majorEastAsia" w:hAnsi="Arial Narrow" w:cs="Times New Roman"/>
                <w:b/>
                <w:sz w:val="20"/>
              </w:rPr>
            </w:pPr>
          </w:p>
        </w:tc>
        <w:tc>
          <w:tcPr>
            <w:tcW w:w="4138" w:type="pct"/>
            <w:gridSpan w:val="3"/>
            <w:vAlign w:val="center"/>
          </w:tcPr>
          <w:p w14:paraId="216042C6" w14:textId="77777777" w:rsidR="006A4DEC" w:rsidRPr="00E54C74" w:rsidRDefault="006A4DEC">
            <w:pPr>
              <w:keepNext/>
              <w:keepLines/>
              <w:jc w:val="center"/>
              <w:rPr>
                <w:rFonts w:ascii="Arial Narrow" w:eastAsiaTheme="majorEastAsia" w:hAnsi="Arial Narrow" w:cs="Times New Roman"/>
                <w:b/>
                <w:sz w:val="20"/>
              </w:rPr>
            </w:pPr>
            <w:r>
              <w:rPr>
                <w:rFonts w:ascii="Arial Narrow" w:eastAsiaTheme="majorEastAsia" w:hAnsi="Arial Narrow" w:cs="Times New Roman"/>
                <w:b/>
                <w:sz w:val="20"/>
              </w:rPr>
              <w:t>Pembrolizumab</w:t>
            </w:r>
          </w:p>
        </w:tc>
      </w:tr>
      <w:tr w:rsidR="006A4DEC" w:rsidRPr="00E54C74" w14:paraId="57F2AE92" w14:textId="77777777" w:rsidTr="006A4DEC">
        <w:trPr>
          <w:cantSplit/>
          <w:tblHeader/>
          <w:jc w:val="center"/>
        </w:trPr>
        <w:tc>
          <w:tcPr>
            <w:tcW w:w="862" w:type="pct"/>
            <w:vMerge/>
            <w:vAlign w:val="center"/>
          </w:tcPr>
          <w:p w14:paraId="473C18B4" w14:textId="77777777" w:rsidR="006A4DEC" w:rsidRPr="00E54C74" w:rsidRDefault="006A4DEC">
            <w:pPr>
              <w:keepNext/>
              <w:keepLines/>
              <w:jc w:val="center"/>
              <w:rPr>
                <w:rFonts w:ascii="Arial Narrow" w:eastAsiaTheme="majorEastAsia" w:hAnsi="Arial Narrow" w:cs="Times New Roman"/>
                <w:b/>
                <w:sz w:val="20"/>
              </w:rPr>
            </w:pPr>
          </w:p>
        </w:tc>
        <w:tc>
          <w:tcPr>
            <w:tcW w:w="1397" w:type="pct"/>
            <w:vAlign w:val="center"/>
          </w:tcPr>
          <w:p w14:paraId="678C865B" w14:textId="77777777" w:rsidR="006A4DEC" w:rsidRPr="00E54C74" w:rsidRDefault="006A4DEC">
            <w:pPr>
              <w:keepNext/>
              <w:keepLines/>
              <w:jc w:val="center"/>
              <w:rPr>
                <w:rFonts w:ascii="Arial Narrow" w:eastAsiaTheme="majorEastAsia" w:hAnsi="Arial Narrow" w:cs="Times New Roman"/>
                <w:b/>
                <w:sz w:val="20"/>
              </w:rPr>
            </w:pPr>
            <w:r w:rsidRPr="00E54C74">
              <w:rPr>
                <w:rFonts w:ascii="Arial Narrow" w:eastAsiaTheme="majorEastAsia" w:hAnsi="Arial Narrow" w:cs="Times New Roman"/>
                <w:b/>
                <w:sz w:val="20"/>
              </w:rPr>
              <w:t>Trial dose and duration</w:t>
            </w:r>
          </w:p>
        </w:tc>
        <w:tc>
          <w:tcPr>
            <w:tcW w:w="1397" w:type="pct"/>
            <w:vAlign w:val="center"/>
          </w:tcPr>
          <w:p w14:paraId="150B5084" w14:textId="77777777" w:rsidR="006A4DEC" w:rsidRPr="00E54C74" w:rsidRDefault="006A4DEC">
            <w:pPr>
              <w:keepNext/>
              <w:keepLines/>
              <w:jc w:val="center"/>
              <w:rPr>
                <w:rFonts w:ascii="Arial Narrow" w:eastAsiaTheme="majorEastAsia" w:hAnsi="Arial Narrow" w:cs="Times New Roman"/>
                <w:b/>
                <w:sz w:val="20"/>
              </w:rPr>
            </w:pPr>
            <w:r w:rsidRPr="00E54C74">
              <w:rPr>
                <w:rFonts w:ascii="Arial Narrow" w:eastAsiaTheme="majorEastAsia" w:hAnsi="Arial Narrow" w:cs="Times New Roman"/>
                <w:b/>
                <w:sz w:val="20"/>
              </w:rPr>
              <w:t>Model</w:t>
            </w:r>
          </w:p>
        </w:tc>
        <w:tc>
          <w:tcPr>
            <w:tcW w:w="1344" w:type="pct"/>
            <w:vAlign w:val="center"/>
          </w:tcPr>
          <w:p w14:paraId="6E1C8A4D" w14:textId="77777777" w:rsidR="006A4DEC" w:rsidRPr="00E54C74" w:rsidRDefault="006A4DEC">
            <w:pPr>
              <w:keepNext/>
              <w:keepLines/>
              <w:jc w:val="center"/>
              <w:rPr>
                <w:rFonts w:ascii="Arial Narrow" w:eastAsiaTheme="majorEastAsia" w:hAnsi="Arial Narrow" w:cs="Times New Roman"/>
                <w:b/>
                <w:sz w:val="20"/>
              </w:rPr>
            </w:pPr>
            <w:r w:rsidRPr="00E54C74">
              <w:rPr>
                <w:rFonts w:ascii="Arial Narrow" w:eastAsiaTheme="majorEastAsia" w:hAnsi="Arial Narrow" w:cs="Times New Roman"/>
                <w:b/>
                <w:sz w:val="20"/>
              </w:rPr>
              <w:t>Financial estimates</w:t>
            </w:r>
          </w:p>
        </w:tc>
      </w:tr>
      <w:tr w:rsidR="00BA2C5B" w:rsidRPr="00E54C74" w14:paraId="06759B0B" w14:textId="77777777" w:rsidTr="006A4DEC">
        <w:trPr>
          <w:cantSplit/>
          <w:jc w:val="center"/>
        </w:trPr>
        <w:tc>
          <w:tcPr>
            <w:tcW w:w="862" w:type="pct"/>
            <w:vAlign w:val="center"/>
          </w:tcPr>
          <w:p w14:paraId="142007F6" w14:textId="77777777" w:rsidR="00BA2C5B" w:rsidRPr="00E54C74" w:rsidRDefault="00BA2C5B" w:rsidP="00BA2C5B">
            <w:pPr>
              <w:keepNext/>
              <w:keepLines/>
              <w:jc w:val="left"/>
              <w:rPr>
                <w:rFonts w:ascii="Arial Narrow" w:eastAsiaTheme="majorEastAsia" w:hAnsi="Arial Narrow" w:cstheme="majorBidi"/>
                <w:bCs/>
                <w:sz w:val="20"/>
              </w:rPr>
            </w:pPr>
            <w:r w:rsidRPr="00E54C74">
              <w:rPr>
                <w:rFonts w:ascii="Arial Narrow" w:eastAsiaTheme="majorEastAsia" w:hAnsi="Arial Narrow" w:cstheme="majorBidi"/>
                <w:bCs/>
                <w:sz w:val="20"/>
              </w:rPr>
              <w:t>Mean dose</w:t>
            </w:r>
          </w:p>
        </w:tc>
        <w:tc>
          <w:tcPr>
            <w:tcW w:w="1397" w:type="pct"/>
            <w:vAlign w:val="center"/>
          </w:tcPr>
          <w:p w14:paraId="2BDE1194" w14:textId="7298EA61" w:rsidR="00BA2C5B" w:rsidRPr="00E54C74" w:rsidRDefault="00BA2C5B" w:rsidP="00BA2C5B">
            <w:pPr>
              <w:keepNext/>
              <w:keepLines/>
              <w:jc w:val="left"/>
              <w:rPr>
                <w:rFonts w:ascii="Arial Narrow" w:eastAsiaTheme="majorEastAsia" w:hAnsi="Arial Narrow" w:cstheme="majorBidi"/>
                <w:bCs/>
                <w:sz w:val="20"/>
              </w:rPr>
            </w:pPr>
            <w:r w:rsidRPr="00BA2C5B">
              <w:rPr>
                <w:rFonts w:ascii="Arial Narrow" w:eastAsiaTheme="majorEastAsia" w:hAnsi="Arial Narrow" w:cstheme="majorBidi"/>
                <w:bCs/>
                <w:sz w:val="20"/>
              </w:rPr>
              <w:t>200 mg/dose</w:t>
            </w:r>
          </w:p>
        </w:tc>
        <w:tc>
          <w:tcPr>
            <w:tcW w:w="1397" w:type="pct"/>
            <w:vAlign w:val="center"/>
          </w:tcPr>
          <w:p w14:paraId="015530DD" w14:textId="7F0142E6" w:rsidR="00BA2C5B" w:rsidRPr="00E54C74" w:rsidRDefault="00BA2C5B" w:rsidP="00BA2C5B">
            <w:pPr>
              <w:keepNext/>
              <w:keepLines/>
              <w:jc w:val="left"/>
              <w:rPr>
                <w:rFonts w:ascii="Arial Narrow" w:eastAsiaTheme="majorEastAsia" w:hAnsi="Arial Narrow" w:cstheme="majorBidi"/>
                <w:bCs/>
                <w:sz w:val="20"/>
              </w:rPr>
            </w:pPr>
            <w:r w:rsidRPr="00BA2C5B">
              <w:rPr>
                <w:rFonts w:ascii="Arial Narrow" w:eastAsiaTheme="majorEastAsia" w:hAnsi="Arial Narrow" w:cstheme="majorBidi"/>
                <w:bCs/>
                <w:sz w:val="20"/>
              </w:rPr>
              <w:t>200 mg/dose</w:t>
            </w:r>
          </w:p>
        </w:tc>
        <w:tc>
          <w:tcPr>
            <w:tcW w:w="1344" w:type="pct"/>
            <w:vAlign w:val="center"/>
          </w:tcPr>
          <w:p w14:paraId="3C403673" w14:textId="695901C6" w:rsidR="00BA2C5B" w:rsidRPr="00E54C74" w:rsidRDefault="00BA2C5B" w:rsidP="00BA2C5B">
            <w:pPr>
              <w:keepNext/>
              <w:keepLines/>
              <w:jc w:val="left"/>
              <w:rPr>
                <w:rFonts w:ascii="Arial Narrow" w:eastAsiaTheme="majorEastAsia" w:hAnsi="Arial Narrow" w:cstheme="majorBidi"/>
                <w:bCs/>
                <w:sz w:val="20"/>
              </w:rPr>
            </w:pPr>
            <w:r w:rsidRPr="00BA2C5B">
              <w:rPr>
                <w:rFonts w:ascii="Arial Narrow" w:eastAsiaTheme="majorEastAsia" w:hAnsi="Arial Narrow" w:cstheme="majorBidi"/>
                <w:bCs/>
                <w:sz w:val="20"/>
              </w:rPr>
              <w:t>200 mg/dose</w:t>
            </w:r>
          </w:p>
        </w:tc>
      </w:tr>
      <w:tr w:rsidR="00BA2C5B" w:rsidRPr="00E54C74" w14:paraId="726E33F4" w14:textId="77777777" w:rsidTr="006A4DEC">
        <w:trPr>
          <w:cantSplit/>
          <w:jc w:val="center"/>
        </w:trPr>
        <w:tc>
          <w:tcPr>
            <w:tcW w:w="862" w:type="pct"/>
            <w:vAlign w:val="center"/>
          </w:tcPr>
          <w:p w14:paraId="68C9BBF3" w14:textId="77777777" w:rsidR="00BA2C5B" w:rsidRPr="00E54C74" w:rsidRDefault="00BA2C5B" w:rsidP="00BA2C5B">
            <w:pPr>
              <w:keepNext/>
              <w:keepLines/>
              <w:jc w:val="left"/>
              <w:rPr>
                <w:rFonts w:ascii="Arial Narrow" w:eastAsiaTheme="majorEastAsia" w:hAnsi="Arial Narrow" w:cstheme="majorBidi"/>
                <w:bCs/>
                <w:sz w:val="20"/>
              </w:rPr>
            </w:pPr>
            <w:r w:rsidRPr="00E54C74">
              <w:rPr>
                <w:rFonts w:ascii="Arial Narrow" w:eastAsiaTheme="majorEastAsia" w:hAnsi="Arial Narrow" w:cstheme="majorBidi"/>
                <w:bCs/>
                <w:sz w:val="20"/>
              </w:rPr>
              <w:t>Mean duration</w:t>
            </w:r>
          </w:p>
        </w:tc>
        <w:tc>
          <w:tcPr>
            <w:tcW w:w="1397" w:type="pct"/>
            <w:vAlign w:val="center"/>
          </w:tcPr>
          <w:p w14:paraId="7A463431" w14:textId="77777777" w:rsidR="00BA2C5B" w:rsidRPr="00BA2C5B" w:rsidRDefault="00BA2C5B" w:rsidP="00BA2C5B">
            <w:pPr>
              <w:keepNext/>
              <w:keepLines/>
              <w:jc w:val="left"/>
              <w:rPr>
                <w:rFonts w:ascii="Arial Narrow" w:eastAsiaTheme="majorEastAsia" w:hAnsi="Arial Narrow" w:cstheme="majorBidi"/>
                <w:bCs/>
                <w:sz w:val="20"/>
              </w:rPr>
            </w:pPr>
            <w:r w:rsidRPr="00BA2C5B">
              <w:rPr>
                <w:rFonts w:ascii="Arial Narrow" w:eastAsiaTheme="majorEastAsia" w:hAnsi="Arial Narrow" w:cstheme="majorBidi"/>
                <w:bCs/>
                <w:sz w:val="20"/>
              </w:rPr>
              <w:t>Neoadjuvant: 5.84 weeks (100% of patients)</w:t>
            </w:r>
          </w:p>
          <w:p w14:paraId="4EF882AF" w14:textId="724D46F1" w:rsidR="00BA2C5B" w:rsidRPr="00E54C74" w:rsidRDefault="00BA2C5B" w:rsidP="00BA2C5B">
            <w:pPr>
              <w:keepNext/>
              <w:keepLines/>
              <w:jc w:val="left"/>
              <w:rPr>
                <w:rFonts w:ascii="Arial Narrow" w:eastAsiaTheme="majorEastAsia" w:hAnsi="Arial Narrow" w:cstheme="majorBidi"/>
                <w:bCs/>
                <w:sz w:val="20"/>
              </w:rPr>
            </w:pPr>
            <w:r w:rsidRPr="00BA2C5B">
              <w:rPr>
                <w:rFonts w:ascii="Arial Narrow" w:eastAsiaTheme="majorEastAsia" w:hAnsi="Arial Narrow" w:cstheme="majorBidi"/>
                <w:bCs/>
                <w:sz w:val="20"/>
              </w:rPr>
              <w:t>Adjuvant: 34.26 weeks (70.6% of patients)</w:t>
            </w:r>
          </w:p>
        </w:tc>
        <w:tc>
          <w:tcPr>
            <w:tcW w:w="1397" w:type="pct"/>
            <w:vAlign w:val="center"/>
          </w:tcPr>
          <w:p w14:paraId="47AFAAA4" w14:textId="77777777" w:rsidR="00BA2C5B" w:rsidRPr="00BA2C5B" w:rsidRDefault="00BA2C5B" w:rsidP="00BA2C5B">
            <w:pPr>
              <w:keepNext/>
              <w:keepLines/>
              <w:jc w:val="left"/>
              <w:rPr>
                <w:rFonts w:ascii="Arial Narrow" w:eastAsiaTheme="majorEastAsia" w:hAnsi="Arial Narrow" w:cstheme="majorBidi"/>
                <w:bCs/>
                <w:sz w:val="20"/>
              </w:rPr>
            </w:pPr>
            <w:r w:rsidRPr="00BA2C5B">
              <w:rPr>
                <w:rFonts w:ascii="Arial Narrow" w:eastAsiaTheme="majorEastAsia" w:hAnsi="Arial Narrow" w:cstheme="majorBidi"/>
                <w:bCs/>
                <w:sz w:val="20"/>
              </w:rPr>
              <w:t>Neoadjuvant: 5.84 weeks (100% of patients)</w:t>
            </w:r>
          </w:p>
          <w:p w14:paraId="3456F439" w14:textId="393236FC" w:rsidR="00BA2C5B" w:rsidRPr="00E54C74" w:rsidRDefault="00BA2C5B" w:rsidP="00BA2C5B">
            <w:pPr>
              <w:keepNext/>
              <w:keepLines/>
              <w:jc w:val="left"/>
              <w:rPr>
                <w:rFonts w:ascii="Arial Narrow" w:eastAsiaTheme="majorEastAsia" w:hAnsi="Arial Narrow" w:cstheme="majorBidi"/>
                <w:bCs/>
                <w:sz w:val="20"/>
              </w:rPr>
            </w:pPr>
            <w:r w:rsidRPr="00BA2C5B">
              <w:rPr>
                <w:rFonts w:ascii="Arial Narrow" w:eastAsiaTheme="majorEastAsia" w:hAnsi="Arial Narrow" w:cstheme="majorBidi"/>
                <w:bCs/>
                <w:sz w:val="20"/>
              </w:rPr>
              <w:t>Adjuvant: 34.26 weeks (70.6% of patients)</w:t>
            </w:r>
          </w:p>
        </w:tc>
        <w:tc>
          <w:tcPr>
            <w:tcW w:w="1344" w:type="pct"/>
            <w:vAlign w:val="center"/>
          </w:tcPr>
          <w:p w14:paraId="44DA8DD8" w14:textId="77777777" w:rsidR="00BA2C5B" w:rsidRPr="00BA2C5B" w:rsidRDefault="00BA2C5B" w:rsidP="00BA2C5B">
            <w:pPr>
              <w:keepNext/>
              <w:keepLines/>
              <w:jc w:val="left"/>
              <w:rPr>
                <w:rFonts w:ascii="Arial Narrow" w:eastAsiaTheme="majorEastAsia" w:hAnsi="Arial Narrow" w:cstheme="majorBidi"/>
                <w:bCs/>
                <w:sz w:val="20"/>
              </w:rPr>
            </w:pPr>
            <w:r w:rsidRPr="00BA2C5B">
              <w:rPr>
                <w:rFonts w:ascii="Arial Narrow" w:eastAsiaTheme="majorEastAsia" w:hAnsi="Arial Narrow" w:cstheme="majorBidi"/>
                <w:bCs/>
                <w:sz w:val="20"/>
              </w:rPr>
              <w:t>Neoadjuvant: 5.84 weeks (100% of patients)</w:t>
            </w:r>
          </w:p>
          <w:p w14:paraId="06E3F658" w14:textId="0F80652C" w:rsidR="00BA2C5B" w:rsidRPr="00E54C74" w:rsidRDefault="00BA2C5B" w:rsidP="00BA2C5B">
            <w:pPr>
              <w:keepNext/>
              <w:keepLines/>
              <w:jc w:val="left"/>
              <w:rPr>
                <w:rFonts w:ascii="Arial Narrow" w:eastAsiaTheme="majorEastAsia" w:hAnsi="Arial Narrow" w:cstheme="majorBidi"/>
                <w:bCs/>
                <w:sz w:val="20"/>
              </w:rPr>
            </w:pPr>
            <w:r w:rsidRPr="00BA2C5B">
              <w:rPr>
                <w:rFonts w:ascii="Arial Narrow" w:eastAsiaTheme="majorEastAsia" w:hAnsi="Arial Narrow" w:cstheme="majorBidi"/>
                <w:bCs/>
                <w:sz w:val="20"/>
              </w:rPr>
              <w:t>Adjuvant: 34.26 weeks (70% of patients)</w:t>
            </w:r>
          </w:p>
        </w:tc>
      </w:tr>
      <w:tr w:rsidR="00BA2C5B" w:rsidRPr="00E54C74" w14:paraId="51ABD8CA" w14:textId="77777777" w:rsidTr="006A4DEC">
        <w:trPr>
          <w:cantSplit/>
          <w:jc w:val="center"/>
        </w:trPr>
        <w:tc>
          <w:tcPr>
            <w:tcW w:w="862" w:type="pct"/>
            <w:vAlign w:val="center"/>
          </w:tcPr>
          <w:p w14:paraId="08CC1B5E" w14:textId="77777777" w:rsidR="00BA2C5B" w:rsidRPr="00E54C74" w:rsidRDefault="00BA2C5B" w:rsidP="00BA2C5B">
            <w:pPr>
              <w:keepNext/>
              <w:keepLines/>
              <w:jc w:val="left"/>
              <w:rPr>
                <w:rFonts w:ascii="Arial Narrow" w:eastAsiaTheme="majorEastAsia" w:hAnsi="Arial Narrow" w:cstheme="majorBidi"/>
                <w:bCs/>
                <w:sz w:val="20"/>
              </w:rPr>
            </w:pPr>
            <w:r w:rsidRPr="00E54C74">
              <w:rPr>
                <w:rFonts w:ascii="Arial Narrow" w:eastAsiaTheme="majorEastAsia" w:hAnsi="Arial Narrow" w:cstheme="majorBidi"/>
                <w:bCs/>
                <w:sz w:val="20"/>
              </w:rPr>
              <w:t>Cost/patient/month</w:t>
            </w:r>
          </w:p>
        </w:tc>
        <w:tc>
          <w:tcPr>
            <w:tcW w:w="1397" w:type="pct"/>
            <w:vAlign w:val="center"/>
          </w:tcPr>
          <w:p w14:paraId="1942A537" w14:textId="1F041B10" w:rsidR="00BA2C5B" w:rsidRPr="00BA2C5B" w:rsidRDefault="00BA2C5B" w:rsidP="00BA2C5B">
            <w:pPr>
              <w:keepNext/>
              <w:keepLines/>
              <w:jc w:val="left"/>
              <w:rPr>
                <w:rFonts w:ascii="Arial Narrow" w:eastAsiaTheme="majorEastAsia" w:hAnsi="Arial Narrow" w:cstheme="majorBidi"/>
                <w:bCs/>
                <w:sz w:val="20"/>
              </w:rPr>
            </w:pPr>
            <w:r w:rsidRPr="00BA2C5B">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r w:rsidRPr="00BA2C5B">
              <w:rPr>
                <w:rFonts w:ascii="Arial Narrow" w:eastAsiaTheme="majorEastAsia" w:hAnsi="Arial Narrow" w:cstheme="majorBidi"/>
                <w:bCs/>
                <w:sz w:val="20"/>
              </w:rPr>
              <w:t xml:space="preserve"> </w:t>
            </w:r>
            <w:r w:rsidRPr="00BA2C5B">
              <w:rPr>
                <w:rFonts w:ascii="Arial Narrow" w:eastAsiaTheme="majorEastAsia" w:hAnsi="Arial Narrow" w:cstheme="majorBidi"/>
                <w:bCs/>
                <w:sz w:val="20"/>
                <w:vertAlign w:val="superscript"/>
              </w:rPr>
              <w:t>a</w:t>
            </w:r>
          </w:p>
        </w:tc>
        <w:tc>
          <w:tcPr>
            <w:tcW w:w="1397" w:type="pct"/>
            <w:vAlign w:val="center"/>
          </w:tcPr>
          <w:p w14:paraId="2CC8EE12" w14:textId="342773EB" w:rsidR="00BA2C5B" w:rsidRPr="00BA2C5B" w:rsidRDefault="00BA2C5B" w:rsidP="00BA2C5B">
            <w:pPr>
              <w:keepNext/>
              <w:keepLines/>
              <w:jc w:val="left"/>
              <w:rPr>
                <w:rFonts w:ascii="Arial Narrow" w:eastAsiaTheme="majorEastAsia" w:hAnsi="Arial Narrow" w:cstheme="majorBidi"/>
                <w:bCs/>
                <w:sz w:val="20"/>
              </w:rPr>
            </w:pPr>
            <w:r w:rsidRPr="00BA2C5B">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r w:rsidRPr="00BA2C5B">
              <w:rPr>
                <w:rFonts w:ascii="Arial Narrow" w:eastAsiaTheme="majorEastAsia" w:hAnsi="Arial Narrow" w:cstheme="majorBidi"/>
                <w:bCs/>
                <w:sz w:val="20"/>
                <w:vertAlign w:val="superscript"/>
              </w:rPr>
              <w:t xml:space="preserve"> a</w:t>
            </w:r>
          </w:p>
        </w:tc>
        <w:tc>
          <w:tcPr>
            <w:tcW w:w="1344" w:type="pct"/>
            <w:vAlign w:val="center"/>
          </w:tcPr>
          <w:p w14:paraId="33620022" w14:textId="7CAF6FC5" w:rsidR="00BA2C5B" w:rsidRPr="00E54C74" w:rsidRDefault="00BA2C5B" w:rsidP="00BA2C5B">
            <w:pPr>
              <w:keepNext/>
              <w:keepLines/>
              <w:jc w:val="left"/>
              <w:rPr>
                <w:rFonts w:ascii="Arial Narrow" w:eastAsiaTheme="majorEastAsia" w:hAnsi="Arial Narrow" w:cstheme="majorBidi"/>
                <w:bCs/>
                <w:sz w:val="20"/>
              </w:rPr>
            </w:pPr>
            <w:r w:rsidRPr="00BA2C5B">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r w:rsidRPr="00BA2C5B">
              <w:rPr>
                <w:rFonts w:ascii="Arial Narrow" w:eastAsiaTheme="majorEastAsia" w:hAnsi="Arial Narrow" w:cstheme="majorBidi"/>
                <w:bCs/>
                <w:sz w:val="20"/>
                <w:vertAlign w:val="superscript"/>
              </w:rPr>
              <w:t xml:space="preserve"> b</w:t>
            </w:r>
          </w:p>
        </w:tc>
      </w:tr>
      <w:tr w:rsidR="00BA2C5B" w:rsidRPr="00E54C74" w14:paraId="6E4A8F15" w14:textId="77777777" w:rsidTr="006A4DEC">
        <w:trPr>
          <w:cantSplit/>
          <w:jc w:val="center"/>
        </w:trPr>
        <w:tc>
          <w:tcPr>
            <w:tcW w:w="862" w:type="pct"/>
            <w:vAlign w:val="center"/>
          </w:tcPr>
          <w:p w14:paraId="48A89F50" w14:textId="77777777" w:rsidR="00BA2C5B" w:rsidRPr="00E54C74" w:rsidRDefault="00BA2C5B" w:rsidP="00BA2C5B">
            <w:pPr>
              <w:keepNext/>
              <w:keepLines/>
              <w:jc w:val="left"/>
              <w:rPr>
                <w:rFonts w:ascii="Arial Narrow" w:eastAsiaTheme="majorEastAsia" w:hAnsi="Arial Narrow" w:cstheme="majorBidi"/>
                <w:bCs/>
                <w:sz w:val="20"/>
              </w:rPr>
            </w:pPr>
            <w:r w:rsidRPr="00E54C74">
              <w:rPr>
                <w:rFonts w:ascii="Arial Narrow" w:eastAsiaTheme="majorEastAsia" w:hAnsi="Arial Narrow" w:cstheme="majorBidi"/>
                <w:bCs/>
                <w:sz w:val="20"/>
              </w:rPr>
              <w:t>Cost/patient/course</w:t>
            </w:r>
          </w:p>
        </w:tc>
        <w:tc>
          <w:tcPr>
            <w:tcW w:w="1397" w:type="pct"/>
            <w:vAlign w:val="center"/>
          </w:tcPr>
          <w:p w14:paraId="07F4A96A" w14:textId="05288E06" w:rsidR="00BA2C5B" w:rsidRPr="00E54C74" w:rsidRDefault="00BA2C5B" w:rsidP="00BA2C5B">
            <w:pPr>
              <w:keepNext/>
              <w:keepLines/>
              <w:jc w:val="left"/>
              <w:rPr>
                <w:rFonts w:ascii="Arial Narrow" w:eastAsiaTheme="majorEastAsia" w:hAnsi="Arial Narrow" w:cstheme="majorBidi"/>
                <w:bCs/>
                <w:sz w:val="20"/>
              </w:rPr>
            </w:pPr>
            <w:r w:rsidRPr="00BA2C5B">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r w:rsidRPr="00BA2C5B">
              <w:rPr>
                <w:rFonts w:ascii="Arial Narrow" w:eastAsiaTheme="majorEastAsia" w:hAnsi="Arial Narrow" w:cstheme="majorBidi"/>
                <w:bCs/>
                <w:sz w:val="20"/>
                <w:vertAlign w:val="superscript"/>
              </w:rPr>
              <w:t xml:space="preserve"> c</w:t>
            </w:r>
          </w:p>
        </w:tc>
        <w:tc>
          <w:tcPr>
            <w:tcW w:w="1397" w:type="pct"/>
            <w:vAlign w:val="center"/>
          </w:tcPr>
          <w:p w14:paraId="501409D2" w14:textId="6409CB3C" w:rsidR="00BA2C5B" w:rsidRPr="00BA2C5B" w:rsidRDefault="00BA2C5B" w:rsidP="00BA2C5B">
            <w:pPr>
              <w:keepNext/>
              <w:keepLines/>
              <w:jc w:val="left"/>
              <w:rPr>
                <w:rFonts w:ascii="Arial Narrow" w:eastAsiaTheme="majorEastAsia" w:hAnsi="Arial Narrow" w:cstheme="majorBidi"/>
                <w:bCs/>
                <w:sz w:val="20"/>
              </w:rPr>
            </w:pPr>
            <w:r w:rsidRPr="00477630">
              <w:rPr>
                <w:rFonts w:ascii="Arial Narrow" w:eastAsiaTheme="majorEastAsia" w:hAnsi="Arial Narrow" w:cstheme="majorBidi"/>
                <w:bCs/>
                <w:iCs/>
                <w:sz w:val="20"/>
              </w:rPr>
              <w:t>$</w:t>
            </w:r>
            <w:r w:rsidR="00576021" w:rsidRPr="001758D2">
              <w:rPr>
                <w:rFonts w:ascii="Arial Narrow" w:eastAsiaTheme="majorEastAsia" w:hAnsi="Arial Narrow" w:cstheme="majorBidi"/>
                <w:bCs/>
                <w:iCs/>
                <w:sz w:val="20"/>
                <w:highlight w:val="black"/>
              </w:rPr>
              <w:t>&amp;&amp;&amp;&amp;</w:t>
            </w:r>
            <w:r w:rsidRPr="00BA2C5B">
              <w:rPr>
                <w:rFonts w:ascii="Arial Narrow" w:eastAsiaTheme="majorEastAsia" w:hAnsi="Arial Narrow" w:cstheme="majorBidi"/>
                <w:bCs/>
                <w:sz w:val="20"/>
              </w:rPr>
              <w:t xml:space="preserve"> </w:t>
            </w:r>
            <w:r w:rsidRPr="00BA2C5B">
              <w:rPr>
                <w:rFonts w:ascii="Arial Narrow" w:eastAsiaTheme="majorEastAsia" w:hAnsi="Arial Narrow" w:cstheme="majorBidi"/>
                <w:bCs/>
                <w:sz w:val="20"/>
                <w:vertAlign w:val="superscript"/>
              </w:rPr>
              <w:t>c</w:t>
            </w:r>
          </w:p>
        </w:tc>
        <w:tc>
          <w:tcPr>
            <w:tcW w:w="1344" w:type="pct"/>
            <w:vAlign w:val="center"/>
          </w:tcPr>
          <w:p w14:paraId="2BC98D9D" w14:textId="6F1A1404" w:rsidR="00BA2C5B" w:rsidRPr="00E54C74" w:rsidRDefault="00BA2C5B" w:rsidP="00BA2C5B">
            <w:pPr>
              <w:keepNext/>
              <w:keepLines/>
              <w:jc w:val="left"/>
              <w:rPr>
                <w:rFonts w:ascii="Arial Narrow" w:eastAsiaTheme="majorEastAsia" w:hAnsi="Arial Narrow" w:cstheme="majorBidi"/>
                <w:bCs/>
                <w:sz w:val="20"/>
              </w:rPr>
            </w:pPr>
            <w:r w:rsidRPr="00BA2C5B">
              <w:rPr>
                <w:rFonts w:ascii="Arial Narrow" w:eastAsiaTheme="majorEastAsia" w:hAnsi="Arial Narrow" w:cstheme="majorBidi"/>
                <w:bCs/>
                <w:sz w:val="20"/>
              </w:rPr>
              <w:t>$</w:t>
            </w:r>
            <w:r w:rsidR="00576021" w:rsidRPr="001758D2">
              <w:rPr>
                <w:rFonts w:ascii="Arial Narrow" w:eastAsiaTheme="majorEastAsia" w:hAnsi="Arial Narrow" w:cstheme="majorBidi"/>
                <w:bCs/>
                <w:sz w:val="20"/>
                <w:highlight w:val="black"/>
              </w:rPr>
              <w:t>&amp;&amp;&amp;&amp;</w:t>
            </w:r>
            <w:r w:rsidRPr="00BA2C5B">
              <w:rPr>
                <w:rFonts w:ascii="Arial Narrow" w:eastAsiaTheme="majorEastAsia" w:hAnsi="Arial Narrow" w:cstheme="majorBidi"/>
                <w:bCs/>
                <w:sz w:val="20"/>
              </w:rPr>
              <w:t xml:space="preserve"> </w:t>
            </w:r>
            <w:r w:rsidRPr="00BA2C5B">
              <w:rPr>
                <w:rFonts w:ascii="Arial Narrow" w:eastAsiaTheme="majorEastAsia" w:hAnsi="Arial Narrow" w:cstheme="majorBidi"/>
                <w:bCs/>
                <w:sz w:val="20"/>
                <w:vertAlign w:val="superscript"/>
              </w:rPr>
              <w:t>d</w:t>
            </w:r>
          </w:p>
        </w:tc>
      </w:tr>
    </w:tbl>
    <w:p w14:paraId="1667648D" w14:textId="77777777" w:rsidR="00C151AC" w:rsidRPr="00A863EB" w:rsidRDefault="00C151AC" w:rsidP="00677261">
      <w:pPr>
        <w:pStyle w:val="TableFigureFooter"/>
        <w:rPr>
          <w:b/>
          <w:i w:val="0"/>
          <w:iCs w:val="0"/>
        </w:rPr>
      </w:pPr>
      <w:r w:rsidRPr="00A863EB">
        <w:rPr>
          <w:i w:val="0"/>
          <w:iCs w:val="0"/>
        </w:rPr>
        <w:t xml:space="preserve">Source: tabulated during the evaluation, from the “Attachment 5 CEA” and “Attachment 8 UCM’ Workbooks provided in the submission. </w:t>
      </w:r>
    </w:p>
    <w:p w14:paraId="17892448" w14:textId="5C4984EE" w:rsidR="00C151AC" w:rsidRPr="00A863EB" w:rsidRDefault="00C151AC" w:rsidP="00677261">
      <w:pPr>
        <w:pStyle w:val="TableFigureFooter"/>
        <w:rPr>
          <w:b/>
          <w:i w:val="0"/>
          <w:iCs w:val="0"/>
        </w:rPr>
      </w:pPr>
      <w:r w:rsidRPr="00A863EB">
        <w:rPr>
          <w:i w:val="0"/>
          <w:iCs w:val="0"/>
          <w:vertAlign w:val="superscript"/>
        </w:rPr>
        <w:t xml:space="preserve">a </w:t>
      </w:r>
      <w:r w:rsidRPr="00A863EB">
        <w:rPr>
          <w:i w:val="0"/>
          <w:iCs w:val="0"/>
        </w:rPr>
        <w:t>Based on a 4.35 week month and cost per administration of $</w:t>
      </w:r>
      <w:r w:rsidR="00576021" w:rsidRPr="001758D2">
        <w:rPr>
          <w:i w:val="0"/>
          <w:iCs w:val="0"/>
          <w:highlight w:val="black"/>
        </w:rPr>
        <w:t>&amp;&amp;&amp;&amp;</w:t>
      </w:r>
      <w:r w:rsidRPr="00A863EB">
        <w:rPr>
          <w:i w:val="0"/>
          <w:iCs w:val="0"/>
        </w:rPr>
        <w:t xml:space="preserve">. </w:t>
      </w:r>
    </w:p>
    <w:p w14:paraId="03419455" w14:textId="6C201E3B" w:rsidR="00C151AC" w:rsidRPr="00A863EB" w:rsidRDefault="00C151AC" w:rsidP="00677261">
      <w:pPr>
        <w:pStyle w:val="TableFigureFooter"/>
        <w:rPr>
          <w:b/>
          <w:i w:val="0"/>
          <w:iCs w:val="0"/>
        </w:rPr>
      </w:pPr>
      <w:r w:rsidRPr="00A863EB">
        <w:rPr>
          <w:i w:val="0"/>
          <w:iCs w:val="0"/>
          <w:vertAlign w:val="superscript"/>
        </w:rPr>
        <w:t>b</w:t>
      </w:r>
      <w:r w:rsidRPr="00A863EB">
        <w:rPr>
          <w:i w:val="0"/>
          <w:iCs w:val="0"/>
        </w:rPr>
        <w:t xml:space="preserve"> Assuming a 4-week month and cost per administration of $</w:t>
      </w:r>
      <w:r w:rsidR="00576021" w:rsidRPr="001758D2">
        <w:rPr>
          <w:i w:val="0"/>
          <w:iCs w:val="0"/>
          <w:highlight w:val="black"/>
        </w:rPr>
        <w:t>&amp;&amp;&amp;&amp;</w:t>
      </w:r>
      <w:r w:rsidRPr="00A863EB">
        <w:rPr>
          <w:i w:val="0"/>
          <w:iCs w:val="0"/>
        </w:rPr>
        <w:t xml:space="preserve">. </w:t>
      </w:r>
    </w:p>
    <w:p w14:paraId="05E440DF" w14:textId="246676B4" w:rsidR="00C151AC" w:rsidRPr="00A863EB" w:rsidRDefault="00C151AC" w:rsidP="00677261">
      <w:pPr>
        <w:pStyle w:val="TableFigureFooter"/>
        <w:rPr>
          <w:b/>
          <w:i w:val="0"/>
          <w:iCs w:val="0"/>
        </w:rPr>
      </w:pPr>
      <w:r w:rsidRPr="00A863EB">
        <w:rPr>
          <w:i w:val="0"/>
          <w:iCs w:val="0"/>
          <w:vertAlign w:val="superscript"/>
        </w:rPr>
        <w:t>c</w:t>
      </w:r>
      <w:r w:rsidRPr="00A863EB">
        <w:rPr>
          <w:i w:val="0"/>
          <w:iCs w:val="0"/>
        </w:rPr>
        <w:t xml:space="preserve"> Based on 100% of patients receiving 1.95 cycles of neoadjuvant therapy, 70.6% of patients receiving 11.42 cycles of adjuvant therapy and a</w:t>
      </w:r>
      <w:r w:rsidRPr="00A863EB">
        <w:rPr>
          <w:i w:val="0"/>
          <w:iCs w:val="0"/>
          <w:vertAlign w:val="superscript"/>
        </w:rPr>
        <w:t xml:space="preserve"> </w:t>
      </w:r>
      <w:r w:rsidRPr="00A863EB">
        <w:rPr>
          <w:i w:val="0"/>
          <w:iCs w:val="0"/>
        </w:rPr>
        <w:t>cost per administration of $</w:t>
      </w:r>
      <w:r w:rsidR="00576021" w:rsidRPr="001758D2">
        <w:rPr>
          <w:i w:val="0"/>
          <w:iCs w:val="0"/>
          <w:highlight w:val="black"/>
        </w:rPr>
        <w:t>&amp;&amp;&amp;&amp;</w:t>
      </w:r>
      <w:r w:rsidR="00C55B9D" w:rsidRPr="00A863EB">
        <w:rPr>
          <w:i w:val="0"/>
          <w:iCs w:val="0"/>
        </w:rPr>
        <w:t xml:space="preserve">. </w:t>
      </w:r>
      <w:r w:rsidR="00073195" w:rsidRPr="00A863EB">
        <w:rPr>
          <w:i w:val="0"/>
          <w:iCs w:val="0"/>
        </w:rPr>
        <w:t xml:space="preserve">When assuming 100% of patients receive </w:t>
      </w:r>
      <w:r w:rsidR="009F77B8" w:rsidRPr="00A863EB">
        <w:rPr>
          <w:i w:val="0"/>
          <w:iCs w:val="0"/>
        </w:rPr>
        <w:t>all</w:t>
      </w:r>
      <w:r w:rsidR="00073195" w:rsidRPr="00A863EB">
        <w:rPr>
          <w:i w:val="0"/>
          <w:iCs w:val="0"/>
        </w:rPr>
        <w:t xml:space="preserve"> cycles of </w:t>
      </w:r>
      <w:r w:rsidR="009F77B8" w:rsidRPr="00A863EB">
        <w:rPr>
          <w:i w:val="0"/>
          <w:iCs w:val="0"/>
        </w:rPr>
        <w:t xml:space="preserve">neoadjuvant (1.95) and </w:t>
      </w:r>
      <w:r w:rsidR="00073195" w:rsidRPr="00A863EB">
        <w:rPr>
          <w:i w:val="0"/>
          <w:iCs w:val="0"/>
        </w:rPr>
        <w:t>adjuvant</w:t>
      </w:r>
      <w:r w:rsidR="007408A9" w:rsidRPr="00A863EB">
        <w:rPr>
          <w:i w:val="0"/>
          <w:iCs w:val="0"/>
        </w:rPr>
        <w:t xml:space="preserve"> therapy</w:t>
      </w:r>
      <w:r w:rsidR="009F77B8" w:rsidRPr="00A863EB">
        <w:rPr>
          <w:i w:val="0"/>
          <w:iCs w:val="0"/>
        </w:rPr>
        <w:t xml:space="preserve"> (11.42)</w:t>
      </w:r>
      <w:r w:rsidR="00073195" w:rsidRPr="00A863EB">
        <w:rPr>
          <w:i w:val="0"/>
          <w:iCs w:val="0"/>
        </w:rPr>
        <w:t xml:space="preserve"> the cost/patient/month increases to $</w:t>
      </w:r>
      <w:r w:rsidR="00576021" w:rsidRPr="001758D2">
        <w:rPr>
          <w:i w:val="0"/>
          <w:iCs w:val="0"/>
          <w:highlight w:val="black"/>
        </w:rPr>
        <w:t>&amp;&amp;&amp;&amp;</w:t>
      </w:r>
      <w:r w:rsidR="00B64BF6" w:rsidRPr="00A863EB">
        <w:rPr>
          <w:i w:val="0"/>
          <w:iCs w:val="0"/>
        </w:rPr>
        <w:t xml:space="preserve"> </w:t>
      </w:r>
      <w:r w:rsidR="00C55B9D" w:rsidRPr="00A863EB">
        <w:rPr>
          <w:i w:val="0"/>
          <w:iCs w:val="0"/>
        </w:rPr>
        <w:t>(and $</w:t>
      </w:r>
      <w:r w:rsidR="00576021" w:rsidRPr="001758D2">
        <w:rPr>
          <w:i w:val="0"/>
          <w:iCs w:val="0"/>
          <w:highlight w:val="black"/>
        </w:rPr>
        <w:t>&amp;&amp;&amp;&amp;</w:t>
      </w:r>
      <w:r w:rsidR="002B2E24" w:rsidRPr="00A863EB">
        <w:rPr>
          <w:i w:val="0"/>
          <w:iCs w:val="0"/>
        </w:rPr>
        <w:t xml:space="preserve"> when</w:t>
      </w:r>
      <w:r w:rsidR="00C55B9D" w:rsidRPr="00A863EB">
        <w:rPr>
          <w:i w:val="0"/>
          <w:iCs w:val="0"/>
        </w:rPr>
        <w:t xml:space="preserve"> using the effective price proposed in the pre-PBAC response).</w:t>
      </w:r>
    </w:p>
    <w:p w14:paraId="37249D01" w14:textId="23A12AEE" w:rsidR="00C151AC" w:rsidRPr="00A863EB" w:rsidRDefault="00C151AC" w:rsidP="00677261">
      <w:pPr>
        <w:pStyle w:val="TableFigureFooter"/>
        <w:rPr>
          <w:b/>
          <w:i w:val="0"/>
          <w:iCs w:val="0"/>
        </w:rPr>
      </w:pPr>
      <w:r w:rsidRPr="00A863EB">
        <w:rPr>
          <w:i w:val="0"/>
          <w:iCs w:val="0"/>
          <w:vertAlign w:val="superscript"/>
        </w:rPr>
        <w:t>d</w:t>
      </w:r>
      <w:r w:rsidRPr="00A863EB">
        <w:rPr>
          <w:i w:val="0"/>
          <w:iCs w:val="0"/>
        </w:rPr>
        <w:t xml:space="preserve"> Based on 100% of patients receiving 1.95 cycles of neoadjuvant therapy, 70% of patients receiving 11.42 cycles of adjuvant therapy and a cost per administration of $</w:t>
      </w:r>
      <w:r w:rsidR="00576021" w:rsidRPr="001758D2">
        <w:rPr>
          <w:i w:val="0"/>
          <w:iCs w:val="0"/>
          <w:highlight w:val="black"/>
        </w:rPr>
        <w:t>&amp;&amp;&amp;&amp;</w:t>
      </w:r>
      <w:r w:rsidRPr="00A863EB">
        <w:rPr>
          <w:i w:val="0"/>
          <w:iCs w:val="0"/>
        </w:rPr>
        <w:t>.</w:t>
      </w:r>
    </w:p>
    <w:p w14:paraId="56BD76F1" w14:textId="1FC08114" w:rsidR="00164BC3" w:rsidRPr="00D74203" w:rsidRDefault="00164BC3" w:rsidP="008A7651">
      <w:pPr>
        <w:pStyle w:val="4-SubsectionHeading"/>
        <w:spacing w:before="240" w:after="0"/>
      </w:pPr>
      <w:bookmarkStart w:id="120" w:name="_Toc209004710"/>
      <w:r w:rsidRPr="00D74203">
        <w:t>Estimated PBS usage &amp; financial impacts</w:t>
      </w:r>
      <w:bookmarkEnd w:id="97"/>
      <w:bookmarkEnd w:id="98"/>
      <w:bookmarkEnd w:id="99"/>
      <w:bookmarkEnd w:id="120"/>
    </w:p>
    <w:p w14:paraId="3D88E906" w14:textId="76F40E40" w:rsidR="00164BC3" w:rsidRPr="00D74203" w:rsidRDefault="00164BC3" w:rsidP="00164BC3">
      <w:pPr>
        <w:pStyle w:val="3-BodyText"/>
      </w:pPr>
      <w:r w:rsidRPr="00D74203">
        <w:t>This submission w</w:t>
      </w:r>
      <w:r w:rsidR="004A6F8F">
        <w:t>as not</w:t>
      </w:r>
      <w:r w:rsidRPr="00D74203">
        <w:t xml:space="preserve"> considered by DUSC. The submission used an epidemiological approach to estimate the number of incident patients each year who would be eligible for </w:t>
      </w:r>
      <w:r w:rsidR="005D7394">
        <w:t xml:space="preserve">the </w:t>
      </w:r>
      <w:r w:rsidRPr="00D74203">
        <w:t xml:space="preserve">proposed pembrolizumab treatment. A summary of the data sources and parameter values used to estimate the utilisation and financial impacts associated with the proposed listing of pembrolizumab for the neoadjuvant and adjuvant treatment of HNSCC is presented in </w:t>
      </w:r>
      <w:r w:rsidRPr="00D74203">
        <w:fldChar w:fldCharType="begin"/>
      </w:r>
      <w:r w:rsidRPr="00D74203">
        <w:instrText xml:space="preserve"> REF _Ref104805262 \h  \* MERGEFORMAT </w:instrText>
      </w:r>
      <w:r w:rsidRPr="00D74203">
        <w:fldChar w:fldCharType="separate"/>
      </w:r>
      <w:r w:rsidR="0084087D" w:rsidRPr="00D74203">
        <w:t xml:space="preserve">Table </w:t>
      </w:r>
      <w:r w:rsidR="0084087D">
        <w:t>16</w:t>
      </w:r>
      <w:r w:rsidRPr="00D74203">
        <w:fldChar w:fldCharType="end"/>
      </w:r>
      <w:r w:rsidRPr="00D74203">
        <w:t>.</w:t>
      </w:r>
    </w:p>
    <w:p w14:paraId="317B4BBF" w14:textId="557D64A3" w:rsidR="00164BC3" w:rsidRPr="00D74203" w:rsidRDefault="00164BC3" w:rsidP="00164BC3">
      <w:pPr>
        <w:pStyle w:val="Caption"/>
        <w:rPr>
          <w:rStyle w:val="CommentReference"/>
          <w:b/>
          <w:szCs w:val="24"/>
        </w:rPr>
      </w:pPr>
      <w:bookmarkStart w:id="121" w:name="_Ref104805262"/>
      <w:r w:rsidRPr="00D74203">
        <w:t xml:space="preserve">Table </w:t>
      </w:r>
      <w:r w:rsidR="00972E86">
        <w:fldChar w:fldCharType="begin"/>
      </w:r>
      <w:r w:rsidR="00972E86">
        <w:instrText xml:space="preserve"> SEQ Table \* ARABIC </w:instrText>
      </w:r>
      <w:r w:rsidR="00972E86">
        <w:fldChar w:fldCharType="separate"/>
      </w:r>
      <w:r w:rsidR="0084087D">
        <w:rPr>
          <w:noProof/>
        </w:rPr>
        <w:t>16</w:t>
      </w:r>
      <w:r w:rsidR="00972E86">
        <w:rPr>
          <w:noProof/>
        </w:rPr>
        <w:fldChar w:fldCharType="end"/>
      </w:r>
      <w:bookmarkEnd w:id="121"/>
      <w:r w:rsidRPr="00D74203">
        <w:t>:</w:t>
      </w:r>
      <w:r w:rsidRPr="00D74203">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Caption w:val="Table 16: Key inputs for financial estimates"/>
      </w:tblPr>
      <w:tblGrid>
        <w:gridCol w:w="1695"/>
        <w:gridCol w:w="2126"/>
        <w:gridCol w:w="5196"/>
      </w:tblGrid>
      <w:tr w:rsidR="00164BC3" w:rsidRPr="00D74203" w14:paraId="5FC1C77A" w14:textId="77777777" w:rsidTr="007A0929">
        <w:trPr>
          <w:cantSplit/>
          <w:tblHeader/>
        </w:trPr>
        <w:tc>
          <w:tcPr>
            <w:tcW w:w="940" w:type="pct"/>
            <w:vAlign w:val="center"/>
          </w:tcPr>
          <w:p w14:paraId="62159BAD" w14:textId="77777777" w:rsidR="00164BC3" w:rsidRPr="00D74203" w:rsidRDefault="00164BC3" w:rsidP="00DF2576">
            <w:pPr>
              <w:pStyle w:val="In-tableHeading"/>
              <w:keepNext w:val="0"/>
              <w:keepLines w:val="0"/>
              <w:jc w:val="center"/>
              <w:rPr>
                <w:lang w:val="en-AU"/>
              </w:rPr>
            </w:pPr>
            <w:r w:rsidRPr="00D74203">
              <w:rPr>
                <w:lang w:val="en-AU"/>
              </w:rPr>
              <w:t>Parameter</w:t>
            </w:r>
          </w:p>
        </w:tc>
        <w:tc>
          <w:tcPr>
            <w:tcW w:w="1179" w:type="pct"/>
            <w:vAlign w:val="center"/>
          </w:tcPr>
          <w:p w14:paraId="72022C03" w14:textId="77777777" w:rsidR="00164BC3" w:rsidRPr="00D74203" w:rsidRDefault="00164BC3" w:rsidP="00DF2576">
            <w:pPr>
              <w:pStyle w:val="In-tableHeading"/>
              <w:keepNext w:val="0"/>
              <w:keepLines w:val="0"/>
              <w:jc w:val="center"/>
              <w:rPr>
                <w:lang w:val="en-AU"/>
              </w:rPr>
            </w:pPr>
            <w:r w:rsidRPr="00D74203">
              <w:rPr>
                <w:lang w:val="en-AU"/>
              </w:rPr>
              <w:t>Value applied and source</w:t>
            </w:r>
          </w:p>
        </w:tc>
        <w:tc>
          <w:tcPr>
            <w:tcW w:w="2880" w:type="pct"/>
            <w:vAlign w:val="center"/>
          </w:tcPr>
          <w:p w14:paraId="585F6C12" w14:textId="77777777" w:rsidR="00164BC3" w:rsidRPr="00D74203" w:rsidRDefault="00164BC3" w:rsidP="00DF2576">
            <w:pPr>
              <w:pStyle w:val="In-tableHeading"/>
              <w:keepNext w:val="0"/>
              <w:keepLines w:val="0"/>
              <w:jc w:val="center"/>
              <w:rPr>
                <w:lang w:val="en-AU"/>
              </w:rPr>
            </w:pPr>
            <w:r w:rsidRPr="00D74203">
              <w:rPr>
                <w:lang w:val="en-AU"/>
              </w:rPr>
              <w:t>Comment</w:t>
            </w:r>
          </w:p>
        </w:tc>
      </w:tr>
      <w:tr w:rsidR="00164BC3" w:rsidRPr="00D74203" w14:paraId="410C8FEE" w14:textId="77777777" w:rsidTr="007A0929">
        <w:trPr>
          <w:cantSplit/>
        </w:trPr>
        <w:tc>
          <w:tcPr>
            <w:tcW w:w="940" w:type="pct"/>
          </w:tcPr>
          <w:p w14:paraId="280E8477" w14:textId="1A8CBA35" w:rsidR="00164BC3" w:rsidRPr="00D74203" w:rsidRDefault="00164BC3" w:rsidP="00DF2576">
            <w:pPr>
              <w:pStyle w:val="TableText0"/>
              <w:keepNext w:val="0"/>
              <w:keepLines w:val="0"/>
            </w:pPr>
            <w:r w:rsidRPr="00D74203">
              <w:rPr>
                <w:rFonts w:cs="Calibri"/>
                <w:color w:val="000000"/>
                <w:szCs w:val="20"/>
              </w:rPr>
              <w:t>Incident Population: People (2025</w:t>
            </w:r>
            <w:r w:rsidR="00BC39F9">
              <w:rPr>
                <w:rFonts w:ascii="Quattrocento" w:hAnsi="Quattrocento" w:cs="Calibri"/>
                <w:color w:val="000000"/>
                <w:szCs w:val="20"/>
              </w:rPr>
              <w:t>−</w:t>
            </w:r>
            <w:r w:rsidRPr="00D74203">
              <w:rPr>
                <w:rFonts w:cs="Calibri"/>
                <w:color w:val="000000"/>
                <w:szCs w:val="20"/>
              </w:rPr>
              <w:t>2030)</w:t>
            </w:r>
          </w:p>
        </w:tc>
        <w:tc>
          <w:tcPr>
            <w:tcW w:w="1179" w:type="pct"/>
          </w:tcPr>
          <w:p w14:paraId="25E12B10" w14:textId="1B9726FA" w:rsidR="00164BC3" w:rsidRPr="00D74203" w:rsidRDefault="00164BC3" w:rsidP="00DF2576">
            <w:pPr>
              <w:pStyle w:val="TableText0"/>
              <w:keepNext w:val="0"/>
              <w:keepLines w:val="0"/>
            </w:pPr>
            <w:r w:rsidRPr="00D74203">
              <w:rPr>
                <w:rFonts w:cs="Calibri"/>
                <w:color w:val="000000"/>
                <w:szCs w:val="20"/>
              </w:rPr>
              <w:t>5,450 in Year 1 increasing to 5,928 in Year 6</w:t>
            </w:r>
            <w:r w:rsidR="002477BB">
              <w:rPr>
                <w:rFonts w:cs="Calibri"/>
                <w:color w:val="000000"/>
                <w:szCs w:val="20"/>
              </w:rPr>
              <w:t xml:space="preserve">, </w:t>
            </w:r>
            <w:r w:rsidRPr="00D74203">
              <w:rPr>
                <w:rFonts w:cs="Calibri"/>
                <w:color w:val="000000"/>
                <w:szCs w:val="20"/>
              </w:rPr>
              <w:t>AIHW 2024 Book1e</w:t>
            </w:r>
          </w:p>
        </w:tc>
        <w:tc>
          <w:tcPr>
            <w:tcW w:w="2880" w:type="pct"/>
          </w:tcPr>
          <w:p w14:paraId="4A3DD476" w14:textId="465A3380" w:rsidR="00164BC3" w:rsidRPr="00D74203" w:rsidRDefault="00164BC3" w:rsidP="00DF2576">
            <w:pPr>
              <w:jc w:val="left"/>
              <w:rPr>
                <w:rFonts w:ascii="Arial Narrow" w:hAnsi="Arial Narrow" w:cs="Calibri"/>
                <w:color w:val="000000"/>
                <w:sz w:val="20"/>
                <w:szCs w:val="22"/>
              </w:rPr>
            </w:pPr>
            <w:r w:rsidRPr="00D74203">
              <w:rPr>
                <w:rFonts w:ascii="Arial Narrow" w:hAnsi="Arial Narrow" w:cs="Calibri"/>
                <w:color w:val="000000"/>
                <w:sz w:val="20"/>
                <w:szCs w:val="20"/>
              </w:rPr>
              <w:t xml:space="preserve">The population is patients with head and neck cancer (including lip). </w:t>
            </w:r>
          </w:p>
        </w:tc>
      </w:tr>
      <w:tr w:rsidR="00164BC3" w:rsidRPr="00D74203" w14:paraId="4E542E55" w14:textId="77777777" w:rsidTr="007A0929">
        <w:trPr>
          <w:cantSplit/>
        </w:trPr>
        <w:tc>
          <w:tcPr>
            <w:tcW w:w="940" w:type="pct"/>
          </w:tcPr>
          <w:p w14:paraId="19FA67DE" w14:textId="146B96A2" w:rsidR="00164BC3" w:rsidRPr="00D74203" w:rsidRDefault="00C23395" w:rsidP="00DF2576">
            <w:pPr>
              <w:pStyle w:val="TableText0"/>
              <w:keepNext w:val="0"/>
              <w:keepLines w:val="0"/>
            </w:pPr>
            <w:r>
              <w:rPr>
                <w:rFonts w:cs="Calibri"/>
                <w:color w:val="000000"/>
                <w:szCs w:val="20"/>
              </w:rPr>
              <w:t>Percentage</w:t>
            </w:r>
            <w:r w:rsidRPr="00D74203">
              <w:rPr>
                <w:rFonts w:cs="Calibri"/>
                <w:color w:val="000000"/>
                <w:szCs w:val="20"/>
              </w:rPr>
              <w:t xml:space="preserve"> </w:t>
            </w:r>
            <w:r w:rsidR="00164BC3" w:rsidRPr="00D74203">
              <w:rPr>
                <w:rFonts w:cs="Calibri"/>
                <w:color w:val="000000"/>
                <w:szCs w:val="20"/>
              </w:rPr>
              <w:t>with nasopharynx, sinus or salivary gland cancers</w:t>
            </w:r>
          </w:p>
        </w:tc>
        <w:tc>
          <w:tcPr>
            <w:tcW w:w="1179" w:type="pct"/>
          </w:tcPr>
          <w:p w14:paraId="366F7149" w14:textId="77777777" w:rsidR="00164BC3" w:rsidRPr="00D74203" w:rsidRDefault="00164BC3" w:rsidP="00DF2576">
            <w:pPr>
              <w:pStyle w:val="TableText0"/>
              <w:keepNext w:val="0"/>
              <w:keepLines w:val="0"/>
            </w:pPr>
            <w:r w:rsidRPr="00D74203">
              <w:rPr>
                <w:rFonts w:cs="Calibri"/>
                <w:color w:val="000000"/>
                <w:szCs w:val="20"/>
              </w:rPr>
              <w:t>15%, AIHW 2024 Book 1a</w:t>
            </w:r>
          </w:p>
        </w:tc>
        <w:tc>
          <w:tcPr>
            <w:tcW w:w="2880" w:type="pct"/>
          </w:tcPr>
          <w:p w14:paraId="6C59DBDA" w14:textId="3227EBEC" w:rsidR="00164BC3" w:rsidRPr="00D74203" w:rsidRDefault="00164BC3" w:rsidP="00DF2576">
            <w:pPr>
              <w:pStyle w:val="TableText0"/>
              <w:keepNext w:val="0"/>
              <w:keepLines w:val="0"/>
              <w:rPr>
                <w:i/>
              </w:rPr>
            </w:pPr>
            <w:r w:rsidRPr="00D74203">
              <w:rPr>
                <w:rFonts w:cs="Calibri"/>
                <w:color w:val="000000"/>
                <w:szCs w:val="20"/>
              </w:rPr>
              <w:t xml:space="preserve">The </w:t>
            </w:r>
            <w:r w:rsidR="00C23395">
              <w:rPr>
                <w:rFonts w:cs="Calibri"/>
                <w:color w:val="000000"/>
                <w:szCs w:val="20"/>
              </w:rPr>
              <w:t>percentage</w:t>
            </w:r>
            <w:r w:rsidR="00C23395" w:rsidRPr="00D74203">
              <w:rPr>
                <w:rFonts w:cs="Calibri"/>
                <w:color w:val="000000"/>
                <w:szCs w:val="20"/>
              </w:rPr>
              <w:t xml:space="preserve"> </w:t>
            </w:r>
            <w:r w:rsidRPr="00D74203">
              <w:rPr>
                <w:rFonts w:cs="Calibri"/>
                <w:color w:val="000000"/>
                <w:szCs w:val="20"/>
              </w:rPr>
              <w:t xml:space="preserve">was taken as the sum of nasopharyngeal, sinus, sublingual, submandibular and parotid cancers over all head and neck cancers. </w:t>
            </w:r>
          </w:p>
        </w:tc>
      </w:tr>
      <w:tr w:rsidR="00164BC3" w:rsidRPr="00D74203" w14:paraId="61C833F7" w14:textId="77777777" w:rsidTr="007A0929">
        <w:trPr>
          <w:cantSplit/>
        </w:trPr>
        <w:tc>
          <w:tcPr>
            <w:tcW w:w="940" w:type="pct"/>
          </w:tcPr>
          <w:p w14:paraId="0E8261B4" w14:textId="64FB557A" w:rsidR="00164BC3" w:rsidRPr="00D74203" w:rsidRDefault="00C23395" w:rsidP="00DF2576">
            <w:pPr>
              <w:pStyle w:val="TableText0"/>
              <w:keepNext w:val="0"/>
              <w:keepLines w:val="0"/>
            </w:pPr>
            <w:r>
              <w:rPr>
                <w:rFonts w:cs="Calibri"/>
                <w:color w:val="000000"/>
                <w:szCs w:val="20"/>
              </w:rPr>
              <w:t>Percentage</w:t>
            </w:r>
            <w:r w:rsidRPr="00D74203">
              <w:rPr>
                <w:rFonts w:cs="Calibri"/>
                <w:color w:val="000000"/>
                <w:szCs w:val="20"/>
              </w:rPr>
              <w:t xml:space="preserve"> </w:t>
            </w:r>
            <w:r w:rsidR="00164BC3" w:rsidRPr="00D74203">
              <w:rPr>
                <w:rFonts w:cs="Calibri"/>
                <w:color w:val="000000"/>
                <w:szCs w:val="20"/>
              </w:rPr>
              <w:t>with squamous cell histology (HNSCC)</w:t>
            </w:r>
          </w:p>
        </w:tc>
        <w:tc>
          <w:tcPr>
            <w:tcW w:w="1179" w:type="pct"/>
          </w:tcPr>
          <w:p w14:paraId="3AEADC4E" w14:textId="77777777" w:rsidR="00164BC3" w:rsidRPr="00D74203" w:rsidRDefault="00164BC3" w:rsidP="00DF2576">
            <w:pPr>
              <w:pStyle w:val="TableText0"/>
              <w:keepNext w:val="0"/>
              <w:keepLines w:val="0"/>
            </w:pPr>
            <w:r w:rsidRPr="00D74203">
              <w:rPr>
                <w:rFonts w:cs="Calibri"/>
                <w:color w:val="000000"/>
                <w:szCs w:val="20"/>
              </w:rPr>
              <w:t>93%, Foley et al, 2023</w:t>
            </w:r>
          </w:p>
        </w:tc>
        <w:tc>
          <w:tcPr>
            <w:tcW w:w="2880" w:type="pct"/>
          </w:tcPr>
          <w:p w14:paraId="5F1272BA" w14:textId="4A8889B2" w:rsidR="00164BC3" w:rsidRPr="00D74203" w:rsidRDefault="00164BC3" w:rsidP="00DF2576">
            <w:pPr>
              <w:jc w:val="left"/>
              <w:rPr>
                <w:rFonts w:ascii="Arial Narrow" w:hAnsi="Arial Narrow" w:cs="Calibri"/>
                <w:color w:val="000000"/>
                <w:sz w:val="20"/>
                <w:szCs w:val="20"/>
              </w:rPr>
            </w:pPr>
            <w:r w:rsidRPr="00D74203">
              <w:rPr>
                <w:rFonts w:ascii="Arial Narrow" w:hAnsi="Arial Narrow" w:cs="Calibri"/>
                <w:color w:val="000000"/>
                <w:sz w:val="20"/>
                <w:szCs w:val="20"/>
              </w:rPr>
              <w:t xml:space="preserve">The </w:t>
            </w:r>
            <w:r w:rsidR="00C23395" w:rsidRPr="00C23395">
              <w:rPr>
                <w:rFonts w:ascii="Arial Narrow" w:hAnsi="Arial Narrow" w:cs="Calibri"/>
                <w:color w:val="000000"/>
                <w:sz w:val="20"/>
                <w:szCs w:val="20"/>
              </w:rPr>
              <w:t xml:space="preserve">percentage </w:t>
            </w:r>
            <w:r w:rsidRPr="00D74203">
              <w:rPr>
                <w:rFonts w:ascii="Arial Narrow" w:hAnsi="Arial Narrow" w:cs="Calibri"/>
                <w:color w:val="000000"/>
                <w:sz w:val="20"/>
                <w:szCs w:val="20"/>
              </w:rPr>
              <w:t xml:space="preserve">was taken from a Queensland statewide registry of head and neck cancers between 2013 and 2015. </w:t>
            </w:r>
          </w:p>
        </w:tc>
      </w:tr>
      <w:tr w:rsidR="00164BC3" w:rsidRPr="00D74203" w14:paraId="2D7262F8" w14:textId="77777777" w:rsidTr="007A0929">
        <w:trPr>
          <w:cantSplit/>
        </w:trPr>
        <w:tc>
          <w:tcPr>
            <w:tcW w:w="940" w:type="pct"/>
          </w:tcPr>
          <w:p w14:paraId="587E883C" w14:textId="5D5FA090" w:rsidR="00164BC3" w:rsidRPr="00D74203" w:rsidRDefault="00C23395" w:rsidP="00DF2576">
            <w:pPr>
              <w:pStyle w:val="TableText0"/>
              <w:keepNext w:val="0"/>
              <w:keepLines w:val="0"/>
            </w:pPr>
            <w:r>
              <w:rPr>
                <w:rFonts w:cs="Calibri"/>
                <w:color w:val="000000"/>
                <w:szCs w:val="20"/>
              </w:rPr>
              <w:t>Percentage</w:t>
            </w:r>
            <w:r w:rsidRPr="00D74203">
              <w:rPr>
                <w:rFonts w:cs="Calibri"/>
                <w:color w:val="000000"/>
                <w:szCs w:val="20"/>
              </w:rPr>
              <w:t xml:space="preserve"> </w:t>
            </w:r>
            <w:r w:rsidR="00164BC3" w:rsidRPr="00D74203">
              <w:rPr>
                <w:rFonts w:cs="Calibri"/>
                <w:color w:val="000000"/>
                <w:szCs w:val="20"/>
              </w:rPr>
              <w:t xml:space="preserve">with </w:t>
            </w:r>
            <w:r w:rsidR="00C352D9">
              <w:rPr>
                <w:rFonts w:cs="Calibri"/>
                <w:color w:val="000000"/>
                <w:szCs w:val="20"/>
              </w:rPr>
              <w:t>l</w:t>
            </w:r>
            <w:r w:rsidR="00164BC3" w:rsidRPr="00D74203">
              <w:rPr>
                <w:rFonts w:cs="Calibri"/>
                <w:color w:val="000000"/>
                <w:szCs w:val="20"/>
              </w:rPr>
              <w:t xml:space="preserve">ocally </w:t>
            </w:r>
            <w:r w:rsidR="00C352D9">
              <w:rPr>
                <w:rFonts w:cs="Calibri"/>
                <w:color w:val="000000"/>
                <w:szCs w:val="20"/>
              </w:rPr>
              <w:t>a</w:t>
            </w:r>
            <w:r w:rsidR="00164BC3" w:rsidRPr="00D74203">
              <w:rPr>
                <w:rFonts w:cs="Calibri"/>
                <w:color w:val="000000"/>
                <w:szCs w:val="20"/>
              </w:rPr>
              <w:t>dvanced disease</w:t>
            </w:r>
          </w:p>
        </w:tc>
        <w:tc>
          <w:tcPr>
            <w:tcW w:w="1179" w:type="pct"/>
          </w:tcPr>
          <w:p w14:paraId="093D4928" w14:textId="77777777" w:rsidR="00164BC3" w:rsidRPr="00D74203" w:rsidRDefault="00164BC3" w:rsidP="00DF2576">
            <w:pPr>
              <w:pStyle w:val="TableText0"/>
              <w:keepNext w:val="0"/>
              <w:keepLines w:val="0"/>
            </w:pPr>
            <w:r w:rsidRPr="00D74203">
              <w:rPr>
                <w:rFonts w:cs="Calibri"/>
                <w:color w:val="000000"/>
                <w:szCs w:val="20"/>
              </w:rPr>
              <w:t>58%, average of 7 Australian studies and externally validated with HNSCC Advisory Board</w:t>
            </w:r>
          </w:p>
        </w:tc>
        <w:tc>
          <w:tcPr>
            <w:tcW w:w="2880" w:type="pct"/>
          </w:tcPr>
          <w:p w14:paraId="0F2C3177" w14:textId="37323F58" w:rsidR="00164BC3" w:rsidRPr="00D74203" w:rsidRDefault="00164BC3" w:rsidP="00DF2576">
            <w:pPr>
              <w:pStyle w:val="TableText0"/>
              <w:keepNext w:val="0"/>
              <w:keepLines w:val="0"/>
              <w:rPr>
                <w:i/>
              </w:rPr>
            </w:pPr>
            <w:r w:rsidRPr="00D74203">
              <w:rPr>
                <w:rFonts w:cs="Calibri"/>
                <w:color w:val="000000"/>
                <w:szCs w:val="20"/>
              </w:rPr>
              <w:t xml:space="preserve">The </w:t>
            </w:r>
            <w:r w:rsidR="007F5992">
              <w:rPr>
                <w:rFonts w:cs="Calibri"/>
                <w:color w:val="000000"/>
                <w:szCs w:val="20"/>
              </w:rPr>
              <w:t xml:space="preserve">ESC noted that the </w:t>
            </w:r>
            <w:r w:rsidRPr="00D74203">
              <w:rPr>
                <w:rFonts w:cs="Calibri"/>
                <w:color w:val="000000"/>
                <w:szCs w:val="20"/>
              </w:rPr>
              <w:t>studies included in the calculation were not always representative of the proposed PBS population (as noted in the submission). As noted in the submission,</w:t>
            </w:r>
            <w:r w:rsidRPr="00D74203">
              <w:rPr>
                <w:rFonts w:cs="Calibri"/>
                <w:i/>
                <w:iCs/>
                <w:color w:val="000000"/>
                <w:szCs w:val="20"/>
              </w:rPr>
              <w:t xml:space="preserve"> </w:t>
            </w:r>
            <w:r w:rsidRPr="00E10298">
              <w:rPr>
                <w:rFonts w:cs="Calibri"/>
                <w:color w:val="000000"/>
                <w:szCs w:val="20"/>
              </w:rPr>
              <w:t xml:space="preserve">the Foley study used a different staging methodology which produces a significantly higher value. If the average, </w:t>
            </w:r>
            <w:r w:rsidR="00C23395" w:rsidRPr="00E10298">
              <w:rPr>
                <w:rFonts w:cs="Calibri"/>
                <w:color w:val="000000"/>
                <w:szCs w:val="20"/>
              </w:rPr>
              <w:t xml:space="preserve">without the </w:t>
            </w:r>
            <w:r w:rsidRPr="00E10298">
              <w:rPr>
                <w:rFonts w:cs="Calibri"/>
                <w:color w:val="000000"/>
                <w:szCs w:val="20"/>
              </w:rPr>
              <w:t>Foley</w:t>
            </w:r>
            <w:r w:rsidR="00C23395" w:rsidRPr="00E10298">
              <w:rPr>
                <w:rFonts w:cs="Calibri"/>
                <w:color w:val="000000"/>
                <w:szCs w:val="20"/>
              </w:rPr>
              <w:t xml:space="preserve"> study</w:t>
            </w:r>
            <w:r w:rsidRPr="00E10298">
              <w:rPr>
                <w:rFonts w:cs="Calibri"/>
                <w:color w:val="000000"/>
                <w:szCs w:val="20"/>
              </w:rPr>
              <w:t xml:space="preserve">, is taken the </w:t>
            </w:r>
            <w:r w:rsidR="00E10298">
              <w:rPr>
                <w:rFonts w:cs="Calibri"/>
                <w:color w:val="000000"/>
                <w:szCs w:val="20"/>
              </w:rPr>
              <w:t>percentage</w:t>
            </w:r>
            <w:r w:rsidR="00E10298" w:rsidRPr="00E10298">
              <w:rPr>
                <w:rFonts w:cs="Calibri"/>
                <w:color w:val="000000"/>
                <w:szCs w:val="20"/>
              </w:rPr>
              <w:t xml:space="preserve"> </w:t>
            </w:r>
            <w:r w:rsidRPr="00E10298">
              <w:rPr>
                <w:rFonts w:cs="Calibri"/>
                <w:color w:val="000000"/>
                <w:szCs w:val="20"/>
              </w:rPr>
              <w:t>is 55.6%.</w:t>
            </w:r>
            <w:r w:rsidR="00A343AF">
              <w:rPr>
                <w:rFonts w:cs="Calibri"/>
                <w:color w:val="000000"/>
                <w:szCs w:val="20"/>
              </w:rPr>
              <w:t xml:space="preserve"> </w:t>
            </w:r>
            <w:r w:rsidR="00A343AF" w:rsidRPr="00477630">
              <w:rPr>
                <w:rFonts w:cs="Calibri"/>
                <w:iCs/>
                <w:color w:val="000000"/>
                <w:szCs w:val="20"/>
              </w:rPr>
              <w:t xml:space="preserve">The PSCR </w:t>
            </w:r>
            <w:r w:rsidR="00541368" w:rsidRPr="00477630">
              <w:rPr>
                <w:rFonts w:cs="Calibri"/>
                <w:iCs/>
                <w:color w:val="000000"/>
                <w:szCs w:val="20"/>
              </w:rPr>
              <w:t xml:space="preserve">maintained that the inclusion of the Foley study was appropriate and noted </w:t>
            </w:r>
            <w:r w:rsidR="008B6E18" w:rsidRPr="00477630">
              <w:rPr>
                <w:rFonts w:cs="Calibri"/>
                <w:iCs/>
                <w:color w:val="000000"/>
                <w:szCs w:val="20"/>
              </w:rPr>
              <w:t xml:space="preserve">excluding it from the calculation </w:t>
            </w:r>
            <w:r w:rsidR="00541368" w:rsidRPr="00477630">
              <w:rPr>
                <w:rFonts w:cs="Calibri"/>
                <w:iCs/>
                <w:color w:val="000000"/>
                <w:szCs w:val="20"/>
              </w:rPr>
              <w:t xml:space="preserve">had minimal impact on the </w:t>
            </w:r>
            <w:r w:rsidR="00857996" w:rsidRPr="00477630">
              <w:rPr>
                <w:rFonts w:cs="Calibri"/>
                <w:iCs/>
                <w:color w:val="000000"/>
                <w:szCs w:val="20"/>
              </w:rPr>
              <w:t xml:space="preserve">financial estimates. </w:t>
            </w:r>
          </w:p>
        </w:tc>
      </w:tr>
      <w:tr w:rsidR="00164BC3" w:rsidRPr="00D74203" w14:paraId="597D02C7" w14:textId="77777777" w:rsidTr="007A0929">
        <w:trPr>
          <w:cantSplit/>
        </w:trPr>
        <w:tc>
          <w:tcPr>
            <w:tcW w:w="940" w:type="pct"/>
          </w:tcPr>
          <w:p w14:paraId="184B9B8A" w14:textId="5E4DDA41" w:rsidR="00164BC3" w:rsidRPr="00D74203" w:rsidRDefault="00C23395" w:rsidP="00DF2576">
            <w:pPr>
              <w:pStyle w:val="TableText0"/>
              <w:keepNext w:val="0"/>
              <w:keepLines w:val="0"/>
            </w:pPr>
            <w:r>
              <w:rPr>
                <w:rFonts w:cs="Calibri"/>
                <w:color w:val="000000"/>
                <w:szCs w:val="20"/>
              </w:rPr>
              <w:lastRenderedPageBreak/>
              <w:t>Percentage</w:t>
            </w:r>
            <w:r w:rsidRPr="00D74203">
              <w:rPr>
                <w:rFonts w:cs="Calibri"/>
                <w:color w:val="000000"/>
                <w:szCs w:val="20"/>
              </w:rPr>
              <w:t xml:space="preserve"> </w:t>
            </w:r>
            <w:r w:rsidR="00164BC3" w:rsidRPr="00D74203">
              <w:rPr>
                <w:rFonts w:cs="Calibri"/>
                <w:color w:val="000000"/>
                <w:szCs w:val="20"/>
              </w:rPr>
              <w:t>with resectable disease who receive surgery</w:t>
            </w:r>
          </w:p>
        </w:tc>
        <w:tc>
          <w:tcPr>
            <w:tcW w:w="1179" w:type="pct"/>
          </w:tcPr>
          <w:p w14:paraId="279AAFA3" w14:textId="77777777" w:rsidR="00164BC3" w:rsidRPr="00D74203" w:rsidRDefault="00164BC3" w:rsidP="00DF2576">
            <w:pPr>
              <w:pStyle w:val="TableText0"/>
              <w:keepNext w:val="0"/>
              <w:keepLines w:val="0"/>
            </w:pPr>
            <w:r w:rsidRPr="00D74203">
              <w:rPr>
                <w:rFonts w:cs="Calibri"/>
                <w:color w:val="000000"/>
                <w:szCs w:val="20"/>
              </w:rPr>
              <w:t>41%, average of 6 studies and externally validated with HNSCC Advisory Board</w:t>
            </w:r>
          </w:p>
        </w:tc>
        <w:tc>
          <w:tcPr>
            <w:tcW w:w="2880" w:type="pct"/>
          </w:tcPr>
          <w:p w14:paraId="59E16B0C" w14:textId="73BDDEC3" w:rsidR="00413DB8" w:rsidRDefault="00164BC3" w:rsidP="00DF2576">
            <w:pPr>
              <w:pStyle w:val="TableText0"/>
              <w:keepNext w:val="0"/>
              <w:keepLines w:val="0"/>
              <w:rPr>
                <w:rFonts w:cs="Calibri"/>
                <w:color w:val="000000"/>
                <w:szCs w:val="20"/>
              </w:rPr>
            </w:pPr>
            <w:r w:rsidRPr="00D74203">
              <w:rPr>
                <w:rFonts w:cs="Calibri"/>
                <w:color w:val="000000"/>
                <w:szCs w:val="20"/>
              </w:rPr>
              <w:t xml:space="preserve">The </w:t>
            </w:r>
            <w:r w:rsidR="00C23395">
              <w:rPr>
                <w:rFonts w:cs="Calibri"/>
                <w:color w:val="000000"/>
                <w:szCs w:val="20"/>
              </w:rPr>
              <w:t>percentage</w:t>
            </w:r>
            <w:r w:rsidR="00C23395" w:rsidRPr="00D74203">
              <w:rPr>
                <w:rFonts w:cs="Calibri"/>
                <w:color w:val="000000"/>
                <w:szCs w:val="20"/>
              </w:rPr>
              <w:t xml:space="preserve"> </w:t>
            </w:r>
            <w:r w:rsidRPr="00D74203">
              <w:rPr>
                <w:rFonts w:cs="Calibri"/>
                <w:color w:val="000000"/>
                <w:szCs w:val="20"/>
              </w:rPr>
              <w:t xml:space="preserve">was derived from the </w:t>
            </w:r>
            <w:r w:rsidR="00612155" w:rsidRPr="00D74203">
              <w:rPr>
                <w:rFonts w:cs="Calibri"/>
                <w:color w:val="000000"/>
                <w:szCs w:val="20"/>
              </w:rPr>
              <w:t>case mix</w:t>
            </w:r>
            <w:r w:rsidRPr="00D74203">
              <w:rPr>
                <w:rFonts w:cs="Calibri"/>
                <w:color w:val="000000"/>
                <w:szCs w:val="20"/>
              </w:rPr>
              <w:t xml:space="preserve"> of the six studies, weighted by the likely </w:t>
            </w:r>
            <w:proofErr w:type="spellStart"/>
            <w:r w:rsidRPr="00D74203">
              <w:rPr>
                <w:rFonts w:cs="Calibri"/>
                <w:color w:val="000000"/>
                <w:szCs w:val="20"/>
              </w:rPr>
              <w:t>resectability</w:t>
            </w:r>
            <w:proofErr w:type="spellEnd"/>
            <w:r w:rsidRPr="00D74203">
              <w:rPr>
                <w:rFonts w:cs="Calibri"/>
                <w:color w:val="000000"/>
                <w:szCs w:val="20"/>
              </w:rPr>
              <w:t xml:space="preserve"> of the four tumour sites (as validated by</w:t>
            </w:r>
            <w:r w:rsidR="00E90C8D">
              <w:rPr>
                <w:rFonts w:cs="Calibri"/>
                <w:color w:val="000000"/>
                <w:szCs w:val="20"/>
              </w:rPr>
              <w:t xml:space="preserve"> an</w:t>
            </w:r>
            <w:r w:rsidRPr="00D74203">
              <w:rPr>
                <w:rFonts w:cs="Calibri"/>
                <w:color w:val="000000"/>
                <w:szCs w:val="20"/>
              </w:rPr>
              <w:t xml:space="preserve"> HNSCC Advisory Board). Th</w:t>
            </w:r>
            <w:r w:rsidR="00F408AF">
              <w:rPr>
                <w:rFonts w:cs="Calibri"/>
                <w:color w:val="000000"/>
                <w:szCs w:val="20"/>
              </w:rPr>
              <w:t>e ESC noted that th</w:t>
            </w:r>
            <w:r w:rsidRPr="00D74203">
              <w:rPr>
                <w:rFonts w:cs="Calibri"/>
                <w:color w:val="000000"/>
                <w:szCs w:val="20"/>
              </w:rPr>
              <w:t>is resulted in a value that is at the top of the range of values reported in the original studies</w:t>
            </w:r>
            <w:r w:rsidRPr="00AD7AD3">
              <w:rPr>
                <w:rFonts w:cs="Calibri"/>
                <w:color w:val="000000"/>
                <w:szCs w:val="20"/>
              </w:rPr>
              <w:t>. If the average of the studies is used, the value is 36%.</w:t>
            </w:r>
            <w:r w:rsidR="00837DC8" w:rsidRPr="00477630">
              <w:rPr>
                <w:rFonts w:cs="Calibri"/>
                <w:iCs/>
                <w:color w:val="000000"/>
                <w:szCs w:val="20"/>
              </w:rPr>
              <w:t xml:space="preserve"> </w:t>
            </w:r>
            <w:r w:rsidR="00226576" w:rsidRPr="00477630">
              <w:rPr>
                <w:rFonts w:cs="Calibri"/>
                <w:iCs/>
                <w:color w:val="000000"/>
                <w:szCs w:val="20"/>
              </w:rPr>
              <w:t xml:space="preserve">The PSCR </w:t>
            </w:r>
            <w:r w:rsidR="00D65715" w:rsidRPr="00477630">
              <w:rPr>
                <w:rFonts w:cs="Calibri"/>
                <w:iCs/>
                <w:color w:val="000000"/>
                <w:szCs w:val="20"/>
              </w:rPr>
              <w:t xml:space="preserve">noted that the </w:t>
            </w:r>
            <w:proofErr w:type="spellStart"/>
            <w:r w:rsidR="00D65715" w:rsidRPr="00477630">
              <w:rPr>
                <w:rFonts w:cs="Calibri"/>
                <w:iCs/>
                <w:color w:val="000000"/>
                <w:szCs w:val="20"/>
              </w:rPr>
              <w:t>resectability</w:t>
            </w:r>
            <w:proofErr w:type="spellEnd"/>
            <w:r w:rsidR="00D65715" w:rsidRPr="00477630">
              <w:rPr>
                <w:rFonts w:cs="Calibri"/>
                <w:iCs/>
                <w:color w:val="000000"/>
                <w:szCs w:val="20"/>
              </w:rPr>
              <w:t xml:space="preserve"> of LA HNSCC can vary depending on tumour location, extent of invasion, and patient-specific factors such as fitness and comorbidities. Therefore, estimating the proportion of LA HNSCC largely depends on the case mix within the cohort used to inform the estimate. The Response argued that the submission reasonably used six large cohort studies to account for variation in case mix.</w:t>
            </w:r>
          </w:p>
          <w:p w14:paraId="74075E68" w14:textId="77777777" w:rsidR="00413DB8" w:rsidRDefault="00413DB8" w:rsidP="00DF2576">
            <w:pPr>
              <w:pStyle w:val="TableText0"/>
              <w:keepNext w:val="0"/>
              <w:keepLines w:val="0"/>
              <w:rPr>
                <w:rFonts w:cs="Calibri"/>
                <w:color w:val="000000"/>
                <w:szCs w:val="20"/>
              </w:rPr>
            </w:pPr>
          </w:p>
          <w:p w14:paraId="7450C406" w14:textId="736F544B" w:rsidR="00164BC3" w:rsidRPr="00836944" w:rsidRDefault="00836944" w:rsidP="00DF2576">
            <w:pPr>
              <w:pStyle w:val="TableText0"/>
              <w:keepNext w:val="0"/>
              <w:keepLines w:val="0"/>
              <w:rPr>
                <w:rFonts w:cs="Calibri"/>
                <w:i/>
                <w:iCs/>
                <w:color w:val="000000"/>
                <w:szCs w:val="20"/>
              </w:rPr>
            </w:pPr>
            <w:r w:rsidRPr="00477630">
              <w:rPr>
                <w:rFonts w:cs="Calibri"/>
                <w:iCs/>
                <w:color w:val="000000"/>
                <w:szCs w:val="20"/>
              </w:rPr>
              <w:t xml:space="preserve">The PSCR also noted that there </w:t>
            </w:r>
            <w:r w:rsidR="005D64ED" w:rsidRPr="00477630">
              <w:rPr>
                <w:rFonts w:cs="Calibri"/>
                <w:iCs/>
                <w:color w:val="000000"/>
                <w:szCs w:val="20"/>
              </w:rPr>
              <w:t>wa</w:t>
            </w:r>
            <w:r w:rsidRPr="00477630">
              <w:rPr>
                <w:rFonts w:cs="Calibri"/>
                <w:iCs/>
                <w:color w:val="000000"/>
                <w:szCs w:val="20"/>
              </w:rPr>
              <w:t xml:space="preserve">s </w:t>
            </w:r>
            <w:r w:rsidR="005D64ED" w:rsidRPr="00477630">
              <w:rPr>
                <w:rFonts w:cs="Calibri"/>
                <w:iCs/>
                <w:color w:val="000000"/>
                <w:szCs w:val="20"/>
              </w:rPr>
              <w:t xml:space="preserve">likely to be </w:t>
            </w:r>
            <w:r w:rsidR="00226576" w:rsidRPr="00477630">
              <w:rPr>
                <w:rFonts w:cs="Calibri"/>
                <w:iCs/>
                <w:color w:val="000000"/>
                <w:szCs w:val="20"/>
              </w:rPr>
              <w:t>overlap between ECOG PS (85% applied in the UCM) and the criteria used to assess surgical eligibility,</w:t>
            </w:r>
            <w:r w:rsidR="00C23248" w:rsidRPr="00477630">
              <w:rPr>
                <w:rFonts w:cs="Calibri"/>
                <w:iCs/>
                <w:color w:val="000000"/>
                <w:szCs w:val="20"/>
              </w:rPr>
              <w:t xml:space="preserve"> and</w:t>
            </w:r>
            <w:r w:rsidR="00226576" w:rsidRPr="00477630">
              <w:rPr>
                <w:rFonts w:cs="Calibri"/>
                <w:iCs/>
                <w:color w:val="000000"/>
                <w:szCs w:val="20"/>
              </w:rPr>
              <w:t xml:space="preserve"> including ECOG PS as a separate criterion in the financial estimates could lead to double counting, ultimately underestimating the net cost to government. </w:t>
            </w:r>
          </w:p>
        </w:tc>
      </w:tr>
      <w:tr w:rsidR="00164BC3" w:rsidRPr="00D74203" w14:paraId="0A6B457A" w14:textId="77777777" w:rsidTr="007A0929">
        <w:trPr>
          <w:cantSplit/>
        </w:trPr>
        <w:tc>
          <w:tcPr>
            <w:tcW w:w="940" w:type="pct"/>
          </w:tcPr>
          <w:p w14:paraId="2BE07C03" w14:textId="77777777" w:rsidR="00164BC3" w:rsidRPr="00D74203" w:rsidRDefault="00164BC3" w:rsidP="00DF2576">
            <w:pPr>
              <w:pStyle w:val="TableText0"/>
              <w:keepNext w:val="0"/>
              <w:keepLines w:val="0"/>
            </w:pPr>
            <w:r w:rsidRPr="00D74203">
              <w:rPr>
                <w:rFonts w:cs="Calibri"/>
                <w:color w:val="000000"/>
                <w:szCs w:val="20"/>
              </w:rPr>
              <w:t>ECOG PS 0-1</w:t>
            </w:r>
          </w:p>
        </w:tc>
        <w:tc>
          <w:tcPr>
            <w:tcW w:w="1179" w:type="pct"/>
          </w:tcPr>
          <w:p w14:paraId="5E025242" w14:textId="77777777" w:rsidR="00164BC3" w:rsidRPr="00D74203" w:rsidRDefault="00164BC3" w:rsidP="00DF2576">
            <w:pPr>
              <w:pStyle w:val="TableText0"/>
              <w:keepNext w:val="0"/>
              <w:keepLines w:val="0"/>
            </w:pPr>
            <w:r w:rsidRPr="00D74203">
              <w:rPr>
                <w:rFonts w:cs="Calibri"/>
                <w:color w:val="000000"/>
                <w:szCs w:val="20"/>
              </w:rPr>
              <w:t>85%, Tarallo et al. 2020</w:t>
            </w:r>
          </w:p>
        </w:tc>
        <w:tc>
          <w:tcPr>
            <w:tcW w:w="2880" w:type="pct"/>
          </w:tcPr>
          <w:p w14:paraId="1A1A9FA5" w14:textId="73441C3C" w:rsidR="00164BC3" w:rsidRPr="00D74203" w:rsidRDefault="00164BC3" w:rsidP="00DF2576">
            <w:pPr>
              <w:jc w:val="left"/>
              <w:rPr>
                <w:rFonts w:ascii="Arial Narrow" w:hAnsi="Arial Narrow" w:cs="Calibri"/>
                <w:color w:val="000000"/>
                <w:sz w:val="20"/>
                <w:szCs w:val="20"/>
              </w:rPr>
            </w:pPr>
            <w:r w:rsidRPr="00D74203">
              <w:rPr>
                <w:rFonts w:ascii="Arial Narrow" w:hAnsi="Arial Narrow" w:cs="Calibri"/>
                <w:color w:val="000000"/>
                <w:sz w:val="20"/>
                <w:szCs w:val="20"/>
              </w:rPr>
              <w:t xml:space="preserve">This </w:t>
            </w:r>
            <w:r w:rsidR="00D64EB4">
              <w:rPr>
                <w:rFonts w:ascii="Arial Narrow" w:hAnsi="Arial Narrow" w:cs="Calibri"/>
                <w:color w:val="000000"/>
                <w:sz w:val="20"/>
                <w:szCs w:val="20"/>
              </w:rPr>
              <w:t>percentage</w:t>
            </w:r>
            <w:r w:rsidRPr="00D74203">
              <w:rPr>
                <w:rFonts w:ascii="Arial Narrow" w:hAnsi="Arial Narrow" w:cs="Calibri"/>
                <w:color w:val="000000"/>
                <w:sz w:val="20"/>
                <w:szCs w:val="20"/>
              </w:rPr>
              <w:t xml:space="preserve"> was taken from a study of French, Germany, UK, Spanish, Italian and US patients and validated by </w:t>
            </w:r>
            <w:r w:rsidR="000541EA">
              <w:rPr>
                <w:rFonts w:ascii="Arial Narrow" w:hAnsi="Arial Narrow" w:cs="Calibri"/>
                <w:color w:val="000000"/>
                <w:sz w:val="20"/>
                <w:szCs w:val="20"/>
              </w:rPr>
              <w:t>an</w:t>
            </w:r>
            <w:r w:rsidR="000541EA" w:rsidRPr="00D74203">
              <w:rPr>
                <w:rFonts w:ascii="Arial Narrow" w:hAnsi="Arial Narrow" w:cs="Calibri"/>
                <w:color w:val="000000"/>
                <w:sz w:val="20"/>
                <w:szCs w:val="20"/>
              </w:rPr>
              <w:t xml:space="preserve"> </w:t>
            </w:r>
            <w:r w:rsidRPr="00D74203">
              <w:rPr>
                <w:rFonts w:ascii="Arial Narrow" w:hAnsi="Arial Narrow" w:cs="Calibri"/>
                <w:color w:val="000000"/>
                <w:sz w:val="20"/>
                <w:szCs w:val="20"/>
              </w:rPr>
              <w:t>HNSCC Advisory Board.</w:t>
            </w:r>
          </w:p>
        </w:tc>
      </w:tr>
      <w:tr w:rsidR="00164BC3" w:rsidRPr="00D74203" w14:paraId="53BE49BD" w14:textId="77777777" w:rsidTr="007A0929">
        <w:trPr>
          <w:cantSplit/>
        </w:trPr>
        <w:tc>
          <w:tcPr>
            <w:tcW w:w="940" w:type="pct"/>
          </w:tcPr>
          <w:p w14:paraId="50550634" w14:textId="54BBF6A7" w:rsidR="00164BC3" w:rsidRPr="00D74203" w:rsidRDefault="00164BC3" w:rsidP="00DF2576">
            <w:pPr>
              <w:pStyle w:val="TableText0"/>
              <w:keepNext w:val="0"/>
              <w:keepLines w:val="0"/>
            </w:pPr>
            <w:r w:rsidRPr="00D74203">
              <w:t>Uptake – initial treatment</w:t>
            </w:r>
            <w:r w:rsidR="004B5686">
              <w:t xml:space="preserve"> (neoadjuvant)</w:t>
            </w:r>
          </w:p>
        </w:tc>
        <w:tc>
          <w:tcPr>
            <w:tcW w:w="1179" w:type="pct"/>
          </w:tcPr>
          <w:p w14:paraId="68DBCB29" w14:textId="2B699D8B" w:rsidR="00164BC3" w:rsidRPr="00D74203" w:rsidRDefault="00164BC3" w:rsidP="00DF2576">
            <w:pPr>
              <w:pStyle w:val="TableText0"/>
              <w:keepNext w:val="0"/>
              <w:keepLines w:val="0"/>
            </w:pPr>
            <w:r w:rsidRPr="00D74203">
              <w:t>90%, assumption</w:t>
            </w:r>
          </w:p>
        </w:tc>
        <w:tc>
          <w:tcPr>
            <w:tcW w:w="2880" w:type="pct"/>
          </w:tcPr>
          <w:p w14:paraId="530DCEAB" w14:textId="36B54667" w:rsidR="00164BC3" w:rsidRPr="00A21F38" w:rsidRDefault="00A21F38" w:rsidP="00DF2576">
            <w:pPr>
              <w:pStyle w:val="TableText0"/>
              <w:keepNext w:val="0"/>
              <w:keepLines w:val="0"/>
              <w:rPr>
                <w:iCs/>
              </w:rPr>
            </w:pPr>
            <w:r w:rsidRPr="00477630">
              <w:t>The evaluation considered that</w:t>
            </w:r>
            <w:r>
              <w:rPr>
                <w:iCs/>
              </w:rPr>
              <w:t xml:space="preserve"> g</w:t>
            </w:r>
            <w:r w:rsidR="00164BC3" w:rsidRPr="00A21F38">
              <w:rPr>
                <w:iCs/>
              </w:rPr>
              <w:t>iven the limited alternative treatments, this level of uptake is likely to be achieved; however, it is a source of uncertainty.</w:t>
            </w:r>
          </w:p>
        </w:tc>
      </w:tr>
      <w:tr w:rsidR="00164BC3" w:rsidRPr="00D74203" w14:paraId="7479BCE7" w14:textId="77777777" w:rsidTr="007A0929">
        <w:trPr>
          <w:cantSplit/>
        </w:trPr>
        <w:tc>
          <w:tcPr>
            <w:tcW w:w="940" w:type="pct"/>
          </w:tcPr>
          <w:p w14:paraId="461FCCC6" w14:textId="0E9DDA90" w:rsidR="00164BC3" w:rsidRPr="00D74203" w:rsidRDefault="00164BC3" w:rsidP="00DF2576">
            <w:pPr>
              <w:pStyle w:val="TableText0"/>
              <w:keepNext w:val="0"/>
              <w:keepLines w:val="0"/>
            </w:pPr>
            <w:r w:rsidRPr="00D74203">
              <w:t>Uptake – continuing treatment</w:t>
            </w:r>
            <w:r w:rsidR="00C30647">
              <w:t xml:space="preserve"> (adjuvant)</w:t>
            </w:r>
          </w:p>
        </w:tc>
        <w:tc>
          <w:tcPr>
            <w:tcW w:w="1179" w:type="pct"/>
          </w:tcPr>
          <w:p w14:paraId="4CFF9E19" w14:textId="3F959106" w:rsidR="00164BC3" w:rsidRPr="00D74203" w:rsidRDefault="00164BC3" w:rsidP="00DF2576">
            <w:pPr>
              <w:pStyle w:val="TableText0"/>
              <w:keepNext w:val="0"/>
              <w:keepLines w:val="0"/>
            </w:pPr>
            <w:r w:rsidRPr="00D74203">
              <w:t>70% KN689 CSR IA1 Patient Disposition</w:t>
            </w:r>
          </w:p>
        </w:tc>
        <w:tc>
          <w:tcPr>
            <w:tcW w:w="2880" w:type="pct"/>
          </w:tcPr>
          <w:p w14:paraId="0560FA94" w14:textId="67E95B8F" w:rsidR="00164BC3" w:rsidRPr="00E72E54" w:rsidRDefault="00164BC3" w:rsidP="00DF2576">
            <w:pPr>
              <w:pStyle w:val="TableText0"/>
              <w:keepNext w:val="0"/>
              <w:keepLines w:val="0"/>
              <w:rPr>
                <w:iCs/>
              </w:rPr>
            </w:pPr>
            <w:r w:rsidRPr="00E72E54">
              <w:rPr>
                <w:iCs/>
              </w:rPr>
              <w:t xml:space="preserve">The </w:t>
            </w:r>
            <w:r w:rsidR="00D64EB4" w:rsidRPr="00E72E54">
              <w:rPr>
                <w:iCs/>
              </w:rPr>
              <w:t>percentage</w:t>
            </w:r>
            <w:r w:rsidRPr="00E72E54">
              <w:rPr>
                <w:iCs/>
              </w:rPr>
              <w:t xml:space="preserve"> was used to account for the 30% of patients who receive neoadjuvant treatment and do not later receive adju</w:t>
            </w:r>
            <w:r w:rsidR="00F44950" w:rsidRPr="00E72E54">
              <w:rPr>
                <w:iCs/>
              </w:rPr>
              <w:t>v</w:t>
            </w:r>
            <w:r w:rsidRPr="00E72E54">
              <w:rPr>
                <w:iCs/>
              </w:rPr>
              <w:t xml:space="preserve">ant treatment. This aligns with the </w:t>
            </w:r>
            <w:r w:rsidR="00E72E54" w:rsidRPr="00E72E54">
              <w:rPr>
                <w:iCs/>
              </w:rPr>
              <w:t xml:space="preserve">percentages </w:t>
            </w:r>
            <w:r w:rsidRPr="00E72E54">
              <w:rPr>
                <w:iCs/>
              </w:rPr>
              <w:t xml:space="preserve">applied in the </w:t>
            </w:r>
            <w:r w:rsidR="0027049B" w:rsidRPr="00E72E54">
              <w:rPr>
                <w:iCs/>
              </w:rPr>
              <w:t>economic</w:t>
            </w:r>
            <w:r w:rsidRPr="00E72E54">
              <w:rPr>
                <w:iCs/>
              </w:rPr>
              <w:t xml:space="preserve"> model.</w:t>
            </w:r>
          </w:p>
        </w:tc>
      </w:tr>
      <w:tr w:rsidR="00164BC3" w:rsidRPr="00D74203" w14:paraId="4AE366AD" w14:textId="77777777" w:rsidTr="007A0929">
        <w:trPr>
          <w:cantSplit/>
        </w:trPr>
        <w:tc>
          <w:tcPr>
            <w:tcW w:w="940" w:type="pct"/>
          </w:tcPr>
          <w:p w14:paraId="7D50F282" w14:textId="77777777" w:rsidR="00164BC3" w:rsidRPr="00127703" w:rsidRDefault="00164BC3" w:rsidP="00DF2576">
            <w:pPr>
              <w:pStyle w:val="TableText0"/>
              <w:keepNext w:val="0"/>
              <w:keepLines w:val="0"/>
            </w:pPr>
            <w:r w:rsidRPr="00127703">
              <w:t>Grandfathered patients</w:t>
            </w:r>
          </w:p>
        </w:tc>
        <w:tc>
          <w:tcPr>
            <w:tcW w:w="1179" w:type="pct"/>
          </w:tcPr>
          <w:p w14:paraId="25746A87" w14:textId="76BD591B" w:rsidR="00164BC3" w:rsidRPr="00127703" w:rsidRDefault="00576021" w:rsidP="00DF2576">
            <w:pPr>
              <w:pStyle w:val="TableText0"/>
              <w:keepNext w:val="0"/>
              <w:keepLines w:val="0"/>
            </w:pPr>
            <w:r w:rsidRPr="001758D2">
              <w:rPr>
                <w:highlight w:val="black"/>
              </w:rPr>
              <w:t>&amp;&amp;&amp;&amp;</w:t>
            </w:r>
            <w:r w:rsidR="0074193C">
              <w:rPr>
                <w:vertAlign w:val="superscript"/>
              </w:rPr>
              <w:t>1</w:t>
            </w:r>
            <w:r w:rsidR="00164BC3" w:rsidRPr="00127703">
              <w:t>, sponsor assumption</w:t>
            </w:r>
          </w:p>
        </w:tc>
        <w:tc>
          <w:tcPr>
            <w:tcW w:w="2880" w:type="pct"/>
          </w:tcPr>
          <w:p w14:paraId="7E2775E9" w14:textId="610828A2" w:rsidR="00164BC3" w:rsidRPr="00D74203" w:rsidRDefault="00164BC3" w:rsidP="00DF2576">
            <w:pPr>
              <w:jc w:val="left"/>
              <w:rPr>
                <w:rFonts w:ascii="Arial Narrow" w:hAnsi="Arial Narrow" w:cs="Calibri"/>
                <w:color w:val="000000"/>
                <w:sz w:val="20"/>
                <w:szCs w:val="22"/>
              </w:rPr>
            </w:pPr>
            <w:r w:rsidRPr="00D74203">
              <w:rPr>
                <w:rFonts w:ascii="Arial Narrow" w:hAnsi="Arial Narrow" w:cs="Calibri"/>
                <w:color w:val="000000"/>
                <w:sz w:val="20"/>
                <w:szCs w:val="20"/>
              </w:rPr>
              <w:t xml:space="preserve">The submission proposed the </w:t>
            </w:r>
            <w:r w:rsidRPr="00127703">
              <w:rPr>
                <w:rFonts w:ascii="Arial Narrow" w:hAnsi="Arial Narrow" w:cs="Calibri"/>
                <w:color w:val="000000"/>
                <w:sz w:val="20"/>
                <w:szCs w:val="20"/>
              </w:rPr>
              <w:t xml:space="preserve">inclusion of </w:t>
            </w:r>
            <w:r w:rsidR="00576021" w:rsidRPr="001758D2">
              <w:rPr>
                <w:rFonts w:ascii="Arial Narrow" w:hAnsi="Arial Narrow" w:cs="Calibri"/>
                <w:color w:val="000000"/>
                <w:sz w:val="20"/>
                <w:szCs w:val="20"/>
                <w:highlight w:val="black"/>
              </w:rPr>
              <w:t>&amp;&amp;&amp;&amp;</w:t>
            </w:r>
            <w:r w:rsidR="0074193C">
              <w:rPr>
                <w:rFonts w:ascii="Arial Narrow" w:hAnsi="Arial Narrow" w:cs="Calibri"/>
                <w:color w:val="000000"/>
                <w:sz w:val="20"/>
                <w:szCs w:val="20"/>
                <w:vertAlign w:val="superscript"/>
              </w:rPr>
              <w:t>1</w:t>
            </w:r>
            <w:r w:rsidRPr="00127703">
              <w:rPr>
                <w:rFonts w:ascii="Arial Narrow" w:hAnsi="Arial Narrow" w:cs="Calibri"/>
                <w:color w:val="000000"/>
                <w:sz w:val="20"/>
                <w:szCs w:val="20"/>
              </w:rPr>
              <w:t xml:space="preserve"> patients from</w:t>
            </w:r>
            <w:r w:rsidRPr="00D74203">
              <w:rPr>
                <w:rFonts w:ascii="Arial Narrow" w:hAnsi="Arial Narrow" w:cs="Calibri"/>
                <w:color w:val="000000"/>
                <w:sz w:val="20"/>
                <w:szCs w:val="20"/>
              </w:rPr>
              <w:t xml:space="preserve"> a patient familiarisation program. </w:t>
            </w:r>
            <w:r w:rsidR="00FB2545" w:rsidRPr="00051FC7">
              <w:rPr>
                <w:rFonts w:ascii="Arial Narrow" w:hAnsi="Arial Narrow" w:cs="Calibri"/>
                <w:color w:val="000000"/>
                <w:sz w:val="20"/>
                <w:szCs w:val="20"/>
              </w:rPr>
              <w:t>These patients were subtracted from the incident patient population</w:t>
            </w:r>
            <w:r w:rsidR="00266E3D">
              <w:rPr>
                <w:rFonts w:ascii="Arial Narrow" w:hAnsi="Arial Narrow" w:cs="Calibri"/>
                <w:color w:val="000000"/>
                <w:sz w:val="20"/>
                <w:szCs w:val="20"/>
              </w:rPr>
              <w:t>.</w:t>
            </w:r>
          </w:p>
        </w:tc>
      </w:tr>
      <w:tr w:rsidR="00164BC3" w:rsidRPr="00D74203" w14:paraId="41423DCE" w14:textId="77777777" w:rsidTr="007A0929">
        <w:trPr>
          <w:cantSplit/>
        </w:trPr>
        <w:tc>
          <w:tcPr>
            <w:tcW w:w="940" w:type="pct"/>
          </w:tcPr>
          <w:p w14:paraId="10E6DE95" w14:textId="77777777" w:rsidR="00164BC3" w:rsidRPr="00D74203" w:rsidRDefault="00164BC3" w:rsidP="00DF2576">
            <w:pPr>
              <w:pStyle w:val="TableText0"/>
              <w:keepNext w:val="0"/>
              <w:keepLines w:val="0"/>
            </w:pPr>
            <w:r w:rsidRPr="00D74203">
              <w:rPr>
                <w:rFonts w:cs="Calibri"/>
                <w:color w:val="000000"/>
                <w:szCs w:val="20"/>
              </w:rPr>
              <w:t>Total scripts</w:t>
            </w:r>
          </w:p>
        </w:tc>
        <w:tc>
          <w:tcPr>
            <w:tcW w:w="1179" w:type="pct"/>
          </w:tcPr>
          <w:p w14:paraId="03F5A48B" w14:textId="21A5E697" w:rsidR="00164BC3" w:rsidRPr="00D74203" w:rsidRDefault="004B649C" w:rsidP="00DF2576">
            <w:pPr>
              <w:pStyle w:val="TableText0"/>
              <w:keepNext w:val="0"/>
              <w:keepLines w:val="0"/>
            </w:pPr>
            <w:r w:rsidRPr="00D74203">
              <w:rPr>
                <w:rFonts w:cs="Calibri"/>
                <w:color w:val="000000"/>
                <w:szCs w:val="20"/>
              </w:rPr>
              <w:t xml:space="preserve">13.37 per patient over </w:t>
            </w:r>
            <w:r w:rsidR="00164BC3" w:rsidRPr="00D74203">
              <w:rPr>
                <w:rFonts w:cs="Calibri"/>
                <w:color w:val="000000"/>
                <w:szCs w:val="20"/>
              </w:rPr>
              <w:t>40.10 weeks, assuming 100% compliance</w:t>
            </w:r>
          </w:p>
        </w:tc>
        <w:tc>
          <w:tcPr>
            <w:tcW w:w="2880" w:type="pct"/>
          </w:tcPr>
          <w:p w14:paraId="01B614A2" w14:textId="192577EF" w:rsidR="00164BC3" w:rsidRPr="00051FC7" w:rsidRDefault="00164BC3" w:rsidP="00DF2576">
            <w:pPr>
              <w:pStyle w:val="TableText0"/>
              <w:keepNext w:val="0"/>
              <w:keepLines w:val="0"/>
              <w:rPr>
                <w:iCs/>
              </w:rPr>
            </w:pPr>
            <w:r w:rsidRPr="00051FC7">
              <w:rPr>
                <w:iCs/>
              </w:rPr>
              <w:t xml:space="preserve">This was consistent with the </w:t>
            </w:r>
            <w:r w:rsidR="0027049B" w:rsidRPr="00051FC7">
              <w:rPr>
                <w:iCs/>
              </w:rPr>
              <w:t>pivotal trial and the treatment duration applied to the economic model</w:t>
            </w:r>
            <w:r w:rsidR="00DB506F">
              <w:rPr>
                <w:iCs/>
              </w:rPr>
              <w:t xml:space="preserve">. </w:t>
            </w:r>
            <w:r w:rsidR="00DB506F" w:rsidRPr="00477630">
              <w:t>For grandfathered patients, 6.68 scripts were assumed.</w:t>
            </w:r>
          </w:p>
        </w:tc>
      </w:tr>
      <w:tr w:rsidR="00164BC3" w:rsidRPr="00D74203" w14:paraId="73081620" w14:textId="77777777" w:rsidTr="007A0929">
        <w:trPr>
          <w:cantSplit/>
        </w:trPr>
        <w:tc>
          <w:tcPr>
            <w:tcW w:w="940" w:type="pct"/>
          </w:tcPr>
          <w:p w14:paraId="2549CF19" w14:textId="77777777" w:rsidR="00164BC3" w:rsidRPr="00D74203" w:rsidRDefault="00164BC3" w:rsidP="00DF2576">
            <w:pPr>
              <w:pStyle w:val="TableText0"/>
              <w:keepNext w:val="0"/>
              <w:keepLines w:val="0"/>
            </w:pPr>
            <w:r w:rsidRPr="00D74203">
              <w:t>MBS items</w:t>
            </w:r>
          </w:p>
        </w:tc>
        <w:tc>
          <w:tcPr>
            <w:tcW w:w="1179" w:type="pct"/>
          </w:tcPr>
          <w:p w14:paraId="1B9AB299" w14:textId="77777777" w:rsidR="00164BC3" w:rsidRPr="00D74203" w:rsidRDefault="00164BC3" w:rsidP="00DF2576">
            <w:pPr>
              <w:jc w:val="left"/>
              <w:rPr>
                <w:rFonts w:ascii="Arial Narrow" w:hAnsi="Arial Narrow" w:cs="Calibri"/>
                <w:color w:val="000000"/>
                <w:sz w:val="20"/>
                <w:szCs w:val="20"/>
              </w:rPr>
            </w:pPr>
            <w:r w:rsidRPr="00D74203">
              <w:rPr>
                <w:rFonts w:ascii="Arial Narrow" w:hAnsi="Arial Narrow" w:cs="Calibri"/>
                <w:color w:val="000000"/>
                <w:sz w:val="20"/>
                <w:szCs w:val="20"/>
              </w:rPr>
              <w:t>$126.00 (MBS item 13950)</w:t>
            </w:r>
            <w:r w:rsidRPr="00D74203">
              <w:rPr>
                <w:rFonts w:ascii="Arial Narrow" w:hAnsi="Arial Narrow" w:cs="Calibri"/>
                <w:color w:val="000000"/>
                <w:sz w:val="20"/>
                <w:szCs w:val="20"/>
              </w:rPr>
              <w:br/>
              <w:t>$100.80 at 80%</w:t>
            </w:r>
            <w:r w:rsidRPr="00D74203">
              <w:rPr>
                <w:rFonts w:ascii="Arial Narrow" w:hAnsi="Arial Narrow" w:cs="Calibri"/>
                <w:color w:val="000000"/>
                <w:sz w:val="20"/>
                <w:szCs w:val="20"/>
              </w:rPr>
              <w:br/>
            </w:r>
            <w:r w:rsidRPr="00D74203">
              <w:rPr>
                <w:rFonts w:ascii="Arial Narrow" w:hAnsi="Arial Narrow" w:cs="Calibri"/>
                <w:color w:val="000000"/>
                <w:sz w:val="20"/>
                <w:szCs w:val="20"/>
              </w:rPr>
              <w:br/>
              <w:t>1 service per script</w:t>
            </w:r>
          </w:p>
        </w:tc>
        <w:tc>
          <w:tcPr>
            <w:tcW w:w="2880" w:type="pct"/>
          </w:tcPr>
          <w:p w14:paraId="18C25A1F" w14:textId="215AC5E0" w:rsidR="00164BC3" w:rsidRPr="00D74203" w:rsidRDefault="00164BC3" w:rsidP="00DF2576">
            <w:pPr>
              <w:jc w:val="left"/>
              <w:rPr>
                <w:rFonts w:ascii="Arial Narrow" w:hAnsi="Arial Narrow" w:cs="Calibri"/>
                <w:color w:val="000000"/>
                <w:sz w:val="20"/>
                <w:szCs w:val="22"/>
              </w:rPr>
            </w:pPr>
            <w:r w:rsidRPr="00D74203">
              <w:rPr>
                <w:rFonts w:ascii="Arial Narrow" w:hAnsi="Arial Narrow" w:cs="Calibri"/>
                <w:color w:val="000000"/>
                <w:sz w:val="20"/>
                <w:szCs w:val="20"/>
              </w:rPr>
              <w:t xml:space="preserve">The submission proposed inclusion of MBS Item 13950 for the administration of pembrolizumab. </w:t>
            </w:r>
          </w:p>
        </w:tc>
      </w:tr>
    </w:tbl>
    <w:p w14:paraId="333A7A01" w14:textId="77777777" w:rsidR="00D014AF" w:rsidRPr="0091177B" w:rsidRDefault="00D466E0" w:rsidP="00677261">
      <w:pPr>
        <w:pStyle w:val="TableFigureFooter"/>
        <w:rPr>
          <w:i w:val="0"/>
          <w:iCs w:val="0"/>
        </w:rPr>
      </w:pPr>
      <w:r w:rsidRPr="0091177B">
        <w:rPr>
          <w:i w:val="0"/>
          <w:iCs w:val="0"/>
        </w:rPr>
        <w:t>Source: The financial estimates from the submission: 10. Registry population, 2a. Patients - incident, 2d. Patients - DTG, 3a. Scripts - proposed, 2c. Patients - GF, 3b. Impact - proposed (pub), 3c. Impact - proposed (eff), 2e. Scripts - market, 7. Net changes – MBS.</w:t>
      </w:r>
    </w:p>
    <w:p w14:paraId="4B4D7004" w14:textId="77777777" w:rsidR="0074193C" w:rsidRPr="0091177B" w:rsidRDefault="00164BC3" w:rsidP="00677261">
      <w:pPr>
        <w:pStyle w:val="TableFigureFooter"/>
        <w:rPr>
          <w:i w:val="0"/>
          <w:iCs w:val="0"/>
          <w:szCs w:val="18"/>
        </w:rPr>
      </w:pPr>
      <w:r w:rsidRPr="0091177B">
        <w:rPr>
          <w:i w:val="0"/>
          <w:iCs w:val="0"/>
        </w:rPr>
        <w:t xml:space="preserve">AIHW = Australian Institute of Health and Welfare; CEA = cost-effectiveness analysis; CSR = clinical study report; ECOG = Eastern Cooperative Oncology </w:t>
      </w:r>
      <w:r w:rsidR="00CC4977" w:rsidRPr="0091177B">
        <w:rPr>
          <w:i w:val="0"/>
          <w:iCs w:val="0"/>
        </w:rPr>
        <w:t>Group;</w:t>
      </w:r>
      <w:r w:rsidRPr="0091177B">
        <w:rPr>
          <w:i w:val="0"/>
          <w:iCs w:val="0"/>
        </w:rPr>
        <w:t xml:space="preserve"> HNSCC = head and neck squamous cell carcinoma; MBS = Medicare benefits </w:t>
      </w:r>
      <w:r w:rsidR="00CC4977" w:rsidRPr="0091177B">
        <w:rPr>
          <w:i w:val="0"/>
          <w:iCs w:val="0"/>
        </w:rPr>
        <w:t>schedule;</w:t>
      </w:r>
      <w:r w:rsidRPr="0091177B">
        <w:rPr>
          <w:i w:val="0"/>
          <w:iCs w:val="0"/>
        </w:rPr>
        <w:t xml:space="preserve"> PBS = Pharmaceutical Benefits Scheme; PS = performance status; UK = United Kingdom</w:t>
      </w:r>
      <w:r w:rsidR="00CC4977" w:rsidRPr="0091177B">
        <w:rPr>
          <w:i w:val="0"/>
          <w:iCs w:val="0"/>
        </w:rPr>
        <w:t>; US = United States</w:t>
      </w:r>
      <w:r w:rsidR="0074193C" w:rsidRPr="0091177B">
        <w:rPr>
          <w:i w:val="0"/>
          <w:iCs w:val="0"/>
          <w:szCs w:val="18"/>
        </w:rPr>
        <w:t xml:space="preserve"> </w:t>
      </w:r>
    </w:p>
    <w:p w14:paraId="017089A7" w14:textId="5544CBDB" w:rsidR="0074193C" w:rsidRPr="0074193C" w:rsidRDefault="0074193C" w:rsidP="00677261">
      <w:pPr>
        <w:pStyle w:val="TableFigureFooter"/>
      </w:pPr>
      <w:r w:rsidRPr="0074193C">
        <w:t xml:space="preserve">The redacted values correspond to the following ranges: </w:t>
      </w:r>
    </w:p>
    <w:p w14:paraId="4A217ACB" w14:textId="125E519A" w:rsidR="0074193C" w:rsidRDefault="0074193C" w:rsidP="00677261">
      <w:pPr>
        <w:pStyle w:val="TableFigureFooter"/>
      </w:pPr>
      <w:r w:rsidRPr="0074193C">
        <w:rPr>
          <w:vertAlign w:val="superscript"/>
        </w:rPr>
        <w:t>1</w:t>
      </w:r>
      <w:r w:rsidRPr="0074193C">
        <w:t xml:space="preserve"> </w:t>
      </w:r>
      <w:r w:rsidR="00E10233" w:rsidRPr="00E10233">
        <w:t>&lt; 500</w:t>
      </w:r>
    </w:p>
    <w:p w14:paraId="46160729" w14:textId="77777777" w:rsidR="00E10233" w:rsidRPr="00E10233" w:rsidRDefault="00E10233" w:rsidP="00E10233">
      <w:pPr>
        <w:pStyle w:val="3-BodyText"/>
        <w:numPr>
          <w:ilvl w:val="0"/>
          <w:numId w:val="0"/>
        </w:numPr>
        <w:ind w:left="720"/>
      </w:pPr>
    </w:p>
    <w:p w14:paraId="7F9001DB" w14:textId="03BEB67F" w:rsidR="00631C9F" w:rsidRPr="00401C7F" w:rsidRDefault="00164BC3" w:rsidP="00401C7F">
      <w:pPr>
        <w:pStyle w:val="3-BodyText"/>
      </w:pPr>
      <w:r w:rsidRPr="00D74203">
        <w:t xml:space="preserve">The estimated use and financial impacts of listing pembrolizumab are presented in </w:t>
      </w:r>
      <w:r w:rsidRPr="00D74203">
        <w:fldChar w:fldCharType="begin"/>
      </w:r>
      <w:r w:rsidRPr="00D74203">
        <w:instrText xml:space="preserve"> REF _Ref104805295 \h  \* MERGEFORMAT </w:instrText>
      </w:r>
      <w:r w:rsidRPr="00D74203">
        <w:fldChar w:fldCharType="separate"/>
      </w:r>
      <w:r w:rsidR="0084087D" w:rsidRPr="00D74203">
        <w:t xml:space="preserve">Table </w:t>
      </w:r>
      <w:r w:rsidR="0084087D">
        <w:t>17</w:t>
      </w:r>
      <w:r w:rsidRPr="00D74203">
        <w:fldChar w:fldCharType="end"/>
      </w:r>
      <w:r w:rsidRPr="00D74203">
        <w:t>.</w:t>
      </w:r>
    </w:p>
    <w:p w14:paraId="0063D1DF" w14:textId="6FF4837B" w:rsidR="00164BC3" w:rsidRPr="00D74203" w:rsidRDefault="00164BC3" w:rsidP="0067373C">
      <w:pPr>
        <w:pStyle w:val="Caption"/>
        <w:rPr>
          <w:rStyle w:val="CommentReference"/>
          <w:b/>
          <w:szCs w:val="24"/>
        </w:rPr>
      </w:pPr>
      <w:bookmarkStart w:id="122" w:name="_Ref104805295"/>
      <w:r w:rsidRPr="00D74203">
        <w:lastRenderedPageBreak/>
        <w:t xml:space="preserve">Table </w:t>
      </w:r>
      <w:r w:rsidR="00972E86">
        <w:fldChar w:fldCharType="begin"/>
      </w:r>
      <w:r w:rsidR="00972E86">
        <w:instrText xml:space="preserve"> SEQ Table \* ARABIC </w:instrText>
      </w:r>
      <w:r w:rsidR="00972E86">
        <w:fldChar w:fldCharType="separate"/>
      </w:r>
      <w:r w:rsidR="0084087D">
        <w:rPr>
          <w:noProof/>
        </w:rPr>
        <w:t>17</w:t>
      </w:r>
      <w:r w:rsidR="00972E86">
        <w:rPr>
          <w:noProof/>
        </w:rPr>
        <w:fldChar w:fldCharType="end"/>
      </w:r>
      <w:bookmarkEnd w:id="122"/>
      <w:r w:rsidRPr="00D74203">
        <w:t>:</w:t>
      </w:r>
      <w:r w:rsidRPr="00D74203">
        <w:rPr>
          <w:rStyle w:val="CommentReference"/>
          <w:b/>
          <w:szCs w:val="24"/>
        </w:rPr>
        <w:t xml:space="preserve"> Estimated impact of listing pembrolizumab</w:t>
      </w:r>
    </w:p>
    <w:tbl>
      <w:tblPr>
        <w:tblW w:w="5000" w:type="pct"/>
        <w:tblLayout w:type="fixed"/>
        <w:tblCellMar>
          <w:top w:w="28" w:type="dxa"/>
          <w:left w:w="57" w:type="dxa"/>
          <w:bottom w:w="28" w:type="dxa"/>
          <w:right w:w="57" w:type="dxa"/>
        </w:tblCellMar>
        <w:tblLook w:val="04A0" w:firstRow="1" w:lastRow="0" w:firstColumn="1" w:lastColumn="0" w:noHBand="0" w:noVBand="1"/>
        <w:tblCaption w:val="Table 17: Estimated impact of listing pembrolizumab"/>
      </w:tblPr>
      <w:tblGrid>
        <w:gridCol w:w="2605"/>
        <w:gridCol w:w="1068"/>
        <w:gridCol w:w="1069"/>
        <w:gridCol w:w="1069"/>
        <w:gridCol w:w="1068"/>
        <w:gridCol w:w="1069"/>
        <w:gridCol w:w="1069"/>
      </w:tblGrid>
      <w:tr w:rsidR="00164BC3" w:rsidRPr="00D74203" w14:paraId="138D991F" w14:textId="77777777" w:rsidTr="006A4DEC">
        <w:trPr>
          <w:cantSplit/>
          <w:trHeight w:val="58"/>
          <w:tblHeader/>
        </w:trPr>
        <w:tc>
          <w:tcPr>
            <w:tcW w:w="2605" w:type="dxa"/>
            <w:tcBorders>
              <w:top w:val="single" w:sz="4" w:space="0" w:color="auto"/>
              <w:left w:val="single" w:sz="4" w:space="0" w:color="auto"/>
              <w:bottom w:val="single" w:sz="4" w:space="0" w:color="auto"/>
              <w:right w:val="single" w:sz="4" w:space="0" w:color="auto"/>
            </w:tcBorders>
            <w:noWrap/>
            <w:vAlign w:val="center"/>
            <w:hideMark/>
          </w:tcPr>
          <w:p w14:paraId="10770C2A" w14:textId="77777777" w:rsidR="00164BC3" w:rsidRPr="00D74203" w:rsidRDefault="00164BC3" w:rsidP="0067373C">
            <w:pPr>
              <w:keepNext/>
              <w:keepLines/>
              <w:jc w:val="left"/>
              <w:rPr>
                <w:rFonts w:ascii="Arial Narrow" w:hAnsi="Arial Narrow" w:cs="Calibri"/>
                <w:b/>
                <w:bCs/>
                <w:color w:val="000000"/>
                <w:sz w:val="20"/>
                <w:szCs w:val="20"/>
              </w:rPr>
            </w:pPr>
            <w:r w:rsidRPr="00D74203">
              <w:rPr>
                <w:rFonts w:ascii="Arial Narrow" w:hAnsi="Arial Narrow" w:cs="Calibri"/>
                <w:b/>
                <w:bCs/>
                <w:color w:val="000000"/>
                <w:sz w:val="20"/>
                <w:szCs w:val="20"/>
              </w:rPr>
              <w:t>Extent of use</w:t>
            </w:r>
          </w:p>
        </w:tc>
        <w:tc>
          <w:tcPr>
            <w:tcW w:w="1068" w:type="dxa"/>
            <w:tcBorders>
              <w:top w:val="single" w:sz="4" w:space="0" w:color="auto"/>
              <w:left w:val="nil"/>
              <w:bottom w:val="single" w:sz="4" w:space="0" w:color="auto"/>
              <w:right w:val="single" w:sz="4" w:space="0" w:color="auto"/>
            </w:tcBorders>
            <w:vAlign w:val="center"/>
            <w:hideMark/>
          </w:tcPr>
          <w:p w14:paraId="421A6AEB" w14:textId="77777777" w:rsidR="00164BC3" w:rsidRPr="00D74203" w:rsidRDefault="00164BC3" w:rsidP="0067373C">
            <w:pPr>
              <w:keepNext/>
              <w:keepLines/>
              <w:jc w:val="center"/>
              <w:rPr>
                <w:rFonts w:ascii="Arial Narrow" w:hAnsi="Arial Narrow" w:cs="Calibri"/>
                <w:b/>
                <w:bCs/>
                <w:color w:val="000000"/>
                <w:sz w:val="20"/>
                <w:szCs w:val="20"/>
              </w:rPr>
            </w:pPr>
            <w:r w:rsidRPr="00D74203">
              <w:rPr>
                <w:rFonts w:ascii="Arial Narrow" w:hAnsi="Arial Narrow" w:cs="Calibri"/>
                <w:b/>
                <w:bCs/>
                <w:color w:val="000000"/>
                <w:sz w:val="20"/>
                <w:szCs w:val="20"/>
              </w:rPr>
              <w:t>Year 1</w:t>
            </w:r>
          </w:p>
        </w:tc>
        <w:tc>
          <w:tcPr>
            <w:tcW w:w="1069" w:type="dxa"/>
            <w:tcBorders>
              <w:top w:val="single" w:sz="4" w:space="0" w:color="auto"/>
              <w:left w:val="nil"/>
              <w:bottom w:val="single" w:sz="4" w:space="0" w:color="auto"/>
              <w:right w:val="single" w:sz="4" w:space="0" w:color="auto"/>
            </w:tcBorders>
            <w:vAlign w:val="center"/>
            <w:hideMark/>
          </w:tcPr>
          <w:p w14:paraId="0A84A268" w14:textId="77777777" w:rsidR="00164BC3" w:rsidRPr="00D74203" w:rsidRDefault="00164BC3" w:rsidP="0067373C">
            <w:pPr>
              <w:keepNext/>
              <w:keepLines/>
              <w:jc w:val="center"/>
              <w:rPr>
                <w:rFonts w:ascii="Arial Narrow" w:hAnsi="Arial Narrow" w:cs="Calibri"/>
                <w:b/>
                <w:bCs/>
                <w:color w:val="000000"/>
                <w:sz w:val="20"/>
                <w:szCs w:val="20"/>
              </w:rPr>
            </w:pPr>
            <w:r w:rsidRPr="00D74203">
              <w:rPr>
                <w:rFonts w:ascii="Arial Narrow" w:hAnsi="Arial Narrow" w:cs="Calibri"/>
                <w:b/>
                <w:bCs/>
                <w:color w:val="000000"/>
                <w:sz w:val="20"/>
                <w:szCs w:val="20"/>
              </w:rPr>
              <w:t>Year 2</w:t>
            </w:r>
          </w:p>
        </w:tc>
        <w:tc>
          <w:tcPr>
            <w:tcW w:w="1069" w:type="dxa"/>
            <w:tcBorders>
              <w:top w:val="single" w:sz="4" w:space="0" w:color="auto"/>
              <w:left w:val="nil"/>
              <w:bottom w:val="single" w:sz="4" w:space="0" w:color="auto"/>
              <w:right w:val="single" w:sz="4" w:space="0" w:color="auto"/>
            </w:tcBorders>
            <w:vAlign w:val="center"/>
            <w:hideMark/>
          </w:tcPr>
          <w:p w14:paraId="1D571E17" w14:textId="77777777" w:rsidR="00164BC3" w:rsidRPr="00D74203" w:rsidRDefault="00164BC3" w:rsidP="0067373C">
            <w:pPr>
              <w:keepNext/>
              <w:keepLines/>
              <w:jc w:val="center"/>
              <w:rPr>
                <w:rFonts w:ascii="Arial Narrow" w:hAnsi="Arial Narrow" w:cs="Calibri"/>
                <w:b/>
                <w:bCs/>
                <w:color w:val="000000"/>
                <w:sz w:val="20"/>
                <w:szCs w:val="20"/>
              </w:rPr>
            </w:pPr>
            <w:r w:rsidRPr="00D74203">
              <w:rPr>
                <w:rFonts w:ascii="Arial Narrow" w:hAnsi="Arial Narrow" w:cs="Calibri"/>
                <w:b/>
                <w:bCs/>
                <w:color w:val="000000"/>
                <w:sz w:val="20"/>
                <w:szCs w:val="20"/>
              </w:rPr>
              <w:t>Year 3</w:t>
            </w:r>
          </w:p>
        </w:tc>
        <w:tc>
          <w:tcPr>
            <w:tcW w:w="1068" w:type="dxa"/>
            <w:tcBorders>
              <w:top w:val="single" w:sz="4" w:space="0" w:color="auto"/>
              <w:left w:val="nil"/>
              <w:bottom w:val="single" w:sz="4" w:space="0" w:color="auto"/>
              <w:right w:val="single" w:sz="4" w:space="0" w:color="auto"/>
            </w:tcBorders>
            <w:vAlign w:val="center"/>
            <w:hideMark/>
          </w:tcPr>
          <w:p w14:paraId="322A1593" w14:textId="77777777" w:rsidR="00164BC3" w:rsidRPr="00D74203" w:rsidRDefault="00164BC3" w:rsidP="0067373C">
            <w:pPr>
              <w:keepNext/>
              <w:keepLines/>
              <w:jc w:val="center"/>
              <w:rPr>
                <w:rFonts w:ascii="Arial Narrow" w:hAnsi="Arial Narrow" w:cs="Calibri"/>
                <w:b/>
                <w:bCs/>
                <w:color w:val="000000"/>
                <w:sz w:val="20"/>
                <w:szCs w:val="20"/>
              </w:rPr>
            </w:pPr>
            <w:r w:rsidRPr="00D74203">
              <w:rPr>
                <w:rFonts w:ascii="Arial Narrow" w:hAnsi="Arial Narrow" w:cs="Calibri"/>
                <w:b/>
                <w:bCs/>
                <w:color w:val="000000"/>
                <w:sz w:val="20"/>
                <w:szCs w:val="20"/>
              </w:rPr>
              <w:t>Year 4</w:t>
            </w:r>
          </w:p>
        </w:tc>
        <w:tc>
          <w:tcPr>
            <w:tcW w:w="1069" w:type="dxa"/>
            <w:tcBorders>
              <w:top w:val="single" w:sz="4" w:space="0" w:color="auto"/>
              <w:left w:val="nil"/>
              <w:bottom w:val="single" w:sz="4" w:space="0" w:color="auto"/>
              <w:right w:val="single" w:sz="4" w:space="0" w:color="auto"/>
            </w:tcBorders>
            <w:vAlign w:val="center"/>
            <w:hideMark/>
          </w:tcPr>
          <w:p w14:paraId="138A6B3E" w14:textId="77777777" w:rsidR="00164BC3" w:rsidRPr="00D74203" w:rsidRDefault="00164BC3" w:rsidP="0067373C">
            <w:pPr>
              <w:keepNext/>
              <w:keepLines/>
              <w:jc w:val="center"/>
              <w:rPr>
                <w:rFonts w:ascii="Arial Narrow" w:hAnsi="Arial Narrow" w:cs="Calibri"/>
                <w:b/>
                <w:bCs/>
                <w:color w:val="000000"/>
                <w:sz w:val="20"/>
                <w:szCs w:val="20"/>
              </w:rPr>
            </w:pPr>
            <w:r w:rsidRPr="00D74203">
              <w:rPr>
                <w:rFonts w:ascii="Arial Narrow" w:hAnsi="Arial Narrow" w:cs="Calibri"/>
                <w:b/>
                <w:bCs/>
                <w:color w:val="000000"/>
                <w:sz w:val="20"/>
                <w:szCs w:val="20"/>
              </w:rPr>
              <w:t>Year 5</w:t>
            </w:r>
          </w:p>
        </w:tc>
        <w:tc>
          <w:tcPr>
            <w:tcW w:w="1069" w:type="dxa"/>
            <w:tcBorders>
              <w:top w:val="single" w:sz="4" w:space="0" w:color="auto"/>
              <w:left w:val="nil"/>
              <w:bottom w:val="single" w:sz="4" w:space="0" w:color="auto"/>
              <w:right w:val="single" w:sz="4" w:space="0" w:color="auto"/>
            </w:tcBorders>
            <w:vAlign w:val="center"/>
            <w:hideMark/>
          </w:tcPr>
          <w:p w14:paraId="4040DDE6" w14:textId="77777777" w:rsidR="00164BC3" w:rsidRPr="00D74203" w:rsidRDefault="00164BC3" w:rsidP="0067373C">
            <w:pPr>
              <w:keepNext/>
              <w:keepLines/>
              <w:jc w:val="center"/>
              <w:rPr>
                <w:rFonts w:ascii="Arial Narrow" w:hAnsi="Arial Narrow" w:cs="Calibri"/>
                <w:b/>
                <w:bCs/>
                <w:color w:val="000000"/>
                <w:sz w:val="20"/>
                <w:szCs w:val="20"/>
              </w:rPr>
            </w:pPr>
            <w:r w:rsidRPr="00D74203">
              <w:rPr>
                <w:rFonts w:ascii="Arial Narrow" w:hAnsi="Arial Narrow" w:cs="Calibri"/>
                <w:b/>
                <w:bCs/>
                <w:color w:val="000000"/>
                <w:sz w:val="20"/>
                <w:szCs w:val="20"/>
              </w:rPr>
              <w:t>Year 6</w:t>
            </w:r>
          </w:p>
        </w:tc>
      </w:tr>
      <w:tr w:rsidR="00164BC3" w:rsidRPr="00D74203" w14:paraId="12AD4F09" w14:textId="77777777" w:rsidTr="006A4DEC">
        <w:trPr>
          <w:cantSplit/>
          <w:trHeight w:val="25"/>
        </w:trPr>
        <w:tc>
          <w:tcPr>
            <w:tcW w:w="9017" w:type="dxa"/>
            <w:gridSpan w:val="7"/>
            <w:tcBorders>
              <w:top w:val="single" w:sz="4" w:space="0" w:color="auto"/>
              <w:left w:val="single" w:sz="4" w:space="0" w:color="auto"/>
              <w:bottom w:val="single" w:sz="4" w:space="0" w:color="auto"/>
              <w:right w:val="single" w:sz="4" w:space="0" w:color="auto"/>
            </w:tcBorders>
            <w:vAlign w:val="center"/>
            <w:hideMark/>
          </w:tcPr>
          <w:p w14:paraId="3A380890" w14:textId="4410A191" w:rsidR="00164BC3" w:rsidRPr="00D74203" w:rsidRDefault="00164BC3" w:rsidP="0067373C">
            <w:pPr>
              <w:keepNext/>
              <w:keepLines/>
              <w:jc w:val="left"/>
              <w:rPr>
                <w:rFonts w:ascii="Arial Narrow" w:hAnsi="Arial Narrow" w:cs="Calibri"/>
                <w:b/>
                <w:bCs/>
                <w:color w:val="000000"/>
                <w:sz w:val="20"/>
                <w:szCs w:val="20"/>
              </w:rPr>
            </w:pPr>
            <w:r w:rsidRPr="00D74203">
              <w:rPr>
                <w:rFonts w:ascii="Arial Narrow" w:hAnsi="Arial Narrow" w:cs="Calibri"/>
                <w:b/>
                <w:bCs/>
                <w:color w:val="000000"/>
                <w:sz w:val="20"/>
                <w:szCs w:val="20"/>
              </w:rPr>
              <w:t>Incident Population</w:t>
            </w:r>
          </w:p>
        </w:tc>
      </w:tr>
      <w:tr w:rsidR="00164BC3" w:rsidRPr="00D74203" w14:paraId="0FD4943C" w14:textId="77777777" w:rsidTr="00C30647">
        <w:trPr>
          <w:cantSplit/>
        </w:trPr>
        <w:tc>
          <w:tcPr>
            <w:tcW w:w="2605" w:type="dxa"/>
            <w:tcBorders>
              <w:top w:val="nil"/>
              <w:left w:val="single" w:sz="4" w:space="0" w:color="auto"/>
              <w:bottom w:val="single" w:sz="4" w:space="0" w:color="auto"/>
              <w:right w:val="single" w:sz="4" w:space="0" w:color="auto"/>
            </w:tcBorders>
            <w:vAlign w:val="center"/>
            <w:hideMark/>
          </w:tcPr>
          <w:p w14:paraId="3BF7E896" w14:textId="4D1304B4" w:rsidR="00164BC3" w:rsidRDefault="00325D3F" w:rsidP="0067373C">
            <w:pPr>
              <w:keepNext/>
              <w:keepLines/>
              <w:jc w:val="left"/>
              <w:rPr>
                <w:rFonts w:ascii="Arial Narrow" w:hAnsi="Arial Narrow" w:cs="Calibri"/>
                <w:color w:val="000000"/>
                <w:sz w:val="20"/>
                <w:szCs w:val="20"/>
              </w:rPr>
            </w:pPr>
            <w:r>
              <w:rPr>
                <w:rFonts w:ascii="Arial Narrow" w:hAnsi="Arial Narrow" w:cs="Calibri"/>
                <w:color w:val="000000"/>
                <w:sz w:val="20"/>
                <w:szCs w:val="20"/>
              </w:rPr>
              <w:t>H</w:t>
            </w:r>
            <w:r w:rsidRPr="00D74203">
              <w:rPr>
                <w:rFonts w:ascii="Arial Narrow" w:hAnsi="Arial Narrow" w:cs="Calibri"/>
                <w:color w:val="000000"/>
                <w:sz w:val="20"/>
                <w:szCs w:val="20"/>
              </w:rPr>
              <w:t xml:space="preserve">ead </w:t>
            </w:r>
            <w:r w:rsidR="00164BC3" w:rsidRPr="00D74203">
              <w:rPr>
                <w:rFonts w:ascii="Arial Narrow" w:hAnsi="Arial Narrow" w:cs="Calibri"/>
                <w:color w:val="000000"/>
                <w:sz w:val="20"/>
                <w:szCs w:val="20"/>
              </w:rPr>
              <w:t>and neck cancer</w:t>
            </w:r>
          </w:p>
          <w:p w14:paraId="1DBDD421" w14:textId="5C002361" w:rsidR="00325D3F" w:rsidRPr="00D74203" w:rsidRDefault="00325D3F" w:rsidP="0067373C">
            <w:pPr>
              <w:keepNext/>
              <w:keepLines/>
              <w:jc w:val="left"/>
              <w:rPr>
                <w:rFonts w:ascii="Arial Narrow" w:hAnsi="Arial Narrow" w:cs="Calibri"/>
                <w:color w:val="000000"/>
                <w:sz w:val="20"/>
                <w:szCs w:val="20"/>
              </w:rPr>
            </w:pPr>
            <w:r w:rsidRPr="00D74203">
              <w:rPr>
                <w:rFonts w:ascii="Arial Narrow" w:hAnsi="Arial Narrow" w:cs="Calibri"/>
                <w:color w:val="000000"/>
                <w:sz w:val="20"/>
                <w:szCs w:val="20"/>
              </w:rPr>
              <w:t>AIHW 2024</w:t>
            </w:r>
          </w:p>
        </w:tc>
        <w:tc>
          <w:tcPr>
            <w:tcW w:w="1068" w:type="dxa"/>
            <w:tcBorders>
              <w:top w:val="nil"/>
              <w:left w:val="nil"/>
              <w:bottom w:val="single" w:sz="4" w:space="0" w:color="auto"/>
              <w:right w:val="single" w:sz="4" w:space="0" w:color="auto"/>
            </w:tcBorders>
            <w:noWrap/>
            <w:vAlign w:val="center"/>
            <w:hideMark/>
          </w:tcPr>
          <w:p w14:paraId="167FB0E3" w14:textId="77777777" w:rsidR="00164BC3" w:rsidRPr="00D74203" w:rsidRDefault="00164BC3" w:rsidP="0067373C">
            <w:pPr>
              <w:keepNext/>
              <w:keepLines/>
              <w:jc w:val="right"/>
              <w:rPr>
                <w:rFonts w:ascii="Arial Narrow" w:hAnsi="Arial Narrow" w:cs="Calibri"/>
                <w:color w:val="000000"/>
                <w:sz w:val="20"/>
                <w:szCs w:val="20"/>
              </w:rPr>
            </w:pPr>
            <w:r w:rsidRPr="00D74203">
              <w:rPr>
                <w:rFonts w:ascii="Arial Narrow" w:hAnsi="Arial Narrow" w:cs="Calibri"/>
                <w:color w:val="000000"/>
                <w:sz w:val="20"/>
                <w:szCs w:val="20"/>
              </w:rPr>
              <w:t>4,258</w:t>
            </w:r>
          </w:p>
        </w:tc>
        <w:tc>
          <w:tcPr>
            <w:tcW w:w="1069" w:type="dxa"/>
            <w:tcBorders>
              <w:top w:val="nil"/>
              <w:left w:val="nil"/>
              <w:bottom w:val="single" w:sz="4" w:space="0" w:color="auto"/>
              <w:right w:val="single" w:sz="4" w:space="0" w:color="auto"/>
            </w:tcBorders>
            <w:noWrap/>
            <w:vAlign w:val="center"/>
            <w:hideMark/>
          </w:tcPr>
          <w:p w14:paraId="3BB19F1A" w14:textId="77777777" w:rsidR="00164BC3" w:rsidRPr="00D74203" w:rsidRDefault="00164BC3" w:rsidP="0067373C">
            <w:pPr>
              <w:keepNext/>
              <w:keepLines/>
              <w:jc w:val="right"/>
              <w:rPr>
                <w:rFonts w:ascii="Arial Narrow" w:hAnsi="Arial Narrow" w:cs="Calibri"/>
                <w:color w:val="000000"/>
                <w:sz w:val="20"/>
                <w:szCs w:val="20"/>
              </w:rPr>
            </w:pPr>
            <w:r w:rsidRPr="00D74203">
              <w:rPr>
                <w:rFonts w:ascii="Arial Narrow" w:hAnsi="Arial Narrow" w:cs="Calibri"/>
                <w:color w:val="000000"/>
                <w:sz w:val="20"/>
                <w:szCs w:val="20"/>
              </w:rPr>
              <w:t>4,386</w:t>
            </w:r>
          </w:p>
        </w:tc>
        <w:tc>
          <w:tcPr>
            <w:tcW w:w="1069" w:type="dxa"/>
            <w:tcBorders>
              <w:top w:val="nil"/>
              <w:left w:val="nil"/>
              <w:bottom w:val="single" w:sz="4" w:space="0" w:color="auto"/>
              <w:right w:val="single" w:sz="4" w:space="0" w:color="auto"/>
            </w:tcBorders>
            <w:noWrap/>
            <w:vAlign w:val="center"/>
            <w:hideMark/>
          </w:tcPr>
          <w:p w14:paraId="2831697C" w14:textId="77777777" w:rsidR="00164BC3" w:rsidRPr="00D74203" w:rsidRDefault="00164BC3" w:rsidP="0067373C">
            <w:pPr>
              <w:keepNext/>
              <w:keepLines/>
              <w:jc w:val="right"/>
              <w:rPr>
                <w:rFonts w:ascii="Arial Narrow" w:hAnsi="Arial Narrow" w:cs="Calibri"/>
                <w:color w:val="000000"/>
                <w:sz w:val="20"/>
                <w:szCs w:val="20"/>
              </w:rPr>
            </w:pPr>
            <w:r w:rsidRPr="00D74203">
              <w:rPr>
                <w:rFonts w:ascii="Arial Narrow" w:hAnsi="Arial Narrow" w:cs="Calibri"/>
                <w:color w:val="000000"/>
                <w:sz w:val="20"/>
                <w:szCs w:val="20"/>
              </w:rPr>
              <w:t>4,462</w:t>
            </w:r>
          </w:p>
        </w:tc>
        <w:tc>
          <w:tcPr>
            <w:tcW w:w="1068" w:type="dxa"/>
            <w:tcBorders>
              <w:top w:val="nil"/>
              <w:left w:val="nil"/>
              <w:bottom w:val="single" w:sz="4" w:space="0" w:color="auto"/>
              <w:right w:val="single" w:sz="4" w:space="0" w:color="auto"/>
            </w:tcBorders>
            <w:noWrap/>
            <w:vAlign w:val="center"/>
            <w:hideMark/>
          </w:tcPr>
          <w:p w14:paraId="0AA88700" w14:textId="77777777" w:rsidR="00164BC3" w:rsidRPr="00D74203" w:rsidRDefault="00164BC3" w:rsidP="0067373C">
            <w:pPr>
              <w:keepNext/>
              <w:keepLines/>
              <w:jc w:val="right"/>
              <w:rPr>
                <w:rFonts w:ascii="Arial Narrow" w:hAnsi="Arial Narrow" w:cs="Calibri"/>
                <w:color w:val="000000"/>
                <w:sz w:val="20"/>
                <w:szCs w:val="20"/>
              </w:rPr>
            </w:pPr>
            <w:r w:rsidRPr="00D74203">
              <w:rPr>
                <w:rFonts w:ascii="Arial Narrow" w:hAnsi="Arial Narrow" w:cs="Calibri"/>
                <w:color w:val="000000"/>
                <w:sz w:val="20"/>
                <w:szCs w:val="20"/>
              </w:rPr>
              <w:t>4,534</w:t>
            </w:r>
          </w:p>
        </w:tc>
        <w:tc>
          <w:tcPr>
            <w:tcW w:w="1069" w:type="dxa"/>
            <w:tcBorders>
              <w:top w:val="nil"/>
              <w:left w:val="nil"/>
              <w:bottom w:val="single" w:sz="4" w:space="0" w:color="auto"/>
              <w:right w:val="single" w:sz="4" w:space="0" w:color="auto"/>
            </w:tcBorders>
            <w:noWrap/>
            <w:vAlign w:val="center"/>
            <w:hideMark/>
          </w:tcPr>
          <w:p w14:paraId="7E4FD361" w14:textId="77777777" w:rsidR="00164BC3" w:rsidRPr="00D74203" w:rsidRDefault="00164BC3" w:rsidP="0067373C">
            <w:pPr>
              <w:keepNext/>
              <w:keepLines/>
              <w:jc w:val="right"/>
              <w:rPr>
                <w:rFonts w:ascii="Arial Narrow" w:hAnsi="Arial Narrow" w:cs="Calibri"/>
                <w:color w:val="000000"/>
                <w:sz w:val="20"/>
                <w:szCs w:val="20"/>
              </w:rPr>
            </w:pPr>
            <w:r w:rsidRPr="00D74203">
              <w:rPr>
                <w:rFonts w:ascii="Arial Narrow" w:hAnsi="Arial Narrow" w:cs="Calibri"/>
                <w:color w:val="000000"/>
                <w:sz w:val="20"/>
                <w:szCs w:val="20"/>
              </w:rPr>
              <w:t>4,611</w:t>
            </w:r>
          </w:p>
        </w:tc>
        <w:tc>
          <w:tcPr>
            <w:tcW w:w="1069" w:type="dxa"/>
            <w:tcBorders>
              <w:top w:val="nil"/>
              <w:left w:val="nil"/>
              <w:bottom w:val="single" w:sz="4" w:space="0" w:color="auto"/>
              <w:right w:val="single" w:sz="4" w:space="0" w:color="auto"/>
            </w:tcBorders>
            <w:noWrap/>
            <w:vAlign w:val="center"/>
            <w:hideMark/>
          </w:tcPr>
          <w:p w14:paraId="576D1BE9" w14:textId="77777777" w:rsidR="00164BC3" w:rsidRPr="00D74203" w:rsidRDefault="00164BC3" w:rsidP="0067373C">
            <w:pPr>
              <w:keepNext/>
              <w:keepLines/>
              <w:jc w:val="right"/>
              <w:rPr>
                <w:rFonts w:ascii="Arial Narrow" w:hAnsi="Arial Narrow" w:cs="Calibri"/>
                <w:color w:val="000000"/>
                <w:sz w:val="20"/>
                <w:szCs w:val="20"/>
              </w:rPr>
            </w:pPr>
            <w:r w:rsidRPr="00D74203">
              <w:rPr>
                <w:rFonts w:ascii="Arial Narrow" w:hAnsi="Arial Narrow" w:cs="Calibri"/>
                <w:color w:val="000000"/>
                <w:sz w:val="20"/>
                <w:szCs w:val="20"/>
              </w:rPr>
              <w:t>4,686</w:t>
            </w:r>
          </w:p>
        </w:tc>
      </w:tr>
      <w:tr w:rsidR="00164BC3" w:rsidRPr="00D74203" w14:paraId="371C5869" w14:textId="77777777" w:rsidTr="00A31611">
        <w:trPr>
          <w:cantSplit/>
          <w:trHeight w:val="1219"/>
        </w:trPr>
        <w:tc>
          <w:tcPr>
            <w:tcW w:w="2605" w:type="dxa"/>
            <w:tcBorders>
              <w:top w:val="nil"/>
              <w:left w:val="single" w:sz="4" w:space="0" w:color="auto"/>
              <w:bottom w:val="single" w:sz="4" w:space="0" w:color="auto"/>
              <w:right w:val="single" w:sz="4" w:space="0" w:color="auto"/>
            </w:tcBorders>
            <w:vAlign w:val="center"/>
            <w:hideMark/>
          </w:tcPr>
          <w:p w14:paraId="71ED9F4A" w14:textId="77777777" w:rsidR="00164BC3" w:rsidRPr="00D74203" w:rsidRDefault="00164BC3" w:rsidP="0067373C">
            <w:pPr>
              <w:keepNext/>
              <w:keepLines/>
              <w:jc w:val="left"/>
              <w:rPr>
                <w:rFonts w:ascii="Arial Narrow" w:hAnsi="Arial Narrow" w:cs="Calibri"/>
                <w:color w:val="000000"/>
                <w:sz w:val="20"/>
                <w:szCs w:val="20"/>
              </w:rPr>
            </w:pPr>
            <w:r w:rsidRPr="00D74203">
              <w:rPr>
                <w:rFonts w:ascii="Arial Narrow" w:hAnsi="Arial Narrow" w:cs="Calibri"/>
                <w:color w:val="000000"/>
                <w:sz w:val="20"/>
                <w:szCs w:val="20"/>
              </w:rPr>
              <w:t>Locally Advanced</w:t>
            </w:r>
            <w:r w:rsidRPr="00D74203">
              <w:rPr>
                <w:rFonts w:ascii="Arial Narrow" w:hAnsi="Arial Narrow" w:cs="Calibri"/>
                <w:color w:val="000000"/>
                <w:sz w:val="20"/>
                <w:szCs w:val="20"/>
              </w:rPr>
              <w:br/>
              <w:t>Resectable disease and surgery</w:t>
            </w:r>
            <w:r w:rsidRPr="00D74203">
              <w:rPr>
                <w:rFonts w:ascii="Arial Narrow" w:hAnsi="Arial Narrow" w:cs="Calibri"/>
                <w:color w:val="000000"/>
                <w:sz w:val="20"/>
                <w:szCs w:val="20"/>
              </w:rPr>
              <w:br/>
              <w:t>ECOG PS 0-1</w:t>
            </w:r>
          </w:p>
        </w:tc>
        <w:tc>
          <w:tcPr>
            <w:tcW w:w="1068" w:type="dxa"/>
            <w:tcBorders>
              <w:top w:val="nil"/>
              <w:left w:val="nil"/>
              <w:bottom w:val="single" w:sz="4" w:space="0" w:color="auto"/>
              <w:right w:val="single" w:sz="4" w:space="0" w:color="auto"/>
            </w:tcBorders>
            <w:vAlign w:val="center"/>
            <w:hideMark/>
          </w:tcPr>
          <w:p w14:paraId="4404CB19" w14:textId="77777777" w:rsidR="00164BC3" w:rsidRPr="00D74203" w:rsidRDefault="00164BC3" w:rsidP="0067373C">
            <w:pPr>
              <w:keepNext/>
              <w:keepLines/>
              <w:jc w:val="right"/>
              <w:rPr>
                <w:rFonts w:ascii="Arial Narrow" w:hAnsi="Arial Narrow" w:cs="Calibri"/>
                <w:color w:val="000000"/>
                <w:sz w:val="20"/>
                <w:szCs w:val="20"/>
              </w:rPr>
            </w:pPr>
            <w:r w:rsidRPr="00D74203">
              <w:rPr>
                <w:rFonts w:ascii="Arial Narrow" w:hAnsi="Arial Narrow" w:cs="Calibri"/>
                <w:color w:val="000000"/>
                <w:sz w:val="20"/>
                <w:szCs w:val="20"/>
              </w:rPr>
              <w:t>58%</w:t>
            </w:r>
            <w:r w:rsidRPr="00D74203">
              <w:rPr>
                <w:rFonts w:ascii="Arial Narrow" w:hAnsi="Arial Narrow" w:cs="Calibri"/>
                <w:color w:val="000000"/>
                <w:sz w:val="20"/>
                <w:szCs w:val="20"/>
              </w:rPr>
              <w:br/>
              <w:t>41%</w:t>
            </w:r>
            <w:r w:rsidRPr="00D74203">
              <w:rPr>
                <w:rFonts w:ascii="Arial Narrow" w:hAnsi="Arial Narrow" w:cs="Calibri"/>
                <w:color w:val="000000"/>
                <w:sz w:val="20"/>
                <w:szCs w:val="20"/>
              </w:rPr>
              <w:br/>
              <w:t>85%</w:t>
            </w:r>
          </w:p>
        </w:tc>
        <w:tc>
          <w:tcPr>
            <w:tcW w:w="1069" w:type="dxa"/>
            <w:tcBorders>
              <w:top w:val="nil"/>
              <w:left w:val="nil"/>
              <w:bottom w:val="single" w:sz="4" w:space="0" w:color="auto"/>
              <w:right w:val="single" w:sz="4" w:space="0" w:color="auto"/>
            </w:tcBorders>
            <w:vAlign w:val="center"/>
            <w:hideMark/>
          </w:tcPr>
          <w:p w14:paraId="06F0699C" w14:textId="77777777" w:rsidR="00164BC3" w:rsidRPr="00D74203" w:rsidRDefault="00164BC3" w:rsidP="0067373C">
            <w:pPr>
              <w:keepNext/>
              <w:keepLines/>
              <w:jc w:val="right"/>
              <w:rPr>
                <w:rFonts w:ascii="Arial Narrow" w:hAnsi="Arial Narrow" w:cs="Calibri"/>
                <w:color w:val="000000"/>
                <w:sz w:val="20"/>
                <w:szCs w:val="20"/>
              </w:rPr>
            </w:pPr>
            <w:r w:rsidRPr="00D74203">
              <w:rPr>
                <w:rFonts w:ascii="Arial Narrow" w:hAnsi="Arial Narrow" w:cs="Calibri"/>
                <w:color w:val="000000"/>
                <w:sz w:val="20"/>
                <w:szCs w:val="20"/>
              </w:rPr>
              <w:t>58%</w:t>
            </w:r>
            <w:r w:rsidRPr="00D74203">
              <w:rPr>
                <w:rFonts w:ascii="Arial Narrow" w:hAnsi="Arial Narrow" w:cs="Calibri"/>
                <w:color w:val="000000"/>
                <w:sz w:val="20"/>
                <w:szCs w:val="20"/>
              </w:rPr>
              <w:br/>
              <w:t>41%</w:t>
            </w:r>
            <w:r w:rsidRPr="00D74203">
              <w:rPr>
                <w:rFonts w:ascii="Arial Narrow" w:hAnsi="Arial Narrow" w:cs="Calibri"/>
                <w:color w:val="000000"/>
                <w:sz w:val="20"/>
                <w:szCs w:val="20"/>
              </w:rPr>
              <w:br/>
              <w:t>85%</w:t>
            </w:r>
          </w:p>
        </w:tc>
        <w:tc>
          <w:tcPr>
            <w:tcW w:w="1069" w:type="dxa"/>
            <w:tcBorders>
              <w:top w:val="nil"/>
              <w:left w:val="nil"/>
              <w:bottom w:val="single" w:sz="4" w:space="0" w:color="auto"/>
              <w:right w:val="single" w:sz="4" w:space="0" w:color="auto"/>
            </w:tcBorders>
            <w:vAlign w:val="center"/>
            <w:hideMark/>
          </w:tcPr>
          <w:p w14:paraId="50102BE2" w14:textId="77777777" w:rsidR="00164BC3" w:rsidRPr="00D74203" w:rsidRDefault="00164BC3" w:rsidP="0067373C">
            <w:pPr>
              <w:keepNext/>
              <w:keepLines/>
              <w:jc w:val="right"/>
              <w:rPr>
                <w:rFonts w:ascii="Arial Narrow" w:hAnsi="Arial Narrow" w:cs="Calibri"/>
                <w:color w:val="000000"/>
                <w:sz w:val="20"/>
                <w:szCs w:val="20"/>
              </w:rPr>
            </w:pPr>
            <w:r w:rsidRPr="00D74203">
              <w:rPr>
                <w:rFonts w:ascii="Arial Narrow" w:hAnsi="Arial Narrow" w:cs="Calibri"/>
                <w:color w:val="000000"/>
                <w:sz w:val="20"/>
                <w:szCs w:val="20"/>
              </w:rPr>
              <w:t>58%</w:t>
            </w:r>
            <w:r w:rsidRPr="00D74203">
              <w:rPr>
                <w:rFonts w:ascii="Arial Narrow" w:hAnsi="Arial Narrow" w:cs="Calibri"/>
                <w:color w:val="000000"/>
                <w:sz w:val="20"/>
                <w:szCs w:val="20"/>
              </w:rPr>
              <w:br/>
              <w:t>41%</w:t>
            </w:r>
            <w:r w:rsidRPr="00D74203">
              <w:rPr>
                <w:rFonts w:ascii="Arial Narrow" w:hAnsi="Arial Narrow" w:cs="Calibri"/>
                <w:color w:val="000000"/>
                <w:sz w:val="20"/>
                <w:szCs w:val="20"/>
              </w:rPr>
              <w:br/>
              <w:t>85%</w:t>
            </w:r>
          </w:p>
        </w:tc>
        <w:tc>
          <w:tcPr>
            <w:tcW w:w="1068" w:type="dxa"/>
            <w:tcBorders>
              <w:top w:val="nil"/>
              <w:left w:val="nil"/>
              <w:bottom w:val="single" w:sz="4" w:space="0" w:color="auto"/>
              <w:right w:val="single" w:sz="4" w:space="0" w:color="auto"/>
            </w:tcBorders>
            <w:vAlign w:val="center"/>
            <w:hideMark/>
          </w:tcPr>
          <w:p w14:paraId="17706F5F" w14:textId="77777777" w:rsidR="00164BC3" w:rsidRPr="00D74203" w:rsidRDefault="00164BC3" w:rsidP="0067373C">
            <w:pPr>
              <w:keepNext/>
              <w:keepLines/>
              <w:jc w:val="right"/>
              <w:rPr>
                <w:rFonts w:ascii="Arial Narrow" w:hAnsi="Arial Narrow" w:cs="Calibri"/>
                <w:color w:val="000000"/>
                <w:sz w:val="20"/>
                <w:szCs w:val="20"/>
              </w:rPr>
            </w:pPr>
            <w:r w:rsidRPr="00D74203">
              <w:rPr>
                <w:rFonts w:ascii="Arial Narrow" w:hAnsi="Arial Narrow" w:cs="Calibri"/>
                <w:color w:val="000000"/>
                <w:sz w:val="20"/>
                <w:szCs w:val="20"/>
              </w:rPr>
              <w:t>58%</w:t>
            </w:r>
            <w:r w:rsidRPr="00D74203">
              <w:rPr>
                <w:rFonts w:ascii="Arial Narrow" w:hAnsi="Arial Narrow" w:cs="Calibri"/>
                <w:color w:val="000000"/>
                <w:sz w:val="20"/>
                <w:szCs w:val="20"/>
              </w:rPr>
              <w:br/>
              <w:t>41%</w:t>
            </w:r>
            <w:r w:rsidRPr="00D74203">
              <w:rPr>
                <w:rFonts w:ascii="Arial Narrow" w:hAnsi="Arial Narrow" w:cs="Calibri"/>
                <w:color w:val="000000"/>
                <w:sz w:val="20"/>
                <w:szCs w:val="20"/>
              </w:rPr>
              <w:br/>
              <w:t>85%</w:t>
            </w:r>
          </w:p>
        </w:tc>
        <w:tc>
          <w:tcPr>
            <w:tcW w:w="1069" w:type="dxa"/>
            <w:tcBorders>
              <w:top w:val="nil"/>
              <w:left w:val="nil"/>
              <w:bottom w:val="single" w:sz="4" w:space="0" w:color="auto"/>
              <w:right w:val="single" w:sz="4" w:space="0" w:color="auto"/>
            </w:tcBorders>
            <w:vAlign w:val="center"/>
            <w:hideMark/>
          </w:tcPr>
          <w:p w14:paraId="4F6D4310" w14:textId="77777777" w:rsidR="00164BC3" w:rsidRPr="00D74203" w:rsidRDefault="00164BC3" w:rsidP="0067373C">
            <w:pPr>
              <w:keepNext/>
              <w:keepLines/>
              <w:jc w:val="right"/>
              <w:rPr>
                <w:rFonts w:ascii="Arial Narrow" w:hAnsi="Arial Narrow" w:cs="Calibri"/>
                <w:color w:val="000000"/>
                <w:sz w:val="20"/>
                <w:szCs w:val="20"/>
              </w:rPr>
            </w:pPr>
            <w:r w:rsidRPr="00D74203">
              <w:rPr>
                <w:rFonts w:ascii="Arial Narrow" w:hAnsi="Arial Narrow" w:cs="Calibri"/>
                <w:color w:val="000000"/>
                <w:sz w:val="20"/>
                <w:szCs w:val="20"/>
              </w:rPr>
              <w:t>58%</w:t>
            </w:r>
            <w:r w:rsidRPr="00D74203">
              <w:rPr>
                <w:rFonts w:ascii="Arial Narrow" w:hAnsi="Arial Narrow" w:cs="Calibri"/>
                <w:color w:val="000000"/>
                <w:sz w:val="20"/>
                <w:szCs w:val="20"/>
              </w:rPr>
              <w:br/>
              <w:t>41%</w:t>
            </w:r>
            <w:r w:rsidRPr="00D74203">
              <w:rPr>
                <w:rFonts w:ascii="Arial Narrow" w:hAnsi="Arial Narrow" w:cs="Calibri"/>
                <w:color w:val="000000"/>
                <w:sz w:val="20"/>
                <w:szCs w:val="20"/>
              </w:rPr>
              <w:br/>
              <w:t>85%</w:t>
            </w:r>
          </w:p>
        </w:tc>
        <w:tc>
          <w:tcPr>
            <w:tcW w:w="1069" w:type="dxa"/>
            <w:tcBorders>
              <w:top w:val="nil"/>
              <w:left w:val="nil"/>
              <w:bottom w:val="single" w:sz="4" w:space="0" w:color="auto"/>
              <w:right w:val="single" w:sz="4" w:space="0" w:color="auto"/>
            </w:tcBorders>
            <w:vAlign w:val="center"/>
            <w:hideMark/>
          </w:tcPr>
          <w:p w14:paraId="2DB29574" w14:textId="77777777" w:rsidR="00164BC3" w:rsidRPr="00D74203" w:rsidRDefault="00164BC3" w:rsidP="0067373C">
            <w:pPr>
              <w:keepNext/>
              <w:keepLines/>
              <w:jc w:val="right"/>
              <w:rPr>
                <w:rFonts w:ascii="Arial Narrow" w:hAnsi="Arial Narrow" w:cs="Calibri"/>
                <w:color w:val="000000"/>
                <w:sz w:val="20"/>
                <w:szCs w:val="20"/>
              </w:rPr>
            </w:pPr>
            <w:r w:rsidRPr="00D74203">
              <w:rPr>
                <w:rFonts w:ascii="Arial Narrow" w:hAnsi="Arial Narrow" w:cs="Calibri"/>
                <w:color w:val="000000"/>
                <w:sz w:val="20"/>
                <w:szCs w:val="20"/>
              </w:rPr>
              <w:t>58%</w:t>
            </w:r>
            <w:r w:rsidRPr="00D74203">
              <w:rPr>
                <w:rFonts w:ascii="Arial Narrow" w:hAnsi="Arial Narrow" w:cs="Calibri"/>
                <w:color w:val="000000"/>
                <w:sz w:val="20"/>
                <w:szCs w:val="20"/>
              </w:rPr>
              <w:br/>
              <w:t>41%</w:t>
            </w:r>
            <w:r w:rsidRPr="00D74203">
              <w:rPr>
                <w:rFonts w:ascii="Arial Narrow" w:hAnsi="Arial Narrow" w:cs="Calibri"/>
                <w:color w:val="000000"/>
                <w:sz w:val="20"/>
                <w:szCs w:val="20"/>
              </w:rPr>
              <w:br/>
              <w:t>85%</w:t>
            </w:r>
          </w:p>
        </w:tc>
      </w:tr>
      <w:tr w:rsidR="00164BC3" w:rsidRPr="00D74203" w14:paraId="6B078AC9" w14:textId="77777777" w:rsidTr="00C30647">
        <w:trPr>
          <w:cantSplit/>
        </w:trPr>
        <w:tc>
          <w:tcPr>
            <w:tcW w:w="2605" w:type="dxa"/>
            <w:tcBorders>
              <w:top w:val="nil"/>
              <w:left w:val="single" w:sz="4" w:space="0" w:color="auto"/>
              <w:bottom w:val="single" w:sz="4" w:space="0" w:color="auto"/>
              <w:right w:val="single" w:sz="4" w:space="0" w:color="auto"/>
            </w:tcBorders>
            <w:vAlign w:val="center"/>
            <w:hideMark/>
          </w:tcPr>
          <w:p w14:paraId="00D60A63" w14:textId="77777777" w:rsidR="00164BC3" w:rsidRPr="00D74203" w:rsidRDefault="00164BC3" w:rsidP="0067373C">
            <w:pPr>
              <w:keepNext/>
              <w:keepLines/>
              <w:jc w:val="left"/>
              <w:rPr>
                <w:rFonts w:ascii="Arial Narrow" w:hAnsi="Arial Narrow" w:cs="Calibri"/>
                <w:color w:val="000000"/>
                <w:sz w:val="20"/>
                <w:szCs w:val="20"/>
              </w:rPr>
            </w:pPr>
            <w:r w:rsidRPr="00D74203">
              <w:rPr>
                <w:rFonts w:ascii="Arial Narrow" w:hAnsi="Arial Narrow" w:cs="Calibri"/>
                <w:color w:val="000000"/>
                <w:sz w:val="20"/>
                <w:szCs w:val="20"/>
              </w:rPr>
              <w:t>Eligible patients</w:t>
            </w:r>
          </w:p>
        </w:tc>
        <w:tc>
          <w:tcPr>
            <w:tcW w:w="1068" w:type="dxa"/>
            <w:tcBorders>
              <w:top w:val="nil"/>
              <w:left w:val="nil"/>
              <w:bottom w:val="single" w:sz="4" w:space="0" w:color="auto"/>
              <w:right w:val="single" w:sz="4" w:space="0" w:color="auto"/>
            </w:tcBorders>
            <w:noWrap/>
            <w:vAlign w:val="center"/>
            <w:hideMark/>
          </w:tcPr>
          <w:p w14:paraId="2E59393B" w14:textId="099AE5B9" w:rsidR="00164BC3" w:rsidRPr="000D0776" w:rsidRDefault="00576021" w:rsidP="0067373C">
            <w:pPr>
              <w:keepNext/>
              <w:keepLines/>
              <w:jc w:val="right"/>
              <w:rPr>
                <w:rFonts w:ascii="Arial Narrow" w:hAnsi="Arial Narrow" w:cs="Calibri"/>
                <w:color w:val="000000"/>
                <w:sz w:val="20"/>
                <w:szCs w:val="20"/>
                <w:highlight w:val="yellow"/>
                <w:vertAlign w:val="superscript"/>
              </w:rPr>
            </w:pPr>
            <w:r w:rsidRPr="001758D2">
              <w:rPr>
                <w:rFonts w:ascii="Arial Narrow" w:hAnsi="Arial Narrow" w:cs="Calibri"/>
                <w:color w:val="000000"/>
                <w:sz w:val="20"/>
                <w:szCs w:val="20"/>
                <w:highlight w:val="black"/>
              </w:rPr>
              <w:t>&amp;&amp;&amp;&amp;</w:t>
            </w:r>
            <w:r w:rsidR="003277F7">
              <w:rPr>
                <w:rFonts w:ascii="Arial Narrow" w:hAnsi="Arial Narrow"/>
                <w:sz w:val="18"/>
                <w:szCs w:val="18"/>
                <w:vertAlign w:val="superscript"/>
              </w:rPr>
              <w:t>1</w:t>
            </w:r>
          </w:p>
        </w:tc>
        <w:tc>
          <w:tcPr>
            <w:tcW w:w="1069" w:type="dxa"/>
            <w:tcBorders>
              <w:top w:val="nil"/>
              <w:left w:val="nil"/>
              <w:bottom w:val="single" w:sz="4" w:space="0" w:color="auto"/>
              <w:right w:val="single" w:sz="4" w:space="0" w:color="auto"/>
            </w:tcBorders>
            <w:noWrap/>
            <w:vAlign w:val="center"/>
            <w:hideMark/>
          </w:tcPr>
          <w:p w14:paraId="2FF547EE" w14:textId="3A986838" w:rsidR="00164BC3" w:rsidRPr="000D0776" w:rsidRDefault="00576021" w:rsidP="0067373C">
            <w:pPr>
              <w:keepNext/>
              <w:keepLines/>
              <w:jc w:val="right"/>
              <w:rPr>
                <w:rFonts w:ascii="Arial Narrow" w:hAnsi="Arial Narrow" w:cs="Calibri"/>
                <w:color w:val="000000"/>
                <w:sz w:val="20"/>
                <w:szCs w:val="20"/>
                <w:highlight w:val="yellow"/>
                <w:vertAlign w:val="superscript"/>
              </w:rPr>
            </w:pPr>
            <w:r w:rsidRPr="001758D2">
              <w:rPr>
                <w:rFonts w:ascii="Arial Narrow" w:hAnsi="Arial Narrow" w:cs="Calibri"/>
                <w:color w:val="000000"/>
                <w:sz w:val="20"/>
                <w:szCs w:val="20"/>
                <w:highlight w:val="black"/>
              </w:rPr>
              <w:t>&amp;&amp;&amp;&amp;</w:t>
            </w:r>
            <w:r w:rsidR="003277F7">
              <w:rPr>
                <w:rFonts w:ascii="Arial Narrow" w:hAnsi="Arial Narrow"/>
                <w:sz w:val="18"/>
                <w:szCs w:val="18"/>
                <w:vertAlign w:val="superscript"/>
              </w:rPr>
              <w:t>1</w:t>
            </w:r>
          </w:p>
        </w:tc>
        <w:tc>
          <w:tcPr>
            <w:tcW w:w="1069" w:type="dxa"/>
            <w:tcBorders>
              <w:top w:val="nil"/>
              <w:left w:val="nil"/>
              <w:bottom w:val="single" w:sz="4" w:space="0" w:color="auto"/>
              <w:right w:val="single" w:sz="4" w:space="0" w:color="auto"/>
            </w:tcBorders>
            <w:noWrap/>
            <w:vAlign w:val="center"/>
            <w:hideMark/>
          </w:tcPr>
          <w:p w14:paraId="6FD53CFA" w14:textId="376E2AE0" w:rsidR="00164BC3" w:rsidRPr="000D0776" w:rsidRDefault="00576021" w:rsidP="0067373C">
            <w:pPr>
              <w:keepNext/>
              <w:keepLines/>
              <w:jc w:val="right"/>
              <w:rPr>
                <w:rFonts w:ascii="Arial Narrow" w:hAnsi="Arial Narrow" w:cs="Calibri"/>
                <w:color w:val="000000"/>
                <w:sz w:val="20"/>
                <w:szCs w:val="20"/>
                <w:highlight w:val="yellow"/>
                <w:vertAlign w:val="superscript"/>
              </w:rPr>
            </w:pPr>
            <w:r w:rsidRPr="001758D2">
              <w:rPr>
                <w:rFonts w:ascii="Arial Narrow" w:hAnsi="Arial Narrow" w:cs="Calibri"/>
                <w:color w:val="000000"/>
                <w:sz w:val="20"/>
                <w:szCs w:val="20"/>
                <w:highlight w:val="black"/>
              </w:rPr>
              <w:t>&amp;&amp;&amp;&amp;</w:t>
            </w:r>
            <w:r w:rsidR="003277F7">
              <w:rPr>
                <w:rFonts w:ascii="Arial Narrow" w:hAnsi="Arial Narrow"/>
                <w:sz w:val="18"/>
                <w:szCs w:val="18"/>
                <w:vertAlign w:val="superscript"/>
              </w:rPr>
              <w:t>1</w:t>
            </w:r>
          </w:p>
        </w:tc>
        <w:tc>
          <w:tcPr>
            <w:tcW w:w="1068" w:type="dxa"/>
            <w:tcBorders>
              <w:top w:val="nil"/>
              <w:left w:val="nil"/>
              <w:bottom w:val="single" w:sz="4" w:space="0" w:color="auto"/>
              <w:right w:val="single" w:sz="4" w:space="0" w:color="auto"/>
            </w:tcBorders>
            <w:noWrap/>
            <w:vAlign w:val="center"/>
            <w:hideMark/>
          </w:tcPr>
          <w:p w14:paraId="62913E43" w14:textId="0FE1C252" w:rsidR="00164BC3" w:rsidRPr="000D0776" w:rsidRDefault="00576021" w:rsidP="0067373C">
            <w:pPr>
              <w:keepNext/>
              <w:keepLines/>
              <w:jc w:val="right"/>
              <w:rPr>
                <w:rFonts w:ascii="Arial Narrow" w:hAnsi="Arial Narrow" w:cs="Calibri"/>
                <w:color w:val="000000"/>
                <w:sz w:val="20"/>
                <w:szCs w:val="20"/>
                <w:highlight w:val="yellow"/>
                <w:vertAlign w:val="superscript"/>
              </w:rPr>
            </w:pPr>
            <w:r w:rsidRPr="001758D2">
              <w:rPr>
                <w:rFonts w:ascii="Arial Narrow" w:hAnsi="Arial Narrow" w:cs="Calibri"/>
                <w:color w:val="000000"/>
                <w:sz w:val="20"/>
                <w:szCs w:val="20"/>
                <w:highlight w:val="black"/>
              </w:rPr>
              <w:t>&amp;&amp;&amp;&amp;</w:t>
            </w:r>
            <w:r w:rsidR="003277F7">
              <w:rPr>
                <w:rFonts w:ascii="Arial Narrow" w:hAnsi="Arial Narrow"/>
                <w:sz w:val="18"/>
                <w:szCs w:val="18"/>
                <w:vertAlign w:val="superscript"/>
              </w:rPr>
              <w:t>1</w:t>
            </w:r>
          </w:p>
        </w:tc>
        <w:tc>
          <w:tcPr>
            <w:tcW w:w="1069" w:type="dxa"/>
            <w:tcBorders>
              <w:top w:val="nil"/>
              <w:left w:val="nil"/>
              <w:bottom w:val="single" w:sz="4" w:space="0" w:color="auto"/>
              <w:right w:val="single" w:sz="4" w:space="0" w:color="auto"/>
            </w:tcBorders>
            <w:noWrap/>
            <w:vAlign w:val="center"/>
            <w:hideMark/>
          </w:tcPr>
          <w:p w14:paraId="790E8719" w14:textId="099EEF9D" w:rsidR="00164BC3" w:rsidRPr="000D0776" w:rsidRDefault="00576021" w:rsidP="0067373C">
            <w:pPr>
              <w:keepNext/>
              <w:keepLines/>
              <w:jc w:val="right"/>
              <w:rPr>
                <w:rFonts w:ascii="Arial Narrow" w:hAnsi="Arial Narrow" w:cs="Calibri"/>
                <w:color w:val="000000"/>
                <w:sz w:val="20"/>
                <w:szCs w:val="20"/>
                <w:highlight w:val="yellow"/>
                <w:vertAlign w:val="superscript"/>
              </w:rPr>
            </w:pPr>
            <w:r w:rsidRPr="001758D2">
              <w:rPr>
                <w:rFonts w:ascii="Arial Narrow" w:hAnsi="Arial Narrow" w:cs="Calibri"/>
                <w:color w:val="000000"/>
                <w:sz w:val="20"/>
                <w:szCs w:val="20"/>
                <w:highlight w:val="black"/>
              </w:rPr>
              <w:t>&amp;&amp;&amp;&amp;</w:t>
            </w:r>
            <w:r w:rsidR="003277F7">
              <w:rPr>
                <w:rFonts w:ascii="Arial Narrow" w:hAnsi="Arial Narrow"/>
                <w:sz w:val="18"/>
                <w:szCs w:val="18"/>
                <w:vertAlign w:val="superscript"/>
              </w:rPr>
              <w:t>1</w:t>
            </w:r>
          </w:p>
        </w:tc>
        <w:tc>
          <w:tcPr>
            <w:tcW w:w="1069" w:type="dxa"/>
            <w:tcBorders>
              <w:top w:val="nil"/>
              <w:left w:val="nil"/>
              <w:bottom w:val="single" w:sz="4" w:space="0" w:color="auto"/>
              <w:right w:val="single" w:sz="4" w:space="0" w:color="auto"/>
            </w:tcBorders>
            <w:noWrap/>
            <w:vAlign w:val="center"/>
            <w:hideMark/>
          </w:tcPr>
          <w:p w14:paraId="3D61C677" w14:textId="0DE88357" w:rsidR="00164BC3" w:rsidRPr="000D0776" w:rsidRDefault="00576021" w:rsidP="0067373C">
            <w:pPr>
              <w:keepNext/>
              <w:keepLines/>
              <w:jc w:val="right"/>
              <w:rPr>
                <w:rFonts w:ascii="Arial Narrow" w:hAnsi="Arial Narrow" w:cs="Calibri"/>
                <w:color w:val="000000"/>
                <w:sz w:val="20"/>
                <w:szCs w:val="20"/>
                <w:highlight w:val="yellow"/>
                <w:vertAlign w:val="superscript"/>
              </w:rPr>
            </w:pPr>
            <w:r w:rsidRPr="001758D2">
              <w:rPr>
                <w:rFonts w:ascii="Arial Narrow" w:hAnsi="Arial Narrow" w:cs="Calibri"/>
                <w:color w:val="000000"/>
                <w:sz w:val="20"/>
                <w:szCs w:val="20"/>
                <w:highlight w:val="black"/>
              </w:rPr>
              <w:t>&amp;&amp;&amp;&amp;</w:t>
            </w:r>
            <w:r w:rsidR="003277F7">
              <w:rPr>
                <w:rFonts w:ascii="Arial Narrow" w:hAnsi="Arial Narrow"/>
                <w:sz w:val="18"/>
                <w:szCs w:val="18"/>
                <w:vertAlign w:val="superscript"/>
              </w:rPr>
              <w:t>1</w:t>
            </w:r>
          </w:p>
        </w:tc>
      </w:tr>
      <w:tr w:rsidR="00164BC3" w:rsidRPr="00D74203" w14:paraId="1B0AB8E8" w14:textId="77777777" w:rsidTr="002C4471">
        <w:trPr>
          <w:cantSplit/>
        </w:trPr>
        <w:tc>
          <w:tcPr>
            <w:tcW w:w="2605" w:type="dxa"/>
            <w:tcBorders>
              <w:top w:val="nil"/>
              <w:left w:val="single" w:sz="4" w:space="0" w:color="auto"/>
              <w:bottom w:val="single" w:sz="4" w:space="0" w:color="auto"/>
              <w:right w:val="single" w:sz="4" w:space="0" w:color="auto"/>
            </w:tcBorders>
            <w:vAlign w:val="center"/>
            <w:hideMark/>
          </w:tcPr>
          <w:p w14:paraId="1B642CC5" w14:textId="77777777" w:rsidR="00164BC3" w:rsidRPr="00D74203" w:rsidRDefault="00164BC3" w:rsidP="0067373C">
            <w:pPr>
              <w:keepNext/>
              <w:keepLines/>
              <w:jc w:val="left"/>
              <w:rPr>
                <w:rFonts w:ascii="Arial Narrow" w:hAnsi="Arial Narrow" w:cs="Calibri"/>
                <w:color w:val="000000"/>
                <w:sz w:val="20"/>
                <w:szCs w:val="20"/>
              </w:rPr>
            </w:pPr>
            <w:r w:rsidRPr="00D74203">
              <w:rPr>
                <w:rFonts w:ascii="Arial Narrow" w:hAnsi="Arial Narrow" w:cs="Calibri"/>
                <w:color w:val="000000"/>
                <w:sz w:val="20"/>
                <w:szCs w:val="20"/>
              </w:rPr>
              <w:t>Uptake - initial treatment</w:t>
            </w:r>
          </w:p>
        </w:tc>
        <w:tc>
          <w:tcPr>
            <w:tcW w:w="1068" w:type="dxa"/>
            <w:tcBorders>
              <w:top w:val="nil"/>
              <w:left w:val="nil"/>
              <w:bottom w:val="single" w:sz="4" w:space="0" w:color="auto"/>
              <w:right w:val="single" w:sz="4" w:space="0" w:color="auto"/>
            </w:tcBorders>
            <w:noWrap/>
            <w:hideMark/>
          </w:tcPr>
          <w:p w14:paraId="6D163CD5" w14:textId="1A0D7527" w:rsidR="00164BC3" w:rsidRPr="000D0776" w:rsidRDefault="00576021" w:rsidP="0067373C">
            <w:pPr>
              <w:keepNext/>
              <w:keepLines/>
              <w:jc w:val="right"/>
              <w:rPr>
                <w:rFonts w:ascii="Arial Narrow" w:hAnsi="Arial Narrow" w:cs="Calibri"/>
                <w:color w:val="000000"/>
                <w:sz w:val="20"/>
                <w:szCs w:val="20"/>
                <w:highlight w:val="darkGray"/>
              </w:rPr>
            </w:pPr>
            <w:r w:rsidRPr="001758D2">
              <w:rPr>
                <w:rFonts w:ascii="Arial Narrow" w:hAnsi="Arial Narrow" w:cs="Calibri"/>
                <w:color w:val="000000"/>
                <w:sz w:val="20"/>
                <w:szCs w:val="20"/>
                <w:highlight w:val="black"/>
              </w:rPr>
              <w:t>&amp;&amp;&amp;&amp;</w:t>
            </w:r>
            <w:r w:rsidR="008F649E" w:rsidRPr="000D0776">
              <w:rPr>
                <w:rFonts w:ascii="Arial Narrow" w:hAnsi="Arial Narrow" w:cs="Calibri"/>
                <w:color w:val="000000"/>
                <w:sz w:val="20"/>
                <w:szCs w:val="20"/>
              </w:rPr>
              <w:t>%</w:t>
            </w:r>
          </w:p>
        </w:tc>
        <w:tc>
          <w:tcPr>
            <w:tcW w:w="1069" w:type="dxa"/>
            <w:tcBorders>
              <w:top w:val="nil"/>
              <w:left w:val="nil"/>
              <w:bottom w:val="single" w:sz="4" w:space="0" w:color="auto"/>
              <w:right w:val="single" w:sz="4" w:space="0" w:color="auto"/>
            </w:tcBorders>
            <w:noWrap/>
            <w:vAlign w:val="center"/>
            <w:hideMark/>
          </w:tcPr>
          <w:p w14:paraId="0928AB39" w14:textId="622DB3D3" w:rsidR="00164BC3" w:rsidRPr="000D0776" w:rsidRDefault="00576021" w:rsidP="0067373C">
            <w:pPr>
              <w:keepNext/>
              <w:keepLines/>
              <w:jc w:val="right"/>
              <w:rPr>
                <w:rFonts w:ascii="Arial Narrow" w:hAnsi="Arial Narrow" w:cs="Calibri"/>
                <w:color w:val="000000"/>
                <w:sz w:val="20"/>
                <w:szCs w:val="20"/>
                <w:highlight w:val="darkGray"/>
              </w:rPr>
            </w:pPr>
            <w:r w:rsidRPr="001758D2">
              <w:rPr>
                <w:rFonts w:ascii="Arial Narrow" w:hAnsi="Arial Narrow" w:cs="Calibri"/>
                <w:color w:val="000000"/>
                <w:sz w:val="20"/>
                <w:szCs w:val="20"/>
                <w:highlight w:val="black"/>
              </w:rPr>
              <w:t>&amp;&amp;&amp;&amp;</w:t>
            </w:r>
            <w:r w:rsidR="00164BC3" w:rsidRPr="000D0776">
              <w:rPr>
                <w:rFonts w:ascii="Arial Narrow" w:hAnsi="Arial Narrow" w:cs="Calibri"/>
                <w:color w:val="000000"/>
                <w:sz w:val="20"/>
                <w:szCs w:val="20"/>
              </w:rPr>
              <w:t>%</w:t>
            </w:r>
          </w:p>
        </w:tc>
        <w:tc>
          <w:tcPr>
            <w:tcW w:w="1069" w:type="dxa"/>
            <w:tcBorders>
              <w:top w:val="nil"/>
              <w:left w:val="nil"/>
              <w:bottom w:val="single" w:sz="4" w:space="0" w:color="auto"/>
              <w:right w:val="single" w:sz="4" w:space="0" w:color="auto"/>
            </w:tcBorders>
            <w:noWrap/>
            <w:vAlign w:val="center"/>
            <w:hideMark/>
          </w:tcPr>
          <w:p w14:paraId="783D5649" w14:textId="774D51D8" w:rsidR="00164BC3" w:rsidRPr="000D0776" w:rsidRDefault="00576021" w:rsidP="0067373C">
            <w:pPr>
              <w:keepNext/>
              <w:keepLines/>
              <w:jc w:val="right"/>
              <w:rPr>
                <w:rFonts w:ascii="Arial Narrow" w:hAnsi="Arial Narrow" w:cs="Calibri"/>
                <w:color w:val="000000"/>
                <w:sz w:val="20"/>
                <w:szCs w:val="20"/>
                <w:highlight w:val="darkGray"/>
              </w:rPr>
            </w:pPr>
            <w:r w:rsidRPr="001758D2">
              <w:rPr>
                <w:rFonts w:ascii="Arial Narrow" w:hAnsi="Arial Narrow" w:cs="Calibri"/>
                <w:color w:val="000000"/>
                <w:sz w:val="20"/>
                <w:szCs w:val="20"/>
                <w:highlight w:val="black"/>
              </w:rPr>
              <w:t>&amp;&amp;&amp;&amp;</w:t>
            </w:r>
            <w:r w:rsidR="00164BC3" w:rsidRPr="000D0776">
              <w:rPr>
                <w:rFonts w:ascii="Arial Narrow" w:hAnsi="Arial Narrow" w:cs="Calibri"/>
                <w:color w:val="000000"/>
                <w:sz w:val="20"/>
                <w:szCs w:val="20"/>
              </w:rPr>
              <w:t>%</w:t>
            </w:r>
          </w:p>
        </w:tc>
        <w:tc>
          <w:tcPr>
            <w:tcW w:w="1068" w:type="dxa"/>
            <w:tcBorders>
              <w:top w:val="nil"/>
              <w:left w:val="nil"/>
              <w:bottom w:val="single" w:sz="4" w:space="0" w:color="auto"/>
              <w:right w:val="single" w:sz="4" w:space="0" w:color="auto"/>
            </w:tcBorders>
            <w:noWrap/>
            <w:vAlign w:val="center"/>
            <w:hideMark/>
          </w:tcPr>
          <w:p w14:paraId="642431A4" w14:textId="63B8D271" w:rsidR="00164BC3" w:rsidRPr="000D0776" w:rsidRDefault="00576021" w:rsidP="0067373C">
            <w:pPr>
              <w:keepNext/>
              <w:keepLines/>
              <w:jc w:val="right"/>
              <w:rPr>
                <w:rFonts w:ascii="Arial Narrow" w:hAnsi="Arial Narrow" w:cs="Calibri"/>
                <w:color w:val="000000"/>
                <w:sz w:val="20"/>
                <w:szCs w:val="20"/>
                <w:highlight w:val="darkGray"/>
              </w:rPr>
            </w:pPr>
            <w:r w:rsidRPr="001758D2">
              <w:rPr>
                <w:rFonts w:ascii="Arial Narrow" w:hAnsi="Arial Narrow" w:cs="Calibri"/>
                <w:color w:val="000000"/>
                <w:sz w:val="20"/>
                <w:szCs w:val="20"/>
                <w:highlight w:val="black"/>
              </w:rPr>
              <w:t>&amp;&amp;&amp;&amp;</w:t>
            </w:r>
          </w:p>
        </w:tc>
        <w:tc>
          <w:tcPr>
            <w:tcW w:w="1069" w:type="dxa"/>
            <w:tcBorders>
              <w:top w:val="nil"/>
              <w:left w:val="nil"/>
              <w:bottom w:val="single" w:sz="4" w:space="0" w:color="auto"/>
              <w:right w:val="single" w:sz="4" w:space="0" w:color="auto"/>
            </w:tcBorders>
            <w:noWrap/>
            <w:vAlign w:val="center"/>
            <w:hideMark/>
          </w:tcPr>
          <w:p w14:paraId="5B915BFC" w14:textId="519D5B0C" w:rsidR="00164BC3" w:rsidRPr="000D0776" w:rsidRDefault="00576021" w:rsidP="0067373C">
            <w:pPr>
              <w:keepNext/>
              <w:keepLines/>
              <w:jc w:val="right"/>
              <w:rPr>
                <w:rFonts w:ascii="Arial Narrow" w:hAnsi="Arial Narrow" w:cs="Calibri"/>
                <w:color w:val="000000"/>
                <w:sz w:val="20"/>
                <w:szCs w:val="20"/>
                <w:highlight w:val="darkGray"/>
              </w:rPr>
            </w:pPr>
            <w:r w:rsidRPr="001758D2">
              <w:rPr>
                <w:rFonts w:ascii="Arial Narrow" w:hAnsi="Arial Narrow" w:cs="Calibri"/>
                <w:color w:val="000000"/>
                <w:sz w:val="20"/>
                <w:szCs w:val="20"/>
                <w:highlight w:val="black"/>
              </w:rPr>
              <w:t>&amp;&amp;&amp;&amp;</w:t>
            </w:r>
            <w:r w:rsidR="00164BC3" w:rsidRPr="000D0776">
              <w:rPr>
                <w:rFonts w:ascii="Arial Narrow" w:hAnsi="Arial Narrow" w:cs="Calibri"/>
                <w:color w:val="000000"/>
                <w:sz w:val="20"/>
                <w:szCs w:val="20"/>
              </w:rPr>
              <w:t>%</w:t>
            </w:r>
          </w:p>
        </w:tc>
        <w:tc>
          <w:tcPr>
            <w:tcW w:w="1069" w:type="dxa"/>
            <w:tcBorders>
              <w:top w:val="nil"/>
              <w:left w:val="nil"/>
              <w:bottom w:val="single" w:sz="4" w:space="0" w:color="auto"/>
              <w:right w:val="single" w:sz="4" w:space="0" w:color="auto"/>
            </w:tcBorders>
            <w:noWrap/>
            <w:vAlign w:val="center"/>
            <w:hideMark/>
          </w:tcPr>
          <w:p w14:paraId="7282B29A" w14:textId="412AFE2F" w:rsidR="00164BC3" w:rsidRPr="000D0776" w:rsidRDefault="00576021" w:rsidP="0067373C">
            <w:pPr>
              <w:keepNext/>
              <w:keepLines/>
              <w:jc w:val="right"/>
              <w:rPr>
                <w:rFonts w:ascii="Arial Narrow" w:hAnsi="Arial Narrow" w:cs="Calibri"/>
                <w:color w:val="000000"/>
                <w:sz w:val="20"/>
                <w:szCs w:val="20"/>
                <w:highlight w:val="darkGray"/>
              </w:rPr>
            </w:pPr>
            <w:r w:rsidRPr="001758D2">
              <w:rPr>
                <w:rFonts w:ascii="Arial Narrow" w:hAnsi="Arial Narrow" w:cs="Calibri"/>
                <w:color w:val="000000"/>
                <w:sz w:val="20"/>
                <w:szCs w:val="20"/>
                <w:highlight w:val="black"/>
              </w:rPr>
              <w:t>&amp;&amp;&amp;&amp;</w:t>
            </w:r>
            <w:r w:rsidR="00164BC3" w:rsidRPr="000D0776">
              <w:rPr>
                <w:rFonts w:ascii="Arial Narrow" w:hAnsi="Arial Narrow" w:cs="Calibri"/>
                <w:color w:val="000000"/>
                <w:sz w:val="20"/>
                <w:szCs w:val="20"/>
              </w:rPr>
              <w:t>%</w:t>
            </w:r>
          </w:p>
        </w:tc>
      </w:tr>
      <w:tr w:rsidR="00164BC3" w:rsidRPr="00D74203" w14:paraId="5DBC18C4" w14:textId="77777777" w:rsidTr="00C30647">
        <w:trPr>
          <w:cantSplit/>
        </w:trPr>
        <w:tc>
          <w:tcPr>
            <w:tcW w:w="2605" w:type="dxa"/>
            <w:tcBorders>
              <w:top w:val="nil"/>
              <w:left w:val="single" w:sz="4" w:space="0" w:color="auto"/>
              <w:bottom w:val="single" w:sz="4" w:space="0" w:color="auto"/>
              <w:right w:val="single" w:sz="4" w:space="0" w:color="auto"/>
            </w:tcBorders>
            <w:vAlign w:val="center"/>
            <w:hideMark/>
          </w:tcPr>
          <w:p w14:paraId="0564529C" w14:textId="5B57D32D" w:rsidR="00164BC3" w:rsidRPr="00D74203" w:rsidRDefault="009461B4" w:rsidP="0067373C">
            <w:pPr>
              <w:keepNext/>
              <w:keepLines/>
              <w:jc w:val="left"/>
              <w:rPr>
                <w:rFonts w:ascii="Arial Narrow" w:hAnsi="Arial Narrow" w:cs="Calibri"/>
                <w:color w:val="000000"/>
                <w:sz w:val="20"/>
                <w:szCs w:val="20"/>
              </w:rPr>
            </w:pPr>
            <w:r>
              <w:rPr>
                <w:rFonts w:ascii="Arial Narrow" w:hAnsi="Arial Narrow" w:cs="Calibri"/>
                <w:color w:val="000000"/>
                <w:sz w:val="20"/>
                <w:szCs w:val="20"/>
              </w:rPr>
              <w:t>Neoadjuvant</w:t>
            </w:r>
            <w:r w:rsidRPr="00D74203">
              <w:rPr>
                <w:rFonts w:ascii="Arial Narrow" w:hAnsi="Arial Narrow" w:cs="Calibri"/>
                <w:color w:val="000000"/>
                <w:sz w:val="20"/>
                <w:szCs w:val="20"/>
              </w:rPr>
              <w:t xml:space="preserve"> </w:t>
            </w:r>
            <w:r w:rsidR="00164BC3" w:rsidRPr="00D74203">
              <w:rPr>
                <w:rFonts w:ascii="Arial Narrow" w:hAnsi="Arial Narrow" w:cs="Calibri"/>
                <w:color w:val="000000"/>
                <w:sz w:val="20"/>
                <w:szCs w:val="20"/>
              </w:rPr>
              <w:t>patients</w:t>
            </w:r>
          </w:p>
        </w:tc>
        <w:tc>
          <w:tcPr>
            <w:tcW w:w="1068" w:type="dxa"/>
            <w:tcBorders>
              <w:top w:val="nil"/>
              <w:left w:val="nil"/>
              <w:bottom w:val="single" w:sz="4" w:space="0" w:color="auto"/>
              <w:right w:val="single" w:sz="4" w:space="0" w:color="auto"/>
            </w:tcBorders>
            <w:noWrap/>
            <w:vAlign w:val="center"/>
            <w:hideMark/>
          </w:tcPr>
          <w:p w14:paraId="74C1D23B" w14:textId="4E52B2A5" w:rsidR="00164BC3" w:rsidRPr="000D0776" w:rsidRDefault="00576021" w:rsidP="0067373C">
            <w:pPr>
              <w:keepNext/>
              <w:keepLines/>
              <w:jc w:val="right"/>
              <w:rPr>
                <w:rFonts w:ascii="Arial Narrow" w:hAnsi="Arial Narrow" w:cs="Calibri"/>
                <w:color w:val="000000"/>
                <w:sz w:val="20"/>
                <w:szCs w:val="20"/>
                <w:highlight w:val="yellow"/>
                <w:vertAlign w:val="superscript"/>
              </w:rPr>
            </w:pPr>
            <w:r w:rsidRPr="001758D2">
              <w:rPr>
                <w:rFonts w:ascii="Arial Narrow" w:hAnsi="Arial Narrow" w:cs="Calibri"/>
                <w:color w:val="000000"/>
                <w:sz w:val="20"/>
                <w:szCs w:val="20"/>
                <w:highlight w:val="black"/>
              </w:rPr>
              <w:t>&amp;&amp;&amp;&amp;</w:t>
            </w:r>
            <w:r w:rsidR="003277F7">
              <w:rPr>
                <w:rFonts w:ascii="Arial Narrow" w:hAnsi="Arial Narrow"/>
                <w:sz w:val="18"/>
                <w:szCs w:val="18"/>
                <w:vertAlign w:val="superscript"/>
              </w:rPr>
              <w:t>1</w:t>
            </w:r>
          </w:p>
        </w:tc>
        <w:tc>
          <w:tcPr>
            <w:tcW w:w="1069" w:type="dxa"/>
            <w:tcBorders>
              <w:top w:val="nil"/>
              <w:left w:val="nil"/>
              <w:bottom w:val="single" w:sz="4" w:space="0" w:color="auto"/>
              <w:right w:val="single" w:sz="4" w:space="0" w:color="auto"/>
            </w:tcBorders>
            <w:noWrap/>
            <w:vAlign w:val="center"/>
            <w:hideMark/>
          </w:tcPr>
          <w:p w14:paraId="4AAB1E0A" w14:textId="695F0C45" w:rsidR="00164BC3" w:rsidRPr="000D0776" w:rsidRDefault="00576021" w:rsidP="0067373C">
            <w:pPr>
              <w:keepNext/>
              <w:keepLines/>
              <w:jc w:val="right"/>
              <w:rPr>
                <w:rFonts w:ascii="Arial Narrow" w:hAnsi="Arial Narrow" w:cs="Calibri"/>
                <w:color w:val="000000"/>
                <w:sz w:val="20"/>
                <w:szCs w:val="20"/>
                <w:highlight w:val="yellow"/>
                <w:vertAlign w:val="superscript"/>
              </w:rPr>
            </w:pPr>
            <w:r w:rsidRPr="001758D2">
              <w:rPr>
                <w:rFonts w:ascii="Arial Narrow" w:hAnsi="Arial Narrow" w:cs="Calibri"/>
                <w:color w:val="000000"/>
                <w:sz w:val="20"/>
                <w:szCs w:val="20"/>
                <w:highlight w:val="black"/>
              </w:rPr>
              <w:t>&amp;&amp;&amp;&amp;</w:t>
            </w:r>
            <w:r w:rsidR="003277F7">
              <w:rPr>
                <w:rFonts w:ascii="Arial Narrow" w:hAnsi="Arial Narrow"/>
                <w:sz w:val="18"/>
                <w:szCs w:val="18"/>
                <w:vertAlign w:val="superscript"/>
              </w:rPr>
              <w:t>1</w:t>
            </w:r>
          </w:p>
        </w:tc>
        <w:tc>
          <w:tcPr>
            <w:tcW w:w="1069" w:type="dxa"/>
            <w:tcBorders>
              <w:top w:val="nil"/>
              <w:left w:val="nil"/>
              <w:bottom w:val="single" w:sz="4" w:space="0" w:color="auto"/>
              <w:right w:val="single" w:sz="4" w:space="0" w:color="auto"/>
            </w:tcBorders>
            <w:noWrap/>
            <w:vAlign w:val="center"/>
            <w:hideMark/>
          </w:tcPr>
          <w:p w14:paraId="21AC422C" w14:textId="425D4DBE" w:rsidR="00164BC3" w:rsidRPr="000D0776" w:rsidRDefault="00576021" w:rsidP="0067373C">
            <w:pPr>
              <w:keepNext/>
              <w:keepLines/>
              <w:jc w:val="right"/>
              <w:rPr>
                <w:rFonts w:ascii="Arial Narrow" w:hAnsi="Arial Narrow" w:cs="Calibri"/>
                <w:color w:val="000000"/>
                <w:sz w:val="20"/>
                <w:szCs w:val="20"/>
                <w:highlight w:val="yellow"/>
                <w:vertAlign w:val="superscript"/>
              </w:rPr>
            </w:pPr>
            <w:r w:rsidRPr="001758D2">
              <w:rPr>
                <w:rFonts w:ascii="Arial Narrow" w:hAnsi="Arial Narrow" w:cs="Calibri"/>
                <w:color w:val="000000"/>
                <w:sz w:val="20"/>
                <w:szCs w:val="20"/>
                <w:highlight w:val="black"/>
              </w:rPr>
              <w:t>&amp;&amp;&amp;&amp;</w:t>
            </w:r>
            <w:r w:rsidR="003277F7">
              <w:rPr>
                <w:rFonts w:ascii="Arial Narrow" w:hAnsi="Arial Narrow"/>
                <w:sz w:val="18"/>
                <w:szCs w:val="18"/>
                <w:vertAlign w:val="superscript"/>
              </w:rPr>
              <w:t>1</w:t>
            </w:r>
          </w:p>
        </w:tc>
        <w:tc>
          <w:tcPr>
            <w:tcW w:w="1068" w:type="dxa"/>
            <w:tcBorders>
              <w:top w:val="nil"/>
              <w:left w:val="nil"/>
              <w:bottom w:val="single" w:sz="4" w:space="0" w:color="auto"/>
              <w:right w:val="single" w:sz="4" w:space="0" w:color="auto"/>
            </w:tcBorders>
            <w:noWrap/>
            <w:vAlign w:val="center"/>
            <w:hideMark/>
          </w:tcPr>
          <w:p w14:paraId="687351F9" w14:textId="0AF8B4A7" w:rsidR="00164BC3" w:rsidRPr="000D0776" w:rsidRDefault="00576021" w:rsidP="0067373C">
            <w:pPr>
              <w:keepNext/>
              <w:keepLines/>
              <w:jc w:val="right"/>
              <w:rPr>
                <w:rFonts w:ascii="Arial Narrow" w:hAnsi="Arial Narrow" w:cs="Calibri"/>
                <w:color w:val="000000"/>
                <w:sz w:val="20"/>
                <w:szCs w:val="20"/>
                <w:highlight w:val="yellow"/>
                <w:vertAlign w:val="superscript"/>
              </w:rPr>
            </w:pPr>
            <w:r w:rsidRPr="001758D2">
              <w:rPr>
                <w:rFonts w:ascii="Arial Narrow" w:hAnsi="Arial Narrow" w:cs="Calibri"/>
                <w:color w:val="000000"/>
                <w:sz w:val="20"/>
                <w:szCs w:val="20"/>
                <w:highlight w:val="black"/>
              </w:rPr>
              <w:t>&amp;&amp;&amp;&amp;</w:t>
            </w:r>
            <w:r w:rsidR="003277F7">
              <w:rPr>
                <w:rFonts w:ascii="Arial Narrow" w:hAnsi="Arial Narrow"/>
                <w:sz w:val="18"/>
                <w:szCs w:val="18"/>
                <w:vertAlign w:val="superscript"/>
              </w:rPr>
              <w:t>1</w:t>
            </w:r>
          </w:p>
        </w:tc>
        <w:tc>
          <w:tcPr>
            <w:tcW w:w="1069" w:type="dxa"/>
            <w:tcBorders>
              <w:top w:val="nil"/>
              <w:left w:val="nil"/>
              <w:bottom w:val="single" w:sz="4" w:space="0" w:color="auto"/>
              <w:right w:val="single" w:sz="4" w:space="0" w:color="auto"/>
            </w:tcBorders>
            <w:noWrap/>
            <w:vAlign w:val="center"/>
            <w:hideMark/>
          </w:tcPr>
          <w:p w14:paraId="2B1C9BF1" w14:textId="15E895FF" w:rsidR="00164BC3" w:rsidRPr="000D0776" w:rsidRDefault="00576021" w:rsidP="0067373C">
            <w:pPr>
              <w:keepNext/>
              <w:keepLines/>
              <w:jc w:val="right"/>
              <w:rPr>
                <w:rFonts w:ascii="Arial Narrow" w:hAnsi="Arial Narrow" w:cs="Calibri"/>
                <w:color w:val="000000"/>
                <w:sz w:val="20"/>
                <w:szCs w:val="20"/>
                <w:highlight w:val="yellow"/>
                <w:vertAlign w:val="superscript"/>
              </w:rPr>
            </w:pPr>
            <w:r w:rsidRPr="001758D2">
              <w:rPr>
                <w:rFonts w:ascii="Arial Narrow" w:hAnsi="Arial Narrow" w:cs="Calibri"/>
                <w:color w:val="000000"/>
                <w:sz w:val="20"/>
                <w:szCs w:val="20"/>
                <w:highlight w:val="black"/>
              </w:rPr>
              <w:t>&amp;&amp;&amp;&amp;</w:t>
            </w:r>
            <w:r w:rsidR="003277F7">
              <w:rPr>
                <w:rFonts w:ascii="Arial Narrow" w:hAnsi="Arial Narrow"/>
                <w:sz w:val="18"/>
                <w:szCs w:val="18"/>
                <w:vertAlign w:val="superscript"/>
              </w:rPr>
              <w:t>1</w:t>
            </w:r>
          </w:p>
        </w:tc>
        <w:tc>
          <w:tcPr>
            <w:tcW w:w="1069" w:type="dxa"/>
            <w:tcBorders>
              <w:top w:val="nil"/>
              <w:left w:val="nil"/>
              <w:bottom w:val="single" w:sz="4" w:space="0" w:color="auto"/>
              <w:right w:val="single" w:sz="4" w:space="0" w:color="auto"/>
            </w:tcBorders>
            <w:noWrap/>
            <w:vAlign w:val="center"/>
            <w:hideMark/>
          </w:tcPr>
          <w:p w14:paraId="03974844" w14:textId="23C713B9" w:rsidR="00164BC3" w:rsidRPr="000D0776" w:rsidRDefault="00576021" w:rsidP="0067373C">
            <w:pPr>
              <w:keepNext/>
              <w:keepLines/>
              <w:jc w:val="right"/>
              <w:rPr>
                <w:rFonts w:ascii="Arial Narrow" w:hAnsi="Arial Narrow" w:cs="Calibri"/>
                <w:color w:val="000000"/>
                <w:sz w:val="20"/>
                <w:szCs w:val="20"/>
                <w:highlight w:val="yellow"/>
                <w:vertAlign w:val="superscript"/>
              </w:rPr>
            </w:pPr>
            <w:r w:rsidRPr="001758D2">
              <w:rPr>
                <w:rFonts w:ascii="Arial Narrow" w:hAnsi="Arial Narrow" w:cs="Calibri"/>
                <w:color w:val="000000"/>
                <w:sz w:val="20"/>
                <w:szCs w:val="20"/>
                <w:highlight w:val="black"/>
              </w:rPr>
              <w:t>&amp;&amp;&amp;&amp;</w:t>
            </w:r>
            <w:r w:rsidR="003277F7">
              <w:rPr>
                <w:rFonts w:ascii="Arial Narrow" w:hAnsi="Arial Narrow"/>
                <w:sz w:val="18"/>
                <w:szCs w:val="18"/>
                <w:vertAlign w:val="superscript"/>
              </w:rPr>
              <w:t>1</w:t>
            </w:r>
          </w:p>
        </w:tc>
      </w:tr>
      <w:tr w:rsidR="004506F3" w:rsidRPr="00D74203" w14:paraId="20CD99BE" w14:textId="77777777" w:rsidTr="00C30647">
        <w:trPr>
          <w:cantSplit/>
        </w:trPr>
        <w:tc>
          <w:tcPr>
            <w:tcW w:w="2605" w:type="dxa"/>
            <w:tcBorders>
              <w:top w:val="nil"/>
              <w:left w:val="single" w:sz="4" w:space="0" w:color="auto"/>
              <w:bottom w:val="single" w:sz="4" w:space="0" w:color="auto"/>
              <w:right w:val="single" w:sz="4" w:space="0" w:color="auto"/>
            </w:tcBorders>
            <w:vAlign w:val="center"/>
          </w:tcPr>
          <w:p w14:paraId="0237F92C" w14:textId="4002A680" w:rsidR="004506F3" w:rsidRPr="00D74203" w:rsidRDefault="009461B4" w:rsidP="0067373C">
            <w:pPr>
              <w:keepNext/>
              <w:keepLines/>
              <w:jc w:val="left"/>
              <w:rPr>
                <w:rFonts w:ascii="Arial Narrow" w:hAnsi="Arial Narrow" w:cs="Calibri"/>
                <w:color w:val="000000"/>
                <w:sz w:val="20"/>
                <w:szCs w:val="20"/>
              </w:rPr>
            </w:pPr>
            <w:r>
              <w:rPr>
                <w:rFonts w:ascii="Arial Narrow" w:hAnsi="Arial Narrow" w:cs="Calibri"/>
                <w:color w:val="000000"/>
                <w:sz w:val="20"/>
                <w:szCs w:val="20"/>
              </w:rPr>
              <w:t>Neoadjuvant</w:t>
            </w:r>
            <w:r w:rsidR="004506F3">
              <w:rPr>
                <w:rFonts w:ascii="Arial Narrow" w:hAnsi="Arial Narrow" w:cs="Calibri"/>
                <w:color w:val="000000"/>
                <w:sz w:val="20"/>
                <w:szCs w:val="20"/>
              </w:rPr>
              <w:t xml:space="preserve"> scripts </w:t>
            </w:r>
            <w:r w:rsidR="004506F3" w:rsidRPr="004506F3">
              <w:rPr>
                <w:rFonts w:ascii="Arial Narrow" w:hAnsi="Arial Narrow" w:cs="Calibri"/>
                <w:color w:val="000000"/>
                <w:sz w:val="20"/>
                <w:szCs w:val="20"/>
                <w:vertAlign w:val="superscript"/>
              </w:rPr>
              <w:t>a</w:t>
            </w:r>
          </w:p>
        </w:tc>
        <w:tc>
          <w:tcPr>
            <w:tcW w:w="1068" w:type="dxa"/>
            <w:tcBorders>
              <w:top w:val="nil"/>
              <w:left w:val="nil"/>
              <w:bottom w:val="single" w:sz="4" w:space="0" w:color="auto"/>
              <w:right w:val="single" w:sz="4" w:space="0" w:color="auto"/>
            </w:tcBorders>
            <w:noWrap/>
            <w:vAlign w:val="center"/>
          </w:tcPr>
          <w:p w14:paraId="385EB0E0" w14:textId="3ACADD5A" w:rsidR="004506F3" w:rsidRPr="000D0776" w:rsidRDefault="00576021" w:rsidP="0067373C">
            <w:pPr>
              <w:keepNext/>
              <w:keepLines/>
              <w:jc w:val="right"/>
              <w:rPr>
                <w:rFonts w:ascii="Arial Narrow" w:hAnsi="Arial Narrow" w:cs="Calibri"/>
                <w:b/>
                <w:bCs/>
                <w:color w:val="000000"/>
                <w:sz w:val="20"/>
                <w:szCs w:val="20"/>
                <w:highlight w:val="yellow"/>
                <w:vertAlign w:val="superscript"/>
              </w:rPr>
            </w:pPr>
            <w:r w:rsidRPr="001758D2">
              <w:rPr>
                <w:rFonts w:ascii="Arial Narrow" w:hAnsi="Arial Narrow" w:cs="Calibri"/>
                <w:b/>
                <w:bCs/>
                <w:color w:val="000000"/>
                <w:sz w:val="20"/>
                <w:szCs w:val="20"/>
                <w:highlight w:val="black"/>
              </w:rPr>
              <w:t>&amp;&amp;&amp;&amp;</w:t>
            </w:r>
            <w:r w:rsidR="005C4721">
              <w:rPr>
                <w:rFonts w:ascii="Arial Narrow" w:hAnsi="Arial Narrow"/>
                <w:sz w:val="18"/>
                <w:szCs w:val="18"/>
                <w:vertAlign w:val="superscript"/>
              </w:rPr>
              <w:t>1</w:t>
            </w:r>
          </w:p>
        </w:tc>
        <w:tc>
          <w:tcPr>
            <w:tcW w:w="1069" w:type="dxa"/>
            <w:tcBorders>
              <w:top w:val="nil"/>
              <w:left w:val="nil"/>
              <w:bottom w:val="single" w:sz="4" w:space="0" w:color="auto"/>
              <w:right w:val="single" w:sz="4" w:space="0" w:color="auto"/>
            </w:tcBorders>
            <w:noWrap/>
            <w:vAlign w:val="center"/>
          </w:tcPr>
          <w:p w14:paraId="23B45B71" w14:textId="2E34B8F3" w:rsidR="004506F3" w:rsidRPr="000D0776" w:rsidRDefault="00576021" w:rsidP="0067373C">
            <w:pPr>
              <w:keepNext/>
              <w:keepLines/>
              <w:jc w:val="right"/>
              <w:rPr>
                <w:rFonts w:ascii="Arial Narrow" w:hAnsi="Arial Narrow" w:cs="Calibri"/>
                <w:b/>
                <w:bCs/>
                <w:color w:val="000000"/>
                <w:sz w:val="20"/>
                <w:szCs w:val="20"/>
                <w:highlight w:val="yellow"/>
                <w:vertAlign w:val="superscript"/>
              </w:rPr>
            </w:pPr>
            <w:r w:rsidRPr="001758D2">
              <w:rPr>
                <w:rFonts w:ascii="Arial Narrow" w:hAnsi="Arial Narrow" w:cs="Calibri"/>
                <w:b/>
                <w:bCs/>
                <w:color w:val="000000"/>
                <w:sz w:val="20"/>
                <w:szCs w:val="20"/>
                <w:highlight w:val="black"/>
              </w:rPr>
              <w:t>&amp;&amp;&amp;&amp;</w:t>
            </w:r>
            <w:r w:rsidR="005C4721">
              <w:rPr>
                <w:rFonts w:ascii="Arial Narrow" w:hAnsi="Arial Narrow"/>
                <w:sz w:val="18"/>
                <w:szCs w:val="18"/>
                <w:vertAlign w:val="superscript"/>
              </w:rPr>
              <w:t>1</w:t>
            </w:r>
          </w:p>
        </w:tc>
        <w:tc>
          <w:tcPr>
            <w:tcW w:w="1069" w:type="dxa"/>
            <w:tcBorders>
              <w:top w:val="nil"/>
              <w:left w:val="nil"/>
              <w:bottom w:val="single" w:sz="4" w:space="0" w:color="auto"/>
              <w:right w:val="single" w:sz="4" w:space="0" w:color="auto"/>
            </w:tcBorders>
            <w:noWrap/>
            <w:vAlign w:val="center"/>
          </w:tcPr>
          <w:p w14:paraId="5924D544" w14:textId="47CCD6C0" w:rsidR="004506F3" w:rsidRPr="000D0776" w:rsidRDefault="00576021" w:rsidP="0067373C">
            <w:pPr>
              <w:keepNext/>
              <w:keepLines/>
              <w:jc w:val="right"/>
              <w:rPr>
                <w:rFonts w:ascii="Arial Narrow" w:hAnsi="Arial Narrow" w:cs="Calibri"/>
                <w:b/>
                <w:bCs/>
                <w:color w:val="000000"/>
                <w:sz w:val="20"/>
                <w:szCs w:val="20"/>
                <w:highlight w:val="yellow"/>
                <w:vertAlign w:val="superscript"/>
              </w:rPr>
            </w:pPr>
            <w:r w:rsidRPr="001758D2">
              <w:rPr>
                <w:rFonts w:ascii="Arial Narrow" w:hAnsi="Arial Narrow" w:cs="Calibri"/>
                <w:b/>
                <w:bCs/>
                <w:color w:val="000000"/>
                <w:sz w:val="20"/>
                <w:szCs w:val="20"/>
                <w:highlight w:val="black"/>
              </w:rPr>
              <w:t>&amp;&amp;&amp;&amp;</w:t>
            </w:r>
            <w:r w:rsidR="005C4721">
              <w:rPr>
                <w:rFonts w:ascii="Arial Narrow" w:hAnsi="Arial Narrow"/>
                <w:sz w:val="18"/>
                <w:szCs w:val="18"/>
                <w:vertAlign w:val="superscript"/>
              </w:rPr>
              <w:t>1</w:t>
            </w:r>
          </w:p>
        </w:tc>
        <w:tc>
          <w:tcPr>
            <w:tcW w:w="1068" w:type="dxa"/>
            <w:tcBorders>
              <w:top w:val="nil"/>
              <w:left w:val="nil"/>
              <w:bottom w:val="single" w:sz="4" w:space="0" w:color="auto"/>
              <w:right w:val="single" w:sz="4" w:space="0" w:color="auto"/>
            </w:tcBorders>
            <w:noWrap/>
            <w:vAlign w:val="center"/>
          </w:tcPr>
          <w:p w14:paraId="75167C06" w14:textId="6B91514F" w:rsidR="004506F3" w:rsidRPr="000D0776" w:rsidRDefault="00576021" w:rsidP="0067373C">
            <w:pPr>
              <w:keepNext/>
              <w:keepLines/>
              <w:jc w:val="right"/>
              <w:rPr>
                <w:rFonts w:ascii="Arial Narrow" w:hAnsi="Arial Narrow" w:cs="Calibri"/>
                <w:b/>
                <w:bCs/>
                <w:color w:val="000000"/>
                <w:sz w:val="20"/>
                <w:szCs w:val="20"/>
                <w:highlight w:val="yellow"/>
                <w:vertAlign w:val="superscript"/>
              </w:rPr>
            </w:pPr>
            <w:r w:rsidRPr="001758D2">
              <w:rPr>
                <w:rFonts w:ascii="Arial Narrow" w:hAnsi="Arial Narrow" w:cs="Calibri"/>
                <w:b/>
                <w:bCs/>
                <w:color w:val="000000"/>
                <w:sz w:val="20"/>
                <w:szCs w:val="20"/>
                <w:highlight w:val="black"/>
              </w:rPr>
              <w:t>&amp;&amp;&amp;&amp;</w:t>
            </w:r>
            <w:r w:rsidR="005C4721">
              <w:rPr>
                <w:rFonts w:ascii="Arial Narrow" w:hAnsi="Arial Narrow"/>
                <w:sz w:val="18"/>
                <w:szCs w:val="18"/>
                <w:vertAlign w:val="superscript"/>
              </w:rPr>
              <w:t>1</w:t>
            </w:r>
          </w:p>
        </w:tc>
        <w:tc>
          <w:tcPr>
            <w:tcW w:w="1069" w:type="dxa"/>
            <w:tcBorders>
              <w:top w:val="nil"/>
              <w:left w:val="nil"/>
              <w:bottom w:val="single" w:sz="4" w:space="0" w:color="auto"/>
              <w:right w:val="single" w:sz="4" w:space="0" w:color="auto"/>
            </w:tcBorders>
            <w:noWrap/>
            <w:vAlign w:val="center"/>
          </w:tcPr>
          <w:p w14:paraId="7AA0E8B7" w14:textId="4D01C791" w:rsidR="004506F3" w:rsidRPr="000D0776" w:rsidRDefault="00576021" w:rsidP="0067373C">
            <w:pPr>
              <w:keepNext/>
              <w:keepLines/>
              <w:jc w:val="right"/>
              <w:rPr>
                <w:rFonts w:ascii="Arial Narrow" w:hAnsi="Arial Narrow" w:cs="Calibri"/>
                <w:b/>
                <w:bCs/>
                <w:color w:val="000000"/>
                <w:sz w:val="20"/>
                <w:szCs w:val="20"/>
                <w:highlight w:val="yellow"/>
                <w:vertAlign w:val="superscript"/>
              </w:rPr>
            </w:pPr>
            <w:r w:rsidRPr="001758D2">
              <w:rPr>
                <w:rFonts w:ascii="Arial Narrow" w:hAnsi="Arial Narrow" w:cs="Calibri"/>
                <w:b/>
                <w:bCs/>
                <w:color w:val="000000"/>
                <w:sz w:val="20"/>
                <w:szCs w:val="20"/>
                <w:highlight w:val="black"/>
              </w:rPr>
              <w:t>&amp;&amp;&amp;&amp;</w:t>
            </w:r>
            <w:r w:rsidR="005C4721">
              <w:rPr>
                <w:rFonts w:ascii="Arial Narrow" w:hAnsi="Arial Narrow"/>
                <w:sz w:val="18"/>
                <w:szCs w:val="18"/>
                <w:vertAlign w:val="superscript"/>
              </w:rPr>
              <w:t>1</w:t>
            </w:r>
          </w:p>
        </w:tc>
        <w:tc>
          <w:tcPr>
            <w:tcW w:w="1069" w:type="dxa"/>
            <w:tcBorders>
              <w:top w:val="nil"/>
              <w:left w:val="nil"/>
              <w:bottom w:val="single" w:sz="4" w:space="0" w:color="auto"/>
              <w:right w:val="single" w:sz="4" w:space="0" w:color="auto"/>
            </w:tcBorders>
            <w:noWrap/>
            <w:vAlign w:val="center"/>
          </w:tcPr>
          <w:p w14:paraId="0A0C9C1C" w14:textId="5A292368" w:rsidR="004506F3" w:rsidRPr="000D0776" w:rsidRDefault="00576021" w:rsidP="0067373C">
            <w:pPr>
              <w:keepNext/>
              <w:keepLines/>
              <w:jc w:val="right"/>
              <w:rPr>
                <w:rFonts w:ascii="Arial Narrow" w:hAnsi="Arial Narrow" w:cs="Calibri"/>
                <w:b/>
                <w:bCs/>
                <w:color w:val="000000"/>
                <w:sz w:val="20"/>
                <w:szCs w:val="20"/>
                <w:highlight w:val="yellow"/>
                <w:vertAlign w:val="superscript"/>
              </w:rPr>
            </w:pPr>
            <w:r w:rsidRPr="001758D2">
              <w:rPr>
                <w:rFonts w:ascii="Arial Narrow" w:hAnsi="Arial Narrow" w:cs="Calibri"/>
                <w:b/>
                <w:bCs/>
                <w:color w:val="000000"/>
                <w:sz w:val="20"/>
                <w:szCs w:val="20"/>
                <w:highlight w:val="black"/>
              </w:rPr>
              <w:t>&amp;&amp;&amp;&amp;</w:t>
            </w:r>
            <w:r w:rsidR="005C4721">
              <w:rPr>
                <w:rFonts w:ascii="Arial Narrow" w:hAnsi="Arial Narrow"/>
                <w:sz w:val="18"/>
                <w:szCs w:val="18"/>
                <w:vertAlign w:val="superscript"/>
              </w:rPr>
              <w:t>1</w:t>
            </w:r>
          </w:p>
        </w:tc>
      </w:tr>
      <w:tr w:rsidR="004506F3" w:rsidRPr="00D74203" w14:paraId="59D65B97" w14:textId="77777777" w:rsidTr="00C30647">
        <w:trPr>
          <w:cantSplit/>
        </w:trPr>
        <w:tc>
          <w:tcPr>
            <w:tcW w:w="2605" w:type="dxa"/>
            <w:tcBorders>
              <w:top w:val="nil"/>
              <w:left w:val="single" w:sz="4" w:space="0" w:color="auto"/>
              <w:bottom w:val="single" w:sz="4" w:space="0" w:color="auto"/>
              <w:right w:val="single" w:sz="4" w:space="0" w:color="auto"/>
            </w:tcBorders>
            <w:vAlign w:val="center"/>
            <w:hideMark/>
          </w:tcPr>
          <w:p w14:paraId="140EFCA9" w14:textId="070A3972" w:rsidR="004506F3" w:rsidRPr="00D74203" w:rsidRDefault="004506F3" w:rsidP="0067373C">
            <w:pPr>
              <w:keepNext/>
              <w:keepLines/>
              <w:jc w:val="left"/>
              <w:rPr>
                <w:rFonts w:ascii="Arial Narrow" w:hAnsi="Arial Narrow" w:cs="Calibri"/>
                <w:color w:val="000000"/>
                <w:sz w:val="20"/>
                <w:szCs w:val="20"/>
              </w:rPr>
            </w:pPr>
            <w:r w:rsidRPr="00D74203">
              <w:rPr>
                <w:rFonts w:ascii="Arial Narrow" w:hAnsi="Arial Narrow" w:cs="Calibri"/>
                <w:color w:val="000000"/>
                <w:sz w:val="20"/>
                <w:szCs w:val="20"/>
              </w:rPr>
              <w:t xml:space="preserve">Uptake - </w:t>
            </w:r>
            <w:r w:rsidR="009461B4">
              <w:rPr>
                <w:rFonts w:ascii="Arial Narrow" w:hAnsi="Arial Narrow" w:cs="Calibri"/>
                <w:color w:val="000000"/>
                <w:sz w:val="20"/>
                <w:szCs w:val="20"/>
              </w:rPr>
              <w:t>adjuvant</w:t>
            </w:r>
            <w:r w:rsidR="009461B4" w:rsidRPr="00D74203">
              <w:rPr>
                <w:rFonts w:ascii="Arial Narrow" w:hAnsi="Arial Narrow" w:cs="Calibri"/>
                <w:color w:val="000000"/>
                <w:sz w:val="20"/>
                <w:szCs w:val="20"/>
              </w:rPr>
              <w:t xml:space="preserve"> </w:t>
            </w:r>
            <w:r w:rsidRPr="00D74203">
              <w:rPr>
                <w:rFonts w:ascii="Arial Narrow" w:hAnsi="Arial Narrow" w:cs="Calibri"/>
                <w:color w:val="000000"/>
                <w:sz w:val="20"/>
                <w:szCs w:val="20"/>
              </w:rPr>
              <w:t>treatment</w:t>
            </w:r>
            <w:r w:rsidRPr="00D74203">
              <w:rPr>
                <w:rFonts w:ascii="Arial Narrow" w:hAnsi="Arial Narrow" w:cs="Calibri"/>
                <w:color w:val="000000"/>
                <w:sz w:val="20"/>
                <w:szCs w:val="20"/>
              </w:rPr>
              <w:br/>
              <w:t xml:space="preserve">based on </w:t>
            </w:r>
            <w:r w:rsidR="009461B4">
              <w:rPr>
                <w:rFonts w:ascii="Arial Narrow" w:hAnsi="Arial Narrow" w:cs="Calibri"/>
                <w:color w:val="000000"/>
                <w:sz w:val="20"/>
                <w:szCs w:val="20"/>
              </w:rPr>
              <w:t>neoadjuvant</w:t>
            </w:r>
            <w:r w:rsidR="009461B4" w:rsidRPr="00D74203">
              <w:rPr>
                <w:rFonts w:ascii="Arial Narrow" w:hAnsi="Arial Narrow" w:cs="Calibri"/>
                <w:color w:val="000000"/>
                <w:sz w:val="20"/>
                <w:szCs w:val="20"/>
              </w:rPr>
              <w:t xml:space="preserve"> </w:t>
            </w:r>
            <w:r w:rsidRPr="00D74203">
              <w:rPr>
                <w:rFonts w:ascii="Arial Narrow" w:hAnsi="Arial Narrow" w:cs="Calibri"/>
                <w:color w:val="000000"/>
                <w:sz w:val="20"/>
                <w:szCs w:val="20"/>
              </w:rPr>
              <w:t>patients</w:t>
            </w:r>
          </w:p>
        </w:tc>
        <w:tc>
          <w:tcPr>
            <w:tcW w:w="1068" w:type="dxa"/>
            <w:tcBorders>
              <w:top w:val="nil"/>
              <w:left w:val="nil"/>
              <w:bottom w:val="single" w:sz="4" w:space="0" w:color="auto"/>
              <w:right w:val="single" w:sz="4" w:space="0" w:color="auto"/>
            </w:tcBorders>
            <w:noWrap/>
            <w:vAlign w:val="center"/>
            <w:hideMark/>
          </w:tcPr>
          <w:p w14:paraId="1DFF90A0" w14:textId="7352D0B7" w:rsidR="004506F3" w:rsidRPr="000D0776" w:rsidRDefault="00576021" w:rsidP="0067373C">
            <w:pPr>
              <w:keepNext/>
              <w:keepLines/>
              <w:jc w:val="right"/>
              <w:rPr>
                <w:rFonts w:ascii="Arial Narrow" w:hAnsi="Arial Narrow" w:cs="Calibri"/>
                <w:color w:val="000000"/>
                <w:sz w:val="20"/>
                <w:szCs w:val="20"/>
                <w:highlight w:val="darkGray"/>
              </w:rPr>
            </w:pPr>
            <w:r w:rsidRPr="001758D2">
              <w:rPr>
                <w:rFonts w:ascii="Arial Narrow" w:hAnsi="Arial Narrow" w:cs="Calibri"/>
                <w:color w:val="000000"/>
                <w:sz w:val="20"/>
                <w:szCs w:val="20"/>
                <w:highlight w:val="black"/>
              </w:rPr>
              <w:t>&amp;&amp;&amp;&amp;</w:t>
            </w:r>
            <w:r w:rsidR="004506F3" w:rsidRPr="00B81270">
              <w:rPr>
                <w:rFonts w:ascii="Arial Narrow" w:hAnsi="Arial Narrow" w:cs="Calibri"/>
                <w:color w:val="000000"/>
                <w:sz w:val="20"/>
                <w:szCs w:val="20"/>
              </w:rPr>
              <w:t>%</w:t>
            </w:r>
          </w:p>
        </w:tc>
        <w:tc>
          <w:tcPr>
            <w:tcW w:w="1069" w:type="dxa"/>
            <w:tcBorders>
              <w:top w:val="nil"/>
              <w:left w:val="nil"/>
              <w:bottom w:val="single" w:sz="4" w:space="0" w:color="auto"/>
              <w:right w:val="single" w:sz="4" w:space="0" w:color="auto"/>
            </w:tcBorders>
            <w:noWrap/>
            <w:vAlign w:val="center"/>
            <w:hideMark/>
          </w:tcPr>
          <w:p w14:paraId="705C0A90" w14:textId="56ECA8E9" w:rsidR="004506F3" w:rsidRPr="000D0776" w:rsidRDefault="00576021" w:rsidP="0067373C">
            <w:pPr>
              <w:keepNext/>
              <w:keepLines/>
              <w:jc w:val="right"/>
              <w:rPr>
                <w:rFonts w:ascii="Arial Narrow" w:hAnsi="Arial Narrow" w:cs="Calibri"/>
                <w:color w:val="000000"/>
                <w:sz w:val="20"/>
                <w:szCs w:val="20"/>
                <w:highlight w:val="darkGray"/>
              </w:rPr>
            </w:pPr>
            <w:r w:rsidRPr="001758D2">
              <w:rPr>
                <w:rFonts w:ascii="Arial Narrow" w:hAnsi="Arial Narrow" w:cs="Calibri"/>
                <w:color w:val="000000"/>
                <w:sz w:val="20"/>
                <w:szCs w:val="20"/>
                <w:highlight w:val="black"/>
              </w:rPr>
              <w:t>&amp;&amp;&amp;&amp;</w:t>
            </w:r>
            <w:r w:rsidR="004506F3" w:rsidRPr="00B81270">
              <w:rPr>
                <w:rFonts w:ascii="Arial Narrow" w:hAnsi="Arial Narrow" w:cs="Calibri"/>
                <w:color w:val="000000"/>
                <w:sz w:val="20"/>
                <w:szCs w:val="20"/>
              </w:rPr>
              <w:t>%</w:t>
            </w:r>
          </w:p>
        </w:tc>
        <w:tc>
          <w:tcPr>
            <w:tcW w:w="1069" w:type="dxa"/>
            <w:tcBorders>
              <w:top w:val="nil"/>
              <w:left w:val="nil"/>
              <w:bottom w:val="single" w:sz="4" w:space="0" w:color="auto"/>
              <w:right w:val="single" w:sz="4" w:space="0" w:color="auto"/>
            </w:tcBorders>
            <w:noWrap/>
            <w:vAlign w:val="center"/>
            <w:hideMark/>
          </w:tcPr>
          <w:p w14:paraId="160E183F" w14:textId="6124B155" w:rsidR="004506F3" w:rsidRPr="000D0776" w:rsidRDefault="00576021" w:rsidP="0067373C">
            <w:pPr>
              <w:keepNext/>
              <w:keepLines/>
              <w:jc w:val="right"/>
              <w:rPr>
                <w:rFonts w:ascii="Arial Narrow" w:hAnsi="Arial Narrow" w:cs="Calibri"/>
                <w:color w:val="000000"/>
                <w:sz w:val="20"/>
                <w:szCs w:val="20"/>
                <w:highlight w:val="darkGray"/>
              </w:rPr>
            </w:pPr>
            <w:r w:rsidRPr="001758D2">
              <w:rPr>
                <w:rFonts w:ascii="Arial Narrow" w:hAnsi="Arial Narrow" w:cs="Calibri"/>
                <w:color w:val="000000"/>
                <w:sz w:val="20"/>
                <w:szCs w:val="20"/>
                <w:highlight w:val="black"/>
              </w:rPr>
              <w:t>&amp;&amp;&amp;&amp;</w:t>
            </w:r>
            <w:r w:rsidR="004506F3" w:rsidRPr="00B81270">
              <w:rPr>
                <w:rFonts w:ascii="Arial Narrow" w:hAnsi="Arial Narrow" w:cs="Calibri"/>
                <w:color w:val="000000"/>
                <w:sz w:val="20"/>
                <w:szCs w:val="20"/>
              </w:rPr>
              <w:t>%</w:t>
            </w:r>
          </w:p>
        </w:tc>
        <w:tc>
          <w:tcPr>
            <w:tcW w:w="1068" w:type="dxa"/>
            <w:tcBorders>
              <w:top w:val="nil"/>
              <w:left w:val="nil"/>
              <w:bottom w:val="single" w:sz="4" w:space="0" w:color="auto"/>
              <w:right w:val="single" w:sz="4" w:space="0" w:color="auto"/>
            </w:tcBorders>
            <w:noWrap/>
            <w:vAlign w:val="center"/>
            <w:hideMark/>
          </w:tcPr>
          <w:p w14:paraId="35C4EBF3" w14:textId="2BEEB31C" w:rsidR="004506F3" w:rsidRPr="000D0776" w:rsidRDefault="00576021" w:rsidP="0067373C">
            <w:pPr>
              <w:keepNext/>
              <w:keepLines/>
              <w:jc w:val="right"/>
              <w:rPr>
                <w:rFonts w:ascii="Arial Narrow" w:hAnsi="Arial Narrow" w:cs="Calibri"/>
                <w:color w:val="000000"/>
                <w:sz w:val="20"/>
                <w:szCs w:val="20"/>
                <w:highlight w:val="darkGray"/>
              </w:rPr>
            </w:pPr>
            <w:r w:rsidRPr="001758D2">
              <w:rPr>
                <w:rFonts w:ascii="Arial Narrow" w:hAnsi="Arial Narrow" w:cs="Calibri"/>
                <w:color w:val="000000"/>
                <w:sz w:val="20"/>
                <w:szCs w:val="20"/>
                <w:highlight w:val="black"/>
              </w:rPr>
              <w:t>&amp;&amp;&amp;&amp;</w:t>
            </w:r>
            <w:r w:rsidR="004506F3" w:rsidRPr="00B81270">
              <w:rPr>
                <w:rFonts w:ascii="Arial Narrow" w:hAnsi="Arial Narrow" w:cs="Calibri"/>
                <w:color w:val="000000"/>
                <w:sz w:val="20"/>
                <w:szCs w:val="20"/>
              </w:rPr>
              <w:t>%</w:t>
            </w:r>
          </w:p>
        </w:tc>
        <w:tc>
          <w:tcPr>
            <w:tcW w:w="1069" w:type="dxa"/>
            <w:tcBorders>
              <w:top w:val="nil"/>
              <w:left w:val="nil"/>
              <w:bottom w:val="single" w:sz="4" w:space="0" w:color="auto"/>
              <w:right w:val="single" w:sz="4" w:space="0" w:color="auto"/>
            </w:tcBorders>
            <w:noWrap/>
            <w:vAlign w:val="center"/>
            <w:hideMark/>
          </w:tcPr>
          <w:p w14:paraId="5E9C928E" w14:textId="3DA0CB60" w:rsidR="004506F3" w:rsidRPr="000D0776" w:rsidRDefault="00576021" w:rsidP="0067373C">
            <w:pPr>
              <w:keepNext/>
              <w:keepLines/>
              <w:jc w:val="right"/>
              <w:rPr>
                <w:rFonts w:ascii="Arial Narrow" w:hAnsi="Arial Narrow" w:cs="Calibri"/>
                <w:color w:val="000000"/>
                <w:sz w:val="20"/>
                <w:szCs w:val="20"/>
                <w:highlight w:val="darkGray"/>
              </w:rPr>
            </w:pPr>
            <w:r w:rsidRPr="001758D2">
              <w:rPr>
                <w:rFonts w:ascii="Arial Narrow" w:hAnsi="Arial Narrow" w:cs="Calibri"/>
                <w:color w:val="000000"/>
                <w:sz w:val="20"/>
                <w:szCs w:val="20"/>
                <w:highlight w:val="black"/>
              </w:rPr>
              <w:t>&amp;&amp;&amp;&amp;</w:t>
            </w:r>
            <w:r w:rsidR="004506F3" w:rsidRPr="00B81270">
              <w:rPr>
                <w:rFonts w:ascii="Arial Narrow" w:hAnsi="Arial Narrow" w:cs="Calibri"/>
                <w:color w:val="000000"/>
                <w:sz w:val="20"/>
                <w:szCs w:val="20"/>
              </w:rPr>
              <w:t>%</w:t>
            </w:r>
          </w:p>
        </w:tc>
        <w:tc>
          <w:tcPr>
            <w:tcW w:w="1069" w:type="dxa"/>
            <w:tcBorders>
              <w:top w:val="nil"/>
              <w:left w:val="nil"/>
              <w:bottom w:val="single" w:sz="4" w:space="0" w:color="auto"/>
              <w:right w:val="single" w:sz="4" w:space="0" w:color="auto"/>
            </w:tcBorders>
            <w:noWrap/>
            <w:vAlign w:val="center"/>
            <w:hideMark/>
          </w:tcPr>
          <w:p w14:paraId="37AF4427" w14:textId="0B2AC324" w:rsidR="004506F3" w:rsidRPr="000D0776" w:rsidRDefault="00576021" w:rsidP="0067373C">
            <w:pPr>
              <w:keepNext/>
              <w:keepLines/>
              <w:jc w:val="right"/>
              <w:rPr>
                <w:rFonts w:ascii="Arial Narrow" w:hAnsi="Arial Narrow" w:cs="Calibri"/>
                <w:color w:val="000000"/>
                <w:sz w:val="20"/>
                <w:szCs w:val="20"/>
                <w:highlight w:val="darkGray"/>
              </w:rPr>
            </w:pPr>
            <w:r w:rsidRPr="001758D2">
              <w:rPr>
                <w:rFonts w:ascii="Arial Narrow" w:hAnsi="Arial Narrow" w:cs="Calibri"/>
                <w:color w:val="000000"/>
                <w:sz w:val="20"/>
                <w:szCs w:val="20"/>
                <w:highlight w:val="black"/>
              </w:rPr>
              <w:t>&amp;&amp;&amp;&amp;</w:t>
            </w:r>
            <w:r w:rsidR="004506F3" w:rsidRPr="00B81270">
              <w:rPr>
                <w:rFonts w:ascii="Arial Narrow" w:hAnsi="Arial Narrow" w:cs="Calibri"/>
                <w:color w:val="000000"/>
                <w:sz w:val="20"/>
                <w:szCs w:val="20"/>
              </w:rPr>
              <w:t>%</w:t>
            </w:r>
          </w:p>
        </w:tc>
      </w:tr>
      <w:tr w:rsidR="004506F3" w:rsidRPr="00D74203" w14:paraId="5820FD5B" w14:textId="77777777" w:rsidTr="00C30647">
        <w:trPr>
          <w:cantSplit/>
        </w:trPr>
        <w:tc>
          <w:tcPr>
            <w:tcW w:w="2605" w:type="dxa"/>
            <w:tcBorders>
              <w:top w:val="nil"/>
              <w:left w:val="single" w:sz="4" w:space="0" w:color="auto"/>
              <w:bottom w:val="single" w:sz="4" w:space="0" w:color="auto"/>
              <w:right w:val="single" w:sz="4" w:space="0" w:color="auto"/>
            </w:tcBorders>
            <w:vAlign w:val="center"/>
            <w:hideMark/>
          </w:tcPr>
          <w:p w14:paraId="0F849E61" w14:textId="2E4A7A4B" w:rsidR="004506F3" w:rsidRPr="00D74203" w:rsidRDefault="009461B4" w:rsidP="0067373C">
            <w:pPr>
              <w:keepNext/>
              <w:keepLines/>
              <w:jc w:val="left"/>
              <w:rPr>
                <w:rFonts w:ascii="Arial Narrow" w:hAnsi="Arial Narrow" w:cs="Calibri"/>
                <w:color w:val="000000"/>
                <w:sz w:val="20"/>
                <w:szCs w:val="20"/>
              </w:rPr>
            </w:pPr>
            <w:r>
              <w:rPr>
                <w:rFonts w:ascii="Arial Narrow" w:hAnsi="Arial Narrow" w:cs="Calibri"/>
                <w:color w:val="000000"/>
                <w:sz w:val="20"/>
                <w:szCs w:val="20"/>
              </w:rPr>
              <w:t>Adjuvant</w:t>
            </w:r>
            <w:r w:rsidRPr="00D74203">
              <w:rPr>
                <w:rFonts w:ascii="Arial Narrow" w:hAnsi="Arial Narrow" w:cs="Calibri"/>
                <w:color w:val="000000"/>
                <w:sz w:val="20"/>
                <w:szCs w:val="20"/>
              </w:rPr>
              <w:t xml:space="preserve"> </w:t>
            </w:r>
            <w:r w:rsidR="004506F3" w:rsidRPr="00D74203">
              <w:rPr>
                <w:rFonts w:ascii="Arial Narrow" w:hAnsi="Arial Narrow" w:cs="Calibri"/>
                <w:color w:val="000000"/>
                <w:sz w:val="20"/>
                <w:szCs w:val="20"/>
              </w:rPr>
              <w:t>patients</w:t>
            </w:r>
          </w:p>
        </w:tc>
        <w:tc>
          <w:tcPr>
            <w:tcW w:w="1068" w:type="dxa"/>
            <w:tcBorders>
              <w:top w:val="nil"/>
              <w:left w:val="nil"/>
              <w:bottom w:val="single" w:sz="4" w:space="0" w:color="auto"/>
              <w:right w:val="single" w:sz="4" w:space="0" w:color="auto"/>
            </w:tcBorders>
            <w:noWrap/>
            <w:vAlign w:val="center"/>
            <w:hideMark/>
          </w:tcPr>
          <w:p w14:paraId="6DBC9FA4" w14:textId="753EDBB3" w:rsidR="004506F3" w:rsidRPr="000D0776" w:rsidRDefault="00576021" w:rsidP="0067373C">
            <w:pPr>
              <w:keepNext/>
              <w:keepLines/>
              <w:jc w:val="right"/>
              <w:rPr>
                <w:rFonts w:ascii="Arial Narrow" w:hAnsi="Arial Narrow" w:cs="Calibri"/>
                <w:color w:val="000000"/>
                <w:sz w:val="20"/>
                <w:szCs w:val="20"/>
                <w:highlight w:val="yellow"/>
                <w:vertAlign w:val="superscript"/>
              </w:rPr>
            </w:pPr>
            <w:r w:rsidRPr="001758D2">
              <w:rPr>
                <w:rFonts w:ascii="Arial Narrow" w:hAnsi="Arial Narrow" w:cs="Calibri"/>
                <w:color w:val="000000"/>
                <w:sz w:val="20"/>
                <w:szCs w:val="20"/>
                <w:highlight w:val="black"/>
              </w:rPr>
              <w:t>&amp;&amp;&amp;&amp;</w:t>
            </w:r>
            <w:r w:rsidR="00B81270" w:rsidRPr="00B81270">
              <w:rPr>
                <w:rFonts w:ascii="Arial Narrow" w:hAnsi="Arial Narrow" w:cs="Calibri"/>
                <w:color w:val="000000"/>
                <w:sz w:val="20"/>
                <w:szCs w:val="20"/>
                <w:vertAlign w:val="superscript"/>
              </w:rPr>
              <w:t>1</w:t>
            </w:r>
          </w:p>
        </w:tc>
        <w:tc>
          <w:tcPr>
            <w:tcW w:w="1069" w:type="dxa"/>
            <w:tcBorders>
              <w:top w:val="nil"/>
              <w:left w:val="nil"/>
              <w:bottom w:val="single" w:sz="4" w:space="0" w:color="auto"/>
              <w:right w:val="single" w:sz="4" w:space="0" w:color="auto"/>
            </w:tcBorders>
            <w:noWrap/>
            <w:vAlign w:val="center"/>
            <w:hideMark/>
          </w:tcPr>
          <w:p w14:paraId="78453D74" w14:textId="3E470A55" w:rsidR="004506F3" w:rsidRPr="000D0776" w:rsidRDefault="00576021" w:rsidP="0067373C">
            <w:pPr>
              <w:keepNext/>
              <w:keepLines/>
              <w:jc w:val="right"/>
              <w:rPr>
                <w:rFonts w:ascii="Arial Narrow" w:hAnsi="Arial Narrow" w:cs="Calibri"/>
                <w:color w:val="000000"/>
                <w:sz w:val="20"/>
                <w:szCs w:val="20"/>
                <w:highlight w:val="yellow"/>
                <w:vertAlign w:val="superscript"/>
              </w:rPr>
            </w:pPr>
            <w:r w:rsidRPr="001758D2">
              <w:rPr>
                <w:rFonts w:ascii="Arial Narrow" w:hAnsi="Arial Narrow" w:cs="Calibri"/>
                <w:color w:val="000000"/>
                <w:sz w:val="20"/>
                <w:szCs w:val="20"/>
                <w:highlight w:val="black"/>
              </w:rPr>
              <w:t>&amp;&amp;&amp;&amp;</w:t>
            </w:r>
            <w:r w:rsidR="00B81270" w:rsidRPr="00B81270">
              <w:rPr>
                <w:rFonts w:ascii="Arial Narrow" w:hAnsi="Arial Narrow" w:cs="Calibri"/>
                <w:color w:val="000000"/>
                <w:sz w:val="20"/>
                <w:szCs w:val="20"/>
                <w:vertAlign w:val="superscript"/>
              </w:rPr>
              <w:t>1</w:t>
            </w:r>
          </w:p>
        </w:tc>
        <w:tc>
          <w:tcPr>
            <w:tcW w:w="1069" w:type="dxa"/>
            <w:tcBorders>
              <w:top w:val="nil"/>
              <w:left w:val="nil"/>
              <w:bottom w:val="single" w:sz="4" w:space="0" w:color="auto"/>
              <w:right w:val="single" w:sz="4" w:space="0" w:color="auto"/>
            </w:tcBorders>
            <w:noWrap/>
            <w:vAlign w:val="center"/>
            <w:hideMark/>
          </w:tcPr>
          <w:p w14:paraId="1353741E" w14:textId="0BD873ED" w:rsidR="004506F3" w:rsidRPr="000D0776" w:rsidRDefault="00576021" w:rsidP="0067373C">
            <w:pPr>
              <w:keepNext/>
              <w:keepLines/>
              <w:jc w:val="right"/>
              <w:rPr>
                <w:rFonts w:ascii="Arial Narrow" w:hAnsi="Arial Narrow" w:cs="Calibri"/>
                <w:color w:val="000000"/>
                <w:sz w:val="20"/>
                <w:szCs w:val="20"/>
                <w:highlight w:val="yellow"/>
                <w:vertAlign w:val="superscript"/>
              </w:rPr>
            </w:pPr>
            <w:r w:rsidRPr="001758D2">
              <w:rPr>
                <w:rFonts w:ascii="Arial Narrow" w:hAnsi="Arial Narrow" w:cs="Calibri"/>
                <w:color w:val="000000"/>
                <w:sz w:val="20"/>
                <w:szCs w:val="20"/>
                <w:highlight w:val="black"/>
              </w:rPr>
              <w:t>&amp;&amp;&amp;&amp;</w:t>
            </w:r>
            <w:r w:rsidR="00B81270">
              <w:rPr>
                <w:rFonts w:ascii="Arial Narrow" w:hAnsi="Arial Narrow" w:cs="Calibri"/>
                <w:color w:val="000000"/>
                <w:sz w:val="20"/>
                <w:szCs w:val="20"/>
                <w:vertAlign w:val="superscript"/>
              </w:rPr>
              <w:t>1</w:t>
            </w:r>
          </w:p>
        </w:tc>
        <w:tc>
          <w:tcPr>
            <w:tcW w:w="1068" w:type="dxa"/>
            <w:tcBorders>
              <w:top w:val="nil"/>
              <w:left w:val="nil"/>
              <w:bottom w:val="single" w:sz="4" w:space="0" w:color="auto"/>
              <w:right w:val="single" w:sz="4" w:space="0" w:color="auto"/>
            </w:tcBorders>
            <w:noWrap/>
            <w:vAlign w:val="center"/>
            <w:hideMark/>
          </w:tcPr>
          <w:p w14:paraId="039A68D0" w14:textId="0D25627F" w:rsidR="004506F3" w:rsidRPr="000D0776" w:rsidRDefault="00576021" w:rsidP="0067373C">
            <w:pPr>
              <w:keepNext/>
              <w:keepLines/>
              <w:jc w:val="right"/>
              <w:rPr>
                <w:rFonts w:ascii="Arial Narrow" w:hAnsi="Arial Narrow" w:cs="Calibri"/>
                <w:color w:val="000000"/>
                <w:sz w:val="20"/>
                <w:szCs w:val="20"/>
                <w:highlight w:val="yellow"/>
                <w:vertAlign w:val="superscript"/>
              </w:rPr>
            </w:pPr>
            <w:r w:rsidRPr="001758D2">
              <w:rPr>
                <w:rFonts w:ascii="Arial Narrow" w:hAnsi="Arial Narrow" w:cs="Calibri"/>
                <w:color w:val="000000"/>
                <w:sz w:val="20"/>
                <w:szCs w:val="20"/>
                <w:highlight w:val="black"/>
              </w:rPr>
              <w:t>&amp;&amp;&amp;&amp;</w:t>
            </w:r>
            <w:r w:rsidR="00B81270">
              <w:rPr>
                <w:rFonts w:ascii="Arial Narrow" w:hAnsi="Arial Narrow" w:cs="Calibri"/>
                <w:color w:val="000000"/>
                <w:sz w:val="20"/>
                <w:szCs w:val="20"/>
                <w:vertAlign w:val="superscript"/>
              </w:rPr>
              <w:t>1</w:t>
            </w:r>
          </w:p>
        </w:tc>
        <w:tc>
          <w:tcPr>
            <w:tcW w:w="1069" w:type="dxa"/>
            <w:tcBorders>
              <w:top w:val="nil"/>
              <w:left w:val="nil"/>
              <w:bottom w:val="single" w:sz="4" w:space="0" w:color="auto"/>
              <w:right w:val="single" w:sz="4" w:space="0" w:color="auto"/>
            </w:tcBorders>
            <w:noWrap/>
            <w:vAlign w:val="center"/>
            <w:hideMark/>
          </w:tcPr>
          <w:p w14:paraId="55B392BB" w14:textId="368E4949" w:rsidR="004506F3" w:rsidRPr="000D0776" w:rsidRDefault="00576021" w:rsidP="0067373C">
            <w:pPr>
              <w:keepNext/>
              <w:keepLines/>
              <w:jc w:val="right"/>
              <w:rPr>
                <w:rFonts w:ascii="Arial Narrow" w:hAnsi="Arial Narrow" w:cs="Calibri"/>
                <w:color w:val="000000"/>
                <w:sz w:val="20"/>
                <w:szCs w:val="20"/>
                <w:highlight w:val="yellow"/>
                <w:vertAlign w:val="superscript"/>
              </w:rPr>
            </w:pPr>
            <w:r w:rsidRPr="001758D2">
              <w:rPr>
                <w:rFonts w:ascii="Arial Narrow" w:hAnsi="Arial Narrow" w:cs="Calibri"/>
                <w:color w:val="000000"/>
                <w:sz w:val="20"/>
                <w:szCs w:val="20"/>
                <w:highlight w:val="black"/>
              </w:rPr>
              <w:t>&amp;&amp;&amp;&amp;</w:t>
            </w:r>
            <w:r w:rsidR="00B81270">
              <w:rPr>
                <w:rFonts w:ascii="Arial Narrow" w:hAnsi="Arial Narrow" w:cs="Calibri"/>
                <w:color w:val="000000"/>
                <w:sz w:val="20"/>
                <w:szCs w:val="20"/>
                <w:vertAlign w:val="superscript"/>
              </w:rPr>
              <w:t>1</w:t>
            </w:r>
          </w:p>
        </w:tc>
        <w:tc>
          <w:tcPr>
            <w:tcW w:w="1069" w:type="dxa"/>
            <w:tcBorders>
              <w:top w:val="nil"/>
              <w:left w:val="nil"/>
              <w:bottom w:val="single" w:sz="4" w:space="0" w:color="auto"/>
              <w:right w:val="single" w:sz="4" w:space="0" w:color="auto"/>
            </w:tcBorders>
            <w:noWrap/>
            <w:vAlign w:val="center"/>
            <w:hideMark/>
          </w:tcPr>
          <w:p w14:paraId="6510FF5A" w14:textId="4F97394A" w:rsidR="004506F3" w:rsidRPr="000D0776" w:rsidRDefault="00576021" w:rsidP="0067373C">
            <w:pPr>
              <w:keepNext/>
              <w:keepLines/>
              <w:jc w:val="right"/>
              <w:rPr>
                <w:rFonts w:ascii="Arial Narrow" w:hAnsi="Arial Narrow" w:cs="Calibri"/>
                <w:color w:val="000000"/>
                <w:sz w:val="20"/>
                <w:szCs w:val="20"/>
                <w:highlight w:val="yellow"/>
                <w:vertAlign w:val="superscript"/>
              </w:rPr>
            </w:pPr>
            <w:r w:rsidRPr="001758D2">
              <w:rPr>
                <w:rFonts w:ascii="Arial Narrow" w:hAnsi="Arial Narrow" w:cs="Calibri"/>
                <w:color w:val="000000"/>
                <w:sz w:val="20"/>
                <w:szCs w:val="20"/>
                <w:highlight w:val="black"/>
              </w:rPr>
              <w:t>&amp;&amp;&amp;&amp;</w:t>
            </w:r>
            <w:r w:rsidR="00B81270">
              <w:rPr>
                <w:rFonts w:ascii="Arial Narrow" w:hAnsi="Arial Narrow" w:cs="Calibri"/>
                <w:color w:val="000000"/>
                <w:sz w:val="20"/>
                <w:szCs w:val="20"/>
                <w:vertAlign w:val="superscript"/>
              </w:rPr>
              <w:t>1</w:t>
            </w:r>
          </w:p>
        </w:tc>
      </w:tr>
      <w:tr w:rsidR="004506F3" w:rsidRPr="00D74203" w14:paraId="4DBF5D09" w14:textId="77777777" w:rsidTr="00C30647">
        <w:trPr>
          <w:cantSplit/>
        </w:trPr>
        <w:tc>
          <w:tcPr>
            <w:tcW w:w="2605" w:type="dxa"/>
            <w:tcBorders>
              <w:top w:val="nil"/>
              <w:left w:val="single" w:sz="4" w:space="0" w:color="auto"/>
              <w:bottom w:val="single" w:sz="4" w:space="0" w:color="auto"/>
              <w:right w:val="single" w:sz="4" w:space="0" w:color="auto"/>
            </w:tcBorders>
            <w:vAlign w:val="center"/>
            <w:hideMark/>
          </w:tcPr>
          <w:p w14:paraId="04A467DA" w14:textId="34265000" w:rsidR="004506F3" w:rsidRPr="00D74203" w:rsidRDefault="009461B4" w:rsidP="0067373C">
            <w:pPr>
              <w:keepNext/>
              <w:keepLines/>
              <w:jc w:val="left"/>
              <w:rPr>
                <w:rFonts w:ascii="Arial Narrow" w:hAnsi="Arial Narrow" w:cs="Calibri"/>
                <w:color w:val="000000"/>
                <w:sz w:val="20"/>
                <w:szCs w:val="20"/>
              </w:rPr>
            </w:pPr>
            <w:r>
              <w:rPr>
                <w:rFonts w:ascii="Arial Narrow" w:hAnsi="Arial Narrow" w:cs="Calibri"/>
                <w:color w:val="000000"/>
                <w:sz w:val="20"/>
                <w:szCs w:val="20"/>
              </w:rPr>
              <w:t>Adjuvant</w:t>
            </w:r>
            <w:r w:rsidR="004506F3">
              <w:rPr>
                <w:rFonts w:ascii="Arial Narrow" w:hAnsi="Arial Narrow" w:cs="Calibri"/>
                <w:color w:val="000000"/>
                <w:sz w:val="20"/>
                <w:szCs w:val="20"/>
              </w:rPr>
              <w:t xml:space="preserve"> scripts </w:t>
            </w:r>
            <w:r w:rsidR="004506F3" w:rsidRPr="004506F3">
              <w:rPr>
                <w:rFonts w:ascii="Arial Narrow" w:hAnsi="Arial Narrow" w:cs="Calibri"/>
                <w:color w:val="000000"/>
                <w:sz w:val="20"/>
                <w:szCs w:val="20"/>
                <w:vertAlign w:val="superscript"/>
              </w:rPr>
              <w:t>b</w:t>
            </w:r>
          </w:p>
        </w:tc>
        <w:tc>
          <w:tcPr>
            <w:tcW w:w="1068" w:type="dxa"/>
            <w:tcBorders>
              <w:top w:val="nil"/>
              <w:left w:val="nil"/>
              <w:bottom w:val="single" w:sz="4" w:space="0" w:color="auto"/>
              <w:right w:val="single" w:sz="4" w:space="0" w:color="auto"/>
            </w:tcBorders>
            <w:noWrap/>
            <w:vAlign w:val="center"/>
            <w:hideMark/>
          </w:tcPr>
          <w:p w14:paraId="3230B6DD" w14:textId="298804AD" w:rsidR="004506F3" w:rsidRPr="000D0776" w:rsidRDefault="00576021" w:rsidP="0067373C">
            <w:pPr>
              <w:keepNext/>
              <w:keepLines/>
              <w:jc w:val="right"/>
              <w:rPr>
                <w:rFonts w:ascii="Arial Narrow" w:hAnsi="Arial Narrow" w:cs="Calibri"/>
                <w:b/>
                <w:bCs/>
                <w:color w:val="000000"/>
                <w:sz w:val="20"/>
                <w:szCs w:val="22"/>
                <w:highlight w:val="yellow"/>
                <w:vertAlign w:val="superscript"/>
              </w:rPr>
            </w:pPr>
            <w:r w:rsidRPr="001758D2">
              <w:rPr>
                <w:rFonts w:ascii="Arial Narrow" w:hAnsi="Arial Narrow" w:cs="Calibri"/>
                <w:b/>
                <w:bCs/>
                <w:color w:val="000000"/>
                <w:sz w:val="20"/>
                <w:szCs w:val="20"/>
                <w:highlight w:val="black"/>
              </w:rPr>
              <w:t>&amp;&amp;&amp;&amp;</w:t>
            </w:r>
            <w:r w:rsidR="00B81270">
              <w:rPr>
                <w:rFonts w:ascii="Arial Narrow" w:hAnsi="Arial Narrow"/>
                <w:sz w:val="18"/>
                <w:szCs w:val="18"/>
                <w:vertAlign w:val="superscript"/>
              </w:rPr>
              <w:t>2</w:t>
            </w:r>
          </w:p>
        </w:tc>
        <w:tc>
          <w:tcPr>
            <w:tcW w:w="1069" w:type="dxa"/>
            <w:tcBorders>
              <w:top w:val="nil"/>
              <w:left w:val="nil"/>
              <w:bottom w:val="single" w:sz="4" w:space="0" w:color="auto"/>
              <w:right w:val="single" w:sz="4" w:space="0" w:color="auto"/>
            </w:tcBorders>
            <w:noWrap/>
            <w:vAlign w:val="center"/>
            <w:hideMark/>
          </w:tcPr>
          <w:p w14:paraId="11E41D9F" w14:textId="3855722B" w:rsidR="004506F3" w:rsidRPr="000D0776" w:rsidRDefault="00576021" w:rsidP="0067373C">
            <w:pPr>
              <w:keepNext/>
              <w:keepLines/>
              <w:jc w:val="right"/>
              <w:rPr>
                <w:rFonts w:ascii="Arial Narrow" w:hAnsi="Arial Narrow" w:cs="Calibri"/>
                <w:b/>
                <w:bCs/>
                <w:color w:val="000000"/>
                <w:sz w:val="20"/>
                <w:szCs w:val="22"/>
                <w:highlight w:val="darkGray"/>
              </w:rPr>
            </w:pPr>
            <w:r w:rsidRPr="001758D2">
              <w:rPr>
                <w:rFonts w:ascii="Arial Narrow" w:hAnsi="Arial Narrow" w:cs="Calibri"/>
                <w:b/>
                <w:bCs/>
                <w:color w:val="000000"/>
                <w:sz w:val="20"/>
                <w:szCs w:val="20"/>
                <w:highlight w:val="black"/>
              </w:rPr>
              <w:t>&amp;&amp;&amp;&amp;</w:t>
            </w:r>
            <w:r w:rsidR="00B81270">
              <w:rPr>
                <w:rFonts w:ascii="Arial Narrow" w:hAnsi="Arial Narrow"/>
                <w:sz w:val="18"/>
                <w:szCs w:val="18"/>
                <w:vertAlign w:val="superscript"/>
              </w:rPr>
              <w:t>2</w:t>
            </w:r>
          </w:p>
        </w:tc>
        <w:tc>
          <w:tcPr>
            <w:tcW w:w="1069" w:type="dxa"/>
            <w:tcBorders>
              <w:top w:val="nil"/>
              <w:left w:val="nil"/>
              <w:bottom w:val="single" w:sz="4" w:space="0" w:color="auto"/>
              <w:right w:val="single" w:sz="4" w:space="0" w:color="auto"/>
            </w:tcBorders>
            <w:noWrap/>
            <w:vAlign w:val="center"/>
            <w:hideMark/>
          </w:tcPr>
          <w:p w14:paraId="77510E5C" w14:textId="2A8F180B" w:rsidR="004506F3" w:rsidRPr="000D0776" w:rsidRDefault="00576021" w:rsidP="0067373C">
            <w:pPr>
              <w:keepNext/>
              <w:keepLines/>
              <w:jc w:val="right"/>
              <w:rPr>
                <w:rFonts w:ascii="Arial Narrow" w:hAnsi="Arial Narrow" w:cs="Calibri"/>
                <w:b/>
                <w:bCs/>
                <w:color w:val="000000"/>
                <w:sz w:val="20"/>
                <w:szCs w:val="22"/>
                <w:highlight w:val="darkGray"/>
              </w:rPr>
            </w:pPr>
            <w:r w:rsidRPr="001758D2">
              <w:rPr>
                <w:rFonts w:ascii="Arial Narrow" w:hAnsi="Arial Narrow" w:cs="Calibri"/>
                <w:b/>
                <w:bCs/>
                <w:color w:val="000000"/>
                <w:sz w:val="20"/>
                <w:szCs w:val="20"/>
                <w:highlight w:val="black"/>
              </w:rPr>
              <w:t>&amp;&amp;&amp;&amp;</w:t>
            </w:r>
            <w:r w:rsidR="00B81270">
              <w:rPr>
                <w:rFonts w:ascii="Arial Narrow" w:hAnsi="Arial Narrow"/>
                <w:sz w:val="18"/>
                <w:szCs w:val="18"/>
                <w:vertAlign w:val="superscript"/>
              </w:rPr>
              <w:t>2</w:t>
            </w:r>
          </w:p>
        </w:tc>
        <w:tc>
          <w:tcPr>
            <w:tcW w:w="1068" w:type="dxa"/>
            <w:tcBorders>
              <w:top w:val="nil"/>
              <w:left w:val="nil"/>
              <w:bottom w:val="single" w:sz="4" w:space="0" w:color="auto"/>
              <w:right w:val="single" w:sz="4" w:space="0" w:color="auto"/>
            </w:tcBorders>
            <w:noWrap/>
            <w:vAlign w:val="center"/>
            <w:hideMark/>
          </w:tcPr>
          <w:p w14:paraId="7BA0E910" w14:textId="0B8573A1" w:rsidR="004506F3" w:rsidRPr="000D0776" w:rsidRDefault="00576021" w:rsidP="0067373C">
            <w:pPr>
              <w:keepNext/>
              <w:keepLines/>
              <w:jc w:val="right"/>
              <w:rPr>
                <w:rFonts w:ascii="Arial Narrow" w:hAnsi="Arial Narrow" w:cs="Calibri"/>
                <w:b/>
                <w:bCs/>
                <w:color w:val="000000"/>
                <w:sz w:val="20"/>
                <w:szCs w:val="22"/>
                <w:highlight w:val="darkGray"/>
              </w:rPr>
            </w:pPr>
            <w:r w:rsidRPr="001758D2">
              <w:rPr>
                <w:rFonts w:ascii="Arial Narrow" w:hAnsi="Arial Narrow" w:cs="Calibri"/>
                <w:b/>
                <w:bCs/>
                <w:color w:val="000000"/>
                <w:sz w:val="20"/>
                <w:szCs w:val="20"/>
                <w:highlight w:val="black"/>
              </w:rPr>
              <w:t>&amp;&amp;&amp;&amp;</w:t>
            </w:r>
            <w:r w:rsidR="00B81270">
              <w:rPr>
                <w:rFonts w:ascii="Arial Narrow" w:hAnsi="Arial Narrow"/>
                <w:sz w:val="18"/>
                <w:szCs w:val="18"/>
                <w:vertAlign w:val="superscript"/>
              </w:rPr>
              <w:t>2</w:t>
            </w:r>
          </w:p>
        </w:tc>
        <w:tc>
          <w:tcPr>
            <w:tcW w:w="1069" w:type="dxa"/>
            <w:tcBorders>
              <w:top w:val="nil"/>
              <w:left w:val="nil"/>
              <w:bottom w:val="single" w:sz="4" w:space="0" w:color="auto"/>
              <w:right w:val="single" w:sz="4" w:space="0" w:color="auto"/>
            </w:tcBorders>
            <w:noWrap/>
            <w:vAlign w:val="center"/>
            <w:hideMark/>
          </w:tcPr>
          <w:p w14:paraId="6719FE93" w14:textId="4B4E2187" w:rsidR="004506F3" w:rsidRPr="000D0776" w:rsidRDefault="00576021" w:rsidP="0067373C">
            <w:pPr>
              <w:keepNext/>
              <w:keepLines/>
              <w:jc w:val="right"/>
              <w:rPr>
                <w:rFonts w:ascii="Arial Narrow" w:hAnsi="Arial Narrow" w:cs="Calibri"/>
                <w:b/>
                <w:bCs/>
                <w:color w:val="000000"/>
                <w:sz w:val="20"/>
                <w:szCs w:val="22"/>
                <w:highlight w:val="darkGray"/>
              </w:rPr>
            </w:pPr>
            <w:r w:rsidRPr="001758D2">
              <w:rPr>
                <w:rFonts w:ascii="Arial Narrow" w:hAnsi="Arial Narrow" w:cs="Calibri"/>
                <w:b/>
                <w:bCs/>
                <w:color w:val="000000"/>
                <w:sz w:val="20"/>
                <w:szCs w:val="20"/>
                <w:highlight w:val="black"/>
              </w:rPr>
              <w:t>&amp;&amp;&amp;&amp;</w:t>
            </w:r>
            <w:r w:rsidR="00B81270">
              <w:rPr>
                <w:rFonts w:ascii="Arial Narrow" w:hAnsi="Arial Narrow"/>
                <w:sz w:val="18"/>
                <w:szCs w:val="18"/>
                <w:vertAlign w:val="superscript"/>
              </w:rPr>
              <w:t>2</w:t>
            </w:r>
          </w:p>
        </w:tc>
        <w:tc>
          <w:tcPr>
            <w:tcW w:w="1069" w:type="dxa"/>
            <w:tcBorders>
              <w:top w:val="nil"/>
              <w:left w:val="nil"/>
              <w:bottom w:val="single" w:sz="4" w:space="0" w:color="auto"/>
              <w:right w:val="single" w:sz="4" w:space="0" w:color="auto"/>
            </w:tcBorders>
            <w:noWrap/>
            <w:vAlign w:val="center"/>
            <w:hideMark/>
          </w:tcPr>
          <w:p w14:paraId="6B483FAA" w14:textId="4B13F177" w:rsidR="004506F3" w:rsidRPr="000D0776" w:rsidRDefault="00576021" w:rsidP="0067373C">
            <w:pPr>
              <w:keepNext/>
              <w:keepLines/>
              <w:jc w:val="right"/>
              <w:rPr>
                <w:rFonts w:ascii="Arial Narrow" w:hAnsi="Arial Narrow" w:cs="Calibri"/>
                <w:b/>
                <w:bCs/>
                <w:color w:val="000000"/>
                <w:sz w:val="20"/>
                <w:szCs w:val="22"/>
                <w:highlight w:val="darkGray"/>
              </w:rPr>
            </w:pPr>
            <w:r w:rsidRPr="001758D2">
              <w:rPr>
                <w:rFonts w:ascii="Arial Narrow" w:hAnsi="Arial Narrow" w:cs="Calibri"/>
                <w:b/>
                <w:bCs/>
                <w:color w:val="000000"/>
                <w:sz w:val="20"/>
                <w:szCs w:val="20"/>
                <w:highlight w:val="black"/>
              </w:rPr>
              <w:t>&amp;&amp;&amp;&amp;</w:t>
            </w:r>
            <w:r w:rsidR="00B81270">
              <w:rPr>
                <w:rFonts w:ascii="Arial Narrow" w:hAnsi="Arial Narrow"/>
                <w:sz w:val="18"/>
                <w:szCs w:val="18"/>
                <w:vertAlign w:val="superscript"/>
              </w:rPr>
              <w:t>2</w:t>
            </w:r>
          </w:p>
        </w:tc>
      </w:tr>
      <w:tr w:rsidR="004506F3" w:rsidRPr="00D74203" w14:paraId="20F3BCE6" w14:textId="77777777" w:rsidTr="00C30647">
        <w:trPr>
          <w:cantSplit/>
        </w:trPr>
        <w:tc>
          <w:tcPr>
            <w:tcW w:w="9017" w:type="dxa"/>
            <w:gridSpan w:val="7"/>
            <w:tcBorders>
              <w:top w:val="single" w:sz="4" w:space="0" w:color="auto"/>
              <w:left w:val="single" w:sz="4" w:space="0" w:color="auto"/>
              <w:bottom w:val="single" w:sz="4" w:space="0" w:color="auto"/>
              <w:right w:val="single" w:sz="4" w:space="0" w:color="auto"/>
            </w:tcBorders>
            <w:vAlign w:val="center"/>
            <w:hideMark/>
          </w:tcPr>
          <w:p w14:paraId="58827C9F" w14:textId="0D1D293C" w:rsidR="004506F3" w:rsidRPr="000D0776" w:rsidRDefault="004506F3" w:rsidP="0067373C">
            <w:pPr>
              <w:keepNext/>
              <w:keepLines/>
              <w:jc w:val="left"/>
              <w:rPr>
                <w:rFonts w:ascii="Arial Narrow" w:hAnsi="Arial Narrow" w:cs="Calibri"/>
                <w:b/>
                <w:bCs/>
                <w:color w:val="000000"/>
                <w:sz w:val="20"/>
                <w:szCs w:val="20"/>
              </w:rPr>
            </w:pPr>
            <w:r w:rsidRPr="000D0776">
              <w:rPr>
                <w:rFonts w:ascii="Arial Narrow" w:hAnsi="Arial Narrow" w:cs="Calibri"/>
                <w:b/>
                <w:bCs/>
                <w:color w:val="000000"/>
                <w:sz w:val="20"/>
                <w:szCs w:val="20"/>
              </w:rPr>
              <w:t>Grandfathered Population</w:t>
            </w:r>
          </w:p>
        </w:tc>
      </w:tr>
      <w:tr w:rsidR="004506F3" w:rsidRPr="00D74203" w14:paraId="286DED62" w14:textId="77777777" w:rsidTr="00C30647">
        <w:trPr>
          <w:cantSplit/>
        </w:trPr>
        <w:tc>
          <w:tcPr>
            <w:tcW w:w="2605" w:type="dxa"/>
            <w:tcBorders>
              <w:top w:val="nil"/>
              <w:left w:val="single" w:sz="4" w:space="0" w:color="auto"/>
              <w:bottom w:val="single" w:sz="4" w:space="0" w:color="auto"/>
              <w:right w:val="single" w:sz="4" w:space="0" w:color="auto"/>
            </w:tcBorders>
            <w:vAlign w:val="center"/>
            <w:hideMark/>
          </w:tcPr>
          <w:p w14:paraId="41A294ED" w14:textId="77777777" w:rsidR="004506F3" w:rsidRPr="00D74203" w:rsidRDefault="004506F3" w:rsidP="0067373C">
            <w:pPr>
              <w:keepNext/>
              <w:keepLines/>
              <w:jc w:val="left"/>
              <w:rPr>
                <w:rFonts w:ascii="Arial Narrow" w:hAnsi="Arial Narrow" w:cs="Calibri"/>
                <w:color w:val="000000"/>
                <w:sz w:val="20"/>
                <w:szCs w:val="20"/>
              </w:rPr>
            </w:pPr>
            <w:r w:rsidRPr="00D74203">
              <w:rPr>
                <w:rFonts w:ascii="Arial Narrow" w:hAnsi="Arial Narrow" w:cs="Calibri"/>
                <w:color w:val="000000"/>
                <w:sz w:val="20"/>
                <w:szCs w:val="20"/>
              </w:rPr>
              <w:t xml:space="preserve">Patient familiarisation program </w:t>
            </w:r>
          </w:p>
        </w:tc>
        <w:tc>
          <w:tcPr>
            <w:tcW w:w="1068" w:type="dxa"/>
            <w:tcBorders>
              <w:top w:val="nil"/>
              <w:left w:val="nil"/>
              <w:bottom w:val="single" w:sz="4" w:space="0" w:color="auto"/>
              <w:right w:val="single" w:sz="4" w:space="0" w:color="auto"/>
            </w:tcBorders>
            <w:noWrap/>
            <w:vAlign w:val="center"/>
            <w:hideMark/>
          </w:tcPr>
          <w:p w14:paraId="15382BFB" w14:textId="7EC70491" w:rsidR="004506F3" w:rsidRPr="000D0776" w:rsidRDefault="00576021" w:rsidP="0067373C">
            <w:pPr>
              <w:keepNext/>
              <w:keepLines/>
              <w:jc w:val="right"/>
              <w:rPr>
                <w:rFonts w:ascii="Arial Narrow" w:hAnsi="Arial Narrow" w:cs="Calibri"/>
                <w:color w:val="000000"/>
                <w:sz w:val="20"/>
                <w:szCs w:val="20"/>
                <w:highlight w:val="yellow"/>
                <w:vertAlign w:val="superscript"/>
              </w:rPr>
            </w:pPr>
            <w:r w:rsidRPr="001758D2">
              <w:rPr>
                <w:rFonts w:ascii="Arial Narrow" w:hAnsi="Arial Narrow" w:cs="Calibri"/>
                <w:color w:val="000000"/>
                <w:sz w:val="20"/>
                <w:szCs w:val="20"/>
                <w:highlight w:val="black"/>
              </w:rPr>
              <w:t>&amp;&amp;&amp;&amp;</w:t>
            </w:r>
            <w:r w:rsidR="00437F25">
              <w:rPr>
                <w:rFonts w:ascii="Arial Narrow" w:hAnsi="Arial Narrow" w:cs="Calibri"/>
                <w:color w:val="000000"/>
                <w:sz w:val="20"/>
                <w:szCs w:val="20"/>
                <w:vertAlign w:val="superscript"/>
              </w:rPr>
              <w:t>4</w:t>
            </w:r>
          </w:p>
        </w:tc>
        <w:tc>
          <w:tcPr>
            <w:tcW w:w="1069" w:type="dxa"/>
            <w:tcBorders>
              <w:top w:val="nil"/>
              <w:left w:val="nil"/>
              <w:bottom w:val="single" w:sz="4" w:space="0" w:color="auto"/>
              <w:right w:val="single" w:sz="4" w:space="0" w:color="auto"/>
            </w:tcBorders>
            <w:noWrap/>
            <w:vAlign w:val="center"/>
          </w:tcPr>
          <w:p w14:paraId="26FBF488" w14:textId="77777777" w:rsidR="004506F3" w:rsidRPr="000D0776" w:rsidRDefault="004506F3" w:rsidP="0067373C">
            <w:pPr>
              <w:keepNext/>
              <w:keepLines/>
              <w:jc w:val="right"/>
              <w:rPr>
                <w:rFonts w:ascii="Arial Narrow" w:hAnsi="Arial Narrow" w:cs="Calibri"/>
                <w:color w:val="000000"/>
                <w:sz w:val="20"/>
                <w:szCs w:val="20"/>
                <w:highlight w:val="yellow"/>
              </w:rPr>
            </w:pPr>
          </w:p>
        </w:tc>
        <w:tc>
          <w:tcPr>
            <w:tcW w:w="1069" w:type="dxa"/>
            <w:tcBorders>
              <w:top w:val="nil"/>
              <w:left w:val="nil"/>
              <w:bottom w:val="single" w:sz="4" w:space="0" w:color="auto"/>
              <w:right w:val="single" w:sz="4" w:space="0" w:color="auto"/>
            </w:tcBorders>
            <w:noWrap/>
            <w:vAlign w:val="center"/>
          </w:tcPr>
          <w:p w14:paraId="2AE0CFA9" w14:textId="77777777" w:rsidR="004506F3" w:rsidRPr="000D0776" w:rsidRDefault="004506F3" w:rsidP="0067373C">
            <w:pPr>
              <w:keepNext/>
              <w:keepLines/>
              <w:jc w:val="right"/>
              <w:rPr>
                <w:rFonts w:ascii="Arial Narrow" w:hAnsi="Arial Narrow" w:cs="Calibri"/>
                <w:color w:val="000000"/>
                <w:sz w:val="20"/>
                <w:szCs w:val="20"/>
                <w:highlight w:val="yellow"/>
              </w:rPr>
            </w:pPr>
          </w:p>
        </w:tc>
        <w:tc>
          <w:tcPr>
            <w:tcW w:w="1068" w:type="dxa"/>
            <w:tcBorders>
              <w:top w:val="nil"/>
              <w:left w:val="nil"/>
              <w:bottom w:val="single" w:sz="4" w:space="0" w:color="auto"/>
              <w:right w:val="single" w:sz="4" w:space="0" w:color="auto"/>
            </w:tcBorders>
            <w:noWrap/>
            <w:vAlign w:val="center"/>
          </w:tcPr>
          <w:p w14:paraId="0D8B6076" w14:textId="77777777" w:rsidR="004506F3" w:rsidRPr="000D0776" w:rsidRDefault="004506F3" w:rsidP="0067373C">
            <w:pPr>
              <w:keepNext/>
              <w:keepLines/>
              <w:jc w:val="right"/>
              <w:rPr>
                <w:rFonts w:ascii="Arial Narrow" w:hAnsi="Arial Narrow" w:cs="Calibri"/>
                <w:color w:val="000000"/>
                <w:sz w:val="20"/>
                <w:szCs w:val="20"/>
                <w:highlight w:val="yellow"/>
              </w:rPr>
            </w:pPr>
          </w:p>
        </w:tc>
        <w:tc>
          <w:tcPr>
            <w:tcW w:w="1069" w:type="dxa"/>
            <w:tcBorders>
              <w:top w:val="nil"/>
              <w:left w:val="nil"/>
              <w:bottom w:val="single" w:sz="4" w:space="0" w:color="auto"/>
              <w:right w:val="single" w:sz="4" w:space="0" w:color="auto"/>
            </w:tcBorders>
            <w:noWrap/>
            <w:vAlign w:val="center"/>
          </w:tcPr>
          <w:p w14:paraId="37004F15" w14:textId="77777777" w:rsidR="004506F3" w:rsidRPr="000D0776" w:rsidRDefault="004506F3" w:rsidP="0067373C">
            <w:pPr>
              <w:keepNext/>
              <w:keepLines/>
              <w:jc w:val="right"/>
              <w:rPr>
                <w:rFonts w:ascii="Arial Narrow" w:hAnsi="Arial Narrow" w:cs="Calibri"/>
                <w:color w:val="000000"/>
                <w:sz w:val="20"/>
                <w:szCs w:val="20"/>
                <w:highlight w:val="yellow"/>
              </w:rPr>
            </w:pPr>
          </w:p>
        </w:tc>
        <w:tc>
          <w:tcPr>
            <w:tcW w:w="1069" w:type="dxa"/>
            <w:tcBorders>
              <w:top w:val="nil"/>
              <w:left w:val="nil"/>
              <w:bottom w:val="single" w:sz="4" w:space="0" w:color="auto"/>
              <w:right w:val="single" w:sz="4" w:space="0" w:color="auto"/>
            </w:tcBorders>
            <w:noWrap/>
            <w:vAlign w:val="center"/>
          </w:tcPr>
          <w:p w14:paraId="21E6A5A8" w14:textId="77777777" w:rsidR="004506F3" w:rsidRPr="000D0776" w:rsidRDefault="004506F3" w:rsidP="0067373C">
            <w:pPr>
              <w:keepNext/>
              <w:keepLines/>
              <w:jc w:val="right"/>
              <w:rPr>
                <w:rFonts w:ascii="Arial Narrow" w:hAnsi="Arial Narrow" w:cs="Calibri"/>
                <w:color w:val="000000"/>
                <w:sz w:val="20"/>
                <w:szCs w:val="20"/>
                <w:highlight w:val="yellow"/>
              </w:rPr>
            </w:pPr>
          </w:p>
        </w:tc>
      </w:tr>
      <w:tr w:rsidR="004506F3" w:rsidRPr="00D74203" w14:paraId="30CB9076" w14:textId="77777777" w:rsidTr="00C30647">
        <w:trPr>
          <w:cantSplit/>
        </w:trPr>
        <w:tc>
          <w:tcPr>
            <w:tcW w:w="2605" w:type="dxa"/>
            <w:tcBorders>
              <w:top w:val="nil"/>
              <w:left w:val="single" w:sz="4" w:space="0" w:color="auto"/>
              <w:bottom w:val="single" w:sz="4" w:space="0" w:color="auto"/>
              <w:right w:val="single" w:sz="4" w:space="0" w:color="auto"/>
            </w:tcBorders>
            <w:vAlign w:val="center"/>
            <w:hideMark/>
          </w:tcPr>
          <w:p w14:paraId="0C5B1B05" w14:textId="32C395F9" w:rsidR="004506F3" w:rsidRPr="00D74203" w:rsidRDefault="009461B4" w:rsidP="0067373C">
            <w:pPr>
              <w:keepNext/>
              <w:keepLines/>
              <w:jc w:val="left"/>
              <w:rPr>
                <w:rFonts w:ascii="Arial Narrow" w:hAnsi="Arial Narrow" w:cs="Calibri"/>
                <w:color w:val="000000"/>
                <w:sz w:val="20"/>
                <w:szCs w:val="20"/>
              </w:rPr>
            </w:pPr>
            <w:r>
              <w:rPr>
                <w:rFonts w:ascii="Arial Narrow" w:hAnsi="Arial Narrow" w:cs="Calibri"/>
                <w:color w:val="000000"/>
                <w:sz w:val="20"/>
                <w:szCs w:val="20"/>
              </w:rPr>
              <w:t>Neoadjuvant</w:t>
            </w:r>
            <w:r w:rsidR="004506F3">
              <w:rPr>
                <w:rFonts w:ascii="Arial Narrow" w:hAnsi="Arial Narrow" w:cs="Calibri"/>
                <w:color w:val="000000"/>
                <w:sz w:val="20"/>
                <w:szCs w:val="20"/>
              </w:rPr>
              <w:t xml:space="preserve"> scripts </w:t>
            </w:r>
            <w:r w:rsidR="004506F3">
              <w:rPr>
                <w:rFonts w:ascii="Arial Narrow" w:hAnsi="Arial Narrow" w:cs="Calibri"/>
                <w:color w:val="000000"/>
                <w:sz w:val="20"/>
                <w:szCs w:val="20"/>
                <w:vertAlign w:val="superscript"/>
              </w:rPr>
              <w:t>c</w:t>
            </w:r>
          </w:p>
        </w:tc>
        <w:tc>
          <w:tcPr>
            <w:tcW w:w="1068" w:type="dxa"/>
            <w:tcBorders>
              <w:top w:val="nil"/>
              <w:left w:val="nil"/>
              <w:bottom w:val="single" w:sz="4" w:space="0" w:color="auto"/>
              <w:right w:val="single" w:sz="4" w:space="0" w:color="auto"/>
            </w:tcBorders>
            <w:noWrap/>
            <w:vAlign w:val="center"/>
            <w:hideMark/>
          </w:tcPr>
          <w:p w14:paraId="1E285148" w14:textId="1475AA47" w:rsidR="004506F3" w:rsidRPr="000D0776" w:rsidRDefault="00576021" w:rsidP="0067373C">
            <w:pPr>
              <w:keepNext/>
              <w:keepLines/>
              <w:jc w:val="right"/>
              <w:rPr>
                <w:rFonts w:ascii="Arial Narrow" w:hAnsi="Arial Narrow" w:cs="Calibri"/>
                <w:b/>
                <w:bCs/>
                <w:color w:val="000000"/>
                <w:sz w:val="20"/>
                <w:szCs w:val="22"/>
                <w:highlight w:val="darkGray"/>
              </w:rPr>
            </w:pPr>
            <w:r w:rsidRPr="001758D2">
              <w:rPr>
                <w:rFonts w:ascii="Arial Narrow" w:hAnsi="Arial Narrow" w:cs="Calibri"/>
                <w:b/>
                <w:bCs/>
                <w:color w:val="000000"/>
                <w:sz w:val="20"/>
                <w:szCs w:val="22"/>
                <w:highlight w:val="black"/>
              </w:rPr>
              <w:t>&amp;&amp;&amp;&amp;</w:t>
            </w:r>
            <w:r w:rsidR="00437F25">
              <w:rPr>
                <w:rFonts w:ascii="Arial Narrow" w:hAnsi="Arial Narrow"/>
                <w:sz w:val="18"/>
                <w:szCs w:val="18"/>
                <w:vertAlign w:val="superscript"/>
              </w:rPr>
              <w:t>4</w:t>
            </w:r>
          </w:p>
        </w:tc>
        <w:tc>
          <w:tcPr>
            <w:tcW w:w="1069" w:type="dxa"/>
            <w:tcBorders>
              <w:top w:val="nil"/>
              <w:left w:val="nil"/>
              <w:bottom w:val="single" w:sz="4" w:space="0" w:color="auto"/>
              <w:right w:val="single" w:sz="4" w:space="0" w:color="auto"/>
            </w:tcBorders>
            <w:noWrap/>
            <w:vAlign w:val="center"/>
          </w:tcPr>
          <w:p w14:paraId="0BC2EF0E" w14:textId="77777777" w:rsidR="004506F3" w:rsidRPr="000D0776" w:rsidRDefault="004506F3" w:rsidP="0067373C">
            <w:pPr>
              <w:keepNext/>
              <w:keepLines/>
              <w:jc w:val="right"/>
              <w:rPr>
                <w:rFonts w:ascii="Arial Narrow" w:hAnsi="Arial Narrow" w:cs="Calibri"/>
                <w:color w:val="000000"/>
                <w:sz w:val="20"/>
                <w:szCs w:val="22"/>
                <w:highlight w:val="yellow"/>
              </w:rPr>
            </w:pPr>
          </w:p>
        </w:tc>
        <w:tc>
          <w:tcPr>
            <w:tcW w:w="1069" w:type="dxa"/>
            <w:tcBorders>
              <w:top w:val="nil"/>
              <w:left w:val="nil"/>
              <w:bottom w:val="single" w:sz="4" w:space="0" w:color="auto"/>
              <w:right w:val="single" w:sz="4" w:space="0" w:color="auto"/>
            </w:tcBorders>
            <w:noWrap/>
            <w:vAlign w:val="center"/>
          </w:tcPr>
          <w:p w14:paraId="5059B2E4" w14:textId="77777777" w:rsidR="004506F3" w:rsidRPr="000D0776" w:rsidRDefault="004506F3" w:rsidP="0067373C">
            <w:pPr>
              <w:keepNext/>
              <w:keepLines/>
              <w:jc w:val="right"/>
              <w:rPr>
                <w:rFonts w:ascii="Arial Narrow" w:hAnsi="Arial Narrow" w:cs="Calibri"/>
                <w:color w:val="000000"/>
                <w:sz w:val="20"/>
                <w:szCs w:val="22"/>
                <w:highlight w:val="yellow"/>
              </w:rPr>
            </w:pPr>
          </w:p>
        </w:tc>
        <w:tc>
          <w:tcPr>
            <w:tcW w:w="1068" w:type="dxa"/>
            <w:tcBorders>
              <w:top w:val="nil"/>
              <w:left w:val="nil"/>
              <w:bottom w:val="single" w:sz="4" w:space="0" w:color="auto"/>
              <w:right w:val="single" w:sz="4" w:space="0" w:color="auto"/>
            </w:tcBorders>
            <w:noWrap/>
            <w:vAlign w:val="center"/>
          </w:tcPr>
          <w:p w14:paraId="1C30C79F" w14:textId="77777777" w:rsidR="004506F3" w:rsidRPr="000D0776" w:rsidRDefault="004506F3" w:rsidP="0067373C">
            <w:pPr>
              <w:keepNext/>
              <w:keepLines/>
              <w:jc w:val="right"/>
              <w:rPr>
                <w:rFonts w:ascii="Arial Narrow" w:hAnsi="Arial Narrow" w:cs="Calibri"/>
                <w:color w:val="000000"/>
                <w:sz w:val="20"/>
                <w:szCs w:val="22"/>
                <w:highlight w:val="yellow"/>
              </w:rPr>
            </w:pPr>
          </w:p>
        </w:tc>
        <w:tc>
          <w:tcPr>
            <w:tcW w:w="1069" w:type="dxa"/>
            <w:tcBorders>
              <w:top w:val="nil"/>
              <w:left w:val="nil"/>
              <w:bottom w:val="single" w:sz="4" w:space="0" w:color="auto"/>
              <w:right w:val="single" w:sz="4" w:space="0" w:color="auto"/>
            </w:tcBorders>
            <w:noWrap/>
            <w:vAlign w:val="center"/>
          </w:tcPr>
          <w:p w14:paraId="1666DCBB" w14:textId="77777777" w:rsidR="004506F3" w:rsidRPr="000D0776" w:rsidRDefault="004506F3" w:rsidP="0067373C">
            <w:pPr>
              <w:keepNext/>
              <w:keepLines/>
              <w:jc w:val="right"/>
              <w:rPr>
                <w:rFonts w:ascii="Arial Narrow" w:hAnsi="Arial Narrow" w:cs="Calibri"/>
                <w:color w:val="000000"/>
                <w:sz w:val="20"/>
                <w:szCs w:val="22"/>
                <w:highlight w:val="yellow"/>
              </w:rPr>
            </w:pPr>
          </w:p>
        </w:tc>
        <w:tc>
          <w:tcPr>
            <w:tcW w:w="1069" w:type="dxa"/>
            <w:tcBorders>
              <w:top w:val="nil"/>
              <w:left w:val="nil"/>
              <w:bottom w:val="single" w:sz="4" w:space="0" w:color="auto"/>
              <w:right w:val="single" w:sz="4" w:space="0" w:color="auto"/>
            </w:tcBorders>
            <w:noWrap/>
            <w:vAlign w:val="center"/>
          </w:tcPr>
          <w:p w14:paraId="032EADBB" w14:textId="77777777" w:rsidR="004506F3" w:rsidRPr="000D0776" w:rsidRDefault="004506F3" w:rsidP="0067373C">
            <w:pPr>
              <w:keepNext/>
              <w:keepLines/>
              <w:jc w:val="right"/>
              <w:rPr>
                <w:rFonts w:ascii="Arial Narrow" w:hAnsi="Arial Narrow" w:cs="Calibri"/>
                <w:color w:val="000000"/>
                <w:sz w:val="20"/>
                <w:szCs w:val="22"/>
                <w:highlight w:val="yellow"/>
              </w:rPr>
            </w:pPr>
          </w:p>
        </w:tc>
      </w:tr>
      <w:tr w:rsidR="004506F3" w:rsidRPr="00D74203" w14:paraId="473C8A7F" w14:textId="77777777" w:rsidTr="00C30647">
        <w:trPr>
          <w:cantSplit/>
        </w:trPr>
        <w:tc>
          <w:tcPr>
            <w:tcW w:w="2605" w:type="dxa"/>
            <w:tcBorders>
              <w:top w:val="nil"/>
              <w:left w:val="single" w:sz="4" w:space="0" w:color="auto"/>
              <w:bottom w:val="single" w:sz="4" w:space="0" w:color="auto"/>
              <w:right w:val="single" w:sz="4" w:space="0" w:color="auto"/>
            </w:tcBorders>
            <w:vAlign w:val="center"/>
          </w:tcPr>
          <w:p w14:paraId="1C8123F3" w14:textId="750B18BD" w:rsidR="004506F3" w:rsidRPr="00D74203" w:rsidDel="004506F3" w:rsidRDefault="009461B4" w:rsidP="0067373C">
            <w:pPr>
              <w:keepNext/>
              <w:keepLines/>
              <w:jc w:val="left"/>
              <w:rPr>
                <w:rFonts w:ascii="Arial Narrow" w:hAnsi="Arial Narrow" w:cs="Calibri"/>
                <w:color w:val="000000"/>
                <w:sz w:val="20"/>
                <w:szCs w:val="20"/>
              </w:rPr>
            </w:pPr>
            <w:r>
              <w:rPr>
                <w:rFonts w:ascii="Arial Narrow" w:hAnsi="Arial Narrow" w:cs="Calibri"/>
                <w:color w:val="000000"/>
                <w:sz w:val="20"/>
                <w:szCs w:val="20"/>
              </w:rPr>
              <w:t>Adjuvant</w:t>
            </w:r>
            <w:r w:rsidR="004506F3">
              <w:rPr>
                <w:rFonts w:ascii="Arial Narrow" w:hAnsi="Arial Narrow" w:cs="Calibri"/>
                <w:color w:val="000000"/>
                <w:sz w:val="20"/>
                <w:szCs w:val="20"/>
              </w:rPr>
              <w:t xml:space="preserve"> scripts </w:t>
            </w:r>
            <w:r w:rsidR="004506F3">
              <w:rPr>
                <w:rFonts w:ascii="Arial Narrow" w:hAnsi="Arial Narrow" w:cs="Calibri"/>
                <w:color w:val="000000"/>
                <w:sz w:val="20"/>
                <w:szCs w:val="20"/>
                <w:vertAlign w:val="superscript"/>
              </w:rPr>
              <w:t>d</w:t>
            </w:r>
          </w:p>
        </w:tc>
        <w:tc>
          <w:tcPr>
            <w:tcW w:w="1068" w:type="dxa"/>
            <w:tcBorders>
              <w:top w:val="nil"/>
              <w:left w:val="nil"/>
              <w:bottom w:val="single" w:sz="4" w:space="0" w:color="auto"/>
              <w:right w:val="single" w:sz="4" w:space="0" w:color="auto"/>
            </w:tcBorders>
            <w:noWrap/>
            <w:vAlign w:val="center"/>
          </w:tcPr>
          <w:p w14:paraId="214CE9CF" w14:textId="318DB924" w:rsidR="004506F3" w:rsidRPr="000D0776" w:rsidRDefault="00576021" w:rsidP="0067373C">
            <w:pPr>
              <w:keepNext/>
              <w:keepLines/>
              <w:jc w:val="right"/>
              <w:rPr>
                <w:rFonts w:ascii="Arial Narrow" w:hAnsi="Arial Narrow" w:cs="Calibri"/>
                <w:b/>
                <w:bCs/>
                <w:color w:val="000000"/>
                <w:sz w:val="20"/>
                <w:szCs w:val="22"/>
                <w:highlight w:val="darkGray"/>
              </w:rPr>
            </w:pPr>
            <w:r w:rsidRPr="001758D2">
              <w:rPr>
                <w:rFonts w:ascii="Arial Narrow" w:hAnsi="Arial Narrow" w:cs="Calibri"/>
                <w:b/>
                <w:bCs/>
                <w:color w:val="000000"/>
                <w:sz w:val="20"/>
                <w:szCs w:val="22"/>
                <w:highlight w:val="black"/>
              </w:rPr>
              <w:t>&amp;&amp;&amp;&amp;</w:t>
            </w:r>
            <w:r w:rsidR="00437F25">
              <w:rPr>
                <w:rFonts w:ascii="Arial Narrow" w:hAnsi="Arial Narrow"/>
                <w:sz w:val="18"/>
                <w:szCs w:val="18"/>
                <w:vertAlign w:val="superscript"/>
              </w:rPr>
              <w:t>4</w:t>
            </w:r>
          </w:p>
        </w:tc>
        <w:tc>
          <w:tcPr>
            <w:tcW w:w="1069" w:type="dxa"/>
            <w:tcBorders>
              <w:top w:val="nil"/>
              <w:left w:val="nil"/>
              <w:bottom w:val="single" w:sz="4" w:space="0" w:color="auto"/>
              <w:right w:val="single" w:sz="4" w:space="0" w:color="auto"/>
            </w:tcBorders>
            <w:noWrap/>
            <w:vAlign w:val="center"/>
          </w:tcPr>
          <w:p w14:paraId="1EB27D72" w14:textId="77777777" w:rsidR="004506F3" w:rsidRPr="000D0776" w:rsidRDefault="004506F3" w:rsidP="0067373C">
            <w:pPr>
              <w:keepNext/>
              <w:keepLines/>
              <w:jc w:val="right"/>
              <w:rPr>
                <w:rFonts w:ascii="Arial Narrow" w:hAnsi="Arial Narrow" w:cs="Calibri"/>
                <w:color w:val="000000"/>
                <w:sz w:val="20"/>
                <w:szCs w:val="22"/>
                <w:highlight w:val="yellow"/>
              </w:rPr>
            </w:pPr>
          </w:p>
        </w:tc>
        <w:tc>
          <w:tcPr>
            <w:tcW w:w="1069" w:type="dxa"/>
            <w:tcBorders>
              <w:top w:val="nil"/>
              <w:left w:val="nil"/>
              <w:bottom w:val="single" w:sz="4" w:space="0" w:color="auto"/>
              <w:right w:val="single" w:sz="4" w:space="0" w:color="auto"/>
            </w:tcBorders>
            <w:noWrap/>
            <w:vAlign w:val="center"/>
          </w:tcPr>
          <w:p w14:paraId="408350B0" w14:textId="77777777" w:rsidR="004506F3" w:rsidRPr="000D0776" w:rsidRDefault="004506F3" w:rsidP="0067373C">
            <w:pPr>
              <w:keepNext/>
              <w:keepLines/>
              <w:jc w:val="right"/>
              <w:rPr>
                <w:rFonts w:ascii="Arial Narrow" w:hAnsi="Arial Narrow" w:cs="Calibri"/>
                <w:color w:val="000000"/>
                <w:sz w:val="20"/>
                <w:szCs w:val="22"/>
                <w:highlight w:val="yellow"/>
              </w:rPr>
            </w:pPr>
          </w:p>
        </w:tc>
        <w:tc>
          <w:tcPr>
            <w:tcW w:w="1068" w:type="dxa"/>
            <w:tcBorders>
              <w:top w:val="nil"/>
              <w:left w:val="nil"/>
              <w:bottom w:val="single" w:sz="4" w:space="0" w:color="auto"/>
              <w:right w:val="single" w:sz="4" w:space="0" w:color="auto"/>
            </w:tcBorders>
            <w:noWrap/>
            <w:vAlign w:val="center"/>
          </w:tcPr>
          <w:p w14:paraId="08BB345A" w14:textId="77777777" w:rsidR="004506F3" w:rsidRPr="000D0776" w:rsidRDefault="004506F3" w:rsidP="0067373C">
            <w:pPr>
              <w:keepNext/>
              <w:keepLines/>
              <w:jc w:val="right"/>
              <w:rPr>
                <w:rFonts w:ascii="Arial Narrow" w:hAnsi="Arial Narrow" w:cs="Calibri"/>
                <w:color w:val="000000"/>
                <w:sz w:val="20"/>
                <w:szCs w:val="22"/>
                <w:highlight w:val="yellow"/>
              </w:rPr>
            </w:pPr>
          </w:p>
        </w:tc>
        <w:tc>
          <w:tcPr>
            <w:tcW w:w="1069" w:type="dxa"/>
            <w:tcBorders>
              <w:top w:val="nil"/>
              <w:left w:val="nil"/>
              <w:bottom w:val="single" w:sz="4" w:space="0" w:color="auto"/>
              <w:right w:val="single" w:sz="4" w:space="0" w:color="auto"/>
            </w:tcBorders>
            <w:noWrap/>
            <w:vAlign w:val="center"/>
          </w:tcPr>
          <w:p w14:paraId="10D40DF5" w14:textId="77777777" w:rsidR="004506F3" w:rsidRPr="000D0776" w:rsidRDefault="004506F3" w:rsidP="0067373C">
            <w:pPr>
              <w:keepNext/>
              <w:keepLines/>
              <w:jc w:val="right"/>
              <w:rPr>
                <w:rFonts w:ascii="Arial Narrow" w:hAnsi="Arial Narrow" w:cs="Calibri"/>
                <w:color w:val="000000"/>
                <w:sz w:val="20"/>
                <w:szCs w:val="22"/>
                <w:highlight w:val="yellow"/>
              </w:rPr>
            </w:pPr>
          </w:p>
        </w:tc>
        <w:tc>
          <w:tcPr>
            <w:tcW w:w="1069" w:type="dxa"/>
            <w:tcBorders>
              <w:top w:val="nil"/>
              <w:left w:val="nil"/>
              <w:bottom w:val="single" w:sz="4" w:space="0" w:color="auto"/>
              <w:right w:val="single" w:sz="4" w:space="0" w:color="auto"/>
            </w:tcBorders>
            <w:noWrap/>
            <w:vAlign w:val="center"/>
          </w:tcPr>
          <w:p w14:paraId="32281864" w14:textId="77777777" w:rsidR="004506F3" w:rsidRPr="000D0776" w:rsidRDefault="004506F3" w:rsidP="0067373C">
            <w:pPr>
              <w:keepNext/>
              <w:keepLines/>
              <w:jc w:val="right"/>
              <w:rPr>
                <w:rFonts w:ascii="Arial Narrow" w:hAnsi="Arial Narrow" w:cs="Calibri"/>
                <w:color w:val="000000"/>
                <w:sz w:val="20"/>
                <w:szCs w:val="22"/>
                <w:highlight w:val="yellow"/>
              </w:rPr>
            </w:pPr>
          </w:p>
        </w:tc>
      </w:tr>
      <w:tr w:rsidR="004506F3" w:rsidRPr="00D74203" w14:paraId="7B9C04EC" w14:textId="77777777" w:rsidTr="00C30647">
        <w:trPr>
          <w:cantSplit/>
        </w:trPr>
        <w:tc>
          <w:tcPr>
            <w:tcW w:w="2605" w:type="dxa"/>
            <w:tcBorders>
              <w:top w:val="nil"/>
              <w:left w:val="single" w:sz="4" w:space="0" w:color="auto"/>
              <w:bottom w:val="single" w:sz="4" w:space="0" w:color="auto"/>
              <w:right w:val="single" w:sz="4" w:space="0" w:color="auto"/>
            </w:tcBorders>
            <w:vAlign w:val="center"/>
            <w:hideMark/>
          </w:tcPr>
          <w:p w14:paraId="7E18EA10" w14:textId="77777777" w:rsidR="004506F3" w:rsidRPr="00D74203" w:rsidRDefault="004506F3" w:rsidP="0067373C">
            <w:pPr>
              <w:keepNext/>
              <w:keepLines/>
              <w:jc w:val="left"/>
              <w:rPr>
                <w:rFonts w:ascii="Arial Narrow" w:hAnsi="Arial Narrow" w:cs="Calibri"/>
                <w:b/>
                <w:bCs/>
                <w:color w:val="000000"/>
                <w:sz w:val="20"/>
                <w:szCs w:val="20"/>
              </w:rPr>
            </w:pPr>
            <w:r w:rsidRPr="00D74203">
              <w:rPr>
                <w:rFonts w:ascii="Arial Narrow" w:hAnsi="Arial Narrow" w:cs="Calibri"/>
                <w:b/>
                <w:bCs/>
                <w:color w:val="000000"/>
                <w:sz w:val="20"/>
                <w:szCs w:val="20"/>
              </w:rPr>
              <w:t>Total scripts</w:t>
            </w:r>
          </w:p>
        </w:tc>
        <w:tc>
          <w:tcPr>
            <w:tcW w:w="1068" w:type="dxa"/>
            <w:tcBorders>
              <w:top w:val="nil"/>
              <w:left w:val="nil"/>
              <w:bottom w:val="single" w:sz="4" w:space="0" w:color="auto"/>
              <w:right w:val="single" w:sz="4" w:space="0" w:color="auto"/>
            </w:tcBorders>
            <w:vAlign w:val="center"/>
            <w:hideMark/>
          </w:tcPr>
          <w:p w14:paraId="1CD852D0" w14:textId="348156D5" w:rsidR="004506F3" w:rsidRPr="000D0776" w:rsidRDefault="00576021" w:rsidP="0067373C">
            <w:pPr>
              <w:keepNext/>
              <w:keepLines/>
              <w:jc w:val="right"/>
              <w:rPr>
                <w:rFonts w:ascii="Arial Narrow" w:hAnsi="Arial Narrow" w:cs="Calibri"/>
                <w:b/>
                <w:bCs/>
                <w:color w:val="000000"/>
                <w:sz w:val="20"/>
                <w:szCs w:val="20"/>
                <w:highlight w:val="darkGray"/>
              </w:rPr>
            </w:pPr>
            <w:r w:rsidRPr="001758D2">
              <w:rPr>
                <w:rFonts w:ascii="Arial Narrow" w:hAnsi="Arial Narrow" w:cs="Calibri"/>
                <w:b/>
                <w:bCs/>
                <w:color w:val="000000"/>
                <w:sz w:val="20"/>
                <w:szCs w:val="20"/>
                <w:highlight w:val="black"/>
              </w:rPr>
              <w:t>&amp;&amp;&amp;&amp;</w:t>
            </w:r>
            <w:r w:rsidR="00437F25">
              <w:rPr>
                <w:rFonts w:ascii="Arial Narrow" w:hAnsi="Arial Narrow"/>
                <w:sz w:val="18"/>
                <w:szCs w:val="18"/>
                <w:vertAlign w:val="superscript"/>
              </w:rPr>
              <w:t>3</w:t>
            </w:r>
          </w:p>
        </w:tc>
        <w:tc>
          <w:tcPr>
            <w:tcW w:w="1069" w:type="dxa"/>
            <w:tcBorders>
              <w:top w:val="nil"/>
              <w:left w:val="nil"/>
              <w:bottom w:val="single" w:sz="4" w:space="0" w:color="auto"/>
              <w:right w:val="single" w:sz="4" w:space="0" w:color="auto"/>
            </w:tcBorders>
            <w:vAlign w:val="center"/>
            <w:hideMark/>
          </w:tcPr>
          <w:p w14:paraId="31EDB7BA" w14:textId="7FD67A9F" w:rsidR="004506F3" w:rsidRPr="000D0776" w:rsidRDefault="00576021" w:rsidP="0067373C">
            <w:pPr>
              <w:keepNext/>
              <w:keepLines/>
              <w:jc w:val="right"/>
              <w:rPr>
                <w:rFonts w:ascii="Arial Narrow" w:hAnsi="Arial Narrow" w:cs="Calibri"/>
                <w:b/>
                <w:bCs/>
                <w:color w:val="000000"/>
                <w:sz w:val="20"/>
                <w:szCs w:val="20"/>
                <w:highlight w:val="darkGray"/>
              </w:rPr>
            </w:pPr>
            <w:r w:rsidRPr="001758D2">
              <w:rPr>
                <w:rFonts w:ascii="Arial Narrow" w:hAnsi="Arial Narrow" w:cs="Calibri"/>
                <w:b/>
                <w:bCs/>
                <w:color w:val="000000"/>
                <w:sz w:val="20"/>
                <w:szCs w:val="20"/>
                <w:highlight w:val="black"/>
              </w:rPr>
              <w:t>&amp;&amp;&amp;&amp;</w:t>
            </w:r>
            <w:r w:rsidR="00437F25">
              <w:rPr>
                <w:rFonts w:ascii="Arial Narrow" w:hAnsi="Arial Narrow"/>
                <w:sz w:val="18"/>
                <w:szCs w:val="18"/>
                <w:vertAlign w:val="superscript"/>
              </w:rPr>
              <w:t>3</w:t>
            </w:r>
          </w:p>
        </w:tc>
        <w:tc>
          <w:tcPr>
            <w:tcW w:w="1069" w:type="dxa"/>
            <w:tcBorders>
              <w:top w:val="nil"/>
              <w:left w:val="nil"/>
              <w:bottom w:val="single" w:sz="4" w:space="0" w:color="auto"/>
              <w:right w:val="single" w:sz="4" w:space="0" w:color="auto"/>
            </w:tcBorders>
            <w:vAlign w:val="center"/>
            <w:hideMark/>
          </w:tcPr>
          <w:p w14:paraId="07AE1CF6" w14:textId="297F4762" w:rsidR="004506F3" w:rsidRPr="000D0776" w:rsidRDefault="00576021" w:rsidP="0067373C">
            <w:pPr>
              <w:keepNext/>
              <w:keepLines/>
              <w:jc w:val="right"/>
              <w:rPr>
                <w:rFonts w:ascii="Arial Narrow" w:hAnsi="Arial Narrow" w:cs="Calibri"/>
                <w:b/>
                <w:bCs/>
                <w:color w:val="000000"/>
                <w:sz w:val="20"/>
                <w:szCs w:val="20"/>
                <w:highlight w:val="darkGray"/>
              </w:rPr>
            </w:pPr>
            <w:r w:rsidRPr="001758D2">
              <w:rPr>
                <w:rFonts w:ascii="Arial Narrow" w:hAnsi="Arial Narrow" w:cs="Calibri"/>
                <w:b/>
                <w:bCs/>
                <w:color w:val="000000"/>
                <w:sz w:val="20"/>
                <w:szCs w:val="20"/>
                <w:highlight w:val="black"/>
              </w:rPr>
              <w:t>&amp;&amp;&amp;&amp;</w:t>
            </w:r>
            <w:r w:rsidR="00437F25">
              <w:rPr>
                <w:rFonts w:ascii="Arial Narrow" w:hAnsi="Arial Narrow"/>
                <w:sz w:val="18"/>
                <w:szCs w:val="18"/>
                <w:vertAlign w:val="superscript"/>
              </w:rPr>
              <w:t>3</w:t>
            </w:r>
          </w:p>
        </w:tc>
        <w:tc>
          <w:tcPr>
            <w:tcW w:w="1068" w:type="dxa"/>
            <w:tcBorders>
              <w:top w:val="nil"/>
              <w:left w:val="nil"/>
              <w:bottom w:val="single" w:sz="4" w:space="0" w:color="auto"/>
              <w:right w:val="single" w:sz="4" w:space="0" w:color="auto"/>
            </w:tcBorders>
            <w:vAlign w:val="center"/>
            <w:hideMark/>
          </w:tcPr>
          <w:p w14:paraId="3D99BA4C" w14:textId="0C3F0DB9" w:rsidR="004506F3" w:rsidRPr="000D0776" w:rsidRDefault="00576021" w:rsidP="0067373C">
            <w:pPr>
              <w:keepNext/>
              <w:keepLines/>
              <w:jc w:val="right"/>
              <w:rPr>
                <w:rFonts w:ascii="Arial Narrow" w:hAnsi="Arial Narrow" w:cs="Calibri"/>
                <w:b/>
                <w:bCs/>
                <w:color w:val="000000"/>
                <w:sz w:val="20"/>
                <w:szCs w:val="20"/>
                <w:highlight w:val="darkGray"/>
              </w:rPr>
            </w:pPr>
            <w:r w:rsidRPr="001758D2">
              <w:rPr>
                <w:rFonts w:ascii="Arial Narrow" w:hAnsi="Arial Narrow" w:cs="Calibri"/>
                <w:b/>
                <w:bCs/>
                <w:color w:val="000000"/>
                <w:sz w:val="20"/>
                <w:szCs w:val="20"/>
                <w:highlight w:val="black"/>
              </w:rPr>
              <w:t>&amp;&amp;&amp;&amp;</w:t>
            </w:r>
            <w:r w:rsidR="00437F25">
              <w:rPr>
                <w:rFonts w:ascii="Arial Narrow" w:hAnsi="Arial Narrow"/>
                <w:sz w:val="18"/>
                <w:szCs w:val="18"/>
                <w:vertAlign w:val="superscript"/>
              </w:rPr>
              <w:t>3</w:t>
            </w:r>
          </w:p>
        </w:tc>
        <w:tc>
          <w:tcPr>
            <w:tcW w:w="1069" w:type="dxa"/>
            <w:tcBorders>
              <w:top w:val="nil"/>
              <w:left w:val="nil"/>
              <w:bottom w:val="single" w:sz="4" w:space="0" w:color="auto"/>
              <w:right w:val="single" w:sz="4" w:space="0" w:color="auto"/>
            </w:tcBorders>
            <w:vAlign w:val="center"/>
            <w:hideMark/>
          </w:tcPr>
          <w:p w14:paraId="4D8CC08A" w14:textId="5634D987" w:rsidR="004506F3" w:rsidRPr="000D0776" w:rsidRDefault="00576021" w:rsidP="0067373C">
            <w:pPr>
              <w:keepNext/>
              <w:keepLines/>
              <w:jc w:val="right"/>
              <w:rPr>
                <w:rFonts w:ascii="Arial Narrow" w:hAnsi="Arial Narrow" w:cs="Calibri"/>
                <w:b/>
                <w:bCs/>
                <w:color w:val="000000"/>
                <w:sz w:val="20"/>
                <w:szCs w:val="20"/>
                <w:highlight w:val="darkGray"/>
              </w:rPr>
            </w:pPr>
            <w:r w:rsidRPr="001758D2">
              <w:rPr>
                <w:rFonts w:ascii="Arial Narrow" w:hAnsi="Arial Narrow" w:cs="Calibri"/>
                <w:b/>
                <w:bCs/>
                <w:color w:val="000000"/>
                <w:sz w:val="20"/>
                <w:szCs w:val="20"/>
                <w:highlight w:val="black"/>
              </w:rPr>
              <w:t>&amp;&amp;&amp;&amp;</w:t>
            </w:r>
            <w:r w:rsidR="00437F25">
              <w:rPr>
                <w:rFonts w:ascii="Arial Narrow" w:hAnsi="Arial Narrow"/>
                <w:sz w:val="18"/>
                <w:szCs w:val="18"/>
                <w:vertAlign w:val="superscript"/>
              </w:rPr>
              <w:t>3</w:t>
            </w:r>
          </w:p>
        </w:tc>
        <w:tc>
          <w:tcPr>
            <w:tcW w:w="1069" w:type="dxa"/>
            <w:tcBorders>
              <w:top w:val="nil"/>
              <w:left w:val="nil"/>
              <w:bottom w:val="single" w:sz="4" w:space="0" w:color="auto"/>
              <w:right w:val="single" w:sz="4" w:space="0" w:color="auto"/>
            </w:tcBorders>
            <w:vAlign w:val="center"/>
            <w:hideMark/>
          </w:tcPr>
          <w:p w14:paraId="2BC33A30" w14:textId="7E144446" w:rsidR="004506F3" w:rsidRPr="000D0776" w:rsidRDefault="00576021" w:rsidP="0067373C">
            <w:pPr>
              <w:keepNext/>
              <w:keepLines/>
              <w:jc w:val="right"/>
              <w:rPr>
                <w:rFonts w:ascii="Arial Narrow" w:hAnsi="Arial Narrow" w:cs="Calibri"/>
                <w:b/>
                <w:bCs/>
                <w:color w:val="000000"/>
                <w:sz w:val="20"/>
                <w:szCs w:val="20"/>
                <w:highlight w:val="darkGray"/>
              </w:rPr>
            </w:pPr>
            <w:r w:rsidRPr="001758D2">
              <w:rPr>
                <w:rFonts w:ascii="Arial Narrow" w:hAnsi="Arial Narrow" w:cs="Calibri"/>
                <w:b/>
                <w:bCs/>
                <w:color w:val="000000"/>
                <w:sz w:val="20"/>
                <w:szCs w:val="20"/>
                <w:highlight w:val="black"/>
              </w:rPr>
              <w:t>&amp;&amp;&amp;&amp;</w:t>
            </w:r>
            <w:r w:rsidR="00437F25">
              <w:rPr>
                <w:rFonts w:ascii="Arial Narrow" w:hAnsi="Arial Narrow"/>
                <w:sz w:val="18"/>
                <w:szCs w:val="18"/>
                <w:vertAlign w:val="superscript"/>
              </w:rPr>
              <w:t>3</w:t>
            </w:r>
          </w:p>
        </w:tc>
      </w:tr>
    </w:tbl>
    <w:p w14:paraId="656751D3" w14:textId="77777777" w:rsidR="00D014AF" w:rsidRPr="0091177B" w:rsidRDefault="00D466E0" w:rsidP="0067373C">
      <w:pPr>
        <w:pStyle w:val="TableFigureFooter"/>
        <w:keepNext/>
        <w:rPr>
          <w:i w:val="0"/>
          <w:iCs w:val="0"/>
        </w:rPr>
      </w:pPr>
      <w:r w:rsidRPr="0091177B">
        <w:rPr>
          <w:i w:val="0"/>
          <w:iCs w:val="0"/>
        </w:rPr>
        <w:t>Source: The financial estimates from the submission: 10. Registry population, 2a. Patients - incident, 2d. Patients - DTG, 3a. Scripts - proposed, 2c. Patients – GF.</w:t>
      </w:r>
    </w:p>
    <w:p w14:paraId="2C5F0513" w14:textId="239E9310" w:rsidR="004506F3" w:rsidRPr="0091177B" w:rsidRDefault="004506F3" w:rsidP="0067373C">
      <w:pPr>
        <w:pStyle w:val="TableFigureFooter"/>
        <w:keepNext/>
        <w:rPr>
          <w:i w:val="0"/>
          <w:iCs w:val="0"/>
        </w:rPr>
      </w:pPr>
      <w:r w:rsidRPr="0091177B">
        <w:rPr>
          <w:i w:val="0"/>
          <w:iCs w:val="0"/>
          <w:vertAlign w:val="superscript"/>
        </w:rPr>
        <w:t>a</w:t>
      </w:r>
      <w:r w:rsidRPr="0091177B">
        <w:rPr>
          <w:i w:val="0"/>
          <w:iCs w:val="0"/>
        </w:rPr>
        <w:t xml:space="preserve"> Assuming 1.95 scripts per patient for neoadjuvant treatment</w:t>
      </w:r>
    </w:p>
    <w:p w14:paraId="23EE8B56" w14:textId="7D5CF7CD" w:rsidR="004506F3" w:rsidRPr="0091177B" w:rsidRDefault="004506F3" w:rsidP="0067373C">
      <w:pPr>
        <w:pStyle w:val="TableFigureFooter"/>
        <w:keepNext/>
        <w:rPr>
          <w:i w:val="0"/>
          <w:iCs w:val="0"/>
        </w:rPr>
      </w:pPr>
      <w:r w:rsidRPr="0091177B">
        <w:rPr>
          <w:i w:val="0"/>
          <w:iCs w:val="0"/>
          <w:vertAlign w:val="superscript"/>
        </w:rPr>
        <w:t>b</w:t>
      </w:r>
      <w:r w:rsidRPr="0091177B">
        <w:rPr>
          <w:i w:val="0"/>
          <w:iCs w:val="0"/>
        </w:rPr>
        <w:t xml:space="preserve"> Assuming 11.42 scripts per patient for adjuvant treatment</w:t>
      </w:r>
    </w:p>
    <w:p w14:paraId="5DB443A4" w14:textId="505C10A0" w:rsidR="004506F3" w:rsidRPr="0091177B" w:rsidRDefault="004506F3" w:rsidP="0067373C">
      <w:pPr>
        <w:pStyle w:val="TableFigureFooter"/>
        <w:keepNext/>
        <w:rPr>
          <w:i w:val="0"/>
          <w:iCs w:val="0"/>
        </w:rPr>
      </w:pPr>
      <w:r w:rsidRPr="0091177B">
        <w:rPr>
          <w:i w:val="0"/>
          <w:iCs w:val="0"/>
          <w:vertAlign w:val="superscript"/>
        </w:rPr>
        <w:t>c</w:t>
      </w:r>
      <w:r w:rsidRPr="0091177B">
        <w:rPr>
          <w:i w:val="0"/>
          <w:iCs w:val="0"/>
        </w:rPr>
        <w:t xml:space="preserve"> Assuming </w:t>
      </w:r>
      <w:r w:rsidR="009461B4" w:rsidRPr="0091177B">
        <w:rPr>
          <w:i w:val="0"/>
          <w:iCs w:val="0"/>
        </w:rPr>
        <w:t>1</w:t>
      </w:r>
      <w:r w:rsidRPr="0091177B">
        <w:rPr>
          <w:i w:val="0"/>
          <w:iCs w:val="0"/>
        </w:rPr>
        <w:t>.95 scripts per patient for neoadjuvant treatment</w:t>
      </w:r>
    </w:p>
    <w:p w14:paraId="6793DAD2" w14:textId="786F589A" w:rsidR="004506F3" w:rsidRPr="0091177B" w:rsidRDefault="004506F3" w:rsidP="0067373C">
      <w:pPr>
        <w:pStyle w:val="TableFigureFooter"/>
        <w:keepNext/>
        <w:rPr>
          <w:i w:val="0"/>
          <w:iCs w:val="0"/>
        </w:rPr>
      </w:pPr>
      <w:r w:rsidRPr="0091177B">
        <w:rPr>
          <w:i w:val="0"/>
          <w:iCs w:val="0"/>
          <w:vertAlign w:val="superscript"/>
        </w:rPr>
        <w:t>d</w:t>
      </w:r>
      <w:r w:rsidRPr="0091177B">
        <w:rPr>
          <w:i w:val="0"/>
          <w:iCs w:val="0"/>
        </w:rPr>
        <w:t xml:space="preserve"> Assuming </w:t>
      </w:r>
      <w:r w:rsidR="009461B4" w:rsidRPr="0091177B">
        <w:rPr>
          <w:i w:val="0"/>
          <w:iCs w:val="0"/>
        </w:rPr>
        <w:t>4.73</w:t>
      </w:r>
      <w:r w:rsidRPr="0091177B">
        <w:rPr>
          <w:i w:val="0"/>
          <w:iCs w:val="0"/>
        </w:rPr>
        <w:t xml:space="preserve"> scripts per patient for adjuvant treatment</w:t>
      </w:r>
    </w:p>
    <w:p w14:paraId="6099863A" w14:textId="07575988" w:rsidR="00164BC3" w:rsidRPr="0091177B" w:rsidRDefault="00164BC3" w:rsidP="0067373C">
      <w:pPr>
        <w:pStyle w:val="TableFigureFooter"/>
        <w:keepNext/>
        <w:rPr>
          <w:i w:val="0"/>
          <w:iCs w:val="0"/>
        </w:rPr>
      </w:pPr>
      <w:r w:rsidRPr="0091177B">
        <w:rPr>
          <w:i w:val="0"/>
          <w:iCs w:val="0"/>
        </w:rPr>
        <w:t xml:space="preserve">AIHW = Australian Institute of Health and Welfare; ECOG = Eastern Cooperative Oncology </w:t>
      </w:r>
      <w:r w:rsidR="00CC4977" w:rsidRPr="0091177B">
        <w:rPr>
          <w:i w:val="0"/>
          <w:iCs w:val="0"/>
        </w:rPr>
        <w:t>Group;</w:t>
      </w:r>
      <w:r w:rsidRPr="0091177B">
        <w:rPr>
          <w:i w:val="0"/>
          <w:iCs w:val="0"/>
        </w:rPr>
        <w:t xml:space="preserve"> HNSCC = head and neck squamous cell carcinoma; LA = locally advanced; PS = performance status</w:t>
      </w:r>
    </w:p>
    <w:p w14:paraId="70579405" w14:textId="2675F6D6" w:rsidR="004D0CEA" w:rsidRPr="00DE12C3" w:rsidRDefault="004D0CEA" w:rsidP="0067373C">
      <w:pPr>
        <w:pStyle w:val="3-BodyText"/>
        <w:keepNext/>
        <w:keepLines/>
        <w:numPr>
          <w:ilvl w:val="0"/>
          <w:numId w:val="0"/>
        </w:numPr>
        <w:spacing w:before="0" w:after="0"/>
        <w:ind w:left="720" w:hanging="720"/>
        <w:rPr>
          <w:rFonts w:ascii="Arial Narrow" w:eastAsia="Times New Roman" w:hAnsi="Arial Narrow" w:cs="Arial"/>
          <w:i/>
          <w:sz w:val="18"/>
          <w:szCs w:val="18"/>
        </w:rPr>
      </w:pPr>
      <w:r w:rsidRPr="00DE12C3">
        <w:rPr>
          <w:rFonts w:ascii="Arial Narrow" w:eastAsia="Times New Roman" w:hAnsi="Arial Narrow" w:cs="Arial"/>
          <w:i/>
          <w:sz w:val="18"/>
          <w:szCs w:val="18"/>
        </w:rPr>
        <w:t>The redacted values correspond to the following ranges</w:t>
      </w:r>
      <w:r w:rsidR="005963D5">
        <w:rPr>
          <w:rFonts w:ascii="Arial Narrow" w:eastAsia="Times New Roman" w:hAnsi="Arial Narrow" w:cs="Arial"/>
          <w:i/>
          <w:sz w:val="18"/>
          <w:szCs w:val="18"/>
        </w:rPr>
        <w:t>:</w:t>
      </w:r>
    </w:p>
    <w:p w14:paraId="763BE3E8" w14:textId="0668D7A1" w:rsidR="00BD6F0D" w:rsidRPr="00DE12C3" w:rsidRDefault="006B7989" w:rsidP="0067373C">
      <w:pPr>
        <w:pStyle w:val="3-BodyText"/>
        <w:keepNext/>
        <w:keepLines/>
        <w:numPr>
          <w:ilvl w:val="0"/>
          <w:numId w:val="0"/>
        </w:numPr>
        <w:spacing w:before="0" w:after="0"/>
        <w:ind w:left="720" w:hanging="720"/>
        <w:rPr>
          <w:rFonts w:ascii="Arial Narrow" w:eastAsia="Times New Roman" w:hAnsi="Arial Narrow" w:cs="Arial"/>
          <w:i/>
          <w:sz w:val="18"/>
          <w:szCs w:val="18"/>
        </w:rPr>
      </w:pPr>
      <w:r w:rsidRPr="00DE12C3">
        <w:rPr>
          <w:rFonts w:ascii="Arial Narrow" w:eastAsia="Times New Roman" w:hAnsi="Arial Narrow" w:cs="Arial"/>
          <w:i/>
          <w:sz w:val="18"/>
          <w:szCs w:val="18"/>
          <w:vertAlign w:val="superscript"/>
        </w:rPr>
        <w:t>1</w:t>
      </w:r>
      <w:r w:rsidR="00846DB0" w:rsidRPr="00DE12C3">
        <w:rPr>
          <w:rFonts w:ascii="Arial Narrow" w:eastAsia="Times New Roman" w:hAnsi="Arial Narrow" w:cs="Arial"/>
          <w:i/>
          <w:sz w:val="18"/>
          <w:szCs w:val="18"/>
        </w:rPr>
        <w:t xml:space="preserve"> 500</w:t>
      </w:r>
      <w:r w:rsidR="00B81270" w:rsidRPr="00DE12C3">
        <w:rPr>
          <w:rFonts w:ascii="Arial Narrow" w:eastAsia="Times New Roman" w:hAnsi="Arial Narrow" w:cs="Arial"/>
          <w:i/>
          <w:sz w:val="18"/>
          <w:szCs w:val="18"/>
        </w:rPr>
        <w:t xml:space="preserve"> to &lt; 5,000</w:t>
      </w:r>
    </w:p>
    <w:p w14:paraId="6DC8052D" w14:textId="6CF2A3DF" w:rsidR="00952A2E" w:rsidRPr="00DE12C3" w:rsidRDefault="006B7989" w:rsidP="0067373C">
      <w:pPr>
        <w:pStyle w:val="3-BodyText"/>
        <w:keepNext/>
        <w:keepLines/>
        <w:numPr>
          <w:ilvl w:val="0"/>
          <w:numId w:val="0"/>
        </w:numPr>
        <w:spacing w:before="0" w:after="0"/>
        <w:ind w:left="720" w:hanging="720"/>
        <w:rPr>
          <w:rFonts w:ascii="Arial Narrow" w:eastAsia="Times New Roman" w:hAnsi="Arial Narrow" w:cs="Arial"/>
          <w:i/>
          <w:sz w:val="18"/>
          <w:szCs w:val="18"/>
        </w:rPr>
      </w:pPr>
      <w:r w:rsidRPr="00DE12C3">
        <w:rPr>
          <w:rFonts w:ascii="Arial Narrow" w:eastAsia="Times New Roman" w:hAnsi="Arial Narrow" w:cs="Arial"/>
          <w:i/>
          <w:sz w:val="18"/>
          <w:szCs w:val="18"/>
          <w:vertAlign w:val="superscript"/>
        </w:rPr>
        <w:t>2</w:t>
      </w:r>
      <w:r w:rsidR="00B81270" w:rsidRPr="00DE12C3">
        <w:rPr>
          <w:rFonts w:ascii="Arial Narrow" w:eastAsia="Times New Roman" w:hAnsi="Arial Narrow" w:cs="Arial"/>
          <w:i/>
          <w:sz w:val="18"/>
          <w:szCs w:val="18"/>
        </w:rPr>
        <w:t xml:space="preserve"> 5,000 5o &lt; 10,000</w:t>
      </w:r>
    </w:p>
    <w:p w14:paraId="78D114FE" w14:textId="63520ED5" w:rsidR="00BD6F0D" w:rsidRPr="00DE12C3" w:rsidRDefault="006B7989" w:rsidP="0067373C">
      <w:pPr>
        <w:pStyle w:val="3-BodyText"/>
        <w:keepNext/>
        <w:keepLines/>
        <w:numPr>
          <w:ilvl w:val="0"/>
          <w:numId w:val="0"/>
        </w:numPr>
        <w:spacing w:before="0" w:after="0"/>
        <w:rPr>
          <w:rFonts w:ascii="Arial Narrow" w:eastAsia="Times New Roman" w:hAnsi="Arial Narrow" w:cs="Arial"/>
          <w:i/>
          <w:sz w:val="18"/>
          <w:szCs w:val="18"/>
        </w:rPr>
      </w:pPr>
      <w:r w:rsidRPr="00DE12C3">
        <w:rPr>
          <w:rFonts w:ascii="Arial Narrow" w:eastAsia="Times New Roman" w:hAnsi="Arial Narrow" w:cs="Arial"/>
          <w:i/>
          <w:sz w:val="18"/>
          <w:szCs w:val="18"/>
          <w:vertAlign w:val="superscript"/>
        </w:rPr>
        <w:t>3</w:t>
      </w:r>
      <w:r w:rsidR="00DE12C3" w:rsidRPr="00DE12C3">
        <w:rPr>
          <w:rFonts w:ascii="Arial Narrow" w:eastAsia="Times New Roman" w:hAnsi="Arial Narrow" w:cs="Arial"/>
          <w:i/>
          <w:sz w:val="18"/>
          <w:szCs w:val="18"/>
          <w:vertAlign w:val="superscript"/>
        </w:rPr>
        <w:t xml:space="preserve"> </w:t>
      </w:r>
      <w:r w:rsidR="00BD6F0D" w:rsidRPr="00DE12C3">
        <w:rPr>
          <w:rFonts w:ascii="Arial Narrow" w:eastAsia="Times New Roman" w:hAnsi="Arial Narrow" w:cs="Arial"/>
          <w:i/>
          <w:sz w:val="18"/>
          <w:szCs w:val="18"/>
        </w:rPr>
        <w:t>5,000 to &lt; 10,000</w:t>
      </w:r>
    </w:p>
    <w:p w14:paraId="0D3F0E3D" w14:textId="02C681EF" w:rsidR="00F02B77" w:rsidRDefault="00DE12C3" w:rsidP="0067373C">
      <w:pPr>
        <w:pStyle w:val="TableFigureFooter"/>
        <w:keepNext/>
        <w:widowControl w:val="0"/>
        <w:contextualSpacing w:val="0"/>
        <w:rPr>
          <w:i w:val="0"/>
          <w:szCs w:val="18"/>
        </w:rPr>
      </w:pPr>
      <w:r w:rsidRPr="00DE12C3">
        <w:rPr>
          <w:i w:val="0"/>
          <w:szCs w:val="18"/>
          <w:vertAlign w:val="superscript"/>
        </w:rPr>
        <w:t>4</w:t>
      </w:r>
      <w:r w:rsidRPr="00DE12C3">
        <w:rPr>
          <w:i w:val="0"/>
          <w:szCs w:val="18"/>
        </w:rPr>
        <w:t xml:space="preserve"> &lt; 500</w:t>
      </w:r>
    </w:p>
    <w:p w14:paraId="5A5CB87D" w14:textId="77777777" w:rsidR="0067373C" w:rsidRPr="0067373C" w:rsidRDefault="0067373C" w:rsidP="0067373C">
      <w:pPr>
        <w:pStyle w:val="3-BodyText"/>
        <w:numPr>
          <w:ilvl w:val="0"/>
          <w:numId w:val="0"/>
        </w:numPr>
        <w:ind w:left="720" w:hanging="720"/>
      </w:pPr>
    </w:p>
    <w:p w14:paraId="38588232" w14:textId="258CC33F" w:rsidR="005B7305" w:rsidRPr="00F77AC6" w:rsidRDefault="005B7305" w:rsidP="00E266A7">
      <w:pPr>
        <w:pStyle w:val="Caption"/>
      </w:pPr>
      <w:bookmarkStart w:id="123" w:name="_Ref223516211"/>
      <w:r w:rsidRPr="00D74203">
        <w:lastRenderedPageBreak/>
        <w:t xml:space="preserve">Table </w:t>
      </w:r>
      <w:r>
        <w:fldChar w:fldCharType="begin"/>
      </w:r>
      <w:r>
        <w:instrText xml:space="preserve"> SEQ Table \* ARABIC </w:instrText>
      </w:r>
      <w:r>
        <w:fldChar w:fldCharType="separate"/>
      </w:r>
      <w:r w:rsidR="0084087D">
        <w:rPr>
          <w:noProof/>
        </w:rPr>
        <w:t>18</w:t>
      </w:r>
      <w:r>
        <w:fldChar w:fldCharType="end"/>
      </w:r>
      <w:bookmarkEnd w:id="123"/>
      <w:r w:rsidRPr="00D74203">
        <w:t>:</w:t>
      </w:r>
      <w:r w:rsidRPr="00E266A7">
        <w:t xml:space="preserve"> Estimated financial impact of listing pembrolizuma</w:t>
      </w:r>
      <w:r w:rsidR="000B08E1">
        <w:t>b</w:t>
      </w:r>
    </w:p>
    <w:tbl>
      <w:tblPr>
        <w:tblW w:w="5000" w:type="pct"/>
        <w:tblLayout w:type="fixed"/>
        <w:tblCellMar>
          <w:top w:w="28" w:type="dxa"/>
          <w:left w:w="57" w:type="dxa"/>
          <w:bottom w:w="28" w:type="dxa"/>
          <w:right w:w="57" w:type="dxa"/>
        </w:tblCellMar>
        <w:tblLook w:val="04A0" w:firstRow="1" w:lastRow="0" w:firstColumn="1" w:lastColumn="0" w:noHBand="0" w:noVBand="1"/>
        <w:tblCaption w:val="Table 18: Estimated financial impact of listing pembrolizumab"/>
      </w:tblPr>
      <w:tblGrid>
        <w:gridCol w:w="1288"/>
        <w:gridCol w:w="1288"/>
        <w:gridCol w:w="1288"/>
        <w:gridCol w:w="1288"/>
        <w:gridCol w:w="1288"/>
        <w:gridCol w:w="1288"/>
        <w:gridCol w:w="1289"/>
      </w:tblGrid>
      <w:tr w:rsidR="005B7305" w:rsidRPr="00D74203" w14:paraId="54E69C9B" w14:textId="77777777" w:rsidTr="00D05462">
        <w:trPr>
          <w:cantSplit/>
          <w:trHeight w:val="25"/>
        </w:trPr>
        <w:tc>
          <w:tcPr>
            <w:tcW w:w="1288" w:type="dxa"/>
            <w:tcBorders>
              <w:top w:val="single" w:sz="4" w:space="0" w:color="auto"/>
              <w:left w:val="single" w:sz="4" w:space="0" w:color="auto"/>
              <w:bottom w:val="single" w:sz="4" w:space="0" w:color="auto"/>
              <w:right w:val="single" w:sz="4" w:space="0" w:color="auto"/>
            </w:tcBorders>
          </w:tcPr>
          <w:p w14:paraId="3687994F" w14:textId="77777777" w:rsidR="005B7305" w:rsidRPr="00D74203" w:rsidRDefault="005B7305" w:rsidP="00E266A7">
            <w:pPr>
              <w:keepNext/>
              <w:keepLines/>
              <w:jc w:val="left"/>
              <w:rPr>
                <w:rFonts w:ascii="Arial Narrow" w:hAnsi="Arial Narrow" w:cs="Calibri"/>
                <w:color w:val="000000"/>
                <w:sz w:val="20"/>
                <w:szCs w:val="20"/>
              </w:rPr>
            </w:pPr>
          </w:p>
        </w:tc>
        <w:tc>
          <w:tcPr>
            <w:tcW w:w="1288" w:type="dxa"/>
            <w:tcBorders>
              <w:top w:val="single" w:sz="4" w:space="0" w:color="auto"/>
              <w:left w:val="nil"/>
              <w:bottom w:val="single" w:sz="4" w:space="0" w:color="auto"/>
              <w:right w:val="single" w:sz="4" w:space="0" w:color="auto"/>
            </w:tcBorders>
            <w:vAlign w:val="center"/>
          </w:tcPr>
          <w:p w14:paraId="0B114578" w14:textId="77777777" w:rsidR="005B7305" w:rsidRPr="00D74203" w:rsidRDefault="005B7305" w:rsidP="00E266A7">
            <w:pPr>
              <w:keepNext/>
              <w:keepLines/>
              <w:jc w:val="center"/>
              <w:rPr>
                <w:rFonts w:ascii="Arial Narrow" w:hAnsi="Arial Narrow" w:cs="Calibri"/>
                <w:color w:val="000000"/>
                <w:sz w:val="20"/>
                <w:szCs w:val="20"/>
              </w:rPr>
            </w:pPr>
            <w:r w:rsidRPr="00D74203">
              <w:rPr>
                <w:rFonts w:ascii="Arial Narrow" w:hAnsi="Arial Narrow" w:cs="Calibri"/>
                <w:b/>
                <w:bCs/>
                <w:color w:val="000000"/>
                <w:sz w:val="20"/>
                <w:szCs w:val="20"/>
              </w:rPr>
              <w:t>Year 1</w:t>
            </w:r>
          </w:p>
        </w:tc>
        <w:tc>
          <w:tcPr>
            <w:tcW w:w="1288" w:type="dxa"/>
            <w:tcBorders>
              <w:top w:val="single" w:sz="4" w:space="0" w:color="auto"/>
              <w:left w:val="nil"/>
              <w:bottom w:val="single" w:sz="4" w:space="0" w:color="auto"/>
              <w:right w:val="single" w:sz="4" w:space="0" w:color="auto"/>
            </w:tcBorders>
            <w:vAlign w:val="center"/>
          </w:tcPr>
          <w:p w14:paraId="30A2B0EF" w14:textId="77777777" w:rsidR="005B7305" w:rsidRPr="00D74203" w:rsidRDefault="005B7305" w:rsidP="00E266A7">
            <w:pPr>
              <w:keepNext/>
              <w:keepLines/>
              <w:jc w:val="center"/>
              <w:rPr>
                <w:rFonts w:ascii="Arial Narrow" w:hAnsi="Arial Narrow" w:cs="Calibri"/>
                <w:color w:val="000000"/>
                <w:sz w:val="20"/>
                <w:szCs w:val="20"/>
              </w:rPr>
            </w:pPr>
            <w:r w:rsidRPr="00D74203">
              <w:rPr>
                <w:rFonts w:ascii="Arial Narrow" w:hAnsi="Arial Narrow" w:cs="Calibri"/>
                <w:b/>
                <w:bCs/>
                <w:color w:val="000000"/>
                <w:sz w:val="20"/>
                <w:szCs w:val="20"/>
              </w:rPr>
              <w:t>Year 2</w:t>
            </w:r>
          </w:p>
        </w:tc>
        <w:tc>
          <w:tcPr>
            <w:tcW w:w="1288" w:type="dxa"/>
            <w:tcBorders>
              <w:top w:val="single" w:sz="4" w:space="0" w:color="auto"/>
              <w:left w:val="nil"/>
              <w:bottom w:val="single" w:sz="4" w:space="0" w:color="auto"/>
              <w:right w:val="single" w:sz="4" w:space="0" w:color="auto"/>
            </w:tcBorders>
            <w:vAlign w:val="center"/>
          </w:tcPr>
          <w:p w14:paraId="6C6A9E55" w14:textId="77777777" w:rsidR="005B7305" w:rsidRPr="00D74203" w:rsidRDefault="005B7305" w:rsidP="00E266A7">
            <w:pPr>
              <w:keepNext/>
              <w:keepLines/>
              <w:jc w:val="center"/>
              <w:rPr>
                <w:rFonts w:ascii="Arial Narrow" w:hAnsi="Arial Narrow" w:cs="Calibri"/>
                <w:color w:val="000000"/>
                <w:sz w:val="20"/>
                <w:szCs w:val="20"/>
              </w:rPr>
            </w:pPr>
            <w:r w:rsidRPr="00D74203">
              <w:rPr>
                <w:rFonts w:ascii="Arial Narrow" w:hAnsi="Arial Narrow" w:cs="Calibri"/>
                <w:b/>
                <w:bCs/>
                <w:color w:val="000000"/>
                <w:sz w:val="20"/>
                <w:szCs w:val="20"/>
              </w:rPr>
              <w:t>Year 3</w:t>
            </w:r>
          </w:p>
        </w:tc>
        <w:tc>
          <w:tcPr>
            <w:tcW w:w="1288" w:type="dxa"/>
            <w:tcBorders>
              <w:top w:val="single" w:sz="4" w:space="0" w:color="auto"/>
              <w:left w:val="nil"/>
              <w:bottom w:val="single" w:sz="4" w:space="0" w:color="auto"/>
              <w:right w:val="single" w:sz="4" w:space="0" w:color="auto"/>
            </w:tcBorders>
            <w:vAlign w:val="center"/>
          </w:tcPr>
          <w:p w14:paraId="51491718" w14:textId="77777777" w:rsidR="005B7305" w:rsidRPr="00D74203" w:rsidRDefault="005B7305" w:rsidP="00E266A7">
            <w:pPr>
              <w:keepNext/>
              <w:keepLines/>
              <w:jc w:val="center"/>
              <w:rPr>
                <w:rFonts w:ascii="Arial Narrow" w:hAnsi="Arial Narrow" w:cs="Calibri"/>
                <w:color w:val="000000"/>
                <w:sz w:val="20"/>
                <w:szCs w:val="20"/>
              </w:rPr>
            </w:pPr>
            <w:r w:rsidRPr="00D74203">
              <w:rPr>
                <w:rFonts w:ascii="Arial Narrow" w:hAnsi="Arial Narrow" w:cs="Calibri"/>
                <w:b/>
                <w:bCs/>
                <w:color w:val="000000"/>
                <w:sz w:val="20"/>
                <w:szCs w:val="20"/>
              </w:rPr>
              <w:t>Year 4</w:t>
            </w:r>
          </w:p>
        </w:tc>
        <w:tc>
          <w:tcPr>
            <w:tcW w:w="1288" w:type="dxa"/>
            <w:tcBorders>
              <w:top w:val="single" w:sz="4" w:space="0" w:color="auto"/>
              <w:left w:val="nil"/>
              <w:bottom w:val="single" w:sz="4" w:space="0" w:color="auto"/>
              <w:right w:val="single" w:sz="4" w:space="0" w:color="auto"/>
            </w:tcBorders>
            <w:vAlign w:val="center"/>
          </w:tcPr>
          <w:p w14:paraId="7C07C311" w14:textId="77777777" w:rsidR="005B7305" w:rsidRPr="00D74203" w:rsidRDefault="005B7305" w:rsidP="00E266A7">
            <w:pPr>
              <w:keepNext/>
              <w:keepLines/>
              <w:jc w:val="center"/>
              <w:rPr>
                <w:rFonts w:ascii="Arial Narrow" w:hAnsi="Arial Narrow" w:cs="Calibri"/>
                <w:color w:val="000000"/>
                <w:sz w:val="20"/>
                <w:szCs w:val="20"/>
              </w:rPr>
            </w:pPr>
            <w:r w:rsidRPr="00D74203">
              <w:rPr>
                <w:rFonts w:ascii="Arial Narrow" w:hAnsi="Arial Narrow" w:cs="Calibri"/>
                <w:b/>
                <w:bCs/>
                <w:color w:val="000000"/>
                <w:sz w:val="20"/>
                <w:szCs w:val="20"/>
              </w:rPr>
              <w:t>Year 5</w:t>
            </w:r>
          </w:p>
        </w:tc>
        <w:tc>
          <w:tcPr>
            <w:tcW w:w="1289" w:type="dxa"/>
            <w:tcBorders>
              <w:top w:val="single" w:sz="4" w:space="0" w:color="auto"/>
              <w:left w:val="nil"/>
              <w:bottom w:val="single" w:sz="4" w:space="0" w:color="auto"/>
              <w:right w:val="single" w:sz="4" w:space="0" w:color="auto"/>
            </w:tcBorders>
            <w:vAlign w:val="center"/>
          </w:tcPr>
          <w:p w14:paraId="50D34ABA" w14:textId="77777777" w:rsidR="005B7305" w:rsidRPr="00D74203" w:rsidRDefault="005B7305" w:rsidP="00E266A7">
            <w:pPr>
              <w:keepNext/>
              <w:keepLines/>
              <w:jc w:val="center"/>
              <w:rPr>
                <w:rFonts w:ascii="Arial Narrow" w:hAnsi="Arial Narrow" w:cs="Calibri"/>
                <w:color w:val="000000"/>
                <w:sz w:val="20"/>
                <w:szCs w:val="20"/>
              </w:rPr>
            </w:pPr>
            <w:r w:rsidRPr="00D74203">
              <w:rPr>
                <w:rFonts w:ascii="Arial Narrow" w:hAnsi="Arial Narrow" w:cs="Calibri"/>
                <w:b/>
                <w:bCs/>
                <w:color w:val="000000"/>
                <w:sz w:val="20"/>
                <w:szCs w:val="20"/>
              </w:rPr>
              <w:t>Year 6</w:t>
            </w:r>
          </w:p>
        </w:tc>
      </w:tr>
      <w:tr w:rsidR="005B7305" w:rsidRPr="00D74203" w14:paraId="245EB591" w14:textId="77777777" w:rsidTr="00D05462">
        <w:trPr>
          <w:cantSplit/>
        </w:trPr>
        <w:tc>
          <w:tcPr>
            <w:tcW w:w="9017" w:type="dxa"/>
            <w:gridSpan w:val="7"/>
            <w:tcBorders>
              <w:top w:val="nil"/>
              <w:left w:val="single" w:sz="4" w:space="0" w:color="auto"/>
              <w:bottom w:val="single" w:sz="4" w:space="0" w:color="auto"/>
              <w:right w:val="single" w:sz="4" w:space="0" w:color="auto"/>
            </w:tcBorders>
          </w:tcPr>
          <w:p w14:paraId="2E12DAC0" w14:textId="77777777" w:rsidR="005B7305" w:rsidRPr="00D74203" w:rsidRDefault="005B7305" w:rsidP="00E266A7">
            <w:pPr>
              <w:keepNext/>
              <w:keepLines/>
              <w:jc w:val="left"/>
              <w:rPr>
                <w:rFonts w:ascii="Arial Narrow" w:hAnsi="Arial Narrow" w:cs="Calibri"/>
                <w:color w:val="000000"/>
                <w:sz w:val="20"/>
                <w:szCs w:val="20"/>
              </w:rPr>
            </w:pPr>
            <w:r w:rsidRPr="00D74203">
              <w:rPr>
                <w:rFonts w:ascii="Arial Narrow" w:hAnsi="Arial Narrow" w:cs="Calibri"/>
                <w:b/>
                <w:bCs/>
                <w:color w:val="000000"/>
                <w:sz w:val="20"/>
                <w:szCs w:val="20"/>
              </w:rPr>
              <w:t>Net financial impact of pembrolizumab (effective price)</w:t>
            </w:r>
          </w:p>
        </w:tc>
      </w:tr>
      <w:tr w:rsidR="005B7305" w:rsidRPr="00D74203" w14:paraId="5D4B4400" w14:textId="77777777" w:rsidTr="00D05462">
        <w:trPr>
          <w:cantSplit/>
        </w:trPr>
        <w:tc>
          <w:tcPr>
            <w:tcW w:w="1288" w:type="dxa"/>
            <w:tcBorders>
              <w:top w:val="nil"/>
              <w:left w:val="single" w:sz="4" w:space="0" w:color="auto"/>
              <w:bottom w:val="single" w:sz="4" w:space="0" w:color="auto"/>
              <w:right w:val="single" w:sz="4" w:space="0" w:color="auto"/>
            </w:tcBorders>
            <w:hideMark/>
          </w:tcPr>
          <w:p w14:paraId="60684FE5" w14:textId="77777777" w:rsidR="005B7305" w:rsidRPr="00D74203" w:rsidRDefault="005B7305" w:rsidP="005B7305">
            <w:pPr>
              <w:keepNext/>
              <w:keepLines/>
              <w:widowControl w:val="0"/>
              <w:jc w:val="left"/>
              <w:rPr>
                <w:rFonts w:ascii="Arial Narrow" w:hAnsi="Arial Narrow" w:cs="Calibri"/>
                <w:color w:val="000000"/>
                <w:sz w:val="20"/>
                <w:szCs w:val="20"/>
              </w:rPr>
            </w:pPr>
            <w:r w:rsidRPr="00D74203">
              <w:rPr>
                <w:rFonts w:ascii="Arial Narrow" w:hAnsi="Arial Narrow" w:cs="Calibri"/>
                <w:color w:val="000000"/>
                <w:sz w:val="20"/>
                <w:szCs w:val="20"/>
              </w:rPr>
              <w:t xml:space="preserve">Net </w:t>
            </w:r>
            <w:r>
              <w:rPr>
                <w:rFonts w:ascii="Arial Narrow" w:hAnsi="Arial Narrow" w:cs="Calibri"/>
                <w:color w:val="000000"/>
                <w:sz w:val="20"/>
                <w:szCs w:val="20"/>
              </w:rPr>
              <w:t xml:space="preserve">cost to </w:t>
            </w:r>
            <w:r w:rsidRPr="00D74203">
              <w:rPr>
                <w:rFonts w:ascii="Arial Narrow" w:hAnsi="Arial Narrow" w:cs="Calibri"/>
                <w:color w:val="000000"/>
                <w:sz w:val="20"/>
                <w:szCs w:val="20"/>
              </w:rPr>
              <w:t xml:space="preserve">PBS/RPBS </w:t>
            </w:r>
          </w:p>
        </w:tc>
        <w:tc>
          <w:tcPr>
            <w:tcW w:w="1288" w:type="dxa"/>
            <w:tcBorders>
              <w:top w:val="nil"/>
              <w:left w:val="nil"/>
              <w:bottom w:val="single" w:sz="4" w:space="0" w:color="auto"/>
              <w:right w:val="single" w:sz="4" w:space="0" w:color="auto"/>
            </w:tcBorders>
            <w:hideMark/>
          </w:tcPr>
          <w:p w14:paraId="1CCDE454" w14:textId="1DA6D90E" w:rsidR="005B7305" w:rsidRPr="009C29FF" w:rsidRDefault="005B7305" w:rsidP="005B7305">
            <w:pPr>
              <w:keepNext/>
              <w:keepLines/>
              <w:widowControl w:val="0"/>
              <w:jc w:val="right"/>
              <w:rPr>
                <w:rFonts w:ascii="Arial Narrow" w:hAnsi="Arial Narrow" w:cs="Calibri"/>
                <w:color w:val="000000"/>
                <w:sz w:val="20"/>
                <w:szCs w:val="20"/>
              </w:rPr>
            </w:pPr>
            <w:r w:rsidRPr="009C29FF">
              <w:rPr>
                <w:rFonts w:ascii="Arial Narrow" w:hAnsi="Arial Narrow" w:cs="Calibri"/>
                <w:color w:val="000000"/>
                <w:sz w:val="20"/>
                <w:szCs w:val="20"/>
              </w:rPr>
              <w:t>$</w:t>
            </w:r>
            <w:r w:rsidR="00576021" w:rsidRPr="001758D2">
              <w:rPr>
                <w:rFonts w:ascii="Arial Narrow" w:hAnsi="Arial Narrow" w:cs="Calibri"/>
                <w:color w:val="000000"/>
                <w:sz w:val="20"/>
                <w:szCs w:val="20"/>
                <w:highlight w:val="black"/>
              </w:rPr>
              <w:t>&amp;&amp;&amp;&amp;</w:t>
            </w:r>
            <w:r w:rsidRPr="009C29FF">
              <w:rPr>
                <w:rFonts w:ascii="Arial Narrow" w:hAnsi="Arial Narrow"/>
                <w:sz w:val="20"/>
                <w:szCs w:val="20"/>
                <w:vertAlign w:val="superscript"/>
              </w:rPr>
              <w:t>1</w:t>
            </w:r>
            <w:r w:rsidRPr="009C29FF">
              <w:rPr>
                <w:rFonts w:ascii="Arial Narrow" w:hAnsi="Arial Narrow" w:cs="Calibri"/>
                <w:color w:val="000000"/>
                <w:sz w:val="20"/>
                <w:szCs w:val="20"/>
              </w:rPr>
              <w:t xml:space="preserve"> </w:t>
            </w:r>
          </w:p>
        </w:tc>
        <w:tc>
          <w:tcPr>
            <w:tcW w:w="1288" w:type="dxa"/>
            <w:tcBorders>
              <w:top w:val="nil"/>
              <w:left w:val="nil"/>
              <w:bottom w:val="single" w:sz="4" w:space="0" w:color="auto"/>
              <w:right w:val="single" w:sz="4" w:space="0" w:color="auto"/>
            </w:tcBorders>
            <w:hideMark/>
          </w:tcPr>
          <w:p w14:paraId="21BD1FB8" w14:textId="00337527" w:rsidR="005B7305" w:rsidRPr="009C29FF" w:rsidRDefault="005B7305" w:rsidP="005B7305">
            <w:pPr>
              <w:keepNext/>
              <w:keepLines/>
              <w:widowControl w:val="0"/>
              <w:jc w:val="right"/>
              <w:rPr>
                <w:rFonts w:ascii="Arial Narrow" w:hAnsi="Arial Narrow" w:cs="Calibri"/>
                <w:color w:val="000000"/>
                <w:sz w:val="20"/>
                <w:szCs w:val="20"/>
              </w:rPr>
            </w:pPr>
            <w:r w:rsidRPr="009C29FF">
              <w:rPr>
                <w:rFonts w:ascii="Arial Narrow" w:hAnsi="Arial Narrow" w:cs="Calibri"/>
                <w:color w:val="000000"/>
                <w:sz w:val="20"/>
                <w:szCs w:val="20"/>
              </w:rPr>
              <w:t>$</w:t>
            </w:r>
            <w:r w:rsidR="00576021" w:rsidRPr="001758D2">
              <w:rPr>
                <w:rFonts w:ascii="Arial Narrow" w:hAnsi="Arial Narrow" w:cs="Calibri"/>
                <w:color w:val="000000"/>
                <w:sz w:val="20"/>
                <w:szCs w:val="20"/>
                <w:highlight w:val="black"/>
              </w:rPr>
              <w:t>&amp;&amp;&amp;&amp;</w:t>
            </w:r>
            <w:r w:rsidRPr="009C29FF">
              <w:rPr>
                <w:rFonts w:ascii="Arial Narrow" w:hAnsi="Arial Narrow"/>
                <w:sz w:val="20"/>
                <w:szCs w:val="20"/>
                <w:vertAlign w:val="superscript"/>
              </w:rPr>
              <w:t>1</w:t>
            </w:r>
            <w:r w:rsidRPr="009C29FF">
              <w:rPr>
                <w:rFonts w:ascii="Arial Narrow" w:hAnsi="Arial Narrow" w:cs="Calibri"/>
                <w:color w:val="000000"/>
                <w:sz w:val="20"/>
                <w:szCs w:val="20"/>
              </w:rPr>
              <w:t xml:space="preserve"> </w:t>
            </w:r>
          </w:p>
        </w:tc>
        <w:tc>
          <w:tcPr>
            <w:tcW w:w="1288" w:type="dxa"/>
            <w:tcBorders>
              <w:top w:val="nil"/>
              <w:left w:val="nil"/>
              <w:bottom w:val="single" w:sz="4" w:space="0" w:color="auto"/>
              <w:right w:val="single" w:sz="4" w:space="0" w:color="auto"/>
            </w:tcBorders>
            <w:hideMark/>
          </w:tcPr>
          <w:p w14:paraId="6F7687F8" w14:textId="1F63691D" w:rsidR="005B7305" w:rsidRPr="009C29FF" w:rsidRDefault="005B7305" w:rsidP="005B7305">
            <w:pPr>
              <w:keepNext/>
              <w:keepLines/>
              <w:widowControl w:val="0"/>
              <w:jc w:val="right"/>
              <w:rPr>
                <w:rFonts w:ascii="Arial Narrow" w:hAnsi="Arial Narrow" w:cs="Calibri"/>
                <w:color w:val="000000"/>
                <w:sz w:val="20"/>
                <w:szCs w:val="20"/>
              </w:rPr>
            </w:pPr>
            <w:r w:rsidRPr="009C29FF">
              <w:rPr>
                <w:rFonts w:ascii="Arial Narrow" w:hAnsi="Arial Narrow" w:cs="Calibri"/>
                <w:color w:val="000000"/>
                <w:sz w:val="20"/>
                <w:szCs w:val="20"/>
              </w:rPr>
              <w:t>$</w:t>
            </w:r>
            <w:r w:rsidR="00576021" w:rsidRPr="001758D2">
              <w:rPr>
                <w:rFonts w:ascii="Arial Narrow" w:hAnsi="Arial Narrow" w:cs="Calibri"/>
                <w:color w:val="000000"/>
                <w:sz w:val="20"/>
                <w:szCs w:val="20"/>
                <w:highlight w:val="black"/>
              </w:rPr>
              <w:t>&amp;&amp;&amp;&amp;</w:t>
            </w:r>
            <w:r w:rsidRPr="009C29FF">
              <w:rPr>
                <w:rFonts w:ascii="Arial Narrow" w:hAnsi="Arial Narrow"/>
                <w:sz w:val="20"/>
                <w:szCs w:val="20"/>
                <w:vertAlign w:val="superscript"/>
              </w:rPr>
              <w:t>1</w:t>
            </w:r>
            <w:r w:rsidRPr="009C29FF">
              <w:rPr>
                <w:rFonts w:ascii="Arial Narrow" w:hAnsi="Arial Narrow" w:cs="Calibri"/>
                <w:color w:val="000000"/>
                <w:sz w:val="20"/>
                <w:szCs w:val="20"/>
              </w:rPr>
              <w:t xml:space="preserve"> </w:t>
            </w:r>
          </w:p>
        </w:tc>
        <w:tc>
          <w:tcPr>
            <w:tcW w:w="1288" w:type="dxa"/>
            <w:tcBorders>
              <w:top w:val="nil"/>
              <w:left w:val="nil"/>
              <w:bottom w:val="single" w:sz="4" w:space="0" w:color="auto"/>
              <w:right w:val="single" w:sz="4" w:space="0" w:color="auto"/>
            </w:tcBorders>
            <w:hideMark/>
          </w:tcPr>
          <w:p w14:paraId="314B22CA" w14:textId="59AA2579" w:rsidR="005B7305" w:rsidRPr="009C29FF" w:rsidRDefault="005B7305" w:rsidP="005B7305">
            <w:pPr>
              <w:keepNext/>
              <w:keepLines/>
              <w:widowControl w:val="0"/>
              <w:jc w:val="right"/>
              <w:rPr>
                <w:rFonts w:ascii="Arial Narrow" w:hAnsi="Arial Narrow" w:cs="Calibri"/>
                <w:color w:val="000000"/>
                <w:sz w:val="20"/>
                <w:szCs w:val="20"/>
              </w:rPr>
            </w:pPr>
            <w:r w:rsidRPr="009C29FF">
              <w:rPr>
                <w:rFonts w:ascii="Arial Narrow" w:hAnsi="Arial Narrow" w:cs="Calibri"/>
                <w:color w:val="000000"/>
                <w:sz w:val="20"/>
                <w:szCs w:val="20"/>
              </w:rPr>
              <w:t>$</w:t>
            </w:r>
            <w:r w:rsidR="00576021" w:rsidRPr="001758D2">
              <w:rPr>
                <w:rFonts w:ascii="Arial Narrow" w:hAnsi="Arial Narrow" w:cs="Calibri"/>
                <w:color w:val="000000"/>
                <w:sz w:val="20"/>
                <w:szCs w:val="20"/>
                <w:highlight w:val="black"/>
              </w:rPr>
              <w:t>&amp;&amp;&amp;&amp;</w:t>
            </w:r>
            <w:r w:rsidRPr="009C29FF">
              <w:rPr>
                <w:rFonts w:ascii="Arial Narrow" w:hAnsi="Arial Narrow"/>
                <w:sz w:val="20"/>
                <w:szCs w:val="20"/>
                <w:vertAlign w:val="superscript"/>
              </w:rPr>
              <w:t>1</w:t>
            </w:r>
            <w:r w:rsidRPr="009C29FF">
              <w:rPr>
                <w:rFonts w:ascii="Arial Narrow" w:hAnsi="Arial Narrow" w:cs="Calibri"/>
                <w:color w:val="000000"/>
                <w:sz w:val="20"/>
                <w:szCs w:val="20"/>
              </w:rPr>
              <w:t xml:space="preserve"> </w:t>
            </w:r>
          </w:p>
        </w:tc>
        <w:tc>
          <w:tcPr>
            <w:tcW w:w="1288" w:type="dxa"/>
            <w:tcBorders>
              <w:top w:val="nil"/>
              <w:left w:val="nil"/>
              <w:bottom w:val="single" w:sz="4" w:space="0" w:color="auto"/>
              <w:right w:val="single" w:sz="4" w:space="0" w:color="auto"/>
            </w:tcBorders>
            <w:hideMark/>
          </w:tcPr>
          <w:p w14:paraId="2A82763A" w14:textId="32174BEC" w:rsidR="005B7305" w:rsidRPr="009C29FF" w:rsidRDefault="005B7305" w:rsidP="005B7305">
            <w:pPr>
              <w:keepNext/>
              <w:keepLines/>
              <w:widowControl w:val="0"/>
              <w:jc w:val="right"/>
              <w:rPr>
                <w:rFonts w:ascii="Arial Narrow" w:hAnsi="Arial Narrow" w:cs="Calibri"/>
                <w:color w:val="000000"/>
                <w:sz w:val="20"/>
                <w:szCs w:val="20"/>
              </w:rPr>
            </w:pPr>
            <w:r w:rsidRPr="009C29FF">
              <w:rPr>
                <w:rFonts w:ascii="Arial Narrow" w:hAnsi="Arial Narrow" w:cs="Calibri"/>
                <w:color w:val="000000"/>
                <w:sz w:val="20"/>
                <w:szCs w:val="20"/>
              </w:rPr>
              <w:t>$</w:t>
            </w:r>
            <w:r w:rsidR="00576021" w:rsidRPr="001758D2">
              <w:rPr>
                <w:rFonts w:ascii="Arial Narrow" w:hAnsi="Arial Narrow" w:cs="Calibri"/>
                <w:color w:val="000000"/>
                <w:sz w:val="20"/>
                <w:szCs w:val="20"/>
                <w:highlight w:val="black"/>
              </w:rPr>
              <w:t>&amp;&amp;&amp;&amp;</w:t>
            </w:r>
            <w:r w:rsidRPr="009C29FF">
              <w:rPr>
                <w:rFonts w:ascii="Arial Narrow" w:hAnsi="Arial Narrow"/>
                <w:sz w:val="20"/>
                <w:szCs w:val="20"/>
                <w:vertAlign w:val="superscript"/>
              </w:rPr>
              <w:t>1</w:t>
            </w:r>
            <w:r w:rsidRPr="009C29FF">
              <w:rPr>
                <w:rFonts w:ascii="Arial Narrow" w:hAnsi="Arial Narrow" w:cs="Calibri"/>
                <w:color w:val="000000"/>
                <w:sz w:val="20"/>
                <w:szCs w:val="20"/>
              </w:rPr>
              <w:t xml:space="preserve"> </w:t>
            </w:r>
          </w:p>
        </w:tc>
        <w:tc>
          <w:tcPr>
            <w:tcW w:w="1289" w:type="dxa"/>
            <w:tcBorders>
              <w:top w:val="nil"/>
              <w:left w:val="nil"/>
              <w:bottom w:val="single" w:sz="4" w:space="0" w:color="auto"/>
              <w:right w:val="single" w:sz="4" w:space="0" w:color="auto"/>
            </w:tcBorders>
            <w:hideMark/>
          </w:tcPr>
          <w:p w14:paraId="69FE568D" w14:textId="1EFB3CC4" w:rsidR="005B7305" w:rsidRPr="009C29FF" w:rsidRDefault="005B7305" w:rsidP="005B7305">
            <w:pPr>
              <w:keepNext/>
              <w:keepLines/>
              <w:widowControl w:val="0"/>
              <w:jc w:val="right"/>
              <w:rPr>
                <w:rFonts w:ascii="Arial Narrow" w:hAnsi="Arial Narrow" w:cs="Calibri"/>
                <w:color w:val="000000"/>
                <w:sz w:val="20"/>
                <w:szCs w:val="20"/>
              </w:rPr>
            </w:pPr>
            <w:r w:rsidRPr="009C29FF">
              <w:rPr>
                <w:rFonts w:ascii="Arial Narrow" w:hAnsi="Arial Narrow" w:cs="Calibri"/>
                <w:color w:val="000000"/>
                <w:sz w:val="20"/>
                <w:szCs w:val="20"/>
              </w:rPr>
              <w:t>$</w:t>
            </w:r>
            <w:r w:rsidR="00576021" w:rsidRPr="001758D2">
              <w:rPr>
                <w:rFonts w:ascii="Arial Narrow" w:hAnsi="Arial Narrow" w:cs="Calibri"/>
                <w:color w:val="000000"/>
                <w:sz w:val="20"/>
                <w:szCs w:val="20"/>
                <w:highlight w:val="black"/>
              </w:rPr>
              <w:t>&amp;&amp;&amp;&amp;</w:t>
            </w:r>
            <w:r w:rsidRPr="009C29FF">
              <w:rPr>
                <w:rFonts w:ascii="Arial Narrow" w:hAnsi="Arial Narrow"/>
                <w:sz w:val="20"/>
                <w:szCs w:val="20"/>
                <w:vertAlign w:val="superscript"/>
              </w:rPr>
              <w:t>1</w:t>
            </w:r>
            <w:r w:rsidRPr="009C29FF">
              <w:rPr>
                <w:rFonts w:ascii="Arial Narrow" w:hAnsi="Arial Narrow" w:cs="Calibri"/>
                <w:color w:val="000000"/>
                <w:sz w:val="20"/>
                <w:szCs w:val="20"/>
              </w:rPr>
              <w:t xml:space="preserve"> </w:t>
            </w:r>
          </w:p>
        </w:tc>
      </w:tr>
      <w:tr w:rsidR="005B7305" w:rsidRPr="00D74203" w14:paraId="3FC37228" w14:textId="77777777" w:rsidTr="00D05462">
        <w:trPr>
          <w:cantSplit/>
        </w:trPr>
        <w:tc>
          <w:tcPr>
            <w:tcW w:w="1288" w:type="dxa"/>
            <w:tcBorders>
              <w:top w:val="single" w:sz="4" w:space="0" w:color="auto"/>
              <w:left w:val="single" w:sz="4" w:space="0" w:color="auto"/>
              <w:bottom w:val="single" w:sz="4" w:space="0" w:color="auto"/>
              <w:right w:val="single" w:sz="4" w:space="0" w:color="auto"/>
            </w:tcBorders>
            <w:hideMark/>
          </w:tcPr>
          <w:p w14:paraId="2B7C999B" w14:textId="77777777" w:rsidR="005B7305" w:rsidRPr="00D74203" w:rsidRDefault="005B7305" w:rsidP="005B7305">
            <w:pPr>
              <w:keepNext/>
              <w:keepLines/>
              <w:widowControl w:val="0"/>
              <w:jc w:val="left"/>
              <w:rPr>
                <w:rFonts w:ascii="Arial Narrow" w:hAnsi="Arial Narrow" w:cs="Calibri"/>
                <w:color w:val="000000"/>
                <w:sz w:val="20"/>
                <w:szCs w:val="20"/>
              </w:rPr>
            </w:pPr>
            <w:r w:rsidRPr="00D74203">
              <w:rPr>
                <w:rFonts w:ascii="Arial Narrow" w:hAnsi="Arial Narrow" w:cs="Calibri"/>
                <w:color w:val="000000"/>
                <w:sz w:val="20"/>
                <w:szCs w:val="20"/>
              </w:rPr>
              <w:t xml:space="preserve">Net </w:t>
            </w:r>
            <w:r>
              <w:rPr>
                <w:rFonts w:ascii="Arial Narrow" w:hAnsi="Arial Narrow" w:cs="Calibri"/>
                <w:color w:val="000000"/>
                <w:sz w:val="20"/>
                <w:szCs w:val="20"/>
              </w:rPr>
              <w:t xml:space="preserve">cost to </w:t>
            </w:r>
            <w:r w:rsidRPr="00D74203">
              <w:rPr>
                <w:rFonts w:ascii="Arial Narrow" w:hAnsi="Arial Narrow" w:cs="Calibri"/>
                <w:color w:val="000000"/>
                <w:sz w:val="20"/>
                <w:szCs w:val="20"/>
              </w:rPr>
              <w:t>MBS</w:t>
            </w:r>
          </w:p>
        </w:tc>
        <w:tc>
          <w:tcPr>
            <w:tcW w:w="1288" w:type="dxa"/>
            <w:tcBorders>
              <w:top w:val="single" w:sz="4" w:space="0" w:color="auto"/>
              <w:left w:val="nil"/>
              <w:bottom w:val="single" w:sz="4" w:space="0" w:color="auto"/>
              <w:right w:val="single" w:sz="4" w:space="0" w:color="auto"/>
            </w:tcBorders>
            <w:noWrap/>
            <w:hideMark/>
          </w:tcPr>
          <w:p w14:paraId="661D8E79" w14:textId="4EC59B8D" w:rsidR="005B7305" w:rsidRPr="009C29FF" w:rsidRDefault="005B7305" w:rsidP="005B7305">
            <w:pPr>
              <w:keepNext/>
              <w:keepLines/>
              <w:widowControl w:val="0"/>
              <w:jc w:val="right"/>
              <w:rPr>
                <w:rFonts w:ascii="Arial Narrow" w:hAnsi="Arial Narrow" w:cs="Calibri"/>
                <w:color w:val="000000"/>
                <w:sz w:val="20"/>
                <w:szCs w:val="20"/>
              </w:rPr>
            </w:pPr>
            <w:r w:rsidRPr="009C29FF">
              <w:rPr>
                <w:rFonts w:ascii="Arial Narrow" w:hAnsi="Arial Narrow" w:cs="Calibri"/>
                <w:color w:val="000000"/>
                <w:sz w:val="20"/>
                <w:szCs w:val="20"/>
              </w:rPr>
              <w:t>$</w:t>
            </w:r>
            <w:r w:rsidR="00576021" w:rsidRPr="001758D2">
              <w:rPr>
                <w:rFonts w:ascii="Arial Narrow" w:hAnsi="Arial Narrow" w:cs="Calibri"/>
                <w:color w:val="000000"/>
                <w:sz w:val="20"/>
                <w:szCs w:val="20"/>
                <w:highlight w:val="black"/>
              </w:rPr>
              <w:t>&amp;&amp;&amp;&amp;</w:t>
            </w:r>
            <w:r w:rsidRPr="009C29FF">
              <w:rPr>
                <w:rFonts w:ascii="Arial Narrow" w:hAnsi="Arial Narrow"/>
                <w:sz w:val="20"/>
                <w:szCs w:val="20"/>
                <w:vertAlign w:val="superscript"/>
              </w:rPr>
              <w:t>2</w:t>
            </w:r>
            <w:r w:rsidRPr="009C29FF">
              <w:rPr>
                <w:rFonts w:ascii="Arial Narrow" w:hAnsi="Arial Narrow" w:cs="Calibri"/>
                <w:color w:val="000000"/>
                <w:sz w:val="20"/>
                <w:szCs w:val="20"/>
              </w:rPr>
              <w:t xml:space="preserve"> </w:t>
            </w:r>
          </w:p>
        </w:tc>
        <w:tc>
          <w:tcPr>
            <w:tcW w:w="1288" w:type="dxa"/>
            <w:tcBorders>
              <w:top w:val="single" w:sz="4" w:space="0" w:color="auto"/>
              <w:left w:val="nil"/>
              <w:bottom w:val="single" w:sz="4" w:space="0" w:color="auto"/>
              <w:right w:val="single" w:sz="4" w:space="0" w:color="auto"/>
            </w:tcBorders>
            <w:noWrap/>
            <w:hideMark/>
          </w:tcPr>
          <w:p w14:paraId="16EF9685" w14:textId="615C2F36" w:rsidR="005B7305" w:rsidRPr="009C29FF" w:rsidRDefault="005B7305" w:rsidP="005B7305">
            <w:pPr>
              <w:keepNext/>
              <w:keepLines/>
              <w:widowControl w:val="0"/>
              <w:jc w:val="right"/>
              <w:rPr>
                <w:rFonts w:ascii="Arial Narrow" w:hAnsi="Arial Narrow" w:cs="Calibri"/>
                <w:color w:val="000000"/>
                <w:sz w:val="20"/>
                <w:szCs w:val="20"/>
              </w:rPr>
            </w:pPr>
            <w:r w:rsidRPr="009C29FF">
              <w:rPr>
                <w:rFonts w:ascii="Arial Narrow" w:hAnsi="Arial Narrow" w:cs="Calibri"/>
                <w:color w:val="000000"/>
                <w:sz w:val="20"/>
                <w:szCs w:val="20"/>
              </w:rPr>
              <w:t>$</w:t>
            </w:r>
            <w:r w:rsidR="00576021" w:rsidRPr="001758D2">
              <w:rPr>
                <w:rFonts w:ascii="Arial Narrow" w:hAnsi="Arial Narrow" w:cs="Calibri"/>
                <w:color w:val="000000"/>
                <w:sz w:val="20"/>
                <w:szCs w:val="20"/>
                <w:highlight w:val="black"/>
              </w:rPr>
              <w:t>&amp;&amp;&amp;&amp;</w:t>
            </w:r>
            <w:r w:rsidRPr="009C29FF">
              <w:rPr>
                <w:rFonts w:ascii="Arial Narrow" w:hAnsi="Arial Narrow"/>
                <w:sz w:val="20"/>
                <w:szCs w:val="20"/>
                <w:vertAlign w:val="superscript"/>
              </w:rPr>
              <w:t>2</w:t>
            </w:r>
            <w:r w:rsidRPr="009C29FF">
              <w:rPr>
                <w:rFonts w:ascii="Arial Narrow" w:hAnsi="Arial Narrow" w:cs="Calibri"/>
                <w:color w:val="000000"/>
                <w:sz w:val="20"/>
                <w:szCs w:val="20"/>
              </w:rPr>
              <w:t xml:space="preserve"> </w:t>
            </w:r>
          </w:p>
        </w:tc>
        <w:tc>
          <w:tcPr>
            <w:tcW w:w="1288" w:type="dxa"/>
            <w:tcBorders>
              <w:top w:val="single" w:sz="4" w:space="0" w:color="auto"/>
              <w:left w:val="nil"/>
              <w:bottom w:val="single" w:sz="4" w:space="0" w:color="auto"/>
              <w:right w:val="single" w:sz="4" w:space="0" w:color="auto"/>
            </w:tcBorders>
            <w:noWrap/>
            <w:hideMark/>
          </w:tcPr>
          <w:p w14:paraId="006E28A3" w14:textId="1EC78BDA" w:rsidR="005B7305" w:rsidRPr="009C29FF" w:rsidRDefault="005B7305" w:rsidP="005B7305">
            <w:pPr>
              <w:keepNext/>
              <w:keepLines/>
              <w:widowControl w:val="0"/>
              <w:jc w:val="right"/>
              <w:rPr>
                <w:rFonts w:ascii="Arial Narrow" w:hAnsi="Arial Narrow" w:cs="Calibri"/>
                <w:color w:val="000000"/>
                <w:sz w:val="20"/>
                <w:szCs w:val="20"/>
              </w:rPr>
            </w:pPr>
            <w:r w:rsidRPr="009C29FF">
              <w:rPr>
                <w:rFonts w:ascii="Arial Narrow" w:hAnsi="Arial Narrow" w:cs="Calibri"/>
                <w:color w:val="000000"/>
                <w:sz w:val="20"/>
                <w:szCs w:val="20"/>
              </w:rPr>
              <w:t>$</w:t>
            </w:r>
            <w:r w:rsidR="00576021" w:rsidRPr="001758D2">
              <w:rPr>
                <w:rFonts w:ascii="Arial Narrow" w:hAnsi="Arial Narrow" w:cs="Calibri"/>
                <w:color w:val="000000"/>
                <w:sz w:val="20"/>
                <w:szCs w:val="20"/>
                <w:highlight w:val="black"/>
              </w:rPr>
              <w:t>&amp;&amp;&amp;&amp;</w:t>
            </w:r>
            <w:r w:rsidRPr="009C29FF">
              <w:rPr>
                <w:rFonts w:ascii="Arial Narrow" w:hAnsi="Arial Narrow"/>
                <w:sz w:val="20"/>
                <w:szCs w:val="20"/>
                <w:vertAlign w:val="superscript"/>
              </w:rPr>
              <w:t>2</w:t>
            </w:r>
            <w:r w:rsidRPr="009C29FF">
              <w:rPr>
                <w:rFonts w:ascii="Arial Narrow" w:hAnsi="Arial Narrow" w:cs="Calibri"/>
                <w:color w:val="000000"/>
                <w:sz w:val="20"/>
                <w:szCs w:val="20"/>
              </w:rPr>
              <w:t xml:space="preserve"> </w:t>
            </w:r>
          </w:p>
        </w:tc>
        <w:tc>
          <w:tcPr>
            <w:tcW w:w="1288" w:type="dxa"/>
            <w:tcBorders>
              <w:top w:val="single" w:sz="4" w:space="0" w:color="auto"/>
              <w:left w:val="nil"/>
              <w:bottom w:val="single" w:sz="4" w:space="0" w:color="auto"/>
              <w:right w:val="single" w:sz="4" w:space="0" w:color="auto"/>
            </w:tcBorders>
            <w:noWrap/>
            <w:hideMark/>
          </w:tcPr>
          <w:p w14:paraId="1D19B129" w14:textId="68315D88" w:rsidR="005B7305" w:rsidRPr="009C29FF" w:rsidRDefault="005B7305" w:rsidP="005B7305">
            <w:pPr>
              <w:keepNext/>
              <w:keepLines/>
              <w:widowControl w:val="0"/>
              <w:jc w:val="right"/>
              <w:rPr>
                <w:rFonts w:ascii="Arial Narrow" w:hAnsi="Arial Narrow" w:cs="Calibri"/>
                <w:color w:val="000000"/>
                <w:sz w:val="20"/>
                <w:szCs w:val="20"/>
              </w:rPr>
            </w:pPr>
            <w:r w:rsidRPr="009C29FF">
              <w:rPr>
                <w:rFonts w:ascii="Arial Narrow" w:hAnsi="Arial Narrow" w:cs="Calibri"/>
                <w:color w:val="000000"/>
                <w:sz w:val="20"/>
                <w:szCs w:val="20"/>
              </w:rPr>
              <w:t>$</w:t>
            </w:r>
            <w:r w:rsidR="00576021" w:rsidRPr="001758D2">
              <w:rPr>
                <w:rFonts w:ascii="Arial Narrow" w:hAnsi="Arial Narrow" w:cs="Calibri"/>
                <w:color w:val="000000"/>
                <w:sz w:val="20"/>
                <w:szCs w:val="20"/>
                <w:highlight w:val="black"/>
              </w:rPr>
              <w:t>&amp;&amp;&amp;&amp;</w:t>
            </w:r>
            <w:r w:rsidRPr="009C29FF">
              <w:rPr>
                <w:rFonts w:ascii="Arial Narrow" w:hAnsi="Arial Narrow"/>
                <w:sz w:val="20"/>
                <w:szCs w:val="20"/>
                <w:vertAlign w:val="superscript"/>
              </w:rPr>
              <w:t>2</w:t>
            </w:r>
            <w:r w:rsidRPr="009C29FF">
              <w:rPr>
                <w:rFonts w:ascii="Arial Narrow" w:hAnsi="Arial Narrow" w:cs="Calibri"/>
                <w:color w:val="000000"/>
                <w:sz w:val="20"/>
                <w:szCs w:val="20"/>
              </w:rPr>
              <w:t xml:space="preserve"> </w:t>
            </w:r>
          </w:p>
        </w:tc>
        <w:tc>
          <w:tcPr>
            <w:tcW w:w="1288" w:type="dxa"/>
            <w:tcBorders>
              <w:top w:val="single" w:sz="4" w:space="0" w:color="auto"/>
              <w:left w:val="nil"/>
              <w:bottom w:val="single" w:sz="4" w:space="0" w:color="auto"/>
              <w:right w:val="single" w:sz="4" w:space="0" w:color="auto"/>
            </w:tcBorders>
            <w:noWrap/>
            <w:hideMark/>
          </w:tcPr>
          <w:p w14:paraId="7DAE315B" w14:textId="0DF8B5A4" w:rsidR="005B7305" w:rsidRPr="009C29FF" w:rsidRDefault="005B7305" w:rsidP="005B7305">
            <w:pPr>
              <w:keepNext/>
              <w:keepLines/>
              <w:widowControl w:val="0"/>
              <w:jc w:val="right"/>
              <w:rPr>
                <w:rFonts w:ascii="Arial Narrow" w:hAnsi="Arial Narrow" w:cs="Calibri"/>
                <w:color w:val="000000"/>
                <w:sz w:val="20"/>
                <w:szCs w:val="20"/>
              </w:rPr>
            </w:pPr>
            <w:r w:rsidRPr="009C29FF">
              <w:rPr>
                <w:rFonts w:ascii="Arial Narrow" w:hAnsi="Arial Narrow" w:cs="Calibri"/>
                <w:color w:val="000000"/>
                <w:sz w:val="20"/>
                <w:szCs w:val="20"/>
              </w:rPr>
              <w:t>$</w:t>
            </w:r>
            <w:r w:rsidR="00576021" w:rsidRPr="001758D2">
              <w:rPr>
                <w:rFonts w:ascii="Arial Narrow" w:hAnsi="Arial Narrow" w:cs="Calibri"/>
                <w:color w:val="000000"/>
                <w:sz w:val="20"/>
                <w:szCs w:val="20"/>
                <w:highlight w:val="black"/>
              </w:rPr>
              <w:t>&amp;&amp;&amp;&amp;</w:t>
            </w:r>
            <w:r w:rsidRPr="009C29FF">
              <w:rPr>
                <w:rFonts w:ascii="Arial Narrow" w:hAnsi="Arial Narrow"/>
                <w:sz w:val="20"/>
                <w:szCs w:val="20"/>
                <w:vertAlign w:val="superscript"/>
              </w:rPr>
              <w:t>2</w:t>
            </w:r>
            <w:r w:rsidRPr="009C29FF">
              <w:rPr>
                <w:rFonts w:ascii="Arial Narrow" w:hAnsi="Arial Narrow" w:cs="Calibri"/>
                <w:color w:val="000000"/>
                <w:sz w:val="20"/>
                <w:szCs w:val="20"/>
              </w:rPr>
              <w:t xml:space="preserve"> </w:t>
            </w:r>
          </w:p>
        </w:tc>
        <w:tc>
          <w:tcPr>
            <w:tcW w:w="1289" w:type="dxa"/>
            <w:tcBorders>
              <w:top w:val="single" w:sz="4" w:space="0" w:color="auto"/>
              <w:left w:val="nil"/>
              <w:bottom w:val="single" w:sz="4" w:space="0" w:color="auto"/>
              <w:right w:val="single" w:sz="4" w:space="0" w:color="auto"/>
            </w:tcBorders>
            <w:noWrap/>
            <w:hideMark/>
          </w:tcPr>
          <w:p w14:paraId="1EA875FF" w14:textId="2166CE9F" w:rsidR="005B7305" w:rsidRPr="009C29FF" w:rsidRDefault="005B7305" w:rsidP="005B7305">
            <w:pPr>
              <w:keepNext/>
              <w:keepLines/>
              <w:widowControl w:val="0"/>
              <w:jc w:val="right"/>
              <w:rPr>
                <w:rFonts w:ascii="Arial Narrow" w:hAnsi="Arial Narrow" w:cs="Calibri"/>
                <w:color w:val="000000"/>
                <w:sz w:val="20"/>
                <w:szCs w:val="20"/>
              </w:rPr>
            </w:pPr>
            <w:r w:rsidRPr="009C29FF">
              <w:rPr>
                <w:rFonts w:ascii="Arial Narrow" w:hAnsi="Arial Narrow" w:cs="Calibri"/>
                <w:color w:val="000000"/>
                <w:sz w:val="20"/>
                <w:szCs w:val="20"/>
              </w:rPr>
              <w:t>$</w:t>
            </w:r>
            <w:r w:rsidR="00576021" w:rsidRPr="001758D2">
              <w:rPr>
                <w:rFonts w:ascii="Arial Narrow" w:hAnsi="Arial Narrow" w:cs="Calibri"/>
                <w:color w:val="000000"/>
                <w:sz w:val="20"/>
                <w:szCs w:val="20"/>
                <w:highlight w:val="black"/>
              </w:rPr>
              <w:t>&amp;&amp;&amp;&amp;</w:t>
            </w:r>
            <w:r w:rsidRPr="009C29FF">
              <w:rPr>
                <w:rFonts w:ascii="Arial Narrow" w:hAnsi="Arial Narrow"/>
                <w:sz w:val="20"/>
                <w:szCs w:val="20"/>
                <w:vertAlign w:val="superscript"/>
              </w:rPr>
              <w:t>2</w:t>
            </w:r>
            <w:r w:rsidRPr="009C29FF">
              <w:rPr>
                <w:rFonts w:ascii="Arial Narrow" w:hAnsi="Arial Narrow" w:cs="Calibri"/>
                <w:color w:val="000000"/>
                <w:sz w:val="20"/>
                <w:szCs w:val="20"/>
              </w:rPr>
              <w:t xml:space="preserve"> </w:t>
            </w:r>
          </w:p>
        </w:tc>
      </w:tr>
      <w:tr w:rsidR="005B7305" w:rsidRPr="00D74203" w14:paraId="1C82FAA9" w14:textId="77777777" w:rsidTr="00D05462">
        <w:trPr>
          <w:cantSplit/>
        </w:trPr>
        <w:tc>
          <w:tcPr>
            <w:tcW w:w="1288" w:type="dxa"/>
            <w:tcBorders>
              <w:top w:val="single" w:sz="4" w:space="0" w:color="auto"/>
              <w:left w:val="single" w:sz="4" w:space="0" w:color="auto"/>
              <w:bottom w:val="single" w:sz="4" w:space="0" w:color="auto"/>
              <w:right w:val="single" w:sz="4" w:space="0" w:color="auto"/>
            </w:tcBorders>
          </w:tcPr>
          <w:p w14:paraId="47FF3D0D" w14:textId="77777777" w:rsidR="005B7305" w:rsidRPr="00D74203" w:rsidRDefault="005B7305" w:rsidP="005B7305">
            <w:pPr>
              <w:keepNext/>
              <w:keepLines/>
              <w:widowControl w:val="0"/>
              <w:jc w:val="left"/>
              <w:rPr>
                <w:rFonts w:ascii="Arial Narrow" w:hAnsi="Arial Narrow" w:cs="Calibri"/>
                <w:b/>
                <w:bCs/>
                <w:color w:val="000000"/>
                <w:sz w:val="20"/>
                <w:szCs w:val="20"/>
              </w:rPr>
            </w:pPr>
            <w:r w:rsidRPr="00571E68">
              <w:rPr>
                <w:rFonts w:ascii="Arial Narrow" w:eastAsiaTheme="majorEastAsia" w:hAnsi="Arial Narrow" w:cstheme="majorBidi"/>
                <w:b/>
                <w:sz w:val="20"/>
              </w:rPr>
              <w:t>Net cost to PBS/RPBS/MBS</w:t>
            </w:r>
          </w:p>
        </w:tc>
        <w:tc>
          <w:tcPr>
            <w:tcW w:w="1288" w:type="dxa"/>
            <w:tcBorders>
              <w:top w:val="single" w:sz="4" w:space="0" w:color="auto"/>
              <w:left w:val="nil"/>
              <w:bottom w:val="single" w:sz="4" w:space="0" w:color="auto"/>
              <w:right w:val="single" w:sz="4" w:space="0" w:color="auto"/>
            </w:tcBorders>
            <w:noWrap/>
          </w:tcPr>
          <w:p w14:paraId="25D5F15E" w14:textId="385D5A5D" w:rsidR="005B7305" w:rsidRPr="009C29FF" w:rsidRDefault="005B7305" w:rsidP="005B7305">
            <w:pPr>
              <w:keepNext/>
              <w:keepLines/>
              <w:widowControl w:val="0"/>
              <w:jc w:val="right"/>
              <w:rPr>
                <w:rFonts w:ascii="Arial Narrow" w:hAnsi="Arial Narrow" w:cs="Calibri"/>
                <w:b/>
                <w:bCs/>
                <w:color w:val="000000"/>
                <w:sz w:val="20"/>
                <w:szCs w:val="20"/>
                <w:highlight w:val="darkGray"/>
              </w:rPr>
            </w:pPr>
            <w:r w:rsidRPr="009C29FF">
              <w:rPr>
                <w:rFonts w:ascii="Arial Narrow" w:hAnsi="Arial Narrow" w:cs="Calibri"/>
                <w:b/>
                <w:bCs/>
                <w:color w:val="000000"/>
                <w:sz w:val="20"/>
                <w:szCs w:val="20"/>
              </w:rPr>
              <w:t>$</w:t>
            </w:r>
            <w:r w:rsidR="00576021" w:rsidRPr="001758D2">
              <w:rPr>
                <w:rFonts w:ascii="Arial Narrow" w:hAnsi="Arial Narrow" w:cs="Calibri"/>
                <w:b/>
                <w:bCs/>
                <w:color w:val="000000"/>
                <w:sz w:val="20"/>
                <w:szCs w:val="20"/>
                <w:highlight w:val="black"/>
              </w:rPr>
              <w:t>&amp;&amp;&amp;&amp;</w:t>
            </w:r>
            <w:r w:rsidRPr="009C29FF">
              <w:rPr>
                <w:rFonts w:ascii="Arial Narrow" w:hAnsi="Arial Narrow"/>
                <w:sz w:val="20"/>
                <w:szCs w:val="20"/>
                <w:vertAlign w:val="superscript"/>
              </w:rPr>
              <w:t>1</w:t>
            </w:r>
            <w:r w:rsidR="00576021" w:rsidRPr="00576021">
              <w:rPr>
                <w:rFonts w:ascii="Arial Narrow" w:hAnsi="Arial Narrow" w:cs="Calibri"/>
                <w:b/>
                <w:bCs/>
                <w:color w:val="000000"/>
                <w:sz w:val="20"/>
                <w:szCs w:val="20"/>
              </w:rPr>
              <w:t xml:space="preserve"> </w:t>
            </w:r>
          </w:p>
        </w:tc>
        <w:tc>
          <w:tcPr>
            <w:tcW w:w="1288" w:type="dxa"/>
            <w:tcBorders>
              <w:top w:val="single" w:sz="4" w:space="0" w:color="auto"/>
              <w:left w:val="nil"/>
              <w:bottom w:val="single" w:sz="4" w:space="0" w:color="auto"/>
              <w:right w:val="single" w:sz="4" w:space="0" w:color="auto"/>
            </w:tcBorders>
            <w:noWrap/>
          </w:tcPr>
          <w:p w14:paraId="1B996E3B" w14:textId="3EB31C9C" w:rsidR="005B7305" w:rsidRPr="009C29FF" w:rsidRDefault="005B7305" w:rsidP="005B7305">
            <w:pPr>
              <w:keepNext/>
              <w:keepLines/>
              <w:widowControl w:val="0"/>
              <w:jc w:val="right"/>
              <w:rPr>
                <w:rFonts w:ascii="Arial Narrow" w:hAnsi="Arial Narrow" w:cs="Calibri"/>
                <w:b/>
                <w:bCs/>
                <w:color w:val="000000"/>
                <w:sz w:val="20"/>
                <w:szCs w:val="20"/>
                <w:highlight w:val="darkGray"/>
              </w:rPr>
            </w:pPr>
            <w:r w:rsidRPr="009C29FF">
              <w:rPr>
                <w:rFonts w:ascii="Arial Narrow" w:hAnsi="Arial Narrow" w:cs="Calibri"/>
                <w:b/>
                <w:bCs/>
                <w:color w:val="000000"/>
                <w:sz w:val="20"/>
                <w:szCs w:val="20"/>
              </w:rPr>
              <w:t>$</w:t>
            </w:r>
            <w:r w:rsidR="00576021" w:rsidRPr="001758D2">
              <w:rPr>
                <w:rFonts w:ascii="Arial Narrow" w:hAnsi="Arial Narrow" w:cs="Calibri"/>
                <w:b/>
                <w:bCs/>
                <w:color w:val="000000"/>
                <w:sz w:val="20"/>
                <w:szCs w:val="20"/>
                <w:highlight w:val="black"/>
              </w:rPr>
              <w:t>&amp;&amp;&amp;&amp;</w:t>
            </w:r>
            <w:r w:rsidRPr="009C29FF">
              <w:rPr>
                <w:rFonts w:ascii="Arial Narrow" w:hAnsi="Arial Narrow"/>
                <w:sz w:val="20"/>
                <w:szCs w:val="20"/>
                <w:vertAlign w:val="superscript"/>
              </w:rPr>
              <w:t>1</w:t>
            </w:r>
            <w:r w:rsidR="00576021" w:rsidRPr="00576021">
              <w:rPr>
                <w:rFonts w:ascii="Arial Narrow" w:hAnsi="Arial Narrow" w:cs="Calibri"/>
                <w:b/>
                <w:bCs/>
                <w:color w:val="000000"/>
                <w:sz w:val="20"/>
                <w:szCs w:val="20"/>
              </w:rPr>
              <w:t xml:space="preserve"> </w:t>
            </w:r>
          </w:p>
        </w:tc>
        <w:tc>
          <w:tcPr>
            <w:tcW w:w="1288" w:type="dxa"/>
            <w:tcBorders>
              <w:top w:val="single" w:sz="4" w:space="0" w:color="auto"/>
              <w:left w:val="nil"/>
              <w:bottom w:val="single" w:sz="4" w:space="0" w:color="auto"/>
              <w:right w:val="single" w:sz="4" w:space="0" w:color="auto"/>
            </w:tcBorders>
            <w:noWrap/>
          </w:tcPr>
          <w:p w14:paraId="6826810F" w14:textId="31130E32" w:rsidR="005B7305" w:rsidRPr="009C29FF" w:rsidRDefault="005B7305" w:rsidP="005B7305">
            <w:pPr>
              <w:keepNext/>
              <w:keepLines/>
              <w:widowControl w:val="0"/>
              <w:jc w:val="right"/>
              <w:rPr>
                <w:rFonts w:ascii="Arial Narrow" w:hAnsi="Arial Narrow" w:cs="Calibri"/>
                <w:b/>
                <w:bCs/>
                <w:color w:val="000000"/>
                <w:sz w:val="20"/>
                <w:szCs w:val="20"/>
                <w:highlight w:val="darkGray"/>
              </w:rPr>
            </w:pPr>
            <w:r w:rsidRPr="009C29FF">
              <w:rPr>
                <w:rFonts w:ascii="Arial Narrow" w:hAnsi="Arial Narrow" w:cs="Calibri"/>
                <w:b/>
                <w:bCs/>
                <w:color w:val="000000"/>
                <w:sz w:val="20"/>
                <w:szCs w:val="20"/>
              </w:rPr>
              <w:t>$</w:t>
            </w:r>
            <w:r w:rsidR="00576021" w:rsidRPr="001758D2">
              <w:rPr>
                <w:rFonts w:ascii="Arial Narrow" w:hAnsi="Arial Narrow" w:cs="Calibri"/>
                <w:b/>
                <w:bCs/>
                <w:color w:val="000000"/>
                <w:sz w:val="20"/>
                <w:szCs w:val="20"/>
                <w:highlight w:val="black"/>
              </w:rPr>
              <w:t>&amp;&amp;&amp;&amp;</w:t>
            </w:r>
            <w:r w:rsidRPr="009C29FF">
              <w:rPr>
                <w:rFonts w:ascii="Arial Narrow" w:hAnsi="Arial Narrow"/>
                <w:sz w:val="20"/>
                <w:szCs w:val="20"/>
                <w:vertAlign w:val="superscript"/>
              </w:rPr>
              <w:t>1</w:t>
            </w:r>
            <w:r w:rsidR="00576021" w:rsidRPr="00576021">
              <w:rPr>
                <w:rFonts w:ascii="Arial Narrow" w:hAnsi="Arial Narrow" w:cs="Calibri"/>
                <w:b/>
                <w:bCs/>
                <w:color w:val="000000"/>
                <w:sz w:val="20"/>
                <w:szCs w:val="20"/>
              </w:rPr>
              <w:t xml:space="preserve"> </w:t>
            </w:r>
          </w:p>
        </w:tc>
        <w:tc>
          <w:tcPr>
            <w:tcW w:w="1288" w:type="dxa"/>
            <w:tcBorders>
              <w:top w:val="single" w:sz="4" w:space="0" w:color="auto"/>
              <w:left w:val="nil"/>
              <w:bottom w:val="single" w:sz="4" w:space="0" w:color="auto"/>
              <w:right w:val="single" w:sz="4" w:space="0" w:color="auto"/>
            </w:tcBorders>
            <w:noWrap/>
          </w:tcPr>
          <w:p w14:paraId="2831FC0F" w14:textId="0045FFA1" w:rsidR="005B7305" w:rsidRPr="009C29FF" w:rsidRDefault="005B7305" w:rsidP="005B7305">
            <w:pPr>
              <w:keepNext/>
              <w:keepLines/>
              <w:widowControl w:val="0"/>
              <w:jc w:val="right"/>
              <w:rPr>
                <w:rFonts w:ascii="Arial Narrow" w:hAnsi="Arial Narrow" w:cs="Calibri"/>
                <w:b/>
                <w:bCs/>
                <w:color w:val="000000"/>
                <w:sz w:val="20"/>
                <w:szCs w:val="20"/>
                <w:highlight w:val="darkGray"/>
              </w:rPr>
            </w:pPr>
            <w:r w:rsidRPr="009C29FF">
              <w:rPr>
                <w:rFonts w:ascii="Arial Narrow" w:hAnsi="Arial Narrow" w:cs="Calibri"/>
                <w:b/>
                <w:bCs/>
                <w:color w:val="000000"/>
                <w:sz w:val="20"/>
                <w:szCs w:val="20"/>
              </w:rPr>
              <w:t>$</w:t>
            </w:r>
            <w:r w:rsidR="00576021" w:rsidRPr="001758D2">
              <w:rPr>
                <w:rFonts w:ascii="Arial Narrow" w:hAnsi="Arial Narrow" w:cs="Calibri"/>
                <w:b/>
                <w:bCs/>
                <w:color w:val="000000"/>
                <w:sz w:val="20"/>
                <w:szCs w:val="20"/>
                <w:highlight w:val="black"/>
              </w:rPr>
              <w:t>&amp;&amp;&amp;&amp;</w:t>
            </w:r>
            <w:r w:rsidRPr="009C29FF">
              <w:rPr>
                <w:rFonts w:ascii="Arial Narrow" w:hAnsi="Arial Narrow"/>
                <w:sz w:val="20"/>
                <w:szCs w:val="20"/>
                <w:vertAlign w:val="superscript"/>
              </w:rPr>
              <w:t>1</w:t>
            </w:r>
            <w:r w:rsidR="00576021" w:rsidRPr="00576021">
              <w:rPr>
                <w:rFonts w:ascii="Arial Narrow" w:hAnsi="Arial Narrow" w:cs="Calibri"/>
                <w:b/>
                <w:bCs/>
                <w:color w:val="000000"/>
                <w:sz w:val="20"/>
                <w:szCs w:val="20"/>
              </w:rPr>
              <w:t xml:space="preserve"> </w:t>
            </w:r>
          </w:p>
        </w:tc>
        <w:tc>
          <w:tcPr>
            <w:tcW w:w="1288" w:type="dxa"/>
            <w:tcBorders>
              <w:top w:val="single" w:sz="4" w:space="0" w:color="auto"/>
              <w:left w:val="nil"/>
              <w:bottom w:val="single" w:sz="4" w:space="0" w:color="auto"/>
              <w:right w:val="single" w:sz="4" w:space="0" w:color="auto"/>
            </w:tcBorders>
            <w:noWrap/>
          </w:tcPr>
          <w:p w14:paraId="209F9C99" w14:textId="11CC8E0C" w:rsidR="005B7305" w:rsidRPr="009C29FF" w:rsidRDefault="005B7305" w:rsidP="005B7305">
            <w:pPr>
              <w:keepNext/>
              <w:keepLines/>
              <w:widowControl w:val="0"/>
              <w:jc w:val="right"/>
              <w:rPr>
                <w:rFonts w:ascii="Arial Narrow" w:hAnsi="Arial Narrow" w:cs="Calibri"/>
                <w:b/>
                <w:bCs/>
                <w:color w:val="000000"/>
                <w:sz w:val="20"/>
                <w:szCs w:val="20"/>
                <w:highlight w:val="darkGray"/>
              </w:rPr>
            </w:pPr>
            <w:r w:rsidRPr="009C29FF">
              <w:rPr>
                <w:rFonts w:ascii="Arial Narrow" w:hAnsi="Arial Narrow" w:cs="Calibri"/>
                <w:b/>
                <w:bCs/>
                <w:color w:val="000000"/>
                <w:sz w:val="20"/>
                <w:szCs w:val="20"/>
              </w:rPr>
              <w:t>$</w:t>
            </w:r>
            <w:r w:rsidR="00576021" w:rsidRPr="001758D2">
              <w:rPr>
                <w:rFonts w:ascii="Arial Narrow" w:hAnsi="Arial Narrow" w:cs="Calibri"/>
                <w:b/>
                <w:bCs/>
                <w:color w:val="000000"/>
                <w:sz w:val="20"/>
                <w:szCs w:val="20"/>
                <w:highlight w:val="black"/>
              </w:rPr>
              <w:t>&amp;&amp;&amp;&amp;</w:t>
            </w:r>
            <w:r w:rsidRPr="009C29FF">
              <w:rPr>
                <w:rFonts w:ascii="Arial Narrow" w:hAnsi="Arial Narrow"/>
                <w:sz w:val="20"/>
                <w:szCs w:val="20"/>
                <w:vertAlign w:val="superscript"/>
              </w:rPr>
              <w:t>1</w:t>
            </w:r>
            <w:r w:rsidR="00576021" w:rsidRPr="00576021">
              <w:rPr>
                <w:rFonts w:ascii="Arial Narrow" w:hAnsi="Arial Narrow" w:cs="Calibri"/>
                <w:b/>
                <w:bCs/>
                <w:color w:val="000000"/>
                <w:sz w:val="20"/>
                <w:szCs w:val="20"/>
              </w:rPr>
              <w:t xml:space="preserve"> </w:t>
            </w:r>
          </w:p>
        </w:tc>
        <w:tc>
          <w:tcPr>
            <w:tcW w:w="1289" w:type="dxa"/>
            <w:tcBorders>
              <w:top w:val="single" w:sz="4" w:space="0" w:color="auto"/>
              <w:left w:val="nil"/>
              <w:bottom w:val="single" w:sz="4" w:space="0" w:color="auto"/>
              <w:right w:val="single" w:sz="4" w:space="0" w:color="auto"/>
            </w:tcBorders>
            <w:noWrap/>
          </w:tcPr>
          <w:p w14:paraId="2647688F" w14:textId="09902BDC" w:rsidR="005B7305" w:rsidRPr="009C29FF" w:rsidRDefault="005B7305" w:rsidP="005B7305">
            <w:pPr>
              <w:keepNext/>
              <w:keepLines/>
              <w:widowControl w:val="0"/>
              <w:jc w:val="right"/>
              <w:rPr>
                <w:rFonts w:ascii="Arial Narrow" w:hAnsi="Arial Narrow" w:cs="Calibri"/>
                <w:b/>
                <w:bCs/>
                <w:color w:val="000000"/>
                <w:sz w:val="20"/>
                <w:szCs w:val="20"/>
                <w:highlight w:val="darkGray"/>
              </w:rPr>
            </w:pPr>
            <w:r w:rsidRPr="009C29FF">
              <w:rPr>
                <w:rFonts w:ascii="Arial Narrow" w:hAnsi="Arial Narrow" w:cs="Calibri"/>
                <w:b/>
                <w:bCs/>
                <w:color w:val="000000"/>
                <w:sz w:val="20"/>
                <w:szCs w:val="20"/>
              </w:rPr>
              <w:t>$</w:t>
            </w:r>
            <w:r w:rsidR="00576021" w:rsidRPr="001758D2">
              <w:rPr>
                <w:rFonts w:ascii="Arial Narrow" w:hAnsi="Arial Narrow" w:cs="Calibri"/>
                <w:b/>
                <w:bCs/>
                <w:color w:val="000000"/>
                <w:sz w:val="20"/>
                <w:szCs w:val="20"/>
                <w:highlight w:val="black"/>
              </w:rPr>
              <w:t>&amp;&amp;&amp;&amp;</w:t>
            </w:r>
            <w:r w:rsidRPr="009C29FF">
              <w:rPr>
                <w:rFonts w:ascii="Arial Narrow" w:hAnsi="Arial Narrow"/>
                <w:sz w:val="20"/>
                <w:szCs w:val="20"/>
                <w:vertAlign w:val="superscript"/>
              </w:rPr>
              <w:t>1</w:t>
            </w:r>
            <w:r w:rsidR="00576021" w:rsidRPr="00576021">
              <w:rPr>
                <w:rFonts w:ascii="Arial Narrow" w:hAnsi="Arial Narrow" w:cs="Calibri"/>
                <w:b/>
                <w:bCs/>
                <w:color w:val="000000"/>
                <w:sz w:val="20"/>
                <w:szCs w:val="20"/>
              </w:rPr>
              <w:t xml:space="preserve"> </w:t>
            </w:r>
          </w:p>
        </w:tc>
      </w:tr>
      <w:tr w:rsidR="005B7305" w:rsidRPr="00D74203" w14:paraId="3B896F4F" w14:textId="77777777" w:rsidTr="00D05462">
        <w:trPr>
          <w:cantSplit/>
        </w:trPr>
        <w:tc>
          <w:tcPr>
            <w:tcW w:w="9017" w:type="dxa"/>
            <w:gridSpan w:val="7"/>
            <w:tcBorders>
              <w:top w:val="single" w:sz="4" w:space="0" w:color="auto"/>
              <w:left w:val="single" w:sz="4" w:space="0" w:color="auto"/>
              <w:bottom w:val="single" w:sz="4" w:space="0" w:color="auto"/>
              <w:right w:val="single" w:sz="4" w:space="0" w:color="auto"/>
            </w:tcBorders>
          </w:tcPr>
          <w:p w14:paraId="67D6EE86" w14:textId="77777777" w:rsidR="005B7305" w:rsidRPr="009C29FF" w:rsidRDefault="005B7305" w:rsidP="005B7305">
            <w:pPr>
              <w:keepNext/>
              <w:keepLines/>
              <w:widowControl w:val="0"/>
              <w:rPr>
                <w:rFonts w:ascii="Arial Narrow" w:hAnsi="Arial Narrow" w:cs="Calibri"/>
                <w:b/>
                <w:bCs/>
                <w:color w:val="000000"/>
                <w:sz w:val="20"/>
                <w:szCs w:val="20"/>
              </w:rPr>
            </w:pPr>
            <w:r w:rsidRPr="009C29FF">
              <w:rPr>
                <w:rFonts w:ascii="Arial Narrow" w:hAnsi="Arial Narrow" w:cs="Calibri"/>
                <w:b/>
                <w:bCs/>
                <w:color w:val="000000"/>
                <w:sz w:val="20"/>
                <w:szCs w:val="20"/>
              </w:rPr>
              <w:t>Pre-PBAC Response (effective price)</w:t>
            </w:r>
            <w:r w:rsidRPr="009C29FF">
              <w:rPr>
                <w:rStyle w:val="CommentReference"/>
                <w:b w:val="0"/>
                <w:szCs w:val="20"/>
                <w:vertAlign w:val="superscript"/>
              </w:rPr>
              <w:t xml:space="preserve"> a</w:t>
            </w:r>
          </w:p>
        </w:tc>
      </w:tr>
      <w:tr w:rsidR="005B7305" w:rsidRPr="00D74203" w14:paraId="0DC176F6" w14:textId="77777777" w:rsidTr="00D05462">
        <w:trPr>
          <w:cantSplit/>
        </w:trPr>
        <w:tc>
          <w:tcPr>
            <w:tcW w:w="1288" w:type="dxa"/>
            <w:tcBorders>
              <w:top w:val="single" w:sz="4" w:space="0" w:color="auto"/>
              <w:left w:val="single" w:sz="4" w:space="0" w:color="auto"/>
              <w:bottom w:val="single" w:sz="4" w:space="0" w:color="auto"/>
              <w:right w:val="single" w:sz="4" w:space="0" w:color="auto"/>
            </w:tcBorders>
          </w:tcPr>
          <w:p w14:paraId="2280015E" w14:textId="77777777" w:rsidR="005B7305" w:rsidRPr="00DD65DE" w:rsidRDefault="005B7305" w:rsidP="005B7305">
            <w:pPr>
              <w:keepNext/>
              <w:keepLines/>
              <w:widowControl w:val="0"/>
              <w:jc w:val="left"/>
              <w:rPr>
                <w:rFonts w:ascii="Arial Narrow" w:hAnsi="Arial Narrow" w:cs="Calibri"/>
                <w:color w:val="000000"/>
                <w:sz w:val="20"/>
                <w:szCs w:val="20"/>
              </w:rPr>
            </w:pPr>
            <w:r w:rsidRPr="00BA739A">
              <w:rPr>
                <w:rFonts w:ascii="Arial Narrow" w:eastAsiaTheme="majorEastAsia" w:hAnsi="Arial Narrow" w:cstheme="majorBidi"/>
                <w:bCs/>
                <w:sz w:val="20"/>
              </w:rPr>
              <w:t>Cost to the PBS/RPBS less copayments</w:t>
            </w:r>
          </w:p>
        </w:tc>
        <w:tc>
          <w:tcPr>
            <w:tcW w:w="1288" w:type="dxa"/>
            <w:tcBorders>
              <w:top w:val="single" w:sz="4" w:space="0" w:color="auto"/>
              <w:left w:val="nil"/>
              <w:bottom w:val="single" w:sz="4" w:space="0" w:color="auto"/>
              <w:right w:val="single" w:sz="4" w:space="0" w:color="auto"/>
            </w:tcBorders>
            <w:noWrap/>
            <w:vAlign w:val="center"/>
          </w:tcPr>
          <w:p w14:paraId="23C13A8F" w14:textId="4A256FCB" w:rsidR="005B7305" w:rsidRPr="009C29FF" w:rsidRDefault="005B7305" w:rsidP="005B7305">
            <w:pPr>
              <w:keepNext/>
              <w:keepLines/>
              <w:widowControl w:val="0"/>
              <w:jc w:val="right"/>
              <w:rPr>
                <w:rFonts w:ascii="Arial Narrow" w:hAnsi="Arial Narrow" w:cs="Calibri"/>
                <w:color w:val="000000"/>
                <w:sz w:val="20"/>
                <w:szCs w:val="20"/>
                <w:highlight w:val="darkGray"/>
              </w:rPr>
            </w:pPr>
            <w:r w:rsidRPr="009C29FF">
              <w:rPr>
                <w:rFonts w:ascii="Arial Narrow" w:hAnsi="Arial Narrow" w:cs="Calibri"/>
                <w:color w:val="000000"/>
                <w:sz w:val="20"/>
                <w:szCs w:val="20"/>
              </w:rPr>
              <w:t>$</w:t>
            </w:r>
            <w:r w:rsidR="00576021" w:rsidRPr="001758D2">
              <w:rPr>
                <w:rFonts w:ascii="Arial Narrow" w:hAnsi="Arial Narrow" w:cs="Calibri"/>
                <w:color w:val="000000"/>
                <w:sz w:val="20"/>
                <w:szCs w:val="20"/>
                <w:highlight w:val="black"/>
              </w:rPr>
              <w:t>&amp;&amp;&amp;&amp;</w:t>
            </w:r>
            <w:r w:rsidRPr="009C29FF">
              <w:rPr>
                <w:rFonts w:ascii="Arial Narrow" w:hAnsi="Arial Narrow"/>
                <w:sz w:val="20"/>
                <w:szCs w:val="20"/>
                <w:vertAlign w:val="superscript"/>
              </w:rPr>
              <w:t>1</w:t>
            </w:r>
          </w:p>
        </w:tc>
        <w:tc>
          <w:tcPr>
            <w:tcW w:w="1288" w:type="dxa"/>
            <w:tcBorders>
              <w:top w:val="single" w:sz="4" w:space="0" w:color="auto"/>
              <w:left w:val="nil"/>
              <w:bottom w:val="single" w:sz="4" w:space="0" w:color="auto"/>
              <w:right w:val="single" w:sz="4" w:space="0" w:color="auto"/>
            </w:tcBorders>
            <w:noWrap/>
            <w:vAlign w:val="center"/>
          </w:tcPr>
          <w:p w14:paraId="46F03765" w14:textId="12E0739D" w:rsidR="005B7305" w:rsidRPr="009C29FF" w:rsidRDefault="005B7305" w:rsidP="005B7305">
            <w:pPr>
              <w:keepNext/>
              <w:keepLines/>
              <w:widowControl w:val="0"/>
              <w:jc w:val="right"/>
              <w:rPr>
                <w:rFonts w:ascii="Arial Narrow" w:hAnsi="Arial Narrow" w:cs="Calibri"/>
                <w:color w:val="000000"/>
                <w:sz w:val="20"/>
                <w:szCs w:val="20"/>
                <w:highlight w:val="darkGray"/>
              </w:rPr>
            </w:pPr>
            <w:r w:rsidRPr="009C29FF">
              <w:rPr>
                <w:rFonts w:ascii="Arial Narrow" w:hAnsi="Arial Narrow" w:cs="Calibri"/>
                <w:color w:val="000000"/>
                <w:sz w:val="20"/>
                <w:szCs w:val="20"/>
              </w:rPr>
              <w:t>$</w:t>
            </w:r>
            <w:r w:rsidR="00576021" w:rsidRPr="001758D2">
              <w:rPr>
                <w:rFonts w:ascii="Arial Narrow" w:hAnsi="Arial Narrow" w:cs="Calibri"/>
                <w:color w:val="000000"/>
                <w:sz w:val="20"/>
                <w:szCs w:val="20"/>
                <w:highlight w:val="black"/>
              </w:rPr>
              <w:t>&amp;&amp;&amp;&amp;</w:t>
            </w:r>
            <w:r w:rsidRPr="009C29FF">
              <w:rPr>
                <w:rFonts w:ascii="Arial Narrow" w:hAnsi="Arial Narrow"/>
                <w:sz w:val="20"/>
                <w:szCs w:val="20"/>
                <w:vertAlign w:val="superscript"/>
              </w:rPr>
              <w:t>1</w:t>
            </w:r>
          </w:p>
        </w:tc>
        <w:tc>
          <w:tcPr>
            <w:tcW w:w="1288" w:type="dxa"/>
            <w:tcBorders>
              <w:top w:val="single" w:sz="4" w:space="0" w:color="auto"/>
              <w:left w:val="nil"/>
              <w:bottom w:val="single" w:sz="4" w:space="0" w:color="auto"/>
              <w:right w:val="single" w:sz="4" w:space="0" w:color="auto"/>
            </w:tcBorders>
            <w:noWrap/>
            <w:vAlign w:val="center"/>
          </w:tcPr>
          <w:p w14:paraId="088A076B" w14:textId="2D65807C" w:rsidR="005B7305" w:rsidRPr="009C29FF" w:rsidRDefault="005B7305" w:rsidP="005B7305">
            <w:pPr>
              <w:keepNext/>
              <w:keepLines/>
              <w:widowControl w:val="0"/>
              <w:jc w:val="right"/>
              <w:rPr>
                <w:rFonts w:ascii="Arial Narrow" w:hAnsi="Arial Narrow" w:cs="Calibri"/>
                <w:color w:val="000000"/>
                <w:sz w:val="20"/>
                <w:szCs w:val="20"/>
                <w:highlight w:val="darkGray"/>
              </w:rPr>
            </w:pPr>
            <w:r w:rsidRPr="009C29FF">
              <w:rPr>
                <w:rFonts w:ascii="Arial Narrow" w:hAnsi="Arial Narrow" w:cs="Calibri"/>
                <w:color w:val="000000"/>
                <w:sz w:val="20"/>
                <w:szCs w:val="20"/>
              </w:rPr>
              <w:t>$</w:t>
            </w:r>
            <w:r w:rsidR="00576021" w:rsidRPr="001758D2">
              <w:rPr>
                <w:rFonts w:ascii="Arial Narrow" w:hAnsi="Arial Narrow" w:cs="Calibri"/>
                <w:color w:val="000000"/>
                <w:sz w:val="20"/>
                <w:szCs w:val="20"/>
                <w:highlight w:val="black"/>
              </w:rPr>
              <w:t>&amp;&amp;&amp;&amp;</w:t>
            </w:r>
            <w:r w:rsidRPr="009C29FF">
              <w:rPr>
                <w:rFonts w:ascii="Arial Narrow" w:hAnsi="Arial Narrow"/>
                <w:sz w:val="20"/>
                <w:szCs w:val="20"/>
                <w:vertAlign w:val="superscript"/>
              </w:rPr>
              <w:t>1</w:t>
            </w:r>
          </w:p>
        </w:tc>
        <w:tc>
          <w:tcPr>
            <w:tcW w:w="1288" w:type="dxa"/>
            <w:tcBorders>
              <w:top w:val="single" w:sz="4" w:space="0" w:color="auto"/>
              <w:left w:val="nil"/>
              <w:bottom w:val="single" w:sz="4" w:space="0" w:color="auto"/>
              <w:right w:val="single" w:sz="4" w:space="0" w:color="auto"/>
            </w:tcBorders>
            <w:noWrap/>
            <w:vAlign w:val="center"/>
          </w:tcPr>
          <w:p w14:paraId="324B52AA" w14:textId="3372D3E6" w:rsidR="005B7305" w:rsidRPr="009C29FF" w:rsidRDefault="005B7305" w:rsidP="005B7305">
            <w:pPr>
              <w:keepNext/>
              <w:keepLines/>
              <w:widowControl w:val="0"/>
              <w:jc w:val="right"/>
              <w:rPr>
                <w:rFonts w:ascii="Arial Narrow" w:hAnsi="Arial Narrow" w:cs="Calibri"/>
                <w:color w:val="000000"/>
                <w:sz w:val="20"/>
                <w:szCs w:val="20"/>
                <w:highlight w:val="darkGray"/>
              </w:rPr>
            </w:pPr>
            <w:r w:rsidRPr="009C29FF">
              <w:rPr>
                <w:rFonts w:ascii="Arial Narrow" w:hAnsi="Arial Narrow" w:cs="Calibri"/>
                <w:color w:val="000000"/>
                <w:sz w:val="20"/>
                <w:szCs w:val="20"/>
              </w:rPr>
              <w:t>$</w:t>
            </w:r>
            <w:r w:rsidR="00576021" w:rsidRPr="001758D2">
              <w:rPr>
                <w:rFonts w:ascii="Arial Narrow" w:hAnsi="Arial Narrow" w:cs="Calibri"/>
                <w:color w:val="000000"/>
                <w:sz w:val="20"/>
                <w:szCs w:val="20"/>
                <w:highlight w:val="black"/>
              </w:rPr>
              <w:t>&amp;&amp;&amp;&amp;</w:t>
            </w:r>
            <w:r w:rsidRPr="009C29FF">
              <w:rPr>
                <w:rFonts w:ascii="Arial Narrow" w:hAnsi="Arial Narrow"/>
                <w:sz w:val="20"/>
                <w:szCs w:val="20"/>
                <w:vertAlign w:val="superscript"/>
              </w:rPr>
              <w:t>1</w:t>
            </w:r>
          </w:p>
        </w:tc>
        <w:tc>
          <w:tcPr>
            <w:tcW w:w="1288" w:type="dxa"/>
            <w:tcBorders>
              <w:top w:val="single" w:sz="4" w:space="0" w:color="auto"/>
              <w:left w:val="nil"/>
              <w:bottom w:val="single" w:sz="4" w:space="0" w:color="auto"/>
              <w:right w:val="single" w:sz="4" w:space="0" w:color="auto"/>
            </w:tcBorders>
            <w:noWrap/>
            <w:vAlign w:val="center"/>
          </w:tcPr>
          <w:p w14:paraId="0EAEFF7B" w14:textId="15FF71DF" w:rsidR="005B7305" w:rsidRPr="009C29FF" w:rsidRDefault="005B7305" w:rsidP="005B7305">
            <w:pPr>
              <w:keepNext/>
              <w:keepLines/>
              <w:widowControl w:val="0"/>
              <w:jc w:val="right"/>
              <w:rPr>
                <w:rFonts w:ascii="Arial Narrow" w:hAnsi="Arial Narrow" w:cs="Calibri"/>
                <w:color w:val="000000"/>
                <w:sz w:val="20"/>
                <w:szCs w:val="20"/>
                <w:highlight w:val="darkGray"/>
              </w:rPr>
            </w:pPr>
            <w:r w:rsidRPr="009C29FF">
              <w:rPr>
                <w:rFonts w:ascii="Arial Narrow" w:hAnsi="Arial Narrow" w:cs="Calibri"/>
                <w:color w:val="000000"/>
                <w:sz w:val="20"/>
                <w:szCs w:val="20"/>
              </w:rPr>
              <w:t>$</w:t>
            </w:r>
            <w:r w:rsidR="00576021" w:rsidRPr="001758D2">
              <w:rPr>
                <w:rFonts w:ascii="Arial Narrow" w:hAnsi="Arial Narrow" w:cs="Calibri"/>
                <w:color w:val="000000"/>
                <w:sz w:val="20"/>
                <w:szCs w:val="20"/>
                <w:highlight w:val="black"/>
              </w:rPr>
              <w:t>&amp;&amp;&amp;&amp;</w:t>
            </w:r>
            <w:r w:rsidRPr="009C29FF">
              <w:rPr>
                <w:rFonts w:ascii="Arial Narrow" w:hAnsi="Arial Narrow"/>
                <w:sz w:val="20"/>
                <w:szCs w:val="20"/>
                <w:vertAlign w:val="superscript"/>
              </w:rPr>
              <w:t>1</w:t>
            </w:r>
          </w:p>
        </w:tc>
        <w:tc>
          <w:tcPr>
            <w:tcW w:w="1289" w:type="dxa"/>
            <w:tcBorders>
              <w:top w:val="single" w:sz="4" w:space="0" w:color="auto"/>
              <w:left w:val="nil"/>
              <w:bottom w:val="single" w:sz="4" w:space="0" w:color="auto"/>
              <w:right w:val="single" w:sz="4" w:space="0" w:color="auto"/>
            </w:tcBorders>
            <w:noWrap/>
            <w:vAlign w:val="center"/>
          </w:tcPr>
          <w:p w14:paraId="6A8BBC3E" w14:textId="7F2022C4" w:rsidR="005B7305" w:rsidRPr="009C29FF" w:rsidRDefault="005B7305" w:rsidP="005B7305">
            <w:pPr>
              <w:keepNext/>
              <w:keepLines/>
              <w:widowControl w:val="0"/>
              <w:jc w:val="right"/>
              <w:rPr>
                <w:rFonts w:ascii="Arial Narrow" w:hAnsi="Arial Narrow" w:cs="Calibri"/>
                <w:color w:val="000000"/>
                <w:sz w:val="20"/>
                <w:szCs w:val="20"/>
                <w:highlight w:val="darkGray"/>
              </w:rPr>
            </w:pPr>
            <w:r w:rsidRPr="009C29FF">
              <w:rPr>
                <w:rFonts w:ascii="Arial Narrow" w:hAnsi="Arial Narrow" w:cs="Calibri"/>
                <w:color w:val="000000"/>
                <w:sz w:val="20"/>
                <w:szCs w:val="20"/>
              </w:rPr>
              <w:t>$</w:t>
            </w:r>
            <w:r w:rsidR="00576021" w:rsidRPr="001758D2">
              <w:rPr>
                <w:rFonts w:ascii="Arial Narrow" w:hAnsi="Arial Narrow" w:cs="Calibri"/>
                <w:color w:val="000000"/>
                <w:sz w:val="20"/>
                <w:szCs w:val="20"/>
                <w:highlight w:val="black"/>
              </w:rPr>
              <w:t>&amp;&amp;&amp;&amp;</w:t>
            </w:r>
            <w:r w:rsidRPr="009C29FF">
              <w:rPr>
                <w:rFonts w:ascii="Arial Narrow" w:hAnsi="Arial Narrow"/>
                <w:sz w:val="20"/>
                <w:szCs w:val="20"/>
                <w:vertAlign w:val="superscript"/>
              </w:rPr>
              <w:t>1</w:t>
            </w:r>
          </w:p>
        </w:tc>
      </w:tr>
      <w:tr w:rsidR="005B7305" w:rsidRPr="00D74203" w14:paraId="7760D437" w14:textId="77777777" w:rsidTr="00D05462">
        <w:trPr>
          <w:cantSplit/>
        </w:trPr>
        <w:tc>
          <w:tcPr>
            <w:tcW w:w="1288" w:type="dxa"/>
            <w:tcBorders>
              <w:top w:val="single" w:sz="4" w:space="0" w:color="auto"/>
              <w:left w:val="single" w:sz="4" w:space="0" w:color="auto"/>
              <w:bottom w:val="single" w:sz="4" w:space="0" w:color="auto"/>
              <w:right w:val="single" w:sz="4" w:space="0" w:color="auto"/>
            </w:tcBorders>
          </w:tcPr>
          <w:p w14:paraId="51FD6613" w14:textId="77777777" w:rsidR="005B7305" w:rsidRPr="00DD65DE" w:rsidRDefault="005B7305" w:rsidP="005B7305">
            <w:pPr>
              <w:keepNext/>
              <w:keepLines/>
              <w:widowControl w:val="0"/>
              <w:jc w:val="left"/>
              <w:rPr>
                <w:rFonts w:ascii="Arial Narrow" w:hAnsi="Arial Narrow" w:cs="Calibri"/>
                <w:color w:val="000000"/>
                <w:sz w:val="20"/>
                <w:szCs w:val="20"/>
              </w:rPr>
            </w:pPr>
            <w:r>
              <w:rPr>
                <w:rFonts w:ascii="Arial Narrow" w:hAnsi="Arial Narrow" w:cs="Calibri"/>
                <w:color w:val="000000"/>
                <w:sz w:val="20"/>
                <w:szCs w:val="20"/>
              </w:rPr>
              <w:t>Cost offsets</w:t>
            </w:r>
          </w:p>
        </w:tc>
        <w:tc>
          <w:tcPr>
            <w:tcW w:w="1288" w:type="dxa"/>
            <w:tcBorders>
              <w:top w:val="single" w:sz="4" w:space="0" w:color="auto"/>
              <w:left w:val="nil"/>
              <w:bottom w:val="single" w:sz="4" w:space="0" w:color="auto"/>
              <w:right w:val="single" w:sz="4" w:space="0" w:color="auto"/>
            </w:tcBorders>
            <w:noWrap/>
            <w:vAlign w:val="center"/>
          </w:tcPr>
          <w:p w14:paraId="0141D547" w14:textId="2C654BB8" w:rsidR="005B7305" w:rsidRPr="009C29FF" w:rsidRDefault="005B7305" w:rsidP="005B7305">
            <w:pPr>
              <w:keepNext/>
              <w:keepLines/>
              <w:widowControl w:val="0"/>
              <w:jc w:val="right"/>
              <w:rPr>
                <w:rFonts w:ascii="Arial Narrow" w:hAnsi="Arial Narrow" w:cs="Calibri"/>
                <w:color w:val="000000"/>
                <w:sz w:val="20"/>
                <w:szCs w:val="20"/>
              </w:rPr>
            </w:pPr>
            <w:r w:rsidRPr="009C29FF">
              <w:rPr>
                <w:rFonts w:ascii="Arial Narrow" w:hAnsi="Arial Narrow" w:cs="Calibri"/>
                <w:color w:val="000000"/>
                <w:sz w:val="20"/>
                <w:szCs w:val="20"/>
              </w:rPr>
              <w:t>-$</w:t>
            </w:r>
            <w:r w:rsidR="00576021" w:rsidRPr="001758D2">
              <w:rPr>
                <w:rFonts w:ascii="Arial Narrow" w:hAnsi="Arial Narrow" w:cs="Calibri"/>
                <w:color w:val="000000"/>
                <w:sz w:val="20"/>
                <w:szCs w:val="20"/>
                <w:highlight w:val="black"/>
              </w:rPr>
              <w:t>&amp;&amp;&amp;&amp;</w:t>
            </w:r>
            <w:r w:rsidRPr="009C29FF">
              <w:rPr>
                <w:rFonts w:ascii="Arial Narrow" w:hAnsi="Arial Narrow"/>
                <w:sz w:val="20"/>
                <w:szCs w:val="20"/>
                <w:vertAlign w:val="superscript"/>
              </w:rPr>
              <w:t>2</w:t>
            </w:r>
          </w:p>
        </w:tc>
        <w:tc>
          <w:tcPr>
            <w:tcW w:w="1288" w:type="dxa"/>
            <w:tcBorders>
              <w:top w:val="single" w:sz="4" w:space="0" w:color="auto"/>
              <w:left w:val="nil"/>
              <w:bottom w:val="single" w:sz="4" w:space="0" w:color="auto"/>
              <w:right w:val="single" w:sz="4" w:space="0" w:color="auto"/>
            </w:tcBorders>
            <w:noWrap/>
            <w:vAlign w:val="center"/>
          </w:tcPr>
          <w:p w14:paraId="559FA742" w14:textId="0D333EE3" w:rsidR="005B7305" w:rsidRPr="009C29FF" w:rsidRDefault="005B7305" w:rsidP="005B7305">
            <w:pPr>
              <w:keepNext/>
              <w:keepLines/>
              <w:widowControl w:val="0"/>
              <w:jc w:val="right"/>
              <w:rPr>
                <w:rFonts w:ascii="Arial Narrow" w:hAnsi="Arial Narrow" w:cs="Calibri"/>
                <w:color w:val="000000"/>
                <w:sz w:val="20"/>
                <w:szCs w:val="20"/>
              </w:rPr>
            </w:pPr>
            <w:r w:rsidRPr="009C29FF">
              <w:rPr>
                <w:rFonts w:ascii="Arial Narrow" w:hAnsi="Arial Narrow" w:cs="Calibri"/>
                <w:color w:val="000000"/>
                <w:sz w:val="20"/>
                <w:szCs w:val="20"/>
              </w:rPr>
              <w:t>-$</w:t>
            </w:r>
            <w:r w:rsidR="00576021" w:rsidRPr="001758D2">
              <w:rPr>
                <w:rFonts w:ascii="Arial Narrow" w:hAnsi="Arial Narrow" w:cs="Calibri"/>
                <w:color w:val="000000"/>
                <w:sz w:val="20"/>
                <w:szCs w:val="20"/>
                <w:highlight w:val="black"/>
              </w:rPr>
              <w:t>&amp;&amp;&amp;&amp;</w:t>
            </w:r>
            <w:r w:rsidRPr="009C29FF">
              <w:rPr>
                <w:rFonts w:ascii="Arial Narrow" w:hAnsi="Arial Narrow"/>
                <w:sz w:val="20"/>
                <w:szCs w:val="20"/>
                <w:vertAlign w:val="superscript"/>
              </w:rPr>
              <w:t>2</w:t>
            </w:r>
          </w:p>
        </w:tc>
        <w:tc>
          <w:tcPr>
            <w:tcW w:w="1288" w:type="dxa"/>
            <w:tcBorders>
              <w:top w:val="single" w:sz="4" w:space="0" w:color="auto"/>
              <w:left w:val="nil"/>
              <w:bottom w:val="single" w:sz="4" w:space="0" w:color="auto"/>
              <w:right w:val="single" w:sz="4" w:space="0" w:color="auto"/>
            </w:tcBorders>
            <w:noWrap/>
            <w:vAlign w:val="center"/>
          </w:tcPr>
          <w:p w14:paraId="68E07E18" w14:textId="5CA8CB7E" w:rsidR="005B7305" w:rsidRPr="009C29FF" w:rsidRDefault="005B7305" w:rsidP="005B7305">
            <w:pPr>
              <w:keepNext/>
              <w:keepLines/>
              <w:widowControl w:val="0"/>
              <w:jc w:val="right"/>
              <w:rPr>
                <w:rFonts w:ascii="Arial Narrow" w:hAnsi="Arial Narrow" w:cs="Calibri"/>
                <w:color w:val="000000"/>
                <w:sz w:val="20"/>
                <w:szCs w:val="20"/>
              </w:rPr>
            </w:pPr>
            <w:r w:rsidRPr="009C29FF">
              <w:rPr>
                <w:rFonts w:ascii="Arial Narrow" w:hAnsi="Arial Narrow" w:cs="Calibri"/>
                <w:color w:val="000000"/>
                <w:sz w:val="20"/>
                <w:szCs w:val="20"/>
              </w:rPr>
              <w:t>-$</w:t>
            </w:r>
            <w:r w:rsidR="00576021" w:rsidRPr="001758D2">
              <w:rPr>
                <w:rFonts w:ascii="Arial Narrow" w:hAnsi="Arial Narrow" w:cs="Calibri"/>
                <w:color w:val="000000"/>
                <w:sz w:val="20"/>
                <w:szCs w:val="20"/>
                <w:highlight w:val="black"/>
              </w:rPr>
              <w:t>&amp;&amp;&amp;&amp;</w:t>
            </w:r>
            <w:r w:rsidRPr="009C29FF">
              <w:rPr>
                <w:rFonts w:ascii="Arial Narrow" w:hAnsi="Arial Narrow"/>
                <w:sz w:val="20"/>
                <w:szCs w:val="20"/>
                <w:vertAlign w:val="superscript"/>
              </w:rPr>
              <w:t>2</w:t>
            </w:r>
          </w:p>
        </w:tc>
        <w:tc>
          <w:tcPr>
            <w:tcW w:w="1288" w:type="dxa"/>
            <w:tcBorders>
              <w:top w:val="single" w:sz="4" w:space="0" w:color="auto"/>
              <w:left w:val="nil"/>
              <w:bottom w:val="single" w:sz="4" w:space="0" w:color="auto"/>
              <w:right w:val="single" w:sz="4" w:space="0" w:color="auto"/>
            </w:tcBorders>
            <w:noWrap/>
            <w:vAlign w:val="center"/>
          </w:tcPr>
          <w:p w14:paraId="07525256" w14:textId="7ECB2218" w:rsidR="005B7305" w:rsidRPr="009C29FF" w:rsidRDefault="005B7305" w:rsidP="005B7305">
            <w:pPr>
              <w:keepNext/>
              <w:keepLines/>
              <w:widowControl w:val="0"/>
              <w:jc w:val="right"/>
              <w:rPr>
                <w:rFonts w:ascii="Arial Narrow" w:hAnsi="Arial Narrow" w:cs="Calibri"/>
                <w:color w:val="000000"/>
                <w:sz w:val="20"/>
                <w:szCs w:val="20"/>
              </w:rPr>
            </w:pPr>
            <w:r w:rsidRPr="009C29FF">
              <w:rPr>
                <w:rFonts w:ascii="Arial Narrow" w:hAnsi="Arial Narrow" w:cs="Calibri"/>
                <w:color w:val="000000"/>
                <w:sz w:val="20"/>
                <w:szCs w:val="20"/>
              </w:rPr>
              <w:t>-$</w:t>
            </w:r>
            <w:r w:rsidR="00576021" w:rsidRPr="001758D2">
              <w:rPr>
                <w:rFonts w:ascii="Arial Narrow" w:hAnsi="Arial Narrow" w:cs="Calibri"/>
                <w:color w:val="000000"/>
                <w:sz w:val="20"/>
                <w:szCs w:val="20"/>
                <w:highlight w:val="black"/>
              </w:rPr>
              <w:t>&amp;&amp;&amp;&amp;</w:t>
            </w:r>
            <w:r w:rsidRPr="009C29FF">
              <w:rPr>
                <w:rFonts w:ascii="Arial Narrow" w:hAnsi="Arial Narrow"/>
                <w:sz w:val="20"/>
                <w:szCs w:val="20"/>
                <w:vertAlign w:val="superscript"/>
              </w:rPr>
              <w:t>2</w:t>
            </w:r>
          </w:p>
        </w:tc>
        <w:tc>
          <w:tcPr>
            <w:tcW w:w="1288" w:type="dxa"/>
            <w:tcBorders>
              <w:top w:val="single" w:sz="4" w:space="0" w:color="auto"/>
              <w:left w:val="nil"/>
              <w:bottom w:val="single" w:sz="4" w:space="0" w:color="auto"/>
              <w:right w:val="single" w:sz="4" w:space="0" w:color="auto"/>
            </w:tcBorders>
            <w:noWrap/>
            <w:vAlign w:val="center"/>
          </w:tcPr>
          <w:p w14:paraId="7C2D6B21" w14:textId="4ACC5491" w:rsidR="005B7305" w:rsidRPr="009C29FF" w:rsidRDefault="005B7305" w:rsidP="005B7305">
            <w:pPr>
              <w:keepNext/>
              <w:keepLines/>
              <w:widowControl w:val="0"/>
              <w:jc w:val="right"/>
              <w:rPr>
                <w:rFonts w:ascii="Arial Narrow" w:hAnsi="Arial Narrow" w:cs="Calibri"/>
                <w:color w:val="000000"/>
                <w:sz w:val="20"/>
                <w:szCs w:val="20"/>
              </w:rPr>
            </w:pPr>
            <w:r w:rsidRPr="009C29FF">
              <w:rPr>
                <w:rFonts w:ascii="Arial Narrow" w:hAnsi="Arial Narrow" w:cs="Calibri"/>
                <w:color w:val="000000"/>
                <w:sz w:val="20"/>
                <w:szCs w:val="20"/>
              </w:rPr>
              <w:t>-$</w:t>
            </w:r>
            <w:r w:rsidR="00576021" w:rsidRPr="001758D2">
              <w:rPr>
                <w:rFonts w:ascii="Arial Narrow" w:hAnsi="Arial Narrow" w:cs="Calibri"/>
                <w:color w:val="000000"/>
                <w:sz w:val="20"/>
                <w:szCs w:val="20"/>
                <w:highlight w:val="black"/>
              </w:rPr>
              <w:t>&amp;&amp;&amp;&amp;</w:t>
            </w:r>
            <w:r w:rsidRPr="009C29FF">
              <w:rPr>
                <w:rFonts w:ascii="Arial Narrow" w:hAnsi="Arial Narrow"/>
                <w:sz w:val="20"/>
                <w:szCs w:val="20"/>
                <w:vertAlign w:val="superscript"/>
              </w:rPr>
              <w:t>2</w:t>
            </w:r>
          </w:p>
        </w:tc>
        <w:tc>
          <w:tcPr>
            <w:tcW w:w="1289" w:type="dxa"/>
            <w:tcBorders>
              <w:top w:val="single" w:sz="4" w:space="0" w:color="auto"/>
              <w:left w:val="nil"/>
              <w:bottom w:val="single" w:sz="4" w:space="0" w:color="auto"/>
              <w:right w:val="single" w:sz="4" w:space="0" w:color="auto"/>
            </w:tcBorders>
            <w:noWrap/>
            <w:vAlign w:val="center"/>
          </w:tcPr>
          <w:p w14:paraId="7573D289" w14:textId="599BABCE" w:rsidR="005B7305" w:rsidRPr="009C29FF" w:rsidRDefault="005B7305" w:rsidP="005B7305">
            <w:pPr>
              <w:keepNext/>
              <w:keepLines/>
              <w:widowControl w:val="0"/>
              <w:jc w:val="right"/>
              <w:rPr>
                <w:rFonts w:ascii="Arial Narrow" w:hAnsi="Arial Narrow" w:cs="Calibri"/>
                <w:color w:val="000000"/>
                <w:sz w:val="20"/>
                <w:szCs w:val="20"/>
              </w:rPr>
            </w:pPr>
            <w:r w:rsidRPr="009C29FF">
              <w:rPr>
                <w:rFonts w:ascii="Arial Narrow" w:hAnsi="Arial Narrow" w:cs="Calibri"/>
                <w:color w:val="000000"/>
                <w:sz w:val="20"/>
                <w:szCs w:val="20"/>
              </w:rPr>
              <w:t>-$</w:t>
            </w:r>
            <w:r w:rsidR="00576021" w:rsidRPr="001758D2">
              <w:rPr>
                <w:rFonts w:ascii="Arial Narrow" w:hAnsi="Arial Narrow" w:cs="Calibri"/>
                <w:color w:val="000000"/>
                <w:sz w:val="20"/>
                <w:szCs w:val="20"/>
                <w:highlight w:val="black"/>
              </w:rPr>
              <w:t>&amp;&amp;&amp;&amp;</w:t>
            </w:r>
            <w:r w:rsidRPr="009C29FF">
              <w:rPr>
                <w:rFonts w:ascii="Arial Narrow" w:hAnsi="Arial Narrow"/>
                <w:sz w:val="20"/>
                <w:szCs w:val="20"/>
                <w:vertAlign w:val="superscript"/>
              </w:rPr>
              <w:t>2</w:t>
            </w:r>
          </w:p>
        </w:tc>
      </w:tr>
      <w:tr w:rsidR="005B7305" w:rsidRPr="00D74203" w14:paraId="7AB424E7" w14:textId="77777777" w:rsidTr="00D05462">
        <w:trPr>
          <w:cantSplit/>
        </w:trPr>
        <w:tc>
          <w:tcPr>
            <w:tcW w:w="1288" w:type="dxa"/>
            <w:tcBorders>
              <w:top w:val="single" w:sz="4" w:space="0" w:color="auto"/>
              <w:left w:val="single" w:sz="4" w:space="0" w:color="auto"/>
              <w:bottom w:val="single" w:sz="4" w:space="0" w:color="auto"/>
              <w:right w:val="single" w:sz="4" w:space="0" w:color="auto"/>
            </w:tcBorders>
          </w:tcPr>
          <w:p w14:paraId="58BA4B53" w14:textId="77777777" w:rsidR="005B7305" w:rsidRPr="00D74203" w:rsidRDefault="005B7305" w:rsidP="005B7305">
            <w:pPr>
              <w:keepNext/>
              <w:keepLines/>
              <w:widowControl w:val="0"/>
              <w:jc w:val="left"/>
              <w:rPr>
                <w:rFonts w:ascii="Arial Narrow" w:hAnsi="Arial Narrow" w:cs="Calibri"/>
                <w:color w:val="000000"/>
                <w:sz w:val="20"/>
                <w:szCs w:val="20"/>
              </w:rPr>
            </w:pPr>
            <w:r>
              <w:rPr>
                <w:rFonts w:ascii="Arial Narrow" w:hAnsi="Arial Narrow" w:cs="Calibri"/>
                <w:color w:val="000000"/>
                <w:sz w:val="20"/>
                <w:szCs w:val="20"/>
              </w:rPr>
              <w:t>Net cost to MBS</w:t>
            </w:r>
          </w:p>
        </w:tc>
        <w:tc>
          <w:tcPr>
            <w:tcW w:w="1288" w:type="dxa"/>
            <w:tcBorders>
              <w:top w:val="single" w:sz="4" w:space="0" w:color="auto"/>
              <w:left w:val="nil"/>
              <w:bottom w:val="single" w:sz="4" w:space="0" w:color="auto"/>
              <w:right w:val="single" w:sz="4" w:space="0" w:color="auto"/>
            </w:tcBorders>
            <w:noWrap/>
            <w:vAlign w:val="center"/>
          </w:tcPr>
          <w:p w14:paraId="7DE8870A" w14:textId="55B3EF4D" w:rsidR="005B7305" w:rsidRPr="009C29FF" w:rsidRDefault="005B7305" w:rsidP="005B7305">
            <w:pPr>
              <w:keepNext/>
              <w:keepLines/>
              <w:widowControl w:val="0"/>
              <w:jc w:val="right"/>
              <w:rPr>
                <w:rFonts w:ascii="Arial Narrow" w:hAnsi="Arial Narrow" w:cs="Calibri"/>
                <w:color w:val="000000"/>
                <w:sz w:val="20"/>
                <w:szCs w:val="20"/>
              </w:rPr>
            </w:pPr>
            <w:r w:rsidRPr="009C29FF">
              <w:rPr>
                <w:rFonts w:ascii="Arial Narrow" w:hAnsi="Arial Narrow" w:cs="Calibri"/>
                <w:color w:val="000000"/>
                <w:sz w:val="20"/>
                <w:szCs w:val="20"/>
              </w:rPr>
              <w:t>$</w:t>
            </w:r>
            <w:r w:rsidR="00576021" w:rsidRPr="001758D2">
              <w:rPr>
                <w:rFonts w:ascii="Arial Narrow" w:hAnsi="Arial Narrow" w:cs="Calibri"/>
                <w:color w:val="000000"/>
                <w:sz w:val="20"/>
                <w:szCs w:val="20"/>
                <w:highlight w:val="black"/>
              </w:rPr>
              <w:t>&amp;&amp;&amp;&amp;</w:t>
            </w:r>
            <w:r w:rsidRPr="009C29FF">
              <w:rPr>
                <w:rFonts w:ascii="Arial Narrow" w:hAnsi="Arial Narrow"/>
                <w:sz w:val="20"/>
                <w:szCs w:val="20"/>
                <w:vertAlign w:val="superscript"/>
              </w:rPr>
              <w:t>2</w:t>
            </w:r>
          </w:p>
        </w:tc>
        <w:tc>
          <w:tcPr>
            <w:tcW w:w="1288" w:type="dxa"/>
            <w:tcBorders>
              <w:top w:val="single" w:sz="4" w:space="0" w:color="auto"/>
              <w:left w:val="nil"/>
              <w:bottom w:val="single" w:sz="4" w:space="0" w:color="auto"/>
              <w:right w:val="single" w:sz="4" w:space="0" w:color="auto"/>
            </w:tcBorders>
            <w:noWrap/>
            <w:vAlign w:val="center"/>
          </w:tcPr>
          <w:p w14:paraId="5C918D4E" w14:textId="07565A00" w:rsidR="005B7305" w:rsidRPr="009C29FF" w:rsidRDefault="005B7305" w:rsidP="005B7305">
            <w:pPr>
              <w:keepNext/>
              <w:keepLines/>
              <w:widowControl w:val="0"/>
              <w:jc w:val="right"/>
              <w:rPr>
                <w:rFonts w:ascii="Arial Narrow" w:hAnsi="Arial Narrow" w:cs="Calibri"/>
                <w:color w:val="000000"/>
                <w:sz w:val="20"/>
                <w:szCs w:val="20"/>
              </w:rPr>
            </w:pPr>
            <w:r w:rsidRPr="009C29FF">
              <w:rPr>
                <w:rFonts w:ascii="Arial Narrow" w:hAnsi="Arial Narrow" w:cs="Calibri"/>
                <w:color w:val="000000"/>
                <w:sz w:val="20"/>
                <w:szCs w:val="20"/>
              </w:rPr>
              <w:t>$</w:t>
            </w:r>
            <w:r w:rsidR="00576021" w:rsidRPr="001758D2">
              <w:rPr>
                <w:rFonts w:ascii="Arial Narrow" w:hAnsi="Arial Narrow" w:cs="Calibri"/>
                <w:color w:val="000000"/>
                <w:sz w:val="20"/>
                <w:szCs w:val="20"/>
                <w:highlight w:val="black"/>
              </w:rPr>
              <w:t>&amp;&amp;&amp;&amp;</w:t>
            </w:r>
            <w:r w:rsidRPr="009C29FF">
              <w:rPr>
                <w:rFonts w:ascii="Arial Narrow" w:hAnsi="Arial Narrow"/>
                <w:sz w:val="20"/>
                <w:szCs w:val="20"/>
                <w:vertAlign w:val="superscript"/>
              </w:rPr>
              <w:t>2</w:t>
            </w:r>
          </w:p>
        </w:tc>
        <w:tc>
          <w:tcPr>
            <w:tcW w:w="1288" w:type="dxa"/>
            <w:tcBorders>
              <w:top w:val="single" w:sz="4" w:space="0" w:color="auto"/>
              <w:left w:val="nil"/>
              <w:bottom w:val="single" w:sz="4" w:space="0" w:color="auto"/>
              <w:right w:val="single" w:sz="4" w:space="0" w:color="auto"/>
            </w:tcBorders>
            <w:noWrap/>
            <w:vAlign w:val="center"/>
          </w:tcPr>
          <w:p w14:paraId="56E6E125" w14:textId="7CC031A4" w:rsidR="005B7305" w:rsidRPr="009C29FF" w:rsidRDefault="005B7305" w:rsidP="005B7305">
            <w:pPr>
              <w:keepNext/>
              <w:keepLines/>
              <w:widowControl w:val="0"/>
              <w:jc w:val="right"/>
              <w:rPr>
                <w:rFonts w:ascii="Arial Narrow" w:hAnsi="Arial Narrow" w:cs="Calibri"/>
                <w:color w:val="000000"/>
                <w:sz w:val="20"/>
                <w:szCs w:val="20"/>
                <w:vertAlign w:val="superscript"/>
              </w:rPr>
            </w:pPr>
            <w:r w:rsidRPr="009C29FF">
              <w:rPr>
                <w:rFonts w:ascii="Arial Narrow" w:hAnsi="Arial Narrow" w:cs="Calibri"/>
                <w:color w:val="000000"/>
                <w:sz w:val="20"/>
                <w:szCs w:val="20"/>
              </w:rPr>
              <w:t>$</w:t>
            </w:r>
            <w:r w:rsidR="00576021" w:rsidRPr="001758D2">
              <w:rPr>
                <w:rFonts w:ascii="Arial Narrow" w:hAnsi="Arial Narrow" w:cs="Calibri"/>
                <w:color w:val="000000"/>
                <w:sz w:val="20"/>
                <w:szCs w:val="20"/>
                <w:highlight w:val="black"/>
              </w:rPr>
              <w:t>&amp;&amp;&amp;&amp;</w:t>
            </w:r>
            <w:r w:rsidRPr="009C29FF">
              <w:rPr>
                <w:rFonts w:ascii="Arial Narrow" w:hAnsi="Arial Narrow" w:cs="Calibri"/>
                <w:color w:val="000000"/>
                <w:sz w:val="20"/>
                <w:szCs w:val="20"/>
                <w:vertAlign w:val="superscript"/>
              </w:rPr>
              <w:t>2</w:t>
            </w:r>
          </w:p>
        </w:tc>
        <w:tc>
          <w:tcPr>
            <w:tcW w:w="1288" w:type="dxa"/>
            <w:tcBorders>
              <w:top w:val="single" w:sz="4" w:space="0" w:color="auto"/>
              <w:left w:val="nil"/>
              <w:bottom w:val="single" w:sz="4" w:space="0" w:color="auto"/>
              <w:right w:val="single" w:sz="4" w:space="0" w:color="auto"/>
            </w:tcBorders>
            <w:noWrap/>
            <w:vAlign w:val="center"/>
          </w:tcPr>
          <w:p w14:paraId="72583349" w14:textId="7154EECC" w:rsidR="005B7305" w:rsidRPr="009C29FF" w:rsidRDefault="005B7305" w:rsidP="005B7305">
            <w:pPr>
              <w:keepNext/>
              <w:keepLines/>
              <w:widowControl w:val="0"/>
              <w:jc w:val="right"/>
              <w:rPr>
                <w:rFonts w:ascii="Arial Narrow" w:hAnsi="Arial Narrow" w:cs="Calibri"/>
                <w:color w:val="000000"/>
                <w:sz w:val="20"/>
                <w:szCs w:val="20"/>
              </w:rPr>
            </w:pPr>
            <w:r w:rsidRPr="009C29FF">
              <w:rPr>
                <w:rFonts w:ascii="Arial Narrow" w:hAnsi="Arial Narrow" w:cs="Calibri"/>
                <w:color w:val="000000"/>
                <w:sz w:val="20"/>
                <w:szCs w:val="20"/>
              </w:rPr>
              <w:t>$</w:t>
            </w:r>
            <w:r w:rsidR="00576021" w:rsidRPr="001758D2">
              <w:rPr>
                <w:rFonts w:ascii="Arial Narrow" w:hAnsi="Arial Narrow" w:cs="Calibri"/>
                <w:color w:val="000000"/>
                <w:sz w:val="20"/>
                <w:szCs w:val="20"/>
                <w:highlight w:val="black"/>
              </w:rPr>
              <w:t>&amp;&amp;&amp;&amp;</w:t>
            </w:r>
            <w:r w:rsidRPr="009C29FF">
              <w:rPr>
                <w:rFonts w:ascii="Arial Narrow" w:hAnsi="Arial Narrow"/>
                <w:sz w:val="20"/>
                <w:szCs w:val="20"/>
                <w:vertAlign w:val="superscript"/>
              </w:rPr>
              <w:t>2</w:t>
            </w:r>
          </w:p>
        </w:tc>
        <w:tc>
          <w:tcPr>
            <w:tcW w:w="1288" w:type="dxa"/>
            <w:tcBorders>
              <w:top w:val="single" w:sz="4" w:space="0" w:color="auto"/>
              <w:left w:val="nil"/>
              <w:bottom w:val="single" w:sz="4" w:space="0" w:color="auto"/>
              <w:right w:val="single" w:sz="4" w:space="0" w:color="auto"/>
            </w:tcBorders>
            <w:noWrap/>
            <w:vAlign w:val="center"/>
          </w:tcPr>
          <w:p w14:paraId="3CB47879" w14:textId="31FB0273" w:rsidR="005B7305" w:rsidRPr="009C29FF" w:rsidRDefault="005B7305" w:rsidP="005B7305">
            <w:pPr>
              <w:keepNext/>
              <w:keepLines/>
              <w:widowControl w:val="0"/>
              <w:jc w:val="right"/>
              <w:rPr>
                <w:rFonts w:ascii="Arial Narrow" w:hAnsi="Arial Narrow" w:cs="Calibri"/>
                <w:color w:val="000000"/>
                <w:sz w:val="20"/>
                <w:szCs w:val="20"/>
              </w:rPr>
            </w:pPr>
            <w:r w:rsidRPr="009C29FF">
              <w:rPr>
                <w:rFonts w:ascii="Arial Narrow" w:hAnsi="Arial Narrow" w:cs="Calibri"/>
                <w:color w:val="000000"/>
                <w:sz w:val="20"/>
                <w:szCs w:val="20"/>
              </w:rPr>
              <w:t>$</w:t>
            </w:r>
            <w:r w:rsidR="00576021" w:rsidRPr="001758D2">
              <w:rPr>
                <w:rFonts w:ascii="Arial Narrow" w:hAnsi="Arial Narrow" w:cs="Calibri"/>
                <w:color w:val="000000"/>
                <w:sz w:val="20"/>
                <w:szCs w:val="20"/>
                <w:highlight w:val="black"/>
              </w:rPr>
              <w:t>&amp;&amp;&amp;&amp;</w:t>
            </w:r>
            <w:r w:rsidRPr="009C29FF">
              <w:rPr>
                <w:rFonts w:ascii="Arial Narrow" w:hAnsi="Arial Narrow"/>
                <w:sz w:val="20"/>
                <w:szCs w:val="20"/>
                <w:vertAlign w:val="superscript"/>
              </w:rPr>
              <w:t>2</w:t>
            </w:r>
          </w:p>
        </w:tc>
        <w:tc>
          <w:tcPr>
            <w:tcW w:w="1289" w:type="dxa"/>
            <w:tcBorders>
              <w:top w:val="single" w:sz="4" w:space="0" w:color="auto"/>
              <w:left w:val="nil"/>
              <w:bottom w:val="single" w:sz="4" w:space="0" w:color="auto"/>
              <w:right w:val="single" w:sz="4" w:space="0" w:color="auto"/>
            </w:tcBorders>
            <w:noWrap/>
            <w:vAlign w:val="center"/>
          </w:tcPr>
          <w:p w14:paraId="727E84A8" w14:textId="77D01CCD" w:rsidR="005B7305" w:rsidRPr="009C29FF" w:rsidRDefault="005B7305" w:rsidP="005B7305">
            <w:pPr>
              <w:keepNext/>
              <w:keepLines/>
              <w:widowControl w:val="0"/>
              <w:jc w:val="right"/>
              <w:rPr>
                <w:rFonts w:ascii="Arial Narrow" w:hAnsi="Arial Narrow" w:cs="Calibri"/>
                <w:color w:val="000000"/>
                <w:sz w:val="20"/>
                <w:szCs w:val="20"/>
              </w:rPr>
            </w:pPr>
            <w:r w:rsidRPr="009C29FF">
              <w:rPr>
                <w:rFonts w:ascii="Arial Narrow" w:hAnsi="Arial Narrow" w:cs="Calibri"/>
                <w:color w:val="000000"/>
                <w:sz w:val="20"/>
                <w:szCs w:val="20"/>
              </w:rPr>
              <w:t>$</w:t>
            </w:r>
            <w:r w:rsidR="00576021" w:rsidRPr="001758D2">
              <w:rPr>
                <w:rFonts w:ascii="Arial Narrow" w:hAnsi="Arial Narrow" w:cs="Calibri"/>
                <w:color w:val="000000"/>
                <w:sz w:val="20"/>
                <w:szCs w:val="20"/>
                <w:highlight w:val="black"/>
              </w:rPr>
              <w:t>&amp;&amp;&amp;&amp;</w:t>
            </w:r>
            <w:r w:rsidRPr="009C29FF">
              <w:rPr>
                <w:rFonts w:ascii="Arial Narrow" w:hAnsi="Arial Narrow"/>
                <w:sz w:val="20"/>
                <w:szCs w:val="20"/>
                <w:vertAlign w:val="superscript"/>
              </w:rPr>
              <w:t>2</w:t>
            </w:r>
          </w:p>
        </w:tc>
      </w:tr>
      <w:tr w:rsidR="005B7305" w:rsidRPr="00D74203" w14:paraId="547D4A50" w14:textId="77777777" w:rsidTr="00D05462">
        <w:trPr>
          <w:cantSplit/>
        </w:trPr>
        <w:tc>
          <w:tcPr>
            <w:tcW w:w="1288" w:type="dxa"/>
            <w:tcBorders>
              <w:top w:val="single" w:sz="4" w:space="0" w:color="auto"/>
              <w:left w:val="single" w:sz="4" w:space="0" w:color="auto"/>
              <w:bottom w:val="single" w:sz="4" w:space="0" w:color="auto"/>
              <w:right w:val="single" w:sz="4" w:space="0" w:color="auto"/>
            </w:tcBorders>
          </w:tcPr>
          <w:p w14:paraId="6BF8A621" w14:textId="77777777" w:rsidR="005B7305" w:rsidRPr="000D75B6" w:rsidRDefault="005B7305" w:rsidP="005B7305">
            <w:pPr>
              <w:keepNext/>
              <w:keepLines/>
              <w:widowControl w:val="0"/>
              <w:jc w:val="left"/>
              <w:rPr>
                <w:rFonts w:ascii="Arial Narrow" w:hAnsi="Arial Narrow" w:cs="Calibri"/>
                <w:b/>
                <w:bCs/>
                <w:color w:val="000000"/>
                <w:sz w:val="20"/>
                <w:szCs w:val="20"/>
              </w:rPr>
            </w:pPr>
            <w:r w:rsidRPr="000D75B6">
              <w:rPr>
                <w:rFonts w:ascii="Arial Narrow" w:hAnsi="Arial Narrow" w:cs="Calibri"/>
                <w:b/>
                <w:bCs/>
                <w:color w:val="000000"/>
                <w:sz w:val="20"/>
                <w:szCs w:val="20"/>
              </w:rPr>
              <w:t>Net cost to PBS/RPBS/MBS impact</w:t>
            </w:r>
          </w:p>
        </w:tc>
        <w:tc>
          <w:tcPr>
            <w:tcW w:w="1288" w:type="dxa"/>
            <w:tcBorders>
              <w:top w:val="single" w:sz="4" w:space="0" w:color="auto"/>
              <w:left w:val="nil"/>
              <w:bottom w:val="single" w:sz="4" w:space="0" w:color="auto"/>
              <w:right w:val="single" w:sz="4" w:space="0" w:color="auto"/>
            </w:tcBorders>
            <w:noWrap/>
            <w:vAlign w:val="center"/>
          </w:tcPr>
          <w:p w14:paraId="3D0A35B3" w14:textId="11DDB902" w:rsidR="005B7305" w:rsidRPr="009C29FF" w:rsidRDefault="005B7305" w:rsidP="005B7305">
            <w:pPr>
              <w:keepNext/>
              <w:keepLines/>
              <w:widowControl w:val="0"/>
              <w:jc w:val="right"/>
              <w:rPr>
                <w:rFonts w:ascii="Arial Narrow" w:hAnsi="Arial Narrow" w:cs="Calibri"/>
                <w:b/>
                <w:bCs/>
                <w:color w:val="000000"/>
                <w:sz w:val="20"/>
                <w:szCs w:val="20"/>
              </w:rPr>
            </w:pPr>
            <w:r w:rsidRPr="009C29FF">
              <w:rPr>
                <w:rFonts w:ascii="Arial Narrow" w:hAnsi="Arial Narrow" w:cs="Calibri"/>
                <w:b/>
                <w:bCs/>
                <w:color w:val="000000"/>
                <w:sz w:val="20"/>
                <w:szCs w:val="20"/>
              </w:rPr>
              <w:t>$</w:t>
            </w:r>
            <w:r w:rsidR="00576021" w:rsidRPr="001758D2">
              <w:rPr>
                <w:rFonts w:ascii="Arial Narrow" w:hAnsi="Arial Narrow" w:cs="Calibri"/>
                <w:b/>
                <w:bCs/>
                <w:color w:val="000000"/>
                <w:sz w:val="20"/>
                <w:szCs w:val="20"/>
                <w:highlight w:val="black"/>
              </w:rPr>
              <w:t>&amp;&amp;&amp;&amp;</w:t>
            </w:r>
            <w:r w:rsidRPr="009C29FF">
              <w:rPr>
                <w:rFonts w:ascii="Arial Narrow" w:hAnsi="Arial Narrow"/>
                <w:sz w:val="20"/>
                <w:szCs w:val="20"/>
                <w:vertAlign w:val="superscript"/>
              </w:rPr>
              <w:t>3</w:t>
            </w:r>
          </w:p>
        </w:tc>
        <w:tc>
          <w:tcPr>
            <w:tcW w:w="1288" w:type="dxa"/>
            <w:tcBorders>
              <w:top w:val="single" w:sz="4" w:space="0" w:color="auto"/>
              <w:left w:val="nil"/>
              <w:bottom w:val="single" w:sz="4" w:space="0" w:color="auto"/>
              <w:right w:val="single" w:sz="4" w:space="0" w:color="auto"/>
            </w:tcBorders>
            <w:noWrap/>
            <w:vAlign w:val="center"/>
          </w:tcPr>
          <w:p w14:paraId="4BBAFBA7" w14:textId="200254D4" w:rsidR="005B7305" w:rsidRPr="009C29FF" w:rsidRDefault="005B7305" w:rsidP="005B7305">
            <w:pPr>
              <w:keepNext/>
              <w:keepLines/>
              <w:widowControl w:val="0"/>
              <w:jc w:val="right"/>
              <w:rPr>
                <w:rFonts w:ascii="Arial Narrow" w:hAnsi="Arial Narrow" w:cs="Calibri"/>
                <w:b/>
                <w:bCs/>
                <w:color w:val="000000"/>
                <w:sz w:val="20"/>
                <w:szCs w:val="20"/>
              </w:rPr>
            </w:pPr>
            <w:r w:rsidRPr="009C29FF">
              <w:rPr>
                <w:rFonts w:ascii="Arial Narrow" w:hAnsi="Arial Narrow" w:cs="Calibri"/>
                <w:b/>
                <w:bCs/>
                <w:color w:val="000000"/>
                <w:sz w:val="20"/>
                <w:szCs w:val="20"/>
              </w:rPr>
              <w:t>$</w:t>
            </w:r>
            <w:r w:rsidR="00576021" w:rsidRPr="001758D2">
              <w:rPr>
                <w:rFonts w:ascii="Arial Narrow" w:hAnsi="Arial Narrow" w:cs="Calibri"/>
                <w:b/>
                <w:bCs/>
                <w:color w:val="000000"/>
                <w:sz w:val="20"/>
                <w:szCs w:val="20"/>
                <w:highlight w:val="black"/>
              </w:rPr>
              <w:t>&amp;&amp;&amp;&amp;</w:t>
            </w:r>
            <w:r w:rsidRPr="009C29FF">
              <w:rPr>
                <w:rFonts w:ascii="Arial Narrow" w:hAnsi="Arial Narrow"/>
                <w:sz w:val="20"/>
                <w:szCs w:val="20"/>
                <w:vertAlign w:val="superscript"/>
              </w:rPr>
              <w:t>3</w:t>
            </w:r>
          </w:p>
        </w:tc>
        <w:tc>
          <w:tcPr>
            <w:tcW w:w="1288" w:type="dxa"/>
            <w:tcBorders>
              <w:top w:val="single" w:sz="4" w:space="0" w:color="auto"/>
              <w:left w:val="nil"/>
              <w:bottom w:val="single" w:sz="4" w:space="0" w:color="auto"/>
              <w:right w:val="single" w:sz="4" w:space="0" w:color="auto"/>
            </w:tcBorders>
            <w:noWrap/>
            <w:vAlign w:val="center"/>
          </w:tcPr>
          <w:p w14:paraId="5F551786" w14:textId="1ACCAC7E" w:rsidR="005B7305" w:rsidRPr="009C29FF" w:rsidRDefault="005B7305" w:rsidP="005B7305">
            <w:pPr>
              <w:keepNext/>
              <w:keepLines/>
              <w:widowControl w:val="0"/>
              <w:jc w:val="right"/>
              <w:rPr>
                <w:rFonts w:ascii="Arial Narrow" w:hAnsi="Arial Narrow" w:cs="Calibri"/>
                <w:b/>
                <w:bCs/>
                <w:color w:val="000000"/>
                <w:sz w:val="20"/>
                <w:szCs w:val="20"/>
              </w:rPr>
            </w:pPr>
            <w:r w:rsidRPr="009C29FF">
              <w:rPr>
                <w:rFonts w:ascii="Arial Narrow" w:hAnsi="Arial Narrow" w:cs="Calibri"/>
                <w:b/>
                <w:bCs/>
                <w:color w:val="000000"/>
                <w:sz w:val="20"/>
                <w:szCs w:val="20"/>
              </w:rPr>
              <w:t>$</w:t>
            </w:r>
            <w:r w:rsidR="00576021" w:rsidRPr="001758D2">
              <w:rPr>
                <w:rFonts w:ascii="Arial Narrow" w:hAnsi="Arial Narrow" w:cs="Calibri"/>
                <w:b/>
                <w:bCs/>
                <w:color w:val="000000"/>
                <w:sz w:val="20"/>
                <w:szCs w:val="20"/>
                <w:highlight w:val="black"/>
              </w:rPr>
              <w:t>&amp;&amp;&amp;&amp;</w:t>
            </w:r>
            <w:r w:rsidRPr="009C29FF">
              <w:rPr>
                <w:rFonts w:ascii="Arial Narrow" w:hAnsi="Arial Narrow"/>
                <w:sz w:val="20"/>
                <w:szCs w:val="20"/>
                <w:vertAlign w:val="superscript"/>
              </w:rPr>
              <w:t>3</w:t>
            </w:r>
          </w:p>
        </w:tc>
        <w:tc>
          <w:tcPr>
            <w:tcW w:w="1288" w:type="dxa"/>
            <w:tcBorders>
              <w:top w:val="single" w:sz="4" w:space="0" w:color="auto"/>
              <w:left w:val="nil"/>
              <w:bottom w:val="single" w:sz="4" w:space="0" w:color="auto"/>
              <w:right w:val="single" w:sz="4" w:space="0" w:color="auto"/>
            </w:tcBorders>
            <w:noWrap/>
            <w:vAlign w:val="center"/>
          </w:tcPr>
          <w:p w14:paraId="5E74520F" w14:textId="221FB61C" w:rsidR="005B7305" w:rsidRPr="009C29FF" w:rsidRDefault="005B7305" w:rsidP="005B7305">
            <w:pPr>
              <w:keepNext/>
              <w:keepLines/>
              <w:widowControl w:val="0"/>
              <w:jc w:val="right"/>
              <w:rPr>
                <w:rFonts w:ascii="Arial Narrow" w:hAnsi="Arial Narrow" w:cs="Calibri"/>
                <w:b/>
                <w:bCs/>
                <w:color w:val="000000"/>
                <w:sz w:val="20"/>
                <w:szCs w:val="20"/>
              </w:rPr>
            </w:pPr>
            <w:r w:rsidRPr="009C29FF">
              <w:rPr>
                <w:rFonts w:ascii="Arial Narrow" w:hAnsi="Arial Narrow" w:cs="Calibri"/>
                <w:b/>
                <w:bCs/>
                <w:color w:val="000000"/>
                <w:sz w:val="20"/>
                <w:szCs w:val="20"/>
              </w:rPr>
              <w:t>$</w:t>
            </w:r>
            <w:r w:rsidR="00576021" w:rsidRPr="001758D2">
              <w:rPr>
                <w:rFonts w:ascii="Arial Narrow" w:hAnsi="Arial Narrow" w:cs="Calibri"/>
                <w:b/>
                <w:bCs/>
                <w:color w:val="000000"/>
                <w:sz w:val="20"/>
                <w:szCs w:val="20"/>
                <w:highlight w:val="black"/>
              </w:rPr>
              <w:t>&amp;&amp;&amp;&amp;</w:t>
            </w:r>
            <w:r w:rsidRPr="009C29FF">
              <w:rPr>
                <w:rFonts w:ascii="Arial Narrow" w:hAnsi="Arial Narrow"/>
                <w:sz w:val="20"/>
                <w:szCs w:val="20"/>
                <w:vertAlign w:val="superscript"/>
              </w:rPr>
              <w:t>3</w:t>
            </w:r>
          </w:p>
        </w:tc>
        <w:tc>
          <w:tcPr>
            <w:tcW w:w="1288" w:type="dxa"/>
            <w:tcBorders>
              <w:top w:val="single" w:sz="4" w:space="0" w:color="auto"/>
              <w:left w:val="nil"/>
              <w:bottom w:val="single" w:sz="4" w:space="0" w:color="auto"/>
              <w:right w:val="single" w:sz="4" w:space="0" w:color="auto"/>
            </w:tcBorders>
            <w:noWrap/>
            <w:vAlign w:val="center"/>
          </w:tcPr>
          <w:p w14:paraId="2F7CF63F" w14:textId="73C6A3BA" w:rsidR="005B7305" w:rsidRPr="009C29FF" w:rsidRDefault="005B7305" w:rsidP="005B7305">
            <w:pPr>
              <w:keepNext/>
              <w:keepLines/>
              <w:widowControl w:val="0"/>
              <w:jc w:val="right"/>
              <w:rPr>
                <w:rFonts w:ascii="Arial Narrow" w:hAnsi="Arial Narrow" w:cs="Calibri"/>
                <w:b/>
                <w:bCs/>
                <w:color w:val="000000"/>
                <w:sz w:val="20"/>
                <w:szCs w:val="20"/>
              </w:rPr>
            </w:pPr>
            <w:r w:rsidRPr="009C29FF">
              <w:rPr>
                <w:rFonts w:ascii="Arial Narrow" w:hAnsi="Arial Narrow" w:cs="Calibri"/>
                <w:b/>
                <w:bCs/>
                <w:color w:val="000000"/>
                <w:sz w:val="20"/>
                <w:szCs w:val="20"/>
              </w:rPr>
              <w:t>$</w:t>
            </w:r>
            <w:r w:rsidR="00576021" w:rsidRPr="001758D2">
              <w:rPr>
                <w:rFonts w:ascii="Arial Narrow" w:hAnsi="Arial Narrow" w:cs="Calibri"/>
                <w:b/>
                <w:bCs/>
                <w:color w:val="000000"/>
                <w:sz w:val="20"/>
                <w:szCs w:val="20"/>
                <w:highlight w:val="black"/>
              </w:rPr>
              <w:t>&amp;&amp;&amp;&amp;</w:t>
            </w:r>
            <w:r w:rsidRPr="009C29FF">
              <w:rPr>
                <w:rFonts w:ascii="Arial Narrow" w:hAnsi="Arial Narrow"/>
                <w:sz w:val="20"/>
                <w:szCs w:val="20"/>
                <w:vertAlign w:val="superscript"/>
              </w:rPr>
              <w:t>3</w:t>
            </w:r>
          </w:p>
        </w:tc>
        <w:tc>
          <w:tcPr>
            <w:tcW w:w="1289" w:type="dxa"/>
            <w:tcBorders>
              <w:top w:val="single" w:sz="4" w:space="0" w:color="auto"/>
              <w:left w:val="nil"/>
              <w:bottom w:val="single" w:sz="4" w:space="0" w:color="auto"/>
              <w:right w:val="single" w:sz="4" w:space="0" w:color="auto"/>
            </w:tcBorders>
            <w:noWrap/>
            <w:vAlign w:val="center"/>
          </w:tcPr>
          <w:p w14:paraId="67FF9ED5" w14:textId="34B53851" w:rsidR="005B7305" w:rsidRPr="009C29FF" w:rsidRDefault="005B7305" w:rsidP="005B7305">
            <w:pPr>
              <w:keepNext/>
              <w:keepLines/>
              <w:widowControl w:val="0"/>
              <w:jc w:val="right"/>
              <w:rPr>
                <w:rFonts w:ascii="Arial Narrow" w:hAnsi="Arial Narrow" w:cs="Calibri"/>
                <w:b/>
                <w:bCs/>
                <w:color w:val="000000"/>
                <w:sz w:val="20"/>
                <w:szCs w:val="20"/>
              </w:rPr>
            </w:pPr>
            <w:r w:rsidRPr="009C29FF">
              <w:rPr>
                <w:rFonts w:ascii="Arial Narrow" w:hAnsi="Arial Narrow" w:cs="Calibri"/>
                <w:b/>
                <w:bCs/>
                <w:color w:val="000000"/>
                <w:sz w:val="20"/>
                <w:szCs w:val="20"/>
              </w:rPr>
              <w:t>$</w:t>
            </w:r>
            <w:r w:rsidR="00576021" w:rsidRPr="001758D2">
              <w:rPr>
                <w:rFonts w:ascii="Arial Narrow" w:hAnsi="Arial Narrow" w:cs="Calibri"/>
                <w:b/>
                <w:bCs/>
                <w:color w:val="000000"/>
                <w:sz w:val="20"/>
                <w:szCs w:val="20"/>
                <w:highlight w:val="black"/>
              </w:rPr>
              <w:t>&amp;&amp;&amp;&amp;</w:t>
            </w:r>
            <w:r w:rsidRPr="009C29FF">
              <w:rPr>
                <w:rFonts w:ascii="Arial Narrow" w:hAnsi="Arial Narrow"/>
                <w:sz w:val="20"/>
                <w:szCs w:val="20"/>
                <w:vertAlign w:val="superscript"/>
              </w:rPr>
              <w:t>3</w:t>
            </w:r>
          </w:p>
        </w:tc>
      </w:tr>
    </w:tbl>
    <w:p w14:paraId="6598BF58" w14:textId="77777777" w:rsidR="005B7305" w:rsidRPr="0091177B" w:rsidRDefault="005B7305" w:rsidP="005B7305">
      <w:pPr>
        <w:pStyle w:val="TableFigureFooter"/>
        <w:keepNext/>
        <w:widowControl w:val="0"/>
        <w:contextualSpacing w:val="0"/>
        <w:rPr>
          <w:i w:val="0"/>
          <w:iCs w:val="0"/>
        </w:rPr>
      </w:pPr>
      <w:r w:rsidRPr="0091177B">
        <w:rPr>
          <w:i w:val="0"/>
          <w:iCs w:val="0"/>
        </w:rPr>
        <w:t xml:space="preserve">Source: The financial estimates from the submission: 3a. Scripts - proposed, 3b. Impact - proposed (pub), 3c. Impact - proposed (eff), 4b. Impact - affected (pub), 4c. Impact - affected (eff), 5. Impact - net, 7. Net changes – MBS; The financial estimates provided with pre-PBAC Response: Attachment 8 UCM - MSD Pre-PBAC (Update including cost offsets).xlsx. </w:t>
      </w:r>
    </w:p>
    <w:p w14:paraId="2FF17C78" w14:textId="77777777" w:rsidR="005B7305" w:rsidRPr="0091177B" w:rsidRDefault="005B7305" w:rsidP="005B7305">
      <w:pPr>
        <w:pStyle w:val="TableFigureFooter"/>
        <w:keepNext/>
        <w:widowControl w:val="0"/>
        <w:contextualSpacing w:val="0"/>
        <w:rPr>
          <w:i w:val="0"/>
          <w:iCs w:val="0"/>
        </w:rPr>
      </w:pPr>
      <w:r w:rsidRPr="0091177B">
        <w:rPr>
          <w:i w:val="0"/>
          <w:iCs w:val="0"/>
        </w:rPr>
        <w:t>MBS = Medicare benefits schedule; PBS = Pharmaceutical Benefits Scheme; RPBS = Repatriation Pharmaceutical Benefits Scheme</w:t>
      </w:r>
    </w:p>
    <w:p w14:paraId="5E40D7D7" w14:textId="77777777" w:rsidR="005B7305" w:rsidRPr="0091177B" w:rsidRDefault="005B7305" w:rsidP="005B7305">
      <w:pPr>
        <w:pStyle w:val="TableFigureFooter"/>
        <w:keepNext/>
        <w:widowControl w:val="0"/>
        <w:contextualSpacing w:val="0"/>
        <w:rPr>
          <w:i w:val="0"/>
          <w:iCs w:val="0"/>
        </w:rPr>
      </w:pPr>
      <w:proofErr w:type="spellStart"/>
      <w:r w:rsidRPr="0091177B">
        <w:rPr>
          <w:i w:val="0"/>
          <w:iCs w:val="0"/>
          <w:vertAlign w:val="superscript"/>
        </w:rPr>
        <w:t>a</w:t>
      </w:r>
      <w:proofErr w:type="spellEnd"/>
      <w:r w:rsidRPr="0091177B">
        <w:rPr>
          <w:i w:val="0"/>
          <w:iCs w:val="0"/>
          <w:vertAlign w:val="superscript"/>
        </w:rPr>
        <w:t xml:space="preserve"> </w:t>
      </w:r>
      <w:r w:rsidRPr="0091177B">
        <w:rPr>
          <w:i w:val="0"/>
          <w:iCs w:val="0"/>
        </w:rPr>
        <w:t xml:space="preserve"> It was noted by the Secretariat that the duration for cisplatin, carboplatin and 5-fluorouracil (5-FU) had been double counted.</w:t>
      </w:r>
    </w:p>
    <w:p w14:paraId="78A5418C" w14:textId="77777777" w:rsidR="005B7305" w:rsidRPr="00C91164" w:rsidRDefault="005B7305" w:rsidP="005B7305">
      <w:pPr>
        <w:pStyle w:val="TableFigureFooter"/>
        <w:keepNext/>
        <w:widowControl w:val="0"/>
        <w:contextualSpacing w:val="0"/>
      </w:pPr>
      <w:r w:rsidRPr="00C91164">
        <w:t>The redacted values correspond to the following ranges:</w:t>
      </w:r>
    </w:p>
    <w:p w14:paraId="76D08E05" w14:textId="77777777" w:rsidR="005B7305" w:rsidRPr="00C91164" w:rsidRDefault="005B7305" w:rsidP="005B7305">
      <w:pPr>
        <w:pStyle w:val="TableFigureFooter"/>
        <w:keepNext/>
        <w:widowControl w:val="0"/>
        <w:contextualSpacing w:val="0"/>
      </w:pPr>
      <w:r w:rsidRPr="00C91164">
        <w:rPr>
          <w:vertAlign w:val="superscript"/>
        </w:rPr>
        <w:t>1</w:t>
      </w:r>
      <w:r w:rsidRPr="00C91164">
        <w:t xml:space="preserve"> $20 million to &lt; $30 million</w:t>
      </w:r>
    </w:p>
    <w:p w14:paraId="39E540E4" w14:textId="77777777" w:rsidR="005B7305" w:rsidRPr="00C91164" w:rsidRDefault="005B7305" w:rsidP="005B7305">
      <w:pPr>
        <w:pStyle w:val="TableFigureFooter"/>
        <w:keepNext/>
        <w:widowControl w:val="0"/>
        <w:contextualSpacing w:val="0"/>
      </w:pPr>
      <w:r w:rsidRPr="00C91164">
        <w:rPr>
          <w:vertAlign w:val="superscript"/>
        </w:rPr>
        <w:t>2</w:t>
      </w:r>
      <w:r w:rsidRPr="00C91164">
        <w:t xml:space="preserve"> $0 to &lt; $10 million</w:t>
      </w:r>
    </w:p>
    <w:p w14:paraId="2AF73409" w14:textId="77777777" w:rsidR="005B7305" w:rsidRPr="00F02B77" w:rsidRDefault="005B7305" w:rsidP="005B7305">
      <w:pPr>
        <w:pStyle w:val="TableFigureFooter"/>
        <w:keepNext/>
        <w:widowControl w:val="0"/>
        <w:contextualSpacing w:val="0"/>
      </w:pPr>
      <w:r w:rsidRPr="00C91164">
        <w:rPr>
          <w:vertAlign w:val="superscript"/>
        </w:rPr>
        <w:t>3</w:t>
      </w:r>
      <w:r w:rsidRPr="00C91164">
        <w:t xml:space="preserve"> $10 million to &lt; $20 million</w:t>
      </w:r>
    </w:p>
    <w:p w14:paraId="27A53CD4" w14:textId="77777777" w:rsidR="005B7305" w:rsidRPr="005B7305" w:rsidRDefault="005B7305" w:rsidP="005B7305">
      <w:pPr>
        <w:pStyle w:val="3-BodyText"/>
        <w:numPr>
          <w:ilvl w:val="0"/>
          <w:numId w:val="0"/>
        </w:numPr>
        <w:ind w:left="720" w:hanging="720"/>
      </w:pPr>
    </w:p>
    <w:p w14:paraId="5873C0D0" w14:textId="0BAA1170" w:rsidR="00164BC3" w:rsidRPr="00D74203" w:rsidRDefault="00291408" w:rsidP="00164BC3">
      <w:pPr>
        <w:pStyle w:val="3-BodyText"/>
      </w:pPr>
      <w:r>
        <w:t>Based on the submission,</w:t>
      </w:r>
      <w:r w:rsidR="00164BC3" w:rsidRPr="00D74203">
        <w:t xml:space="preserve"> </w:t>
      </w:r>
      <w:r w:rsidR="00DD0BE3">
        <w:t xml:space="preserve">the </w:t>
      </w:r>
      <w:r w:rsidR="00164BC3" w:rsidRPr="00D74203">
        <w:t>total PBS/RPBS impact of listing pembrolizumab was estimated to be $</w:t>
      </w:r>
      <w:r w:rsidR="0056358C" w:rsidRPr="0056358C">
        <w:t xml:space="preserve">20 million to &lt; $30 </w:t>
      </w:r>
      <w:r w:rsidR="00164BC3" w:rsidRPr="00D74203">
        <w:t xml:space="preserve">million in Year 6, and a total of </w:t>
      </w:r>
      <w:r w:rsidR="0086617A" w:rsidRPr="0086617A">
        <w:t>$100 million to &lt; $200 million</w:t>
      </w:r>
      <w:r w:rsidR="00057B49">
        <w:t xml:space="preserve"> </w:t>
      </w:r>
      <w:r w:rsidR="00164BC3" w:rsidRPr="00D74203">
        <w:t>in the first 6 years of listin</w:t>
      </w:r>
      <w:r w:rsidR="00164BC3" w:rsidRPr="00681AC9">
        <w:t>g.</w:t>
      </w:r>
      <w:r w:rsidR="00DD0BE3">
        <w:t xml:space="preserve"> </w:t>
      </w:r>
      <w:r w:rsidR="00B36798">
        <w:t>Based on the</w:t>
      </w:r>
      <w:r w:rsidR="004268D2">
        <w:t xml:space="preserve"> revised financial estimates provided in the</w:t>
      </w:r>
      <w:r w:rsidR="00B36798">
        <w:t xml:space="preserve"> pre-PBAC Response, the </w:t>
      </w:r>
      <w:r w:rsidR="00B36798" w:rsidRPr="00D74203">
        <w:t>total PBS/RPBS impact of listing pembrolizumab was estimated to be $</w:t>
      </w:r>
      <w:r w:rsidR="001D2B24" w:rsidRPr="001D2B24">
        <w:t>10 million to &lt; $20 million</w:t>
      </w:r>
      <w:r w:rsidR="006A0A60">
        <w:t xml:space="preserve"> </w:t>
      </w:r>
      <w:r w:rsidR="00B36798" w:rsidRPr="00D74203">
        <w:t xml:space="preserve">in Year 6, and a total of </w:t>
      </w:r>
      <w:r w:rsidR="0041169D" w:rsidRPr="0041169D">
        <w:t>$100 million to &lt; $200 million</w:t>
      </w:r>
      <w:r w:rsidR="006A0A60">
        <w:t xml:space="preserve"> </w:t>
      </w:r>
      <w:r w:rsidR="00B36798" w:rsidRPr="00D74203">
        <w:t>in the first 6 years of listin</w:t>
      </w:r>
      <w:r w:rsidR="00B36798" w:rsidRPr="00681AC9">
        <w:t>g.</w:t>
      </w:r>
    </w:p>
    <w:p w14:paraId="24D6FA87" w14:textId="2BE64534" w:rsidR="00C21E2B" w:rsidRPr="00D8361B" w:rsidRDefault="006424D2" w:rsidP="00D8361B">
      <w:pPr>
        <w:pStyle w:val="3-BodyText"/>
      </w:pPr>
      <w:bookmarkStart w:id="124" w:name="_Ref214524230"/>
      <w:r w:rsidRPr="00DE49A7">
        <w:t xml:space="preserve">The </w:t>
      </w:r>
      <w:r w:rsidR="00C9584B">
        <w:t xml:space="preserve">ESC noted that the </w:t>
      </w:r>
      <w:r w:rsidRPr="00DE49A7">
        <w:t xml:space="preserve">submission asserted that reduction in later line treatment will occur beyond the time horizon of the financial estimates. </w:t>
      </w:r>
      <w:r w:rsidR="00164BC3" w:rsidRPr="00DE49A7">
        <w:t xml:space="preserve">The submission therefore </w:t>
      </w:r>
      <w:r w:rsidR="00681AC9">
        <w:t>did</w:t>
      </w:r>
      <w:r w:rsidR="00681AC9" w:rsidRPr="00DE49A7">
        <w:t xml:space="preserve"> </w:t>
      </w:r>
      <w:r w:rsidR="00164BC3" w:rsidRPr="00DE49A7">
        <w:t xml:space="preserve">not apply any offset medicines to the financial estimates. However, </w:t>
      </w:r>
      <w:r w:rsidR="0031478B" w:rsidRPr="00DE49A7">
        <w:t>based on the data reported for the pivotal trial,</w:t>
      </w:r>
      <w:r w:rsidR="00164BC3" w:rsidRPr="00DE49A7">
        <w:t xml:space="preserve"> the median EFS is less than the 6 years </w:t>
      </w:r>
      <w:r w:rsidR="00F44950" w:rsidRPr="00DE49A7">
        <w:t xml:space="preserve">used in </w:t>
      </w:r>
      <w:r w:rsidR="00164BC3" w:rsidRPr="00DE49A7">
        <w:t>the financial estimates.</w:t>
      </w:r>
      <w:r w:rsidR="00605B29">
        <w:t xml:space="preserve"> In the </w:t>
      </w:r>
      <w:r w:rsidR="00D0223A">
        <w:t>submission</w:t>
      </w:r>
      <w:r w:rsidR="00A013C6">
        <w:t xml:space="preserve">’s </w:t>
      </w:r>
      <w:r w:rsidR="00605B29">
        <w:t>economic model</w:t>
      </w:r>
      <w:r w:rsidR="00A013C6">
        <w:t xml:space="preserve"> (base case)</w:t>
      </w:r>
      <w:r w:rsidR="00605B29">
        <w:t xml:space="preserve">, the majority of transitions to the IRP health state occurred </w:t>
      </w:r>
      <w:r w:rsidR="00FF7E1F">
        <w:t>during</w:t>
      </w:r>
      <w:r w:rsidR="00605B29">
        <w:t xml:space="preserve"> the</w:t>
      </w:r>
      <w:r w:rsidR="00FF7E1F">
        <w:t xml:space="preserve"> first 5 years (</w:t>
      </w:r>
      <w:r w:rsidR="00324F17">
        <w:t xml:space="preserve">percentage of SoC cohort, Y1: </w:t>
      </w:r>
      <w:r w:rsidR="00FF7E1F">
        <w:t xml:space="preserve">15.6%, </w:t>
      </w:r>
      <w:r w:rsidR="00324F17">
        <w:t xml:space="preserve">Y2: </w:t>
      </w:r>
      <w:r w:rsidR="00FF7E1F">
        <w:t xml:space="preserve">4.99%, </w:t>
      </w:r>
      <w:r w:rsidR="00324F17">
        <w:t xml:space="preserve">Y3: </w:t>
      </w:r>
      <w:r w:rsidR="00FF7E1F">
        <w:t xml:space="preserve">1.94%, </w:t>
      </w:r>
      <w:r w:rsidR="00324F17">
        <w:t xml:space="preserve">Y4: </w:t>
      </w:r>
      <w:r w:rsidR="00FF7E1F">
        <w:t xml:space="preserve">0.86%, </w:t>
      </w:r>
      <w:r w:rsidR="00324F17">
        <w:t xml:space="preserve">Y5: </w:t>
      </w:r>
      <w:r w:rsidR="00FF7E1F">
        <w:t>0.44%</w:t>
      </w:r>
      <w:r w:rsidR="00324F17">
        <w:t>)</w:t>
      </w:r>
      <w:r w:rsidR="00FC2821">
        <w:t>. Not accounting for these patients</w:t>
      </w:r>
      <w:r w:rsidR="00324F17">
        <w:t xml:space="preserve"> is</w:t>
      </w:r>
      <w:r w:rsidR="00FC2821">
        <w:t xml:space="preserve"> also</w:t>
      </w:r>
      <w:r w:rsidR="00324F17">
        <w:t xml:space="preserve"> inconsistent with the </w:t>
      </w:r>
      <w:r w:rsidR="00945FE0">
        <w:t>argument</w:t>
      </w:r>
      <w:r w:rsidR="00324F17">
        <w:t xml:space="preserve"> made </w:t>
      </w:r>
      <w:r w:rsidR="00945FE0">
        <w:t>to support</w:t>
      </w:r>
      <w:r w:rsidR="00324F17">
        <w:t xml:space="preserve"> </w:t>
      </w:r>
      <w:r w:rsidR="004D5926">
        <w:t xml:space="preserve">the </w:t>
      </w:r>
      <w:r w:rsidR="004A51A0">
        <w:t xml:space="preserve">use </w:t>
      </w:r>
      <w:r w:rsidR="004A51A0" w:rsidRPr="00DE49A7">
        <w:t>observed data from the KN689 trial</w:t>
      </w:r>
      <w:r w:rsidR="003F123B" w:rsidRPr="003F123B">
        <w:t xml:space="preserve"> </w:t>
      </w:r>
      <w:r w:rsidR="003F123B">
        <w:t>f</w:t>
      </w:r>
      <w:r w:rsidR="003F123B" w:rsidRPr="00DE49A7">
        <w:t>or transitions from the LR and IRP health states</w:t>
      </w:r>
      <w:r w:rsidR="004A51A0">
        <w:t xml:space="preserve"> (paragraph </w:t>
      </w:r>
      <w:r w:rsidR="004A51A0">
        <w:fldChar w:fldCharType="begin"/>
      </w:r>
      <w:r w:rsidR="004A51A0">
        <w:instrText xml:space="preserve"> REF _Ref214092015 \r \h </w:instrText>
      </w:r>
      <w:r w:rsidR="004A51A0">
        <w:fldChar w:fldCharType="separate"/>
      </w:r>
      <w:r w:rsidR="0084087D">
        <w:t>6.49</w:t>
      </w:r>
      <w:r w:rsidR="004A51A0">
        <w:fldChar w:fldCharType="end"/>
      </w:r>
      <w:r w:rsidR="004A51A0">
        <w:t>).</w:t>
      </w:r>
      <w:r w:rsidR="00605B29">
        <w:t xml:space="preserve"> </w:t>
      </w:r>
      <w:r w:rsidR="00164BC3" w:rsidRPr="00DE49A7">
        <w:t xml:space="preserve"> This </w:t>
      </w:r>
      <w:r w:rsidR="00E20B56">
        <w:t>indicates</w:t>
      </w:r>
      <w:r w:rsidR="00E20B56" w:rsidRPr="00DE49A7">
        <w:t xml:space="preserve"> </w:t>
      </w:r>
      <w:r w:rsidR="00164BC3" w:rsidRPr="00DE49A7">
        <w:t>that</w:t>
      </w:r>
      <w:r w:rsidR="004E1A1F">
        <w:t xml:space="preserve"> it is more likely that</w:t>
      </w:r>
      <w:r w:rsidR="00164BC3" w:rsidRPr="00DE49A7">
        <w:t xml:space="preserve"> there will be patients who progress to recurrent/metastatic disease during the modelled period. These patients </w:t>
      </w:r>
      <w:r w:rsidR="00164BC3" w:rsidRPr="00DE49A7">
        <w:lastRenderedPageBreak/>
        <w:t>would not be eligible for pembrolizumab tre</w:t>
      </w:r>
      <w:r w:rsidR="00D8361B">
        <w:t>a</w:t>
      </w:r>
      <w:r w:rsidR="00164BC3" w:rsidRPr="00DE49A7">
        <w:t>tment in th</w:t>
      </w:r>
      <w:r w:rsidR="00B538FB" w:rsidRPr="00DE49A7">
        <w:t>e metastatic</w:t>
      </w:r>
      <w:r w:rsidR="00164BC3" w:rsidRPr="00DE49A7">
        <w:t xml:space="preserve"> setting and this offset should be captured in the financial estimates.</w:t>
      </w:r>
      <w:r w:rsidR="0008181A" w:rsidRPr="00477630">
        <w:rPr>
          <w:iCs/>
        </w:rPr>
        <w:t xml:space="preserve"> </w:t>
      </w:r>
      <w:r w:rsidR="002C5082">
        <w:t xml:space="preserve"> </w:t>
      </w:r>
      <w:r w:rsidR="005F2D8A">
        <w:t xml:space="preserve">The pre-PBAC Response </w:t>
      </w:r>
      <w:r w:rsidR="006D0629">
        <w:t xml:space="preserve"> provided revised financial estimates</w:t>
      </w:r>
      <w:r w:rsidR="001F51C7">
        <w:t xml:space="preserve"> which included </w:t>
      </w:r>
      <w:r w:rsidR="00851149">
        <w:t xml:space="preserve">cost-offsets </w:t>
      </w:r>
      <w:r w:rsidR="00943136">
        <w:t>for the</w:t>
      </w:r>
      <w:r w:rsidR="001A1722">
        <w:t xml:space="preserve"> reduced use of immunotherapy in the recurrent/metastatic setting</w:t>
      </w:r>
      <w:r w:rsidR="00B457DE">
        <w:t xml:space="preserve"> and </w:t>
      </w:r>
      <w:r w:rsidR="00681824">
        <w:t xml:space="preserve">a </w:t>
      </w:r>
      <w:r w:rsidR="00697E1A">
        <w:t xml:space="preserve">reduced </w:t>
      </w:r>
      <w:r w:rsidR="00681824">
        <w:t xml:space="preserve">price </w:t>
      </w:r>
      <w:r w:rsidR="00733217">
        <w:t>for the proposed listing of</w:t>
      </w:r>
      <w:r w:rsidR="00697E1A">
        <w:t xml:space="preserve"> </w:t>
      </w:r>
      <w:r w:rsidR="00681824">
        <w:t>pembrolizumab</w:t>
      </w:r>
      <w:r w:rsidR="00733217">
        <w:t xml:space="preserve"> </w:t>
      </w:r>
      <w:r w:rsidR="00681824">
        <w:t xml:space="preserve">(ex-manufacturer price = </w:t>
      </w:r>
      <w:r w:rsidR="00681824" w:rsidRPr="003A5848">
        <w:t>$</w:t>
      </w:r>
      <w:r w:rsidR="00576021" w:rsidRPr="001758D2">
        <w:rPr>
          <w:highlight w:val="black"/>
        </w:rPr>
        <w:t>&amp;&amp;&amp;&amp;</w:t>
      </w:r>
      <w:r w:rsidR="00681824">
        <w:t xml:space="preserve"> per 100 mg vial) </w:t>
      </w:r>
      <w:r w:rsidR="00C81669">
        <w:t>(</w:t>
      </w:r>
      <w:r w:rsidR="008566C6">
        <w:fldChar w:fldCharType="begin"/>
      </w:r>
      <w:r w:rsidR="008566C6">
        <w:instrText xml:space="preserve"> REF _Ref223516211 \h </w:instrText>
      </w:r>
      <w:r w:rsidR="008566C6">
        <w:fldChar w:fldCharType="separate"/>
      </w:r>
      <w:r w:rsidR="002850BA" w:rsidRPr="00D74203">
        <w:t xml:space="preserve">Table </w:t>
      </w:r>
      <w:r w:rsidR="002850BA">
        <w:rPr>
          <w:noProof/>
        </w:rPr>
        <w:t>18</w:t>
      </w:r>
      <w:r w:rsidR="008566C6">
        <w:fldChar w:fldCharType="end"/>
      </w:r>
      <w:r w:rsidR="00A37444">
        <w:t xml:space="preserve">, </w:t>
      </w:r>
      <w:r w:rsidR="00A37444">
        <w:fldChar w:fldCharType="begin"/>
      </w:r>
      <w:r w:rsidR="00A37444">
        <w:instrText xml:space="preserve"> REF _Ref214512121 \h </w:instrText>
      </w:r>
      <w:r w:rsidR="00A37444">
        <w:fldChar w:fldCharType="separate"/>
      </w:r>
      <w:r w:rsidR="002850BA" w:rsidRPr="00D74203">
        <w:t xml:space="preserve">Table </w:t>
      </w:r>
      <w:r w:rsidR="002850BA">
        <w:rPr>
          <w:noProof/>
        </w:rPr>
        <w:t>19</w:t>
      </w:r>
      <w:r w:rsidR="00A37444">
        <w:fldChar w:fldCharType="end"/>
      </w:r>
      <w:r w:rsidR="00C81669">
        <w:t>)</w:t>
      </w:r>
      <w:r w:rsidR="00B457DE">
        <w:t>.</w:t>
      </w:r>
      <w:r w:rsidR="00ED6C30">
        <w:t xml:space="preserve"> </w:t>
      </w:r>
      <w:bookmarkEnd w:id="124"/>
    </w:p>
    <w:p w14:paraId="78FE306C" w14:textId="4B263DE0" w:rsidR="00DE00B5" w:rsidRPr="00D74203" w:rsidRDefault="00DE00B5" w:rsidP="00DE00B5">
      <w:pPr>
        <w:pStyle w:val="Caption"/>
        <w:spacing w:before="120"/>
        <w:rPr>
          <w:rStyle w:val="CommentReference"/>
          <w:b/>
          <w:szCs w:val="24"/>
        </w:rPr>
      </w:pPr>
      <w:bookmarkStart w:id="125" w:name="_Ref214512121"/>
      <w:r w:rsidRPr="00D74203">
        <w:t xml:space="preserve">Table </w:t>
      </w:r>
      <w:r w:rsidR="00972E86">
        <w:fldChar w:fldCharType="begin"/>
      </w:r>
      <w:r w:rsidR="00972E86">
        <w:instrText xml:space="preserve"> SEQ Table \* ARABIC </w:instrText>
      </w:r>
      <w:r w:rsidR="00972E86">
        <w:fldChar w:fldCharType="separate"/>
      </w:r>
      <w:r w:rsidR="0084087D">
        <w:rPr>
          <w:noProof/>
        </w:rPr>
        <w:t>19</w:t>
      </w:r>
      <w:r w:rsidR="00972E86">
        <w:rPr>
          <w:noProof/>
        </w:rPr>
        <w:fldChar w:fldCharType="end"/>
      </w:r>
      <w:bookmarkEnd w:id="125"/>
      <w:r w:rsidRPr="00D74203">
        <w:t>:</w:t>
      </w:r>
      <w:r w:rsidRPr="00D74203">
        <w:rPr>
          <w:rStyle w:val="CommentReference"/>
          <w:b/>
          <w:szCs w:val="24"/>
        </w:rPr>
        <w:t xml:space="preserve"> </w:t>
      </w:r>
      <w:r w:rsidR="005852C9">
        <w:rPr>
          <w:rStyle w:val="CommentReference"/>
          <w:b/>
          <w:szCs w:val="24"/>
        </w:rPr>
        <w:t>Number of patients ineligible for nivolumab and pembrolizumab in the metastatic setting</w:t>
      </w:r>
      <w:r w:rsidR="00944651" w:rsidRPr="00944651">
        <w:rPr>
          <w:rFonts w:cs="Calibri"/>
          <w:b w:val="0"/>
          <w:bCs w:val="0"/>
          <w:color w:val="000000"/>
          <w:szCs w:val="20"/>
          <w:vertAlign w:val="superscript"/>
        </w:rPr>
        <w:t xml:space="preserve"> </w:t>
      </w:r>
      <w:r w:rsidR="00944651">
        <w:rPr>
          <w:rFonts w:cs="Calibri"/>
          <w:b w:val="0"/>
          <w:bCs w:val="0"/>
          <w:color w:val="000000"/>
          <w:szCs w:val="20"/>
          <w:vertAlign w:val="superscript"/>
        </w:rPr>
        <w:t>a</w:t>
      </w:r>
    </w:p>
    <w:tbl>
      <w:tblPr>
        <w:tblStyle w:val="TableGrid"/>
        <w:tblW w:w="5000" w:type="pct"/>
        <w:tblLook w:val="04A0" w:firstRow="1" w:lastRow="0" w:firstColumn="1" w:lastColumn="0" w:noHBand="0" w:noVBand="1"/>
        <w:tblCaption w:val="Table 19: Number of patients ineligible for nivolumab and pembrolizumab in the metastatic setting "/>
      </w:tblPr>
      <w:tblGrid>
        <w:gridCol w:w="1981"/>
        <w:gridCol w:w="1173"/>
        <w:gridCol w:w="1173"/>
        <w:gridCol w:w="1173"/>
        <w:gridCol w:w="1173"/>
        <w:gridCol w:w="1172"/>
        <w:gridCol w:w="1172"/>
      </w:tblGrid>
      <w:tr w:rsidR="00C21E2B" w:rsidRPr="00C21E2B" w14:paraId="53E5EF58" w14:textId="77777777" w:rsidTr="00D8361B">
        <w:tc>
          <w:tcPr>
            <w:tcW w:w="1098" w:type="pct"/>
          </w:tcPr>
          <w:p w14:paraId="076912BD" w14:textId="77777777" w:rsidR="00C21E2B" w:rsidRPr="00D8361B" w:rsidRDefault="00C21E2B" w:rsidP="00D8361B">
            <w:pPr>
              <w:keepNext/>
              <w:jc w:val="right"/>
              <w:rPr>
                <w:rFonts w:ascii="Arial Narrow" w:hAnsi="Arial Narrow" w:cs="Calibri"/>
                <w:color w:val="000000"/>
                <w:sz w:val="20"/>
                <w:szCs w:val="20"/>
              </w:rPr>
            </w:pPr>
          </w:p>
        </w:tc>
        <w:tc>
          <w:tcPr>
            <w:tcW w:w="650" w:type="pct"/>
            <w:tcBorders>
              <w:bottom w:val="single" w:sz="4" w:space="0" w:color="auto"/>
            </w:tcBorders>
          </w:tcPr>
          <w:p w14:paraId="6500A171" w14:textId="3BCEB69C" w:rsidR="00C21E2B" w:rsidRPr="005D3484" w:rsidRDefault="00BB2A4D" w:rsidP="00D8361B">
            <w:pPr>
              <w:keepNext/>
              <w:jc w:val="center"/>
              <w:rPr>
                <w:rFonts w:ascii="Arial Narrow" w:hAnsi="Arial Narrow" w:cs="Calibri"/>
                <w:b/>
                <w:bCs/>
                <w:color w:val="000000"/>
                <w:sz w:val="20"/>
                <w:szCs w:val="20"/>
                <w:vertAlign w:val="superscript"/>
              </w:rPr>
            </w:pPr>
            <w:r w:rsidRPr="00D8361B">
              <w:rPr>
                <w:rFonts w:ascii="Arial Narrow" w:hAnsi="Arial Narrow" w:cs="Calibri"/>
                <w:b/>
                <w:bCs/>
                <w:color w:val="000000"/>
                <w:sz w:val="20"/>
                <w:szCs w:val="20"/>
              </w:rPr>
              <w:t>Year 1</w:t>
            </w:r>
          </w:p>
        </w:tc>
        <w:tc>
          <w:tcPr>
            <w:tcW w:w="650" w:type="pct"/>
            <w:tcBorders>
              <w:bottom w:val="single" w:sz="4" w:space="0" w:color="auto"/>
            </w:tcBorders>
          </w:tcPr>
          <w:p w14:paraId="643E6283" w14:textId="7D45BAE5" w:rsidR="00C21E2B" w:rsidRPr="00D8361B" w:rsidRDefault="00BB2A4D" w:rsidP="00D8361B">
            <w:pPr>
              <w:keepNext/>
              <w:jc w:val="center"/>
              <w:rPr>
                <w:rFonts w:ascii="Arial Narrow" w:hAnsi="Arial Narrow" w:cs="Calibri"/>
                <w:b/>
                <w:bCs/>
                <w:color w:val="000000"/>
                <w:sz w:val="20"/>
                <w:szCs w:val="20"/>
              </w:rPr>
            </w:pPr>
            <w:r w:rsidRPr="00D8361B">
              <w:rPr>
                <w:rFonts w:ascii="Arial Narrow" w:hAnsi="Arial Narrow" w:cs="Calibri"/>
                <w:b/>
                <w:bCs/>
                <w:color w:val="000000"/>
                <w:sz w:val="20"/>
                <w:szCs w:val="20"/>
              </w:rPr>
              <w:t>Year 2</w:t>
            </w:r>
          </w:p>
        </w:tc>
        <w:tc>
          <w:tcPr>
            <w:tcW w:w="650" w:type="pct"/>
            <w:tcBorders>
              <w:bottom w:val="single" w:sz="4" w:space="0" w:color="auto"/>
            </w:tcBorders>
          </w:tcPr>
          <w:p w14:paraId="48561C19" w14:textId="30293989" w:rsidR="00C21E2B" w:rsidRPr="00D8361B" w:rsidRDefault="00BB2A4D" w:rsidP="00D8361B">
            <w:pPr>
              <w:keepNext/>
              <w:jc w:val="center"/>
              <w:rPr>
                <w:rFonts w:ascii="Arial Narrow" w:hAnsi="Arial Narrow" w:cs="Calibri"/>
                <w:b/>
                <w:bCs/>
                <w:color w:val="000000"/>
                <w:sz w:val="20"/>
                <w:szCs w:val="20"/>
              </w:rPr>
            </w:pPr>
            <w:r w:rsidRPr="00D8361B">
              <w:rPr>
                <w:rFonts w:ascii="Arial Narrow" w:hAnsi="Arial Narrow" w:cs="Calibri"/>
                <w:b/>
                <w:bCs/>
                <w:color w:val="000000"/>
                <w:sz w:val="20"/>
                <w:szCs w:val="20"/>
              </w:rPr>
              <w:t>Year 3</w:t>
            </w:r>
          </w:p>
        </w:tc>
        <w:tc>
          <w:tcPr>
            <w:tcW w:w="650" w:type="pct"/>
            <w:tcBorders>
              <w:bottom w:val="single" w:sz="4" w:space="0" w:color="auto"/>
            </w:tcBorders>
          </w:tcPr>
          <w:p w14:paraId="2A80C320" w14:textId="1A7397A2" w:rsidR="00C21E2B" w:rsidRPr="00D8361B" w:rsidRDefault="00BB2A4D" w:rsidP="00D8361B">
            <w:pPr>
              <w:keepNext/>
              <w:jc w:val="center"/>
              <w:rPr>
                <w:rFonts w:ascii="Arial Narrow" w:hAnsi="Arial Narrow" w:cs="Calibri"/>
                <w:b/>
                <w:bCs/>
                <w:color w:val="000000"/>
                <w:sz w:val="20"/>
                <w:szCs w:val="20"/>
              </w:rPr>
            </w:pPr>
            <w:r w:rsidRPr="00D8361B">
              <w:rPr>
                <w:rFonts w:ascii="Arial Narrow" w:hAnsi="Arial Narrow" w:cs="Calibri"/>
                <w:b/>
                <w:bCs/>
                <w:color w:val="000000"/>
                <w:sz w:val="20"/>
                <w:szCs w:val="20"/>
              </w:rPr>
              <w:t>Year 4</w:t>
            </w:r>
          </w:p>
        </w:tc>
        <w:tc>
          <w:tcPr>
            <w:tcW w:w="650" w:type="pct"/>
            <w:tcBorders>
              <w:bottom w:val="single" w:sz="4" w:space="0" w:color="auto"/>
            </w:tcBorders>
          </w:tcPr>
          <w:p w14:paraId="28CA6683" w14:textId="281DC3C1" w:rsidR="00C21E2B" w:rsidRPr="00D8361B" w:rsidRDefault="00BB2A4D" w:rsidP="00D8361B">
            <w:pPr>
              <w:keepNext/>
              <w:jc w:val="center"/>
              <w:rPr>
                <w:rFonts w:ascii="Arial Narrow" w:hAnsi="Arial Narrow" w:cs="Calibri"/>
                <w:b/>
                <w:bCs/>
                <w:color w:val="000000"/>
                <w:sz w:val="20"/>
                <w:szCs w:val="20"/>
              </w:rPr>
            </w:pPr>
            <w:r w:rsidRPr="00D8361B">
              <w:rPr>
                <w:rFonts w:ascii="Arial Narrow" w:hAnsi="Arial Narrow" w:cs="Calibri"/>
                <w:b/>
                <w:bCs/>
                <w:color w:val="000000"/>
                <w:sz w:val="20"/>
                <w:szCs w:val="20"/>
              </w:rPr>
              <w:t>Year 5</w:t>
            </w:r>
          </w:p>
        </w:tc>
        <w:tc>
          <w:tcPr>
            <w:tcW w:w="650" w:type="pct"/>
            <w:tcBorders>
              <w:bottom w:val="single" w:sz="4" w:space="0" w:color="auto"/>
            </w:tcBorders>
          </w:tcPr>
          <w:p w14:paraId="77CB78CB" w14:textId="26FFCE65" w:rsidR="00C21E2B" w:rsidRPr="00D8361B" w:rsidRDefault="00BB2A4D" w:rsidP="00D8361B">
            <w:pPr>
              <w:keepNext/>
              <w:jc w:val="center"/>
              <w:rPr>
                <w:rFonts w:ascii="Arial Narrow" w:hAnsi="Arial Narrow" w:cs="Calibri"/>
                <w:b/>
                <w:bCs/>
                <w:color w:val="000000"/>
                <w:sz w:val="20"/>
                <w:szCs w:val="20"/>
              </w:rPr>
            </w:pPr>
            <w:r w:rsidRPr="00D8361B">
              <w:rPr>
                <w:rFonts w:ascii="Arial Narrow" w:hAnsi="Arial Narrow" w:cs="Calibri"/>
                <w:b/>
                <w:bCs/>
                <w:color w:val="000000"/>
                <w:sz w:val="20"/>
                <w:szCs w:val="20"/>
              </w:rPr>
              <w:t>Year 6</w:t>
            </w:r>
          </w:p>
        </w:tc>
      </w:tr>
      <w:tr w:rsidR="00AF27AD" w:rsidRPr="00C21E2B" w14:paraId="60FA36BB" w14:textId="77777777" w:rsidTr="00D8361B">
        <w:tc>
          <w:tcPr>
            <w:tcW w:w="1098" w:type="pct"/>
          </w:tcPr>
          <w:p w14:paraId="76399772" w14:textId="6B1DD556" w:rsidR="00AF27AD" w:rsidRPr="00D8361B" w:rsidRDefault="00AF27AD" w:rsidP="00AF27AD">
            <w:pPr>
              <w:keepNext/>
              <w:jc w:val="right"/>
              <w:rPr>
                <w:rFonts w:ascii="Arial Narrow" w:hAnsi="Arial Narrow" w:cs="Calibri"/>
                <w:color w:val="000000"/>
                <w:sz w:val="20"/>
                <w:szCs w:val="20"/>
              </w:rPr>
            </w:pPr>
            <w:r w:rsidRPr="00D8361B">
              <w:rPr>
                <w:rFonts w:ascii="Arial Narrow" w:hAnsi="Arial Narrow" w:cs="Calibri"/>
                <w:color w:val="000000"/>
                <w:sz w:val="20"/>
                <w:szCs w:val="20"/>
              </w:rPr>
              <w:t>Pembrolizumab (34 weeks treatment duration)</w:t>
            </w:r>
          </w:p>
        </w:tc>
        <w:tc>
          <w:tcPr>
            <w:tcW w:w="650" w:type="pct"/>
            <w:tcBorders>
              <w:top w:val="single" w:sz="4" w:space="0" w:color="auto"/>
              <w:left w:val="nil"/>
              <w:bottom w:val="single" w:sz="4" w:space="0" w:color="auto"/>
              <w:right w:val="single" w:sz="4" w:space="0" w:color="auto"/>
            </w:tcBorders>
            <w:vAlign w:val="center"/>
          </w:tcPr>
          <w:p w14:paraId="1A73F185" w14:textId="27F6153F" w:rsidR="00AF27AD" w:rsidRPr="009C29FF" w:rsidRDefault="00576021" w:rsidP="00AF27AD">
            <w:pPr>
              <w:keepNext/>
              <w:jc w:val="right"/>
              <w:rPr>
                <w:rFonts w:ascii="Arial Narrow" w:hAnsi="Arial Narrow" w:cs="Calibri"/>
                <w:color w:val="000000"/>
                <w:sz w:val="20"/>
                <w:szCs w:val="20"/>
                <w:highlight w:val="darkGray"/>
              </w:rPr>
            </w:pPr>
            <w:r w:rsidRPr="001758D2">
              <w:rPr>
                <w:rFonts w:ascii="Arial Narrow" w:hAnsi="Arial Narrow"/>
                <w:color w:val="000000"/>
                <w:sz w:val="20"/>
                <w:szCs w:val="20"/>
                <w:highlight w:val="black"/>
              </w:rPr>
              <w:t>&amp;&amp;&amp;&amp;</w:t>
            </w:r>
            <w:r w:rsidRPr="00576021">
              <w:rPr>
                <w:rFonts w:ascii="Arial Narrow" w:hAnsi="Arial Narrow"/>
                <w:color w:val="000000"/>
                <w:sz w:val="20"/>
                <w:szCs w:val="20"/>
              </w:rPr>
              <w:t xml:space="preserve"> </w:t>
            </w:r>
            <w:r w:rsidR="00927186" w:rsidRPr="009C29FF">
              <w:rPr>
                <w:rFonts w:ascii="Arial Narrow" w:hAnsi="Arial Narrow"/>
                <w:sz w:val="20"/>
                <w:szCs w:val="20"/>
                <w:vertAlign w:val="superscript"/>
              </w:rPr>
              <w:t>1</w:t>
            </w:r>
          </w:p>
        </w:tc>
        <w:tc>
          <w:tcPr>
            <w:tcW w:w="650" w:type="pct"/>
            <w:tcBorders>
              <w:top w:val="single" w:sz="4" w:space="0" w:color="auto"/>
              <w:left w:val="single" w:sz="4" w:space="0" w:color="auto"/>
              <w:bottom w:val="single" w:sz="4" w:space="0" w:color="auto"/>
              <w:right w:val="single" w:sz="4" w:space="0" w:color="auto"/>
            </w:tcBorders>
            <w:vAlign w:val="center"/>
          </w:tcPr>
          <w:p w14:paraId="6D052D97" w14:textId="797975CD" w:rsidR="00AF27AD" w:rsidRPr="009C29FF" w:rsidRDefault="00576021" w:rsidP="00AF27AD">
            <w:pPr>
              <w:keepNext/>
              <w:jc w:val="right"/>
              <w:rPr>
                <w:rFonts w:ascii="Arial Narrow" w:hAnsi="Arial Narrow" w:cs="Calibri"/>
                <w:color w:val="000000"/>
                <w:sz w:val="20"/>
                <w:szCs w:val="20"/>
                <w:highlight w:val="darkGray"/>
              </w:rPr>
            </w:pPr>
            <w:r w:rsidRPr="001758D2">
              <w:rPr>
                <w:rFonts w:ascii="Arial Narrow" w:hAnsi="Arial Narrow"/>
                <w:color w:val="000000"/>
                <w:sz w:val="20"/>
                <w:szCs w:val="20"/>
                <w:highlight w:val="black"/>
              </w:rPr>
              <w:t>&amp;&amp;&amp;&amp;</w:t>
            </w:r>
            <w:r w:rsidRPr="00576021">
              <w:rPr>
                <w:rFonts w:ascii="Arial Narrow" w:hAnsi="Arial Narrow"/>
                <w:color w:val="000000"/>
                <w:sz w:val="20"/>
                <w:szCs w:val="20"/>
              </w:rPr>
              <w:t xml:space="preserve"> </w:t>
            </w:r>
            <w:r w:rsidR="00927186" w:rsidRPr="009C29FF">
              <w:rPr>
                <w:rFonts w:ascii="Arial Narrow" w:hAnsi="Arial Narrow"/>
                <w:sz w:val="20"/>
                <w:szCs w:val="20"/>
                <w:vertAlign w:val="superscript"/>
              </w:rPr>
              <w:t>1</w:t>
            </w:r>
          </w:p>
        </w:tc>
        <w:tc>
          <w:tcPr>
            <w:tcW w:w="650" w:type="pct"/>
            <w:tcBorders>
              <w:top w:val="single" w:sz="4" w:space="0" w:color="auto"/>
              <w:left w:val="single" w:sz="4" w:space="0" w:color="auto"/>
              <w:bottom w:val="single" w:sz="4" w:space="0" w:color="auto"/>
              <w:right w:val="single" w:sz="4" w:space="0" w:color="auto"/>
            </w:tcBorders>
            <w:vAlign w:val="center"/>
          </w:tcPr>
          <w:p w14:paraId="7AB2F57C" w14:textId="4BD4ADAA" w:rsidR="00AF27AD" w:rsidRPr="009C29FF" w:rsidRDefault="00576021" w:rsidP="00AF27AD">
            <w:pPr>
              <w:keepNext/>
              <w:jc w:val="right"/>
              <w:rPr>
                <w:rFonts w:ascii="Arial Narrow" w:hAnsi="Arial Narrow" w:cs="Calibri"/>
                <w:color w:val="000000"/>
                <w:sz w:val="20"/>
                <w:szCs w:val="20"/>
                <w:highlight w:val="darkGray"/>
              </w:rPr>
            </w:pPr>
            <w:r w:rsidRPr="001758D2">
              <w:rPr>
                <w:rFonts w:ascii="Arial Narrow" w:hAnsi="Arial Narrow"/>
                <w:color w:val="000000"/>
                <w:sz w:val="20"/>
                <w:szCs w:val="20"/>
                <w:highlight w:val="black"/>
              </w:rPr>
              <w:t>&amp;&amp;&amp;&amp;</w:t>
            </w:r>
            <w:r w:rsidRPr="00576021">
              <w:rPr>
                <w:rFonts w:ascii="Arial Narrow" w:hAnsi="Arial Narrow"/>
                <w:color w:val="000000"/>
                <w:sz w:val="20"/>
                <w:szCs w:val="20"/>
              </w:rPr>
              <w:t xml:space="preserve"> </w:t>
            </w:r>
            <w:r w:rsidR="00927186" w:rsidRPr="009C29FF">
              <w:rPr>
                <w:rFonts w:ascii="Arial Narrow" w:hAnsi="Arial Narrow"/>
                <w:sz w:val="20"/>
                <w:szCs w:val="20"/>
                <w:vertAlign w:val="superscript"/>
              </w:rPr>
              <w:t>1</w:t>
            </w:r>
          </w:p>
        </w:tc>
        <w:tc>
          <w:tcPr>
            <w:tcW w:w="650" w:type="pct"/>
            <w:tcBorders>
              <w:top w:val="single" w:sz="4" w:space="0" w:color="auto"/>
              <w:left w:val="single" w:sz="4" w:space="0" w:color="auto"/>
              <w:bottom w:val="single" w:sz="4" w:space="0" w:color="auto"/>
              <w:right w:val="single" w:sz="4" w:space="0" w:color="auto"/>
            </w:tcBorders>
            <w:vAlign w:val="center"/>
          </w:tcPr>
          <w:p w14:paraId="3E808B29" w14:textId="48C35F01" w:rsidR="00AF27AD" w:rsidRPr="009C29FF" w:rsidRDefault="00576021" w:rsidP="00AF27AD">
            <w:pPr>
              <w:keepNext/>
              <w:jc w:val="right"/>
              <w:rPr>
                <w:rFonts w:ascii="Arial Narrow" w:hAnsi="Arial Narrow" w:cs="Calibri"/>
                <w:color w:val="000000"/>
                <w:sz w:val="20"/>
                <w:szCs w:val="20"/>
                <w:highlight w:val="darkGray"/>
              </w:rPr>
            </w:pPr>
            <w:r w:rsidRPr="001758D2">
              <w:rPr>
                <w:rFonts w:ascii="Arial Narrow" w:hAnsi="Arial Narrow"/>
                <w:color w:val="000000"/>
                <w:sz w:val="20"/>
                <w:szCs w:val="20"/>
                <w:highlight w:val="black"/>
              </w:rPr>
              <w:t>&amp;&amp;&amp;&amp;</w:t>
            </w:r>
            <w:r w:rsidR="00927186" w:rsidRPr="009C29FF">
              <w:rPr>
                <w:rFonts w:ascii="Arial Narrow" w:hAnsi="Arial Narrow"/>
                <w:sz w:val="20"/>
                <w:szCs w:val="20"/>
                <w:vertAlign w:val="superscript"/>
              </w:rPr>
              <w:t>1</w:t>
            </w:r>
            <w:r w:rsidRPr="00576021">
              <w:rPr>
                <w:rFonts w:ascii="Arial Narrow" w:hAnsi="Arial Narrow"/>
                <w:color w:val="000000"/>
                <w:sz w:val="20"/>
                <w:szCs w:val="20"/>
              </w:rPr>
              <w:t xml:space="preserve"> </w:t>
            </w:r>
          </w:p>
        </w:tc>
        <w:tc>
          <w:tcPr>
            <w:tcW w:w="650" w:type="pct"/>
            <w:tcBorders>
              <w:top w:val="single" w:sz="4" w:space="0" w:color="auto"/>
              <w:left w:val="single" w:sz="4" w:space="0" w:color="auto"/>
              <w:bottom w:val="single" w:sz="4" w:space="0" w:color="auto"/>
              <w:right w:val="single" w:sz="4" w:space="0" w:color="auto"/>
            </w:tcBorders>
            <w:vAlign w:val="center"/>
          </w:tcPr>
          <w:p w14:paraId="64677A23" w14:textId="1CEE8CB6" w:rsidR="00AF27AD" w:rsidRPr="009C29FF" w:rsidRDefault="00576021" w:rsidP="00AF27AD">
            <w:pPr>
              <w:keepNext/>
              <w:jc w:val="right"/>
              <w:rPr>
                <w:rFonts w:ascii="Arial Narrow" w:hAnsi="Arial Narrow" w:cs="Calibri"/>
                <w:color w:val="000000"/>
                <w:sz w:val="20"/>
                <w:szCs w:val="20"/>
                <w:highlight w:val="darkGray"/>
              </w:rPr>
            </w:pPr>
            <w:r w:rsidRPr="001758D2">
              <w:rPr>
                <w:rFonts w:ascii="Arial Narrow" w:hAnsi="Arial Narrow"/>
                <w:color w:val="000000"/>
                <w:sz w:val="20"/>
                <w:szCs w:val="20"/>
                <w:highlight w:val="black"/>
              </w:rPr>
              <w:t>&amp;&amp;&amp;&amp;</w:t>
            </w:r>
            <w:r w:rsidR="00927186" w:rsidRPr="009C29FF">
              <w:rPr>
                <w:rFonts w:ascii="Arial Narrow" w:hAnsi="Arial Narrow"/>
                <w:sz w:val="20"/>
                <w:szCs w:val="20"/>
                <w:vertAlign w:val="superscript"/>
              </w:rPr>
              <w:t>1</w:t>
            </w:r>
            <w:r w:rsidRPr="00576021">
              <w:rPr>
                <w:rFonts w:ascii="Arial Narrow" w:hAnsi="Arial Narrow"/>
                <w:color w:val="000000"/>
                <w:sz w:val="20"/>
                <w:szCs w:val="20"/>
              </w:rPr>
              <w:t xml:space="preserve"> </w:t>
            </w:r>
          </w:p>
        </w:tc>
        <w:tc>
          <w:tcPr>
            <w:tcW w:w="650" w:type="pct"/>
            <w:tcBorders>
              <w:top w:val="single" w:sz="4" w:space="0" w:color="auto"/>
              <w:left w:val="single" w:sz="4" w:space="0" w:color="auto"/>
              <w:bottom w:val="single" w:sz="4" w:space="0" w:color="auto"/>
              <w:right w:val="single" w:sz="4" w:space="0" w:color="auto"/>
            </w:tcBorders>
            <w:vAlign w:val="center"/>
          </w:tcPr>
          <w:p w14:paraId="70C56D2C" w14:textId="31F9065D" w:rsidR="00AF27AD" w:rsidRPr="009C29FF" w:rsidRDefault="00576021" w:rsidP="00AF27AD">
            <w:pPr>
              <w:keepNext/>
              <w:jc w:val="right"/>
              <w:rPr>
                <w:rFonts w:ascii="Arial Narrow" w:hAnsi="Arial Narrow" w:cs="Calibri"/>
                <w:color w:val="000000"/>
                <w:sz w:val="20"/>
                <w:szCs w:val="20"/>
                <w:highlight w:val="darkGray"/>
              </w:rPr>
            </w:pPr>
            <w:r w:rsidRPr="001758D2">
              <w:rPr>
                <w:rFonts w:ascii="Arial Narrow" w:hAnsi="Arial Narrow"/>
                <w:color w:val="000000"/>
                <w:sz w:val="20"/>
                <w:szCs w:val="20"/>
                <w:highlight w:val="black"/>
              </w:rPr>
              <w:t>&amp;&amp;&amp;&amp;</w:t>
            </w:r>
            <w:r w:rsidRPr="00576021">
              <w:rPr>
                <w:rFonts w:ascii="Arial Narrow" w:hAnsi="Arial Narrow"/>
                <w:color w:val="000000"/>
                <w:sz w:val="20"/>
                <w:szCs w:val="20"/>
              </w:rPr>
              <w:t xml:space="preserve"> </w:t>
            </w:r>
            <w:r w:rsidR="00927186" w:rsidRPr="009C29FF">
              <w:rPr>
                <w:rFonts w:ascii="Arial Narrow" w:hAnsi="Arial Narrow"/>
                <w:sz w:val="20"/>
                <w:szCs w:val="20"/>
                <w:vertAlign w:val="superscript"/>
              </w:rPr>
              <w:t>1</w:t>
            </w:r>
          </w:p>
        </w:tc>
      </w:tr>
      <w:tr w:rsidR="00152B64" w:rsidRPr="00C21E2B" w14:paraId="28DF672C" w14:textId="77777777" w:rsidTr="00D8361B">
        <w:tc>
          <w:tcPr>
            <w:tcW w:w="1098" w:type="pct"/>
          </w:tcPr>
          <w:p w14:paraId="7AA1D729" w14:textId="6F333234" w:rsidR="00152B64" w:rsidRPr="00D8361B" w:rsidRDefault="00152B64" w:rsidP="00152B64">
            <w:pPr>
              <w:keepNext/>
              <w:jc w:val="right"/>
              <w:rPr>
                <w:rFonts w:ascii="Arial Narrow" w:hAnsi="Arial Narrow" w:cs="Calibri"/>
                <w:color w:val="000000"/>
                <w:sz w:val="20"/>
                <w:szCs w:val="20"/>
              </w:rPr>
            </w:pPr>
            <w:r w:rsidRPr="00D8361B">
              <w:rPr>
                <w:rFonts w:ascii="Arial Narrow" w:hAnsi="Arial Narrow" w:cs="Calibri"/>
                <w:color w:val="000000"/>
                <w:sz w:val="20"/>
                <w:szCs w:val="20"/>
              </w:rPr>
              <w:t>Nivolumab (24 weeks treatment duration)</w:t>
            </w:r>
          </w:p>
        </w:tc>
        <w:tc>
          <w:tcPr>
            <w:tcW w:w="650" w:type="pct"/>
            <w:tcBorders>
              <w:top w:val="single" w:sz="4" w:space="0" w:color="auto"/>
              <w:left w:val="nil"/>
              <w:bottom w:val="single" w:sz="4" w:space="0" w:color="auto"/>
              <w:right w:val="single" w:sz="4" w:space="0" w:color="auto"/>
            </w:tcBorders>
            <w:vAlign w:val="center"/>
          </w:tcPr>
          <w:p w14:paraId="2DC844BE" w14:textId="7C53762F" w:rsidR="00152B64" w:rsidRPr="009C29FF" w:rsidRDefault="00576021" w:rsidP="00152B64">
            <w:pPr>
              <w:keepNext/>
              <w:jc w:val="right"/>
              <w:rPr>
                <w:rFonts w:ascii="Arial Narrow" w:hAnsi="Arial Narrow"/>
                <w:color w:val="000000"/>
                <w:sz w:val="20"/>
                <w:szCs w:val="20"/>
                <w:highlight w:val="darkGray"/>
              </w:rPr>
            </w:pPr>
            <w:r w:rsidRPr="001758D2">
              <w:rPr>
                <w:rFonts w:ascii="Arial Narrow" w:hAnsi="Arial Narrow"/>
                <w:color w:val="000000"/>
                <w:sz w:val="20"/>
                <w:szCs w:val="20"/>
                <w:highlight w:val="black"/>
              </w:rPr>
              <w:t>&amp;&amp;&amp;&amp;</w:t>
            </w:r>
            <w:r w:rsidRPr="00576021">
              <w:rPr>
                <w:rFonts w:ascii="Arial Narrow" w:hAnsi="Arial Narrow"/>
                <w:color w:val="000000"/>
                <w:sz w:val="20"/>
                <w:szCs w:val="20"/>
              </w:rPr>
              <w:t xml:space="preserve"> </w:t>
            </w:r>
            <w:r w:rsidR="00927186" w:rsidRPr="009C29FF">
              <w:rPr>
                <w:rFonts w:ascii="Arial Narrow" w:hAnsi="Arial Narrow"/>
                <w:sz w:val="20"/>
                <w:szCs w:val="20"/>
                <w:vertAlign w:val="superscript"/>
              </w:rPr>
              <w:t>1</w:t>
            </w:r>
          </w:p>
        </w:tc>
        <w:tc>
          <w:tcPr>
            <w:tcW w:w="650" w:type="pct"/>
            <w:tcBorders>
              <w:top w:val="single" w:sz="4" w:space="0" w:color="auto"/>
              <w:left w:val="single" w:sz="4" w:space="0" w:color="auto"/>
              <w:bottom w:val="single" w:sz="4" w:space="0" w:color="auto"/>
              <w:right w:val="single" w:sz="4" w:space="0" w:color="auto"/>
            </w:tcBorders>
            <w:vAlign w:val="center"/>
          </w:tcPr>
          <w:p w14:paraId="770208CF" w14:textId="2F56C9BF" w:rsidR="00152B64" w:rsidRPr="009C29FF" w:rsidRDefault="00576021" w:rsidP="00152B64">
            <w:pPr>
              <w:keepNext/>
              <w:jc w:val="right"/>
              <w:rPr>
                <w:rFonts w:ascii="Arial Narrow" w:hAnsi="Arial Narrow"/>
                <w:color w:val="000000"/>
                <w:sz w:val="20"/>
                <w:szCs w:val="20"/>
                <w:highlight w:val="darkGray"/>
              </w:rPr>
            </w:pPr>
            <w:r w:rsidRPr="001758D2">
              <w:rPr>
                <w:rFonts w:ascii="Arial Narrow" w:hAnsi="Arial Narrow"/>
                <w:color w:val="000000"/>
                <w:sz w:val="20"/>
                <w:szCs w:val="20"/>
                <w:highlight w:val="black"/>
              </w:rPr>
              <w:t>&amp;&amp;&amp;&amp;</w:t>
            </w:r>
            <w:r w:rsidR="00927186" w:rsidRPr="009C29FF">
              <w:rPr>
                <w:rFonts w:ascii="Arial Narrow" w:hAnsi="Arial Narrow"/>
                <w:sz w:val="20"/>
                <w:szCs w:val="20"/>
                <w:vertAlign w:val="superscript"/>
              </w:rPr>
              <w:t>1</w:t>
            </w:r>
            <w:r w:rsidRPr="00576021">
              <w:rPr>
                <w:rFonts w:ascii="Arial Narrow" w:hAnsi="Arial Narrow"/>
                <w:color w:val="000000"/>
                <w:sz w:val="20"/>
                <w:szCs w:val="20"/>
              </w:rPr>
              <w:t xml:space="preserve"> </w:t>
            </w:r>
          </w:p>
        </w:tc>
        <w:tc>
          <w:tcPr>
            <w:tcW w:w="650" w:type="pct"/>
            <w:tcBorders>
              <w:top w:val="single" w:sz="4" w:space="0" w:color="auto"/>
              <w:left w:val="single" w:sz="4" w:space="0" w:color="auto"/>
              <w:bottom w:val="single" w:sz="4" w:space="0" w:color="auto"/>
              <w:right w:val="single" w:sz="4" w:space="0" w:color="auto"/>
            </w:tcBorders>
            <w:vAlign w:val="center"/>
          </w:tcPr>
          <w:p w14:paraId="2418DA99" w14:textId="552F6E0B" w:rsidR="00152B64" w:rsidRPr="009C29FF" w:rsidRDefault="00576021" w:rsidP="00152B64">
            <w:pPr>
              <w:keepNext/>
              <w:jc w:val="right"/>
              <w:rPr>
                <w:rFonts w:ascii="Arial Narrow" w:hAnsi="Arial Narrow"/>
                <w:color w:val="000000"/>
                <w:sz w:val="20"/>
                <w:szCs w:val="20"/>
                <w:highlight w:val="darkGray"/>
              </w:rPr>
            </w:pPr>
            <w:r w:rsidRPr="001758D2">
              <w:rPr>
                <w:rFonts w:ascii="Arial Narrow" w:hAnsi="Arial Narrow"/>
                <w:color w:val="000000"/>
                <w:sz w:val="20"/>
                <w:szCs w:val="20"/>
                <w:highlight w:val="black"/>
              </w:rPr>
              <w:t>&amp;&amp;&amp;&amp;</w:t>
            </w:r>
            <w:r w:rsidRPr="00576021">
              <w:rPr>
                <w:rFonts w:ascii="Arial Narrow" w:hAnsi="Arial Narrow"/>
                <w:color w:val="000000"/>
                <w:sz w:val="20"/>
                <w:szCs w:val="20"/>
              </w:rPr>
              <w:t xml:space="preserve"> </w:t>
            </w:r>
            <w:r w:rsidR="00927186" w:rsidRPr="009C29FF">
              <w:rPr>
                <w:rFonts w:ascii="Arial Narrow" w:hAnsi="Arial Narrow"/>
                <w:sz w:val="20"/>
                <w:szCs w:val="20"/>
                <w:vertAlign w:val="superscript"/>
              </w:rPr>
              <w:t>1</w:t>
            </w:r>
          </w:p>
        </w:tc>
        <w:tc>
          <w:tcPr>
            <w:tcW w:w="650" w:type="pct"/>
            <w:tcBorders>
              <w:top w:val="single" w:sz="4" w:space="0" w:color="auto"/>
              <w:left w:val="single" w:sz="4" w:space="0" w:color="auto"/>
              <w:bottom w:val="single" w:sz="4" w:space="0" w:color="auto"/>
              <w:right w:val="single" w:sz="4" w:space="0" w:color="auto"/>
            </w:tcBorders>
            <w:vAlign w:val="center"/>
          </w:tcPr>
          <w:p w14:paraId="6886DA8C" w14:textId="11002A6C" w:rsidR="00152B64" w:rsidRPr="009C29FF" w:rsidRDefault="00576021" w:rsidP="00152B64">
            <w:pPr>
              <w:keepNext/>
              <w:jc w:val="right"/>
              <w:rPr>
                <w:rFonts w:ascii="Arial Narrow" w:hAnsi="Arial Narrow"/>
                <w:color w:val="000000"/>
                <w:sz w:val="20"/>
                <w:szCs w:val="20"/>
                <w:highlight w:val="darkGray"/>
              </w:rPr>
            </w:pPr>
            <w:r w:rsidRPr="001758D2">
              <w:rPr>
                <w:rFonts w:ascii="Arial Narrow" w:hAnsi="Arial Narrow"/>
                <w:color w:val="000000"/>
                <w:sz w:val="20"/>
                <w:szCs w:val="20"/>
                <w:highlight w:val="black"/>
              </w:rPr>
              <w:t>&amp;&amp;&amp;&amp;</w:t>
            </w:r>
            <w:r w:rsidRPr="00576021">
              <w:rPr>
                <w:rFonts w:ascii="Arial Narrow" w:hAnsi="Arial Narrow"/>
                <w:color w:val="000000"/>
                <w:sz w:val="20"/>
                <w:szCs w:val="20"/>
              </w:rPr>
              <w:t xml:space="preserve"> </w:t>
            </w:r>
            <w:r w:rsidR="00927186" w:rsidRPr="009C29FF">
              <w:rPr>
                <w:rFonts w:ascii="Arial Narrow" w:hAnsi="Arial Narrow"/>
                <w:sz w:val="20"/>
                <w:szCs w:val="20"/>
                <w:vertAlign w:val="superscript"/>
              </w:rPr>
              <w:t>1</w:t>
            </w:r>
          </w:p>
        </w:tc>
        <w:tc>
          <w:tcPr>
            <w:tcW w:w="650" w:type="pct"/>
            <w:tcBorders>
              <w:top w:val="single" w:sz="4" w:space="0" w:color="auto"/>
              <w:left w:val="single" w:sz="4" w:space="0" w:color="auto"/>
              <w:bottom w:val="single" w:sz="4" w:space="0" w:color="auto"/>
              <w:right w:val="single" w:sz="4" w:space="0" w:color="auto"/>
            </w:tcBorders>
            <w:vAlign w:val="center"/>
          </w:tcPr>
          <w:p w14:paraId="187B2B31" w14:textId="0E9CB18A" w:rsidR="00152B64" w:rsidRPr="009C29FF" w:rsidRDefault="00576021" w:rsidP="00152B64">
            <w:pPr>
              <w:keepNext/>
              <w:jc w:val="right"/>
              <w:rPr>
                <w:rFonts w:ascii="Arial Narrow" w:hAnsi="Arial Narrow"/>
                <w:color w:val="000000"/>
                <w:sz w:val="20"/>
                <w:szCs w:val="20"/>
                <w:highlight w:val="darkGray"/>
              </w:rPr>
            </w:pPr>
            <w:r w:rsidRPr="001758D2">
              <w:rPr>
                <w:rFonts w:ascii="Arial Narrow" w:hAnsi="Arial Narrow"/>
                <w:color w:val="000000"/>
                <w:sz w:val="20"/>
                <w:szCs w:val="20"/>
                <w:highlight w:val="black"/>
              </w:rPr>
              <w:t>&amp;&amp;&amp;&amp;</w:t>
            </w:r>
            <w:r w:rsidRPr="00576021">
              <w:rPr>
                <w:rFonts w:ascii="Arial Narrow" w:hAnsi="Arial Narrow"/>
                <w:color w:val="000000"/>
                <w:sz w:val="20"/>
                <w:szCs w:val="20"/>
              </w:rPr>
              <w:t xml:space="preserve"> </w:t>
            </w:r>
            <w:r w:rsidR="00927186" w:rsidRPr="009C29FF">
              <w:rPr>
                <w:rFonts w:ascii="Arial Narrow" w:hAnsi="Arial Narrow"/>
                <w:sz w:val="20"/>
                <w:szCs w:val="20"/>
                <w:vertAlign w:val="superscript"/>
              </w:rPr>
              <w:t>1</w:t>
            </w:r>
          </w:p>
        </w:tc>
        <w:tc>
          <w:tcPr>
            <w:tcW w:w="650" w:type="pct"/>
            <w:tcBorders>
              <w:top w:val="single" w:sz="4" w:space="0" w:color="auto"/>
              <w:left w:val="single" w:sz="4" w:space="0" w:color="auto"/>
              <w:bottom w:val="single" w:sz="4" w:space="0" w:color="auto"/>
              <w:right w:val="single" w:sz="4" w:space="0" w:color="auto"/>
            </w:tcBorders>
            <w:vAlign w:val="center"/>
          </w:tcPr>
          <w:p w14:paraId="4834B3B8" w14:textId="2269BC52" w:rsidR="00152B64" w:rsidRPr="009C29FF" w:rsidRDefault="00576021" w:rsidP="00152B64">
            <w:pPr>
              <w:keepNext/>
              <w:jc w:val="right"/>
              <w:rPr>
                <w:rFonts w:ascii="Arial Narrow" w:hAnsi="Arial Narrow"/>
                <w:color w:val="000000"/>
                <w:sz w:val="20"/>
                <w:szCs w:val="20"/>
                <w:highlight w:val="darkGray"/>
              </w:rPr>
            </w:pPr>
            <w:r w:rsidRPr="001758D2">
              <w:rPr>
                <w:rFonts w:ascii="Arial Narrow" w:hAnsi="Arial Narrow"/>
                <w:color w:val="000000"/>
                <w:sz w:val="20"/>
                <w:szCs w:val="20"/>
                <w:highlight w:val="black"/>
              </w:rPr>
              <w:t>&amp;&amp;&amp;&amp;</w:t>
            </w:r>
            <w:r w:rsidR="00927186" w:rsidRPr="009C29FF">
              <w:rPr>
                <w:rFonts w:ascii="Arial Narrow" w:hAnsi="Arial Narrow"/>
                <w:sz w:val="20"/>
                <w:szCs w:val="20"/>
                <w:vertAlign w:val="superscript"/>
              </w:rPr>
              <w:t>1</w:t>
            </w:r>
            <w:r w:rsidRPr="00576021">
              <w:rPr>
                <w:rFonts w:ascii="Arial Narrow" w:hAnsi="Arial Narrow"/>
                <w:color w:val="000000"/>
                <w:sz w:val="20"/>
                <w:szCs w:val="20"/>
              </w:rPr>
              <w:t xml:space="preserve"> </w:t>
            </w:r>
          </w:p>
        </w:tc>
      </w:tr>
    </w:tbl>
    <w:p w14:paraId="1F735D70" w14:textId="11855E79" w:rsidR="00C21E2B" w:rsidRPr="00ED531A" w:rsidRDefault="003071B4" w:rsidP="00677261">
      <w:pPr>
        <w:pStyle w:val="TableFigureFooter"/>
        <w:rPr>
          <w:i w:val="0"/>
          <w:iCs w:val="0"/>
        </w:rPr>
      </w:pPr>
      <w:r w:rsidRPr="00ED531A">
        <w:rPr>
          <w:i w:val="0"/>
          <w:iCs w:val="0"/>
        </w:rPr>
        <w:t xml:space="preserve">Source: </w:t>
      </w:r>
      <w:r w:rsidR="00182E4F" w:rsidRPr="00ED531A">
        <w:rPr>
          <w:i w:val="0"/>
          <w:iCs w:val="0"/>
        </w:rPr>
        <w:t>The financial estimates provided with pre-PBAC Response: Attachment 8 UCM - MSD Pre-PBAC (Update including cost offsets).xlsx</w:t>
      </w:r>
    </w:p>
    <w:p w14:paraId="39438099" w14:textId="77777777" w:rsidR="00BC009F" w:rsidRPr="00ED531A" w:rsidRDefault="005D3484" w:rsidP="00677261">
      <w:pPr>
        <w:pStyle w:val="TableFigureFooter"/>
        <w:rPr>
          <w:i w:val="0"/>
          <w:iCs w:val="0"/>
          <w:szCs w:val="18"/>
        </w:rPr>
      </w:pPr>
      <w:r w:rsidRPr="00537379">
        <w:rPr>
          <w:i w:val="0"/>
          <w:iCs w:val="0"/>
          <w:vertAlign w:val="superscript"/>
        </w:rPr>
        <w:t>a</w:t>
      </w:r>
      <w:r w:rsidR="00BC7C04" w:rsidRPr="00ED531A">
        <w:rPr>
          <w:i w:val="0"/>
          <w:iCs w:val="0"/>
        </w:rPr>
        <w:t xml:space="preserve"> </w:t>
      </w:r>
      <w:r w:rsidR="00944651" w:rsidRPr="00ED531A">
        <w:rPr>
          <w:i w:val="0"/>
          <w:iCs w:val="0"/>
        </w:rPr>
        <w:t xml:space="preserve">Assumes </w:t>
      </w:r>
      <w:r w:rsidR="00BC7C04" w:rsidRPr="00ED531A">
        <w:rPr>
          <w:i w:val="0"/>
          <w:iCs w:val="0"/>
        </w:rPr>
        <w:t xml:space="preserve">10.2% nivolumab </w:t>
      </w:r>
      <w:r w:rsidR="005B43FE" w:rsidRPr="00ED531A">
        <w:rPr>
          <w:i w:val="0"/>
          <w:iCs w:val="0"/>
        </w:rPr>
        <w:t xml:space="preserve">in the first 6 months; 5.4% pembrolizumab from 6 months to </w:t>
      </w:r>
      <w:r w:rsidR="00B31495" w:rsidRPr="00ED531A">
        <w:rPr>
          <w:i w:val="0"/>
          <w:iCs w:val="0"/>
        </w:rPr>
        <w:t>Y</w:t>
      </w:r>
      <w:r w:rsidR="005B43FE" w:rsidRPr="00ED531A">
        <w:rPr>
          <w:i w:val="0"/>
          <w:iCs w:val="0"/>
        </w:rPr>
        <w:t>1</w:t>
      </w:r>
      <w:r w:rsidR="00B31495" w:rsidRPr="00ED531A">
        <w:rPr>
          <w:i w:val="0"/>
          <w:iCs w:val="0"/>
        </w:rPr>
        <w:t xml:space="preserve">, and pembrolizumab Y2: 5.0%, Y3: </w:t>
      </w:r>
      <w:r w:rsidR="008E0C96" w:rsidRPr="00ED531A">
        <w:rPr>
          <w:i w:val="0"/>
          <w:iCs w:val="0"/>
        </w:rPr>
        <w:t>1.9%, Y4: 0.8%; Y5: 0.4%; Y6: 0.3%</w:t>
      </w:r>
      <w:r w:rsidR="00D81C2D" w:rsidRPr="00ED531A">
        <w:rPr>
          <w:i w:val="0"/>
          <w:iCs w:val="0"/>
        </w:rPr>
        <w:t xml:space="preserve">, </w:t>
      </w:r>
      <w:r w:rsidR="00152B64" w:rsidRPr="00ED531A">
        <w:rPr>
          <w:i w:val="0"/>
          <w:iCs w:val="0"/>
        </w:rPr>
        <w:t xml:space="preserve">assuming </w:t>
      </w:r>
      <w:r w:rsidR="00D81C2D" w:rsidRPr="00ED531A">
        <w:rPr>
          <w:i w:val="0"/>
          <w:iCs w:val="0"/>
        </w:rPr>
        <w:t>80% uptake</w:t>
      </w:r>
      <w:r w:rsidR="00B2489F" w:rsidRPr="00ED531A">
        <w:rPr>
          <w:i w:val="0"/>
          <w:iCs w:val="0"/>
        </w:rPr>
        <w:t>.</w:t>
      </w:r>
      <w:r w:rsidR="00BC009F" w:rsidRPr="00ED531A">
        <w:rPr>
          <w:i w:val="0"/>
          <w:iCs w:val="0"/>
          <w:szCs w:val="18"/>
        </w:rPr>
        <w:t xml:space="preserve"> </w:t>
      </w:r>
    </w:p>
    <w:p w14:paraId="5CC1281E" w14:textId="0A895CE1" w:rsidR="00927186" w:rsidRPr="009C29FF" w:rsidRDefault="00BC009F" w:rsidP="00677261">
      <w:pPr>
        <w:pStyle w:val="TableFigureFooter"/>
      </w:pPr>
      <w:r w:rsidRPr="009C29FF">
        <w:t xml:space="preserve">The redacted values correspond to the following ranges: </w:t>
      </w:r>
    </w:p>
    <w:p w14:paraId="6CF84AA6" w14:textId="52BCD3D7" w:rsidR="004614F2" w:rsidRPr="009C29FF" w:rsidRDefault="00927186" w:rsidP="00677261">
      <w:pPr>
        <w:pStyle w:val="TableFigureFooter"/>
      </w:pPr>
      <w:r w:rsidRPr="009C29FF">
        <w:rPr>
          <w:vertAlign w:val="superscript"/>
        </w:rPr>
        <w:t>1</w:t>
      </w:r>
      <w:r w:rsidR="00BC009F" w:rsidRPr="009C29FF">
        <w:t xml:space="preserve"> </w:t>
      </w:r>
      <w:r w:rsidRPr="009C29FF">
        <w:t>&lt; 500</w:t>
      </w:r>
    </w:p>
    <w:p w14:paraId="387D957E" w14:textId="4D17324A" w:rsidR="00BE3B78" w:rsidRPr="00DE49A7" w:rsidRDefault="00BE3B78" w:rsidP="00164BC3">
      <w:pPr>
        <w:pStyle w:val="3-BodyText"/>
        <w:rPr>
          <w:color w:val="0066FF"/>
        </w:rPr>
      </w:pPr>
      <w:r w:rsidRPr="00DE49A7">
        <w:t xml:space="preserve">The </w:t>
      </w:r>
      <w:r w:rsidR="00D32236">
        <w:t xml:space="preserve">ESC noted that the </w:t>
      </w:r>
      <w:r w:rsidRPr="00DE49A7">
        <w:t xml:space="preserve">submission has only modelled Q3W treatment of patients but is seeking a Q6W listing as well. This is consistent with other pembrolizumab listings. While it should not have a material impact on the PBS/RPBS financials, it halves the MBS impact </w:t>
      </w:r>
      <w:r w:rsidR="00692705" w:rsidRPr="00DE49A7">
        <w:t>(</w:t>
      </w:r>
      <w:r w:rsidR="00D87CF1" w:rsidRPr="00DE49A7">
        <w:t xml:space="preserve">less </w:t>
      </w:r>
      <w:r w:rsidR="00692705" w:rsidRPr="00DE49A7">
        <w:t xml:space="preserve">infusions) </w:t>
      </w:r>
      <w:r w:rsidRPr="00DE49A7">
        <w:t>for every patient who is treated Q6W</w:t>
      </w:r>
      <w:r w:rsidR="00BE1200" w:rsidRPr="00DE49A7">
        <w:t xml:space="preserve"> and should be captured in the financial estimates</w:t>
      </w:r>
      <w:r w:rsidRPr="00DE49A7">
        <w:t>.</w:t>
      </w:r>
      <w:r w:rsidR="00306E2F">
        <w:t xml:space="preserve"> </w:t>
      </w:r>
      <w:r w:rsidR="00306E2F" w:rsidRPr="00477630">
        <w:rPr>
          <w:iCs/>
        </w:rPr>
        <w:t xml:space="preserve">The PSCR noted that it was uncertain what proportion of patients would utilise </w:t>
      </w:r>
      <w:r w:rsidR="00E25C50" w:rsidRPr="00477630">
        <w:rPr>
          <w:iCs/>
        </w:rPr>
        <w:t xml:space="preserve">the </w:t>
      </w:r>
      <w:r w:rsidR="00306E2F" w:rsidRPr="00477630">
        <w:rPr>
          <w:iCs/>
        </w:rPr>
        <w:t>Q3W regimen compared to Q6W</w:t>
      </w:r>
      <w:r w:rsidR="00A914F6" w:rsidRPr="00477630">
        <w:rPr>
          <w:iCs/>
        </w:rPr>
        <w:t xml:space="preserve"> </w:t>
      </w:r>
      <w:r w:rsidR="00306E2F" w:rsidRPr="00477630">
        <w:rPr>
          <w:iCs/>
        </w:rPr>
        <w:t xml:space="preserve">and </w:t>
      </w:r>
      <w:r w:rsidR="00A914F6" w:rsidRPr="00477630">
        <w:rPr>
          <w:iCs/>
        </w:rPr>
        <w:t>considered</w:t>
      </w:r>
      <w:r w:rsidR="00306E2F" w:rsidRPr="00477630">
        <w:rPr>
          <w:iCs/>
        </w:rPr>
        <w:t xml:space="preserve"> that including Q6W dosing in the financial estimates </w:t>
      </w:r>
      <w:r w:rsidR="00A914F6" w:rsidRPr="00477630">
        <w:rPr>
          <w:iCs/>
        </w:rPr>
        <w:t>would</w:t>
      </w:r>
      <w:r w:rsidR="00306E2F" w:rsidRPr="00477630">
        <w:rPr>
          <w:iCs/>
        </w:rPr>
        <w:t xml:space="preserve"> have a minimal </w:t>
      </w:r>
      <w:r w:rsidR="00A914F6" w:rsidRPr="00477630">
        <w:rPr>
          <w:iCs/>
        </w:rPr>
        <w:t>impact</w:t>
      </w:r>
      <w:r w:rsidR="00306E2F" w:rsidRPr="00477630">
        <w:rPr>
          <w:iCs/>
        </w:rPr>
        <w:t xml:space="preserve"> on the net cost to the government.</w:t>
      </w:r>
    </w:p>
    <w:p w14:paraId="2B8AE5CE" w14:textId="5C2C875D" w:rsidR="00164BC3" w:rsidRPr="00E854E7" w:rsidRDefault="00164BC3" w:rsidP="00164BC3">
      <w:pPr>
        <w:pStyle w:val="3-BodyText"/>
        <w:rPr>
          <w:color w:val="0066FF"/>
        </w:rPr>
      </w:pPr>
      <w:r w:rsidRPr="00DE49A7">
        <w:t xml:space="preserve">The submission included grandfathered patients who were likely to participate in the sponsor’s patient familiarisation program when it is launched. These patients are drawn from the incident patient population, which is reduced by a corresponding number to avoid double counting. </w:t>
      </w:r>
    </w:p>
    <w:p w14:paraId="53E3BADA" w14:textId="6FD79E56" w:rsidR="00E854E7" w:rsidRPr="00DE49A7" w:rsidRDefault="00E854E7" w:rsidP="00164BC3">
      <w:pPr>
        <w:pStyle w:val="3-BodyText"/>
        <w:rPr>
          <w:color w:val="0066FF"/>
        </w:rPr>
      </w:pPr>
      <w:r w:rsidRPr="00477630">
        <w:rPr>
          <w:iCs/>
        </w:rPr>
        <w:t>The</w:t>
      </w:r>
      <w:r w:rsidRPr="00605D71">
        <w:t xml:space="preserve"> </w:t>
      </w:r>
      <w:r w:rsidRPr="00477630">
        <w:rPr>
          <w:iCs/>
        </w:rPr>
        <w:t>ESC noted the issues raised by the evaluation for the financial estimates and advised that updates to</w:t>
      </w:r>
      <w:r>
        <w:t xml:space="preserve"> </w:t>
      </w:r>
      <w:r w:rsidRPr="00477630">
        <w:rPr>
          <w:iCs/>
        </w:rPr>
        <w:t>cost-offsets associated with immunotherapy in the recurrent/metastatic setting, Q6W dosing assumptions, and the proportion of patients with locally advanced and resectable disease</w:t>
      </w:r>
      <w:r>
        <w:t xml:space="preserve"> </w:t>
      </w:r>
      <w:r w:rsidRPr="00477630">
        <w:rPr>
          <w:iCs/>
        </w:rPr>
        <w:t>should be considered.</w:t>
      </w:r>
      <w:r w:rsidR="00EA1258">
        <w:rPr>
          <w:iCs/>
        </w:rPr>
        <w:t xml:space="preserve"> As stated previously, the pre-PBAC response provided revised financial estimates including cost-offsets</w:t>
      </w:r>
      <w:r w:rsidR="00C56744">
        <w:rPr>
          <w:iCs/>
        </w:rPr>
        <w:t xml:space="preserve"> for reduced immunotherapy use in the </w:t>
      </w:r>
      <w:r w:rsidR="00C56744" w:rsidRPr="00477630">
        <w:rPr>
          <w:iCs/>
        </w:rPr>
        <w:t>recurrent/metastatic setting</w:t>
      </w:r>
      <w:r w:rsidR="00C56744">
        <w:rPr>
          <w:iCs/>
        </w:rPr>
        <w:t>.</w:t>
      </w:r>
    </w:p>
    <w:p w14:paraId="0A9EE170" w14:textId="77777777" w:rsidR="00164BC3" w:rsidRPr="00D74203" w:rsidRDefault="00164BC3" w:rsidP="00164BC3">
      <w:pPr>
        <w:pStyle w:val="4-SubsectionHeading"/>
      </w:pPr>
      <w:bookmarkStart w:id="126" w:name="_Toc22897648"/>
      <w:bookmarkStart w:id="127" w:name="_Toc205411822"/>
      <w:bookmarkStart w:id="128" w:name="_Toc206432642"/>
      <w:bookmarkStart w:id="129" w:name="_Toc209004711"/>
      <w:r w:rsidRPr="00D74203">
        <w:t>Quality Use of Medicines</w:t>
      </w:r>
      <w:bookmarkEnd w:id="126"/>
      <w:bookmarkEnd w:id="127"/>
      <w:bookmarkEnd w:id="128"/>
      <w:bookmarkEnd w:id="129"/>
    </w:p>
    <w:p w14:paraId="0C3B31C0" w14:textId="21B28CE5" w:rsidR="00164BC3" w:rsidRPr="00D74203" w:rsidRDefault="00164BC3" w:rsidP="00164BC3">
      <w:pPr>
        <w:pStyle w:val="3-BodyText"/>
      </w:pPr>
      <w:r w:rsidRPr="00D74203">
        <w:t>The submission recognise</w:t>
      </w:r>
      <w:r w:rsidR="002972C0">
        <w:t>d</w:t>
      </w:r>
      <w:r w:rsidRPr="00D74203">
        <w:t xml:space="preserve"> that the use of pembrolizumab in earlier lines of therapy require resources to ensure appropriate use in clinical practice.</w:t>
      </w:r>
    </w:p>
    <w:p w14:paraId="55F03EBB" w14:textId="34BD6A4C" w:rsidR="00164BC3" w:rsidRPr="00D74203" w:rsidRDefault="00164BC3" w:rsidP="00164BC3">
      <w:pPr>
        <w:pStyle w:val="3-BodyText"/>
      </w:pPr>
      <w:r w:rsidRPr="00D74203">
        <w:t>The sponsor proposed to develop materials to provide the latest information to clinical professionals and patients to support the identification and management of treatment-related adverse events</w:t>
      </w:r>
      <w:r w:rsidR="00375779">
        <w:t>,</w:t>
      </w:r>
      <w:r w:rsidRPr="00D74203">
        <w:t xml:space="preserve"> in particular immune-related adverse events. In addition, </w:t>
      </w:r>
      <w:r w:rsidR="00375779">
        <w:t xml:space="preserve">the </w:t>
      </w:r>
      <w:r w:rsidRPr="00D74203">
        <w:t xml:space="preserve">sponsor </w:t>
      </w:r>
      <w:r w:rsidR="00375779">
        <w:t xml:space="preserve">has </w:t>
      </w:r>
      <w:r w:rsidRPr="00D74203">
        <w:t xml:space="preserve">proposed to undertake a range of education activities. These </w:t>
      </w:r>
      <w:r w:rsidRPr="00D74203">
        <w:lastRenderedPageBreak/>
        <w:t>planned programs included face to face workshop sessions at major oncology clinician and nurse conferences.</w:t>
      </w:r>
    </w:p>
    <w:p w14:paraId="7CA37DAC" w14:textId="20AC2B99" w:rsidR="00164BC3" w:rsidRPr="00D74203" w:rsidRDefault="00164BC3" w:rsidP="00164BC3">
      <w:pPr>
        <w:pStyle w:val="3-BodyText"/>
      </w:pPr>
      <w:r w:rsidRPr="00D74203">
        <w:t xml:space="preserve">The sponsor proposed to use their existing 1800 medical information service to respond to questions from patients, carers and health care professionals regarding pembrolizumab in </w:t>
      </w:r>
      <w:r w:rsidR="005732B0">
        <w:t xml:space="preserve">LA </w:t>
      </w:r>
      <w:r w:rsidRPr="00D74203">
        <w:t>HNSCC.</w:t>
      </w:r>
    </w:p>
    <w:p w14:paraId="0ABA9689" w14:textId="77777777" w:rsidR="00164BC3" w:rsidRPr="00D74203" w:rsidRDefault="00164BC3" w:rsidP="00164BC3">
      <w:pPr>
        <w:pStyle w:val="4-SubsectionHeading"/>
      </w:pPr>
      <w:bookmarkStart w:id="130" w:name="_Toc22897649"/>
      <w:bookmarkStart w:id="131" w:name="_Toc205411823"/>
      <w:bookmarkStart w:id="132" w:name="_Toc206432643"/>
      <w:bookmarkStart w:id="133" w:name="_Toc209004712"/>
      <w:r w:rsidRPr="00D74203">
        <w:t>Financial Management – Risk Sharing Arrangements</w:t>
      </w:r>
      <w:bookmarkEnd w:id="130"/>
      <w:bookmarkEnd w:id="131"/>
      <w:bookmarkEnd w:id="132"/>
      <w:bookmarkEnd w:id="133"/>
    </w:p>
    <w:p w14:paraId="794B0E89" w14:textId="22CEC7FC" w:rsidR="001073C1" w:rsidRPr="00B82A32" w:rsidRDefault="00164BC3" w:rsidP="001073C1">
      <w:pPr>
        <w:pStyle w:val="3-BodyText"/>
      </w:pPr>
      <w:r w:rsidRPr="00D74203">
        <w:t>The submission request</w:t>
      </w:r>
      <w:r w:rsidR="006211FB">
        <w:t>ed</w:t>
      </w:r>
      <w:r w:rsidRPr="00D74203">
        <w:t xml:space="preserve"> amendment of the existing HNSCC </w:t>
      </w:r>
      <w:r w:rsidR="00851928">
        <w:t>risk sharing arrangement (</w:t>
      </w:r>
      <w:r w:rsidRPr="00D74203">
        <w:t>RSA</w:t>
      </w:r>
      <w:r w:rsidR="00851928">
        <w:t>)</w:t>
      </w:r>
      <w:r w:rsidRPr="00D74203">
        <w:t xml:space="preserve"> to account for the addition of treatment in an earlier line of therapy and the subsequent reduction in the number of patients that will require treatment in the recurrent/metastatic setting. </w:t>
      </w:r>
      <w:r w:rsidR="00A1503D" w:rsidRPr="00477630">
        <w:rPr>
          <w:iCs/>
        </w:rPr>
        <w:t>The evaluation considered that this was</w:t>
      </w:r>
      <w:r w:rsidR="00A1503D" w:rsidRPr="009C1632">
        <w:t xml:space="preserve"> </w:t>
      </w:r>
      <w:r w:rsidR="00A1503D" w:rsidRPr="00477630">
        <w:rPr>
          <w:iCs/>
        </w:rPr>
        <w:t>an</w:t>
      </w:r>
      <w:r w:rsidRPr="009C1632">
        <w:t xml:space="preserve"> appropriate method of managing residual risk across the indication. However, for this adjustment to be accurate, the </w:t>
      </w:r>
      <w:r w:rsidR="00142CB6" w:rsidRPr="00477630">
        <w:rPr>
          <w:iCs/>
        </w:rPr>
        <w:t xml:space="preserve">financial estimates will need to </w:t>
      </w:r>
      <w:r w:rsidR="00DD2749" w:rsidRPr="00477630">
        <w:rPr>
          <w:iCs/>
        </w:rPr>
        <w:t>accurately</w:t>
      </w:r>
      <w:r w:rsidR="00142CB6" w:rsidRPr="00477630">
        <w:rPr>
          <w:iCs/>
        </w:rPr>
        <w:t xml:space="preserve"> reflect the </w:t>
      </w:r>
      <w:r w:rsidR="00DD2749" w:rsidRPr="00477630">
        <w:rPr>
          <w:iCs/>
        </w:rPr>
        <w:t>likely use of pembrolizumab</w:t>
      </w:r>
      <w:r w:rsidR="00F65863">
        <w:rPr>
          <w:iCs/>
        </w:rPr>
        <w:t>/ nivolumab</w:t>
      </w:r>
      <w:r w:rsidR="00DD2749">
        <w:t xml:space="preserve"> </w:t>
      </w:r>
      <w:r w:rsidR="00DD2749" w:rsidRPr="00477630">
        <w:rPr>
          <w:iCs/>
        </w:rPr>
        <w:t>in the resectable and locally advanced setting and incorporate any relevant cost-offsets associated with immunotherapy in the recurrent/metastatic settin</w:t>
      </w:r>
      <w:r w:rsidR="00842736" w:rsidRPr="00477630">
        <w:rPr>
          <w:iCs/>
        </w:rPr>
        <w:t>g</w:t>
      </w:r>
      <w:r w:rsidR="00DD2749" w:rsidRPr="00477630">
        <w:rPr>
          <w:iCs/>
        </w:rPr>
        <w:t>.</w:t>
      </w:r>
      <w:r w:rsidR="00F65863">
        <w:rPr>
          <w:iCs/>
        </w:rPr>
        <w:t xml:space="preserve"> The pre-PBAC response provided this information. </w:t>
      </w:r>
    </w:p>
    <w:p w14:paraId="2FC08D4E" w14:textId="77777777" w:rsidR="00B82A32" w:rsidRPr="00DE49A7" w:rsidRDefault="00B82A32" w:rsidP="00B82A32">
      <w:pPr>
        <w:pStyle w:val="3-BodyText"/>
        <w:numPr>
          <w:ilvl w:val="0"/>
          <w:numId w:val="0"/>
        </w:numPr>
        <w:ind w:left="720"/>
      </w:pPr>
    </w:p>
    <w:bookmarkEnd w:id="100"/>
    <w:p w14:paraId="499D7E5B" w14:textId="5A816033" w:rsidR="008556CC" w:rsidRDefault="00B82A32" w:rsidP="00B82A32">
      <w:pPr>
        <w:ind w:firstLine="709"/>
        <w:rPr>
          <w:rFonts w:asciiTheme="minorHAnsi" w:hAnsiTheme="minorHAnsi"/>
          <w:i/>
        </w:rPr>
      </w:pPr>
      <w:r w:rsidRPr="00C33D30">
        <w:rPr>
          <w:rFonts w:asciiTheme="minorHAnsi" w:hAnsiTheme="minorHAnsi"/>
          <w:i/>
        </w:rPr>
        <w:t>For more detail on PBAC’s view, see section 7 PBAC outcome.</w:t>
      </w:r>
    </w:p>
    <w:p w14:paraId="083560ED" w14:textId="77777777" w:rsidR="002D332A" w:rsidRDefault="002D332A" w:rsidP="002D332A">
      <w:pPr>
        <w:keepNext/>
        <w:numPr>
          <w:ilvl w:val="0"/>
          <w:numId w:val="1"/>
        </w:numPr>
        <w:spacing w:before="240" w:after="120"/>
        <w:jc w:val="left"/>
        <w:outlineLvl w:val="0"/>
        <w:rPr>
          <w:rFonts w:asciiTheme="minorHAnsi" w:hAnsiTheme="minorHAnsi"/>
          <w:b/>
          <w:snapToGrid w:val="0"/>
          <w:sz w:val="32"/>
          <w:szCs w:val="32"/>
        </w:rPr>
      </w:pPr>
      <w:bookmarkStart w:id="134" w:name="_Hlk76381249"/>
      <w:bookmarkStart w:id="135" w:name="_Hlk76377955"/>
      <w:bookmarkStart w:id="136" w:name="_Hlk212458545"/>
      <w:bookmarkStart w:id="137" w:name="_Hlk212462496"/>
      <w:r w:rsidRPr="002D332A">
        <w:rPr>
          <w:rFonts w:asciiTheme="minorHAnsi" w:hAnsiTheme="minorHAnsi"/>
          <w:b/>
          <w:snapToGrid w:val="0"/>
          <w:sz w:val="32"/>
          <w:szCs w:val="32"/>
        </w:rPr>
        <w:t>PBAC Outcome</w:t>
      </w:r>
    </w:p>
    <w:p w14:paraId="5B9083DF" w14:textId="0DF12597" w:rsidR="00A823D8" w:rsidRPr="00DB128C" w:rsidRDefault="00A823D8" w:rsidP="0008300C">
      <w:pPr>
        <w:pStyle w:val="3-BodyText"/>
      </w:pPr>
      <w:r w:rsidRPr="007F53B3">
        <w:rPr>
          <w:snapToGrid w:val="0"/>
          <w:lang w:eastAsia="en-US"/>
        </w:rPr>
        <w:t xml:space="preserve">The PBAC recommended pembrolizumab for the treatment of </w:t>
      </w:r>
      <w:r w:rsidR="00F30C23" w:rsidRPr="00D74203">
        <w:t>resectable locally advanced head and neck squamous cell carcinoma (LA HNSCC)</w:t>
      </w:r>
      <w:r w:rsidRPr="007F53B3">
        <w:rPr>
          <w:snapToGrid w:val="0"/>
          <w:lang w:eastAsia="en-US"/>
        </w:rPr>
        <w:t xml:space="preserve">. The PBAC considered </w:t>
      </w:r>
      <w:r w:rsidR="00777C46">
        <w:rPr>
          <w:snapToGrid w:val="0"/>
          <w:lang w:eastAsia="en-US"/>
        </w:rPr>
        <w:t>that pembrolizumab</w:t>
      </w:r>
      <w:r w:rsidR="00777C46" w:rsidRPr="00777C46">
        <w:rPr>
          <w:iCs/>
        </w:rPr>
        <w:t xml:space="preserve"> </w:t>
      </w:r>
      <w:r w:rsidR="00777C46">
        <w:rPr>
          <w:iCs/>
        </w:rPr>
        <w:t>co</w:t>
      </w:r>
      <w:r w:rsidR="00CC6FEC">
        <w:rPr>
          <w:iCs/>
        </w:rPr>
        <w:t>mmenced as</w:t>
      </w:r>
      <w:r w:rsidR="00777C46" w:rsidRPr="00477630">
        <w:rPr>
          <w:iCs/>
        </w:rPr>
        <w:t xml:space="preserve"> neoadjuvant treatment (prior to surgical resection), followed by</w:t>
      </w:r>
      <w:r w:rsidR="00777C46">
        <w:t xml:space="preserve"> </w:t>
      </w:r>
      <w:r w:rsidR="00777C46" w:rsidRPr="00D74203">
        <w:t>adjuvant treatment (</w:t>
      </w:r>
      <w:r w:rsidR="00777C46" w:rsidRPr="00477630">
        <w:rPr>
          <w:iCs/>
        </w:rPr>
        <w:t>after</w:t>
      </w:r>
      <w:r w:rsidR="00777C46" w:rsidRPr="00D74203">
        <w:t xml:space="preserve"> </w:t>
      </w:r>
      <w:r w:rsidR="00777C46" w:rsidRPr="00477630">
        <w:rPr>
          <w:iCs/>
        </w:rPr>
        <w:t>surgical resection</w:t>
      </w:r>
      <w:r w:rsidR="00777C46" w:rsidRPr="00D74203">
        <w:t>) in combination with radiotherapy</w:t>
      </w:r>
      <w:r w:rsidR="00777C46">
        <w:t>,</w:t>
      </w:r>
      <w:r w:rsidR="00777C46" w:rsidRPr="00D74203">
        <w:t xml:space="preserve"> with or without chemotherapy, and </w:t>
      </w:r>
      <w:r w:rsidR="00777C46" w:rsidRPr="00477630">
        <w:rPr>
          <w:iCs/>
        </w:rPr>
        <w:t>subsequently as monotherapy</w:t>
      </w:r>
      <w:r w:rsidR="00777C46">
        <w:t xml:space="preserve"> (</w:t>
      </w:r>
      <w:proofErr w:type="spellStart"/>
      <w:r w:rsidR="00777C46">
        <w:t>PEM+SoC</w:t>
      </w:r>
      <w:proofErr w:type="spellEnd"/>
      <w:r w:rsidR="00777C46">
        <w:t>)</w:t>
      </w:r>
      <w:r w:rsidR="00CC6FEC">
        <w:t xml:space="preserve">, improved event free </w:t>
      </w:r>
      <w:r w:rsidR="00E66BA9">
        <w:t>survival</w:t>
      </w:r>
      <w:r w:rsidR="00CC6FEC">
        <w:t xml:space="preserve"> </w:t>
      </w:r>
      <w:r w:rsidR="00E66BA9">
        <w:t xml:space="preserve">(EFS) </w:t>
      </w:r>
      <w:r w:rsidR="00CC6FEC">
        <w:t>compared to standard of care (SoC)</w:t>
      </w:r>
      <w:r w:rsidR="00E66BA9">
        <w:t xml:space="preserve"> alone. </w:t>
      </w:r>
      <w:r w:rsidR="00EF220C">
        <w:rPr>
          <w:snapToGrid w:val="0"/>
          <w:lang w:eastAsia="en-US"/>
        </w:rPr>
        <w:t>T</w:t>
      </w:r>
      <w:r w:rsidRPr="00EF220C">
        <w:rPr>
          <w:snapToGrid w:val="0"/>
          <w:lang w:eastAsia="en-US"/>
        </w:rPr>
        <w:t xml:space="preserve">he PBAC noted that the </w:t>
      </w:r>
      <w:r w:rsidR="00EF220C">
        <w:rPr>
          <w:snapToGrid w:val="0"/>
          <w:lang w:eastAsia="en-US"/>
        </w:rPr>
        <w:t>overall survival</w:t>
      </w:r>
      <w:r w:rsidR="00562ABD">
        <w:rPr>
          <w:snapToGrid w:val="0"/>
          <w:lang w:eastAsia="en-US"/>
        </w:rPr>
        <w:t xml:space="preserve"> (OS)</w:t>
      </w:r>
      <w:r w:rsidRPr="00EF220C">
        <w:rPr>
          <w:snapToGrid w:val="0"/>
          <w:lang w:eastAsia="en-US"/>
        </w:rPr>
        <w:t xml:space="preserve"> data were </w:t>
      </w:r>
      <w:r w:rsidR="001D7420" w:rsidRPr="00EF220C">
        <w:rPr>
          <w:snapToGrid w:val="0"/>
          <w:lang w:eastAsia="en-US"/>
        </w:rPr>
        <w:t>immature</w:t>
      </w:r>
      <w:r w:rsidRPr="00EF220C">
        <w:rPr>
          <w:snapToGrid w:val="0"/>
          <w:lang w:eastAsia="en-US"/>
        </w:rPr>
        <w:t xml:space="preserve"> and </w:t>
      </w:r>
      <w:r w:rsidR="0017730D">
        <w:rPr>
          <w:snapToGrid w:val="0"/>
          <w:lang w:eastAsia="en-US"/>
        </w:rPr>
        <w:t xml:space="preserve">the </w:t>
      </w:r>
      <w:r w:rsidR="0017730D" w:rsidRPr="0017730D">
        <w:rPr>
          <w:rFonts w:eastAsia="Calibri"/>
        </w:rPr>
        <w:t>OS estimates from</w:t>
      </w:r>
      <w:r w:rsidR="007728F4">
        <w:rPr>
          <w:rFonts w:eastAsia="Calibri"/>
        </w:rPr>
        <w:t xml:space="preserve"> the</w:t>
      </w:r>
      <w:r w:rsidR="0017730D" w:rsidRPr="0017730D">
        <w:rPr>
          <w:rFonts w:eastAsia="Calibri"/>
        </w:rPr>
        <w:t xml:space="preserve"> </w:t>
      </w:r>
      <w:r w:rsidR="0008300C">
        <w:rPr>
          <w:rFonts w:eastAsia="Calibri"/>
        </w:rPr>
        <w:t>key clinical trial (</w:t>
      </w:r>
      <w:r w:rsidR="0017730D" w:rsidRPr="0017730D">
        <w:rPr>
          <w:rFonts w:eastAsia="Calibri"/>
        </w:rPr>
        <w:t>K</w:t>
      </w:r>
      <w:r w:rsidR="0008300C">
        <w:rPr>
          <w:rFonts w:eastAsia="Calibri"/>
        </w:rPr>
        <w:t>EYNOTE-</w:t>
      </w:r>
      <w:r w:rsidR="0017730D" w:rsidRPr="0017730D">
        <w:rPr>
          <w:rFonts w:eastAsia="Calibri"/>
        </w:rPr>
        <w:t>689</w:t>
      </w:r>
      <w:r w:rsidR="0008300C">
        <w:rPr>
          <w:rFonts w:eastAsia="Calibri"/>
        </w:rPr>
        <w:t>)</w:t>
      </w:r>
      <w:r w:rsidR="0017730D" w:rsidRPr="0017730D">
        <w:rPr>
          <w:rFonts w:eastAsia="Calibri"/>
        </w:rPr>
        <w:t xml:space="preserve"> may not reflect Australian clinical practice,</w:t>
      </w:r>
      <w:r w:rsidR="004849FF">
        <w:rPr>
          <w:rFonts w:eastAsia="Calibri"/>
        </w:rPr>
        <w:t xml:space="preserve"> as </w:t>
      </w:r>
      <w:r w:rsidR="0008300C" w:rsidRPr="00DE78BC">
        <w:rPr>
          <w:snapToGrid w:val="0"/>
          <w:lang w:eastAsia="en-US"/>
        </w:rPr>
        <w:t>the proportion of patients in the SoC arm who experienced disease progression/recurrence and subsequently received immunotherapy was lower than expected in the Australian setting</w:t>
      </w:r>
      <w:r w:rsidR="0008300C">
        <w:t xml:space="preserve"> </w:t>
      </w:r>
      <w:r w:rsidR="0017730D" w:rsidRPr="0008300C">
        <w:rPr>
          <w:rFonts w:eastAsia="Calibri"/>
        </w:rPr>
        <w:t xml:space="preserve">and </w:t>
      </w:r>
      <w:r w:rsidR="00635A68">
        <w:rPr>
          <w:rFonts w:eastAsia="Calibri"/>
        </w:rPr>
        <w:t>therefore</w:t>
      </w:r>
      <w:r w:rsidR="0017730D" w:rsidRPr="0008300C">
        <w:rPr>
          <w:rFonts w:eastAsia="Calibri"/>
        </w:rPr>
        <w:t xml:space="preserve"> the proposed comparative survival gain will have been overestimated.</w:t>
      </w:r>
      <w:r w:rsidR="0008300C">
        <w:t xml:space="preserve"> </w:t>
      </w:r>
      <w:r w:rsidRPr="0008300C">
        <w:rPr>
          <w:snapToGrid w:val="0"/>
          <w:lang w:eastAsia="en-US"/>
        </w:rPr>
        <w:t xml:space="preserve">The PBAC accepted that </w:t>
      </w:r>
      <w:r w:rsidR="00EC4A4D" w:rsidRPr="0008300C">
        <w:rPr>
          <w:snapToGrid w:val="0"/>
          <w:lang w:eastAsia="en-US"/>
        </w:rPr>
        <w:t>the respecified base case</w:t>
      </w:r>
      <w:r w:rsidRPr="0008300C">
        <w:rPr>
          <w:snapToGrid w:val="0"/>
          <w:lang w:eastAsia="en-US"/>
        </w:rPr>
        <w:t xml:space="preserve"> </w:t>
      </w:r>
      <w:r w:rsidR="003715E6" w:rsidRPr="0008300C">
        <w:rPr>
          <w:snapToGrid w:val="0"/>
          <w:lang w:eastAsia="en-US"/>
        </w:rPr>
        <w:t>of</w:t>
      </w:r>
      <w:r w:rsidRPr="0008300C">
        <w:rPr>
          <w:snapToGrid w:val="0"/>
          <w:lang w:eastAsia="en-US"/>
        </w:rPr>
        <w:t xml:space="preserve"> the economic model</w:t>
      </w:r>
      <w:r w:rsidR="00FB7259" w:rsidRPr="0008300C">
        <w:rPr>
          <w:snapToGrid w:val="0"/>
          <w:lang w:eastAsia="en-US"/>
        </w:rPr>
        <w:t xml:space="preserve"> provided</w:t>
      </w:r>
      <w:r w:rsidRPr="0008300C">
        <w:rPr>
          <w:snapToGrid w:val="0"/>
          <w:lang w:eastAsia="en-US"/>
        </w:rPr>
        <w:t xml:space="preserve"> in the pre-PBAC </w:t>
      </w:r>
      <w:r w:rsidR="00F96DD7">
        <w:rPr>
          <w:snapToGrid w:val="0"/>
          <w:lang w:eastAsia="en-US"/>
        </w:rPr>
        <w:t>R</w:t>
      </w:r>
      <w:r w:rsidR="00EC4A4D" w:rsidRPr="0008300C">
        <w:rPr>
          <w:snapToGrid w:val="0"/>
          <w:lang w:eastAsia="en-US"/>
        </w:rPr>
        <w:t>esponse</w:t>
      </w:r>
      <w:r w:rsidRPr="0008300C">
        <w:rPr>
          <w:snapToGrid w:val="0"/>
          <w:lang w:eastAsia="en-US"/>
        </w:rPr>
        <w:t xml:space="preserve"> had provided greater </w:t>
      </w:r>
      <w:r w:rsidR="00FB7259" w:rsidRPr="0008300C">
        <w:rPr>
          <w:snapToGrid w:val="0"/>
          <w:lang w:eastAsia="en-US"/>
        </w:rPr>
        <w:t>certainty</w:t>
      </w:r>
      <w:r w:rsidRPr="0008300C">
        <w:rPr>
          <w:snapToGrid w:val="0"/>
          <w:lang w:eastAsia="en-US"/>
        </w:rPr>
        <w:t xml:space="preserve"> and that pembrolizumab was </w:t>
      </w:r>
      <w:r w:rsidR="00884B5C">
        <w:rPr>
          <w:snapToGrid w:val="0"/>
          <w:lang w:eastAsia="en-US"/>
        </w:rPr>
        <w:t xml:space="preserve">likely </w:t>
      </w:r>
      <w:r w:rsidRPr="0008300C">
        <w:rPr>
          <w:snapToGrid w:val="0"/>
          <w:lang w:eastAsia="en-US"/>
        </w:rPr>
        <w:t xml:space="preserve">cost-effective at the reduced price proposed in the Response. The PBAC considered that the financial estimates </w:t>
      </w:r>
      <w:r w:rsidR="00175648">
        <w:rPr>
          <w:snapToGrid w:val="0"/>
          <w:lang w:eastAsia="en-US"/>
        </w:rPr>
        <w:t xml:space="preserve">provided with the pre-PBAC </w:t>
      </w:r>
      <w:r w:rsidR="00BD7898">
        <w:rPr>
          <w:snapToGrid w:val="0"/>
          <w:lang w:eastAsia="en-US"/>
        </w:rPr>
        <w:t>R</w:t>
      </w:r>
      <w:r w:rsidR="00175648">
        <w:rPr>
          <w:snapToGrid w:val="0"/>
          <w:lang w:eastAsia="en-US"/>
        </w:rPr>
        <w:t xml:space="preserve">esponse were </w:t>
      </w:r>
      <w:r w:rsidR="002F41E0">
        <w:rPr>
          <w:snapToGrid w:val="0"/>
          <w:lang w:eastAsia="en-US"/>
        </w:rPr>
        <w:t xml:space="preserve">appropriate but </w:t>
      </w:r>
      <w:r w:rsidRPr="0008300C">
        <w:rPr>
          <w:snapToGrid w:val="0"/>
          <w:lang w:eastAsia="en-US"/>
        </w:rPr>
        <w:t xml:space="preserve">required further </w:t>
      </w:r>
      <w:r w:rsidR="002F41E0">
        <w:rPr>
          <w:snapToGrid w:val="0"/>
          <w:lang w:eastAsia="en-US"/>
        </w:rPr>
        <w:t xml:space="preserve">revision to </w:t>
      </w:r>
      <w:r w:rsidR="00DA2B12" w:rsidRPr="001B0980">
        <w:t>incorporate</w:t>
      </w:r>
      <w:r w:rsidR="005B7EF5">
        <w:t xml:space="preserve"> offsets </w:t>
      </w:r>
      <w:r w:rsidR="00FC2475">
        <w:t>to account for patient</w:t>
      </w:r>
      <w:r w:rsidR="00E76050">
        <w:t>s</w:t>
      </w:r>
      <w:r w:rsidR="00FC2475">
        <w:t xml:space="preserve"> who do not progress </w:t>
      </w:r>
      <w:r w:rsidR="00DA2B12" w:rsidRPr="001B0980">
        <w:t xml:space="preserve">as a result </w:t>
      </w:r>
      <w:r w:rsidR="00DA2B12">
        <w:t>of treatment with pembrolizumab in the LA setting</w:t>
      </w:r>
    </w:p>
    <w:p w14:paraId="0BA28B9B" w14:textId="4FF4B765" w:rsidR="00560FB0" w:rsidRPr="004A67DF" w:rsidRDefault="00DB128C" w:rsidP="00560FB0">
      <w:pPr>
        <w:pStyle w:val="3-BodyText"/>
      </w:pPr>
      <w:r>
        <w:rPr>
          <w:snapToGrid w:val="0"/>
          <w:lang w:eastAsia="en-US"/>
        </w:rPr>
        <w:t xml:space="preserve">The PBAC </w:t>
      </w:r>
      <w:r w:rsidR="004D2D12">
        <w:rPr>
          <w:snapToGrid w:val="0"/>
          <w:lang w:eastAsia="en-US"/>
        </w:rPr>
        <w:t>noted</w:t>
      </w:r>
      <w:r>
        <w:rPr>
          <w:snapToGrid w:val="0"/>
          <w:lang w:eastAsia="en-US"/>
        </w:rPr>
        <w:t xml:space="preserve"> the consumer comments from </w:t>
      </w:r>
      <w:r w:rsidR="004D76BB">
        <w:rPr>
          <w:snapToGrid w:val="0"/>
          <w:lang w:eastAsia="en-US"/>
        </w:rPr>
        <w:t xml:space="preserve">individuals, health care professionals and </w:t>
      </w:r>
      <w:r w:rsidR="004D76BB">
        <w:rPr>
          <w:bCs/>
          <w:snapToGrid w:val="0"/>
          <w:lang w:eastAsia="en-US"/>
        </w:rPr>
        <w:t>Head and Neck Cancer Australia</w:t>
      </w:r>
      <w:r w:rsidR="005502CD">
        <w:rPr>
          <w:bCs/>
          <w:snapToGrid w:val="0"/>
          <w:lang w:eastAsia="en-US"/>
        </w:rPr>
        <w:t xml:space="preserve">, </w:t>
      </w:r>
      <w:r w:rsidR="004D76BB">
        <w:rPr>
          <w:bCs/>
          <w:snapToGrid w:val="0"/>
          <w:lang w:eastAsia="en-US"/>
        </w:rPr>
        <w:t>Rare Cancers Australia</w:t>
      </w:r>
      <w:r w:rsidR="00E5275E">
        <w:rPr>
          <w:bCs/>
          <w:snapToGrid w:val="0"/>
          <w:lang w:eastAsia="en-US"/>
        </w:rPr>
        <w:t>,</w:t>
      </w:r>
      <w:r w:rsidR="004D76BB">
        <w:rPr>
          <w:bCs/>
          <w:snapToGrid w:val="0"/>
          <w:lang w:eastAsia="en-US"/>
        </w:rPr>
        <w:t xml:space="preserve"> and the </w:t>
      </w:r>
      <w:r w:rsidR="004D76BB" w:rsidRPr="002E7B9E">
        <w:rPr>
          <w:bCs/>
          <w:snapToGrid w:val="0"/>
          <w:lang w:eastAsia="en-US"/>
        </w:rPr>
        <w:t>Medical Oncology Group of Australia (MOGA)</w:t>
      </w:r>
      <w:r w:rsidR="005502CD">
        <w:rPr>
          <w:bCs/>
          <w:snapToGrid w:val="0"/>
          <w:lang w:eastAsia="en-US"/>
        </w:rPr>
        <w:t xml:space="preserve"> were supportive of the proposed listing. </w:t>
      </w:r>
      <w:r w:rsidR="00DA7DA2">
        <w:rPr>
          <w:bCs/>
          <w:snapToGrid w:val="0"/>
          <w:lang w:eastAsia="en-US"/>
        </w:rPr>
        <w:t>The PBAC noted the input describ</w:t>
      </w:r>
      <w:r w:rsidR="00260D16">
        <w:rPr>
          <w:bCs/>
          <w:snapToGrid w:val="0"/>
          <w:lang w:eastAsia="en-US"/>
        </w:rPr>
        <w:t>ed</w:t>
      </w:r>
      <w:r w:rsidR="00DA7DA2">
        <w:rPr>
          <w:bCs/>
          <w:snapToGrid w:val="0"/>
          <w:lang w:eastAsia="en-US"/>
        </w:rPr>
        <w:t xml:space="preserve"> the </w:t>
      </w:r>
      <w:r w:rsidR="00DA7DA2" w:rsidRPr="008F357C">
        <w:rPr>
          <w:bCs/>
          <w:snapToGrid w:val="0"/>
          <w:lang w:val="en-GB" w:eastAsia="en-US"/>
        </w:rPr>
        <w:t xml:space="preserve">significant morbidity </w:t>
      </w:r>
      <w:r w:rsidR="00DA7DA2">
        <w:rPr>
          <w:bCs/>
          <w:snapToGrid w:val="0"/>
          <w:lang w:val="en-GB" w:eastAsia="en-US"/>
        </w:rPr>
        <w:t xml:space="preserve">experienced by patients </w:t>
      </w:r>
      <w:r w:rsidR="00DA7DA2" w:rsidRPr="008F357C">
        <w:rPr>
          <w:bCs/>
          <w:snapToGrid w:val="0"/>
          <w:lang w:val="en-GB" w:eastAsia="en-US"/>
        </w:rPr>
        <w:t xml:space="preserve">both </w:t>
      </w:r>
      <w:r w:rsidR="00DA7DA2" w:rsidRPr="008F357C">
        <w:rPr>
          <w:bCs/>
          <w:snapToGrid w:val="0"/>
          <w:lang w:val="en-GB" w:eastAsia="en-US"/>
        </w:rPr>
        <w:lastRenderedPageBreak/>
        <w:t>before and after surger</w:t>
      </w:r>
      <w:r w:rsidR="00DA7DA2">
        <w:rPr>
          <w:bCs/>
          <w:snapToGrid w:val="0"/>
          <w:lang w:val="en-GB" w:eastAsia="en-US"/>
        </w:rPr>
        <w:t>y, which includes</w:t>
      </w:r>
      <w:r w:rsidR="00DA7DA2" w:rsidRPr="008F357C">
        <w:rPr>
          <w:bCs/>
          <w:snapToGrid w:val="0"/>
          <w:lang w:val="en-GB" w:eastAsia="en-US"/>
        </w:rPr>
        <w:t xml:space="preserve"> </w:t>
      </w:r>
      <w:r w:rsidR="00DA7DA2" w:rsidRPr="00446615">
        <w:rPr>
          <w:bCs/>
          <w:snapToGrid w:val="0"/>
          <w:lang w:eastAsia="en-US"/>
        </w:rPr>
        <w:t xml:space="preserve">severe disfigurement, loss of vision, and </w:t>
      </w:r>
      <w:r w:rsidR="00DA7DA2">
        <w:rPr>
          <w:bCs/>
          <w:snapToGrid w:val="0"/>
          <w:lang w:eastAsia="en-US"/>
        </w:rPr>
        <w:t>impairments in</w:t>
      </w:r>
      <w:r w:rsidR="00DA7DA2" w:rsidRPr="00446615">
        <w:rPr>
          <w:bCs/>
          <w:snapToGrid w:val="0"/>
          <w:lang w:eastAsia="en-US"/>
        </w:rPr>
        <w:t xml:space="preserve"> </w:t>
      </w:r>
      <w:r w:rsidR="00DA7DA2">
        <w:rPr>
          <w:bCs/>
          <w:snapToGrid w:val="0"/>
          <w:lang w:eastAsia="en-US"/>
        </w:rPr>
        <w:t xml:space="preserve">the ability to </w:t>
      </w:r>
      <w:r w:rsidR="00DA7DA2" w:rsidRPr="00446615">
        <w:rPr>
          <w:bCs/>
          <w:snapToGrid w:val="0"/>
          <w:lang w:eastAsia="en-US"/>
        </w:rPr>
        <w:t>swallow, speak, eat, or drin</w:t>
      </w:r>
      <w:r w:rsidR="00DA7DA2">
        <w:rPr>
          <w:bCs/>
          <w:snapToGrid w:val="0"/>
          <w:lang w:eastAsia="en-US"/>
        </w:rPr>
        <w:t xml:space="preserve">k, </w:t>
      </w:r>
      <w:r w:rsidR="0056129C">
        <w:rPr>
          <w:bCs/>
          <w:snapToGrid w:val="0"/>
          <w:lang w:eastAsia="en-US"/>
        </w:rPr>
        <w:t xml:space="preserve">which </w:t>
      </w:r>
      <w:r w:rsidR="00DA7DA2">
        <w:rPr>
          <w:bCs/>
          <w:snapToGrid w:val="0"/>
          <w:lang w:eastAsia="en-US"/>
        </w:rPr>
        <w:t>profoundly</w:t>
      </w:r>
      <w:r w:rsidR="00DA7DA2" w:rsidRPr="00446615">
        <w:rPr>
          <w:bCs/>
          <w:snapToGrid w:val="0"/>
          <w:lang w:eastAsia="en-US"/>
        </w:rPr>
        <w:t xml:space="preserve"> affect both the physical and mental wellbeing of patients.</w:t>
      </w:r>
      <w:r w:rsidR="00DA7DA2">
        <w:rPr>
          <w:bCs/>
          <w:snapToGrid w:val="0"/>
          <w:lang w:eastAsia="en-US"/>
        </w:rPr>
        <w:t xml:space="preserve"> </w:t>
      </w:r>
      <w:r w:rsidR="002714E9" w:rsidRPr="0056129C">
        <w:rPr>
          <w:bCs/>
          <w:snapToGrid w:val="0"/>
          <w:lang w:eastAsia="en-US"/>
        </w:rPr>
        <w:t>The PBAC agreed</w:t>
      </w:r>
      <w:r w:rsidR="00385EDB" w:rsidRPr="0056129C">
        <w:rPr>
          <w:bCs/>
          <w:snapToGrid w:val="0"/>
          <w:lang w:eastAsia="en-US"/>
        </w:rPr>
        <w:t xml:space="preserve"> </w:t>
      </w:r>
      <w:r w:rsidR="002714E9" w:rsidRPr="0056129C">
        <w:rPr>
          <w:bCs/>
          <w:snapToGrid w:val="0"/>
          <w:lang w:eastAsia="en-US"/>
        </w:rPr>
        <w:t xml:space="preserve">that there is </w:t>
      </w:r>
      <w:r w:rsidR="00385EDB" w:rsidRPr="0056129C">
        <w:rPr>
          <w:bCs/>
          <w:snapToGrid w:val="0"/>
          <w:lang w:eastAsia="en-US"/>
        </w:rPr>
        <w:t xml:space="preserve">high clinical need for </w:t>
      </w:r>
      <w:r w:rsidR="001151C0" w:rsidRPr="0056129C">
        <w:rPr>
          <w:bCs/>
          <w:snapToGrid w:val="0"/>
          <w:lang w:eastAsia="en-US"/>
        </w:rPr>
        <w:t>patients living with HNSCC</w:t>
      </w:r>
      <w:r w:rsidR="0056129C">
        <w:rPr>
          <w:bCs/>
          <w:snapToGrid w:val="0"/>
          <w:lang w:eastAsia="en-US"/>
        </w:rPr>
        <w:t xml:space="preserve">, noting the </w:t>
      </w:r>
      <w:r w:rsidR="00166F02">
        <w:rPr>
          <w:bCs/>
          <w:snapToGrid w:val="0"/>
          <w:lang w:eastAsia="en-US"/>
        </w:rPr>
        <w:t xml:space="preserve">poor clinical outcomes and </w:t>
      </w:r>
      <w:r w:rsidR="005B74A3">
        <w:rPr>
          <w:bCs/>
          <w:snapToGrid w:val="0"/>
          <w:lang w:eastAsia="en-US"/>
        </w:rPr>
        <w:t xml:space="preserve">severe complications </w:t>
      </w:r>
      <w:r w:rsidR="00166F02">
        <w:rPr>
          <w:bCs/>
          <w:snapToGrid w:val="0"/>
          <w:lang w:eastAsia="en-US"/>
        </w:rPr>
        <w:t>associated with current SoC</w:t>
      </w:r>
      <w:r w:rsidR="001151C0" w:rsidRPr="0056129C">
        <w:rPr>
          <w:bCs/>
          <w:snapToGrid w:val="0"/>
          <w:lang w:eastAsia="en-US"/>
        </w:rPr>
        <w:t>.</w:t>
      </w:r>
      <w:r w:rsidR="00A97B46">
        <w:rPr>
          <w:bCs/>
          <w:snapToGrid w:val="0"/>
          <w:lang w:eastAsia="en-US"/>
        </w:rPr>
        <w:t xml:space="preserve"> </w:t>
      </w:r>
      <w:r w:rsidR="00E15DF2">
        <w:rPr>
          <w:bCs/>
          <w:snapToGrid w:val="0"/>
          <w:lang w:eastAsia="en-US"/>
        </w:rPr>
        <w:t>The PBAC noted comments describing the clinical meaningfulness of perioperative treatment with pembrolizumab providing the potential</w:t>
      </w:r>
      <w:r w:rsidR="008F4526">
        <w:rPr>
          <w:bCs/>
          <w:snapToGrid w:val="0"/>
          <w:lang w:eastAsia="en-US"/>
        </w:rPr>
        <w:t xml:space="preserve"> for</w:t>
      </w:r>
      <w:r w:rsidR="00E15DF2">
        <w:rPr>
          <w:bCs/>
          <w:snapToGrid w:val="0"/>
          <w:lang w:eastAsia="en-US"/>
        </w:rPr>
        <w:t xml:space="preserve"> a reduced risk of recurrence and morbidity associated with current SoC by minimising surgical invasiveness and reducing the intensity of adjuvant chemoradiotherapy. </w:t>
      </w:r>
      <w:r w:rsidR="00E15DF2" w:rsidRPr="0056129C">
        <w:rPr>
          <w:bCs/>
          <w:snapToGrid w:val="0"/>
          <w:lang w:eastAsia="en-US"/>
        </w:rPr>
        <w:t xml:space="preserve"> </w:t>
      </w:r>
    </w:p>
    <w:p w14:paraId="1E8C3B82" w14:textId="6C3A8C34" w:rsidR="004A67DF" w:rsidRDefault="004947B7" w:rsidP="00560FB0">
      <w:pPr>
        <w:pStyle w:val="3-BodyText"/>
      </w:pPr>
      <w:r>
        <w:t xml:space="preserve">In relation to the </w:t>
      </w:r>
      <w:r w:rsidR="00D32C44">
        <w:t xml:space="preserve">proposed listing and </w:t>
      </w:r>
      <w:r>
        <w:t xml:space="preserve">restriction, the PBAC </w:t>
      </w:r>
      <w:r w:rsidR="00D32C44">
        <w:t>advised</w:t>
      </w:r>
      <w:r>
        <w:t xml:space="preserve"> the following:</w:t>
      </w:r>
    </w:p>
    <w:p w14:paraId="5CC0591F" w14:textId="03A0366A" w:rsidR="00285D7B" w:rsidRPr="00CA6E01" w:rsidRDefault="0058775F" w:rsidP="009E6E53">
      <w:pPr>
        <w:pStyle w:val="3-BodyText"/>
        <w:numPr>
          <w:ilvl w:val="0"/>
          <w:numId w:val="25"/>
        </w:numPr>
        <w:ind w:left="1276"/>
      </w:pPr>
      <w:r>
        <w:t>T</w:t>
      </w:r>
      <w:r w:rsidR="00AA2564" w:rsidRPr="00AA2564">
        <w:t xml:space="preserve">he inclusion of Stage IVB patients in the proposed restriction </w:t>
      </w:r>
      <w:r>
        <w:t>is</w:t>
      </w:r>
      <w:r w:rsidR="00244DC1">
        <w:t xml:space="preserve"> likely</w:t>
      </w:r>
      <w:r w:rsidR="00AA2564" w:rsidRPr="00AA2564">
        <w:t xml:space="preserve"> reasonable</w:t>
      </w:r>
      <w:r w:rsidR="00285D7B">
        <w:t>, noting that</w:t>
      </w:r>
      <w:r w:rsidR="00285D7B" w:rsidRPr="00285D7B">
        <w:t xml:space="preserve"> </w:t>
      </w:r>
      <w:r w:rsidR="00285D7B" w:rsidRPr="00CA6E01">
        <w:t>a</w:t>
      </w:r>
      <w:r w:rsidR="001B6ED6">
        <w:t xml:space="preserve"> small </w:t>
      </w:r>
      <w:r w:rsidR="00285D7B" w:rsidRPr="00CA6E01">
        <w:t>proportion</w:t>
      </w:r>
      <w:r w:rsidR="00285D7B">
        <w:t xml:space="preserve"> of these patients</w:t>
      </w:r>
      <w:r w:rsidR="00285D7B" w:rsidRPr="00CA6E01">
        <w:t xml:space="preserve"> will</w:t>
      </w:r>
      <w:r w:rsidR="002B5CF9">
        <w:t xml:space="preserve"> have</w:t>
      </w:r>
      <w:r w:rsidR="00244DC1">
        <w:t xml:space="preserve"> </w:t>
      </w:r>
      <w:proofErr w:type="spellStart"/>
      <w:r w:rsidR="00285D7B" w:rsidRPr="00CA6E01">
        <w:t>resectable</w:t>
      </w:r>
      <w:proofErr w:type="spellEnd"/>
      <w:r w:rsidR="002B5CF9">
        <w:t xml:space="preserve"> disease</w:t>
      </w:r>
      <w:r w:rsidR="0057420D">
        <w:t xml:space="preserve"> (paragraph </w:t>
      </w:r>
      <w:r w:rsidR="00762C3B">
        <w:fldChar w:fldCharType="begin"/>
      </w:r>
      <w:r w:rsidR="00762C3B">
        <w:instrText xml:space="preserve"> REF _Ref213684640 \r \h </w:instrText>
      </w:r>
      <w:r w:rsidR="00762C3B">
        <w:fldChar w:fldCharType="separate"/>
      </w:r>
      <w:r w:rsidR="0084087D">
        <w:t>3.7</w:t>
      </w:r>
      <w:r w:rsidR="00762C3B">
        <w:fldChar w:fldCharType="end"/>
      </w:r>
      <w:r w:rsidR="00762C3B">
        <w:t>)</w:t>
      </w:r>
      <w:r w:rsidR="00285D7B">
        <w:t>.</w:t>
      </w:r>
    </w:p>
    <w:p w14:paraId="7A00E97F" w14:textId="1A757D96" w:rsidR="00CA6E01" w:rsidRPr="00CA6E01" w:rsidRDefault="005F06F7" w:rsidP="009E6E53">
      <w:pPr>
        <w:pStyle w:val="3-BodyText"/>
        <w:numPr>
          <w:ilvl w:val="0"/>
          <w:numId w:val="25"/>
        </w:numPr>
        <w:ind w:left="1276"/>
      </w:pPr>
      <w:r>
        <w:t>In line with previous PBAC dec</w:t>
      </w:r>
      <w:r w:rsidRPr="006A232D">
        <w:t xml:space="preserve">isions, </w:t>
      </w:r>
      <w:r w:rsidR="006A232D" w:rsidRPr="006A232D">
        <w:t xml:space="preserve">not restricting treatment to patients expressing PD-L1 </w:t>
      </w:r>
      <w:r w:rsidR="000345FF">
        <w:t>remains</w:t>
      </w:r>
      <w:r w:rsidR="006A232D" w:rsidRPr="006A232D">
        <w:t xml:space="preserve"> appropriate</w:t>
      </w:r>
      <w:r w:rsidR="002D6761">
        <w:t xml:space="preserve"> (paragraph </w:t>
      </w:r>
      <w:r w:rsidR="002D6761">
        <w:fldChar w:fldCharType="begin"/>
      </w:r>
      <w:r w:rsidR="002D6761">
        <w:instrText xml:space="preserve"> REF _Ref213685341 \r \h </w:instrText>
      </w:r>
      <w:r w:rsidR="002D6761">
        <w:fldChar w:fldCharType="separate"/>
      </w:r>
      <w:r w:rsidR="0084087D">
        <w:t>3.9</w:t>
      </w:r>
      <w:r w:rsidR="002D6761">
        <w:fldChar w:fldCharType="end"/>
      </w:r>
      <w:r w:rsidR="002D6761">
        <w:t>)</w:t>
      </w:r>
      <w:r w:rsidR="006A232D">
        <w:t xml:space="preserve">. </w:t>
      </w:r>
    </w:p>
    <w:p w14:paraId="5CAEC220" w14:textId="7A3A4B34" w:rsidR="00E04FF0" w:rsidRDefault="00E04FF0" w:rsidP="009E6E53">
      <w:pPr>
        <w:pStyle w:val="3-BodyText"/>
        <w:numPr>
          <w:ilvl w:val="0"/>
          <w:numId w:val="25"/>
        </w:numPr>
        <w:ind w:left="1276"/>
      </w:pPr>
      <w:r w:rsidRPr="00B55A16">
        <w:t xml:space="preserve">The exclusion of tumours in the nasopharyngeal, sinus, or other para-nasal regions from the proposed PBS population </w:t>
      </w:r>
      <w:r w:rsidR="00A25A14">
        <w:rPr>
          <w:iCs/>
        </w:rPr>
        <w:t>wa</w:t>
      </w:r>
      <w:r>
        <w:rPr>
          <w:iCs/>
        </w:rPr>
        <w:t>s</w:t>
      </w:r>
      <w:r w:rsidRPr="00B55A16">
        <w:t xml:space="preserve"> appropriate and consistent with the exclusion criteria of KN689 and with the current pembrolizumab listing for recurrent or metastatic HNSCC</w:t>
      </w:r>
      <w:r w:rsidR="00926991">
        <w:t xml:space="preserve"> (paragraph </w:t>
      </w:r>
      <w:r w:rsidR="00926991">
        <w:fldChar w:fldCharType="begin"/>
      </w:r>
      <w:r w:rsidR="00926991">
        <w:instrText xml:space="preserve"> REF _Ref213676543 \r \h </w:instrText>
      </w:r>
      <w:r w:rsidR="00926991">
        <w:fldChar w:fldCharType="separate"/>
      </w:r>
      <w:r w:rsidR="0084087D">
        <w:t>3.6</w:t>
      </w:r>
      <w:r w:rsidR="00926991">
        <w:fldChar w:fldCharType="end"/>
      </w:r>
      <w:r w:rsidR="00926991">
        <w:t>)</w:t>
      </w:r>
      <w:r w:rsidRPr="00B55A16">
        <w:t>.</w:t>
      </w:r>
      <w:r w:rsidRPr="00A01AE4">
        <w:t xml:space="preserve"> </w:t>
      </w:r>
    </w:p>
    <w:p w14:paraId="5F08D176" w14:textId="7FB5B783" w:rsidR="00A367A8" w:rsidRDefault="00391E89" w:rsidP="009E6E53">
      <w:pPr>
        <w:pStyle w:val="3-BodyText"/>
        <w:numPr>
          <w:ilvl w:val="0"/>
          <w:numId w:val="25"/>
        </w:numPr>
        <w:ind w:left="1276"/>
      </w:pPr>
      <w:r>
        <w:t xml:space="preserve">Revision to the wording of clinical criteria </w:t>
      </w:r>
      <w:r w:rsidR="00484833">
        <w:t>is</w:t>
      </w:r>
      <w:r>
        <w:t xml:space="preserve"> required to allow grandfathered patients who have received non-PBS </w:t>
      </w:r>
      <w:r w:rsidRPr="00A01AE4">
        <w:t>subsidised pembrolizumab to access PBS treatment</w:t>
      </w:r>
      <w:r>
        <w:t xml:space="preserve"> (paragraph </w:t>
      </w:r>
      <w:r>
        <w:fldChar w:fldCharType="begin"/>
      </w:r>
      <w:r>
        <w:instrText xml:space="preserve"> REF _Ref213675838 \r \h </w:instrText>
      </w:r>
      <w:r>
        <w:fldChar w:fldCharType="separate"/>
      </w:r>
      <w:r w:rsidR="0084087D">
        <w:t>3.4</w:t>
      </w:r>
      <w:r>
        <w:fldChar w:fldCharType="end"/>
      </w:r>
      <w:r>
        <w:t>)</w:t>
      </w:r>
      <w:r w:rsidRPr="00A01AE4">
        <w:t>.</w:t>
      </w:r>
    </w:p>
    <w:p w14:paraId="65095EE6" w14:textId="435D58CF" w:rsidR="00A367A8" w:rsidRDefault="00A367A8" w:rsidP="009E6E53">
      <w:pPr>
        <w:pStyle w:val="3-BodyText"/>
        <w:numPr>
          <w:ilvl w:val="0"/>
          <w:numId w:val="25"/>
        </w:numPr>
        <w:ind w:left="1276"/>
      </w:pPr>
      <w:r>
        <w:t xml:space="preserve">Flow on changes </w:t>
      </w:r>
      <w:r w:rsidR="00E32765">
        <w:t xml:space="preserve">may </w:t>
      </w:r>
      <w:r>
        <w:t xml:space="preserve">be required to </w:t>
      </w:r>
      <w:r w:rsidR="00022FDF">
        <w:t>the</w:t>
      </w:r>
      <w:r w:rsidR="00022FDF" w:rsidRPr="00022FDF">
        <w:t xml:space="preserve"> </w:t>
      </w:r>
      <w:r w:rsidR="00022FDF" w:rsidRPr="00D74203">
        <w:t xml:space="preserve">current pembrolizumab listing </w:t>
      </w:r>
      <w:r w:rsidR="00022FDF">
        <w:t xml:space="preserve">and nivolumab listing </w:t>
      </w:r>
      <w:r w:rsidR="00022FDF" w:rsidRPr="00D74203">
        <w:t xml:space="preserve">for recurrent/metastatic HNSCC to preclude retreatment </w:t>
      </w:r>
      <w:r w:rsidR="00022FDF" w:rsidRPr="00477630">
        <w:rPr>
          <w:iCs/>
        </w:rPr>
        <w:t>with a programmed cell death 1 (PD-1) inhibitor</w:t>
      </w:r>
      <w:r w:rsidR="00022FDF">
        <w:t xml:space="preserve">, in line with the “once per lifetime” rule (paragraph </w:t>
      </w:r>
      <w:r w:rsidR="00022FDF">
        <w:fldChar w:fldCharType="begin"/>
      </w:r>
      <w:r w:rsidR="00022FDF">
        <w:instrText xml:space="preserve"> REF _Ref213686046 \r \h </w:instrText>
      </w:r>
      <w:r w:rsidR="00022FDF">
        <w:fldChar w:fldCharType="separate"/>
      </w:r>
      <w:r w:rsidR="0084087D">
        <w:t>3.10</w:t>
      </w:r>
      <w:r w:rsidR="00022FDF">
        <w:fldChar w:fldCharType="end"/>
      </w:r>
      <w:r w:rsidR="00022FDF">
        <w:t>).</w:t>
      </w:r>
    </w:p>
    <w:p w14:paraId="7B4F6D36" w14:textId="482DC35A" w:rsidR="00560FB0" w:rsidRDefault="004E41DC" w:rsidP="00560FB0">
      <w:pPr>
        <w:pStyle w:val="3-BodyText"/>
      </w:pPr>
      <w:r>
        <w:t xml:space="preserve">The PBAC considered that the proposed comparator of SoC, consisting of </w:t>
      </w:r>
      <w:r w:rsidR="008C758A">
        <w:t xml:space="preserve">adjuvant </w:t>
      </w:r>
      <w:r w:rsidR="008C758A" w:rsidRPr="00D74203">
        <w:t>radiotherapy with or without chemotherapy,</w:t>
      </w:r>
      <w:r w:rsidR="00DD28D5">
        <w:t xml:space="preserve"> was</w:t>
      </w:r>
      <w:r w:rsidR="003C3608">
        <w:t xml:space="preserve"> </w:t>
      </w:r>
      <w:r w:rsidR="008C758A">
        <w:t>an appropriate</w:t>
      </w:r>
      <w:r w:rsidR="008C758A" w:rsidRPr="00D74203">
        <w:t xml:space="preserve"> main comparato</w:t>
      </w:r>
      <w:r w:rsidR="00976762">
        <w:t>r and noted it was also aligned with current</w:t>
      </w:r>
      <w:r w:rsidR="00976762" w:rsidRPr="00D74203">
        <w:t xml:space="preserve"> local and international</w:t>
      </w:r>
      <w:r w:rsidR="00976762">
        <w:t xml:space="preserve"> treatment</w:t>
      </w:r>
      <w:r w:rsidR="00976762" w:rsidRPr="00D74203">
        <w:t xml:space="preserve"> guidelines</w:t>
      </w:r>
      <w:r w:rsidR="00976762">
        <w:t>.</w:t>
      </w:r>
      <w:r w:rsidR="00976762" w:rsidRPr="00D74203">
        <w:rPr>
          <w:rStyle w:val="FootnoteReference"/>
        </w:rPr>
        <w:footnoteReference w:id="20"/>
      </w:r>
      <w:r w:rsidR="00976762">
        <w:rPr>
          <w:vertAlign w:val="superscript"/>
        </w:rPr>
        <w:t>,</w:t>
      </w:r>
      <w:r w:rsidR="00976762">
        <w:rPr>
          <w:rStyle w:val="FootnoteReference"/>
        </w:rPr>
        <w:footnoteReference w:id="21"/>
      </w:r>
    </w:p>
    <w:p w14:paraId="529084A3" w14:textId="0094A718" w:rsidR="00D046BB" w:rsidRPr="0029292D" w:rsidRDefault="00530295" w:rsidP="0029292D">
      <w:pPr>
        <w:pStyle w:val="3-BodyText"/>
        <w:rPr>
          <w:iCs/>
        </w:rPr>
      </w:pPr>
      <w:r>
        <w:t xml:space="preserve">The </w:t>
      </w:r>
      <w:r w:rsidR="00DC5D60">
        <w:t xml:space="preserve">PBAC noted the submission was based on one </w:t>
      </w:r>
      <w:r w:rsidR="00CD72BB" w:rsidRPr="00D74203">
        <w:t>head-to-head</w:t>
      </w:r>
      <w:r w:rsidR="00CD72BB">
        <w:t xml:space="preserve"> clinical</w:t>
      </w:r>
      <w:r w:rsidR="00CD72BB" w:rsidRPr="00D74203">
        <w:t xml:space="preserve"> trial (KN689) </w:t>
      </w:r>
      <w:r w:rsidR="00CD72BB">
        <w:t xml:space="preserve">which compared </w:t>
      </w:r>
      <w:proofErr w:type="spellStart"/>
      <w:r w:rsidR="00CD72BB">
        <w:t>PEM+SoC</w:t>
      </w:r>
      <w:proofErr w:type="spellEnd"/>
      <w:r w:rsidR="00CD72BB">
        <w:t xml:space="preserve"> with SoC </w:t>
      </w:r>
      <w:r w:rsidR="00CD72BB" w:rsidRPr="00D74203">
        <w:t>in patients with resectable Stage III</w:t>
      </w:r>
      <w:r w:rsidR="00500EC6">
        <w:rPr>
          <w:rFonts w:ascii="Quattrocento" w:hAnsi="Quattrocento"/>
        </w:rPr>
        <w:t>−</w:t>
      </w:r>
      <w:r w:rsidR="00CD72BB" w:rsidRPr="00D74203">
        <w:t xml:space="preserve">IVA </w:t>
      </w:r>
      <w:r w:rsidR="00500EC6" w:rsidRPr="00D74203">
        <w:t xml:space="preserve">squamous cell carcinoma </w:t>
      </w:r>
      <w:r w:rsidR="00500EC6">
        <w:t>(</w:t>
      </w:r>
      <w:r w:rsidR="00CD72BB" w:rsidRPr="00D74203">
        <w:t>SCC</w:t>
      </w:r>
      <w:r w:rsidR="00500EC6">
        <w:t>)</w:t>
      </w:r>
      <w:r w:rsidR="00CD72BB" w:rsidRPr="00D74203">
        <w:t xml:space="preserve"> of the oral cavity, pharynx or larynx (N = 714)</w:t>
      </w:r>
      <w:r w:rsidR="00CD72BB">
        <w:t>.</w:t>
      </w:r>
      <w:r w:rsidR="00392C4A">
        <w:t xml:space="preserve"> The PBAC noted the OS data at </w:t>
      </w:r>
      <w:r w:rsidR="00392C4A" w:rsidRPr="00DE49A7">
        <w:rPr>
          <w:rFonts w:eastAsia="Calibri"/>
        </w:rPr>
        <w:t xml:space="preserve">the </w:t>
      </w:r>
      <w:r w:rsidR="00392C4A">
        <w:rPr>
          <w:rFonts w:eastAsia="Calibri"/>
        </w:rPr>
        <w:t>interim analysis 1 (</w:t>
      </w:r>
      <w:r w:rsidR="00392C4A" w:rsidRPr="00DE49A7">
        <w:rPr>
          <w:rFonts w:eastAsia="Calibri"/>
        </w:rPr>
        <w:t>IA1</w:t>
      </w:r>
      <w:r w:rsidR="00392C4A">
        <w:rPr>
          <w:rFonts w:eastAsia="Calibri"/>
        </w:rPr>
        <w:t>) data cut off</w:t>
      </w:r>
      <w:r w:rsidR="00392C4A" w:rsidRPr="00DE49A7">
        <w:rPr>
          <w:rFonts w:eastAsia="Calibri"/>
        </w:rPr>
        <w:t xml:space="preserve"> </w:t>
      </w:r>
      <w:r w:rsidR="00392C4A">
        <w:rPr>
          <w:rFonts w:eastAsia="Calibri"/>
        </w:rPr>
        <w:t>(</w:t>
      </w:r>
      <w:r w:rsidR="00392C4A" w:rsidRPr="00DE49A7">
        <w:rPr>
          <w:rFonts w:eastAsia="Calibri"/>
        </w:rPr>
        <w:t>DCO</w:t>
      </w:r>
      <w:r w:rsidR="00392C4A">
        <w:rPr>
          <w:rFonts w:eastAsia="Calibri"/>
        </w:rPr>
        <w:t>)</w:t>
      </w:r>
      <w:r w:rsidR="00392C4A" w:rsidRPr="00DE49A7">
        <w:rPr>
          <w:rFonts w:eastAsia="Calibri"/>
        </w:rPr>
        <w:t xml:space="preserve"> </w:t>
      </w:r>
      <w:r w:rsidR="00392C4A">
        <w:rPr>
          <w:rFonts w:eastAsia="Calibri"/>
        </w:rPr>
        <w:t>was immature</w:t>
      </w:r>
      <w:r w:rsidR="00B0167F">
        <w:rPr>
          <w:rFonts w:eastAsia="Calibri"/>
        </w:rPr>
        <w:t xml:space="preserve"> and </w:t>
      </w:r>
      <w:r w:rsidR="00F20C2F">
        <w:rPr>
          <w:rFonts w:eastAsia="Calibri"/>
        </w:rPr>
        <w:t xml:space="preserve">may not be </w:t>
      </w:r>
      <w:r w:rsidR="00B0167F">
        <w:rPr>
          <w:rFonts w:eastAsia="Calibri"/>
        </w:rPr>
        <w:t>applicable to Australian clinical practice</w:t>
      </w:r>
      <w:r w:rsidR="00610665">
        <w:rPr>
          <w:rFonts w:eastAsia="Calibri"/>
        </w:rPr>
        <w:t xml:space="preserve"> (paragraph</w:t>
      </w:r>
      <w:r w:rsidR="00F97898">
        <w:rPr>
          <w:rFonts w:eastAsia="Calibri"/>
        </w:rPr>
        <w:t>s</w:t>
      </w:r>
      <w:r w:rsidR="00504538">
        <w:rPr>
          <w:rFonts w:eastAsia="Calibri"/>
        </w:rPr>
        <w:t xml:space="preserve"> </w:t>
      </w:r>
      <w:r w:rsidR="00504538">
        <w:rPr>
          <w:rFonts w:eastAsia="Calibri"/>
        </w:rPr>
        <w:fldChar w:fldCharType="begin"/>
      </w:r>
      <w:r w:rsidR="00504538">
        <w:rPr>
          <w:rFonts w:eastAsia="Calibri"/>
        </w:rPr>
        <w:instrText xml:space="preserve"> REF _Ref211267424 \r \h </w:instrText>
      </w:r>
      <w:r w:rsidR="00504538">
        <w:rPr>
          <w:rFonts w:eastAsia="Calibri"/>
        </w:rPr>
      </w:r>
      <w:r w:rsidR="00504538">
        <w:rPr>
          <w:rFonts w:eastAsia="Calibri"/>
        </w:rPr>
        <w:fldChar w:fldCharType="separate"/>
      </w:r>
      <w:r w:rsidR="0084087D">
        <w:rPr>
          <w:rFonts w:eastAsia="Calibri"/>
        </w:rPr>
        <w:t>6.13</w:t>
      </w:r>
      <w:r w:rsidR="00504538">
        <w:rPr>
          <w:rFonts w:eastAsia="Calibri"/>
        </w:rPr>
        <w:fldChar w:fldCharType="end"/>
      </w:r>
      <w:r w:rsidR="00504538">
        <w:rPr>
          <w:rFonts w:eastAsia="Calibri"/>
        </w:rPr>
        <w:t xml:space="preserve"> and</w:t>
      </w:r>
      <w:r w:rsidR="00F97898">
        <w:rPr>
          <w:rFonts w:eastAsia="Calibri"/>
        </w:rPr>
        <w:t xml:space="preserve"> </w:t>
      </w:r>
      <w:r w:rsidR="00F97898">
        <w:rPr>
          <w:rFonts w:eastAsia="Calibri"/>
        </w:rPr>
        <w:fldChar w:fldCharType="begin"/>
      </w:r>
      <w:r w:rsidR="00F97898">
        <w:rPr>
          <w:rFonts w:eastAsia="Calibri"/>
        </w:rPr>
        <w:instrText xml:space="preserve"> REF _Ref213769185 \r \h </w:instrText>
      </w:r>
      <w:r w:rsidR="00F97898">
        <w:rPr>
          <w:rFonts w:eastAsia="Calibri"/>
        </w:rPr>
      </w:r>
      <w:r w:rsidR="00F97898">
        <w:rPr>
          <w:rFonts w:eastAsia="Calibri"/>
        </w:rPr>
        <w:fldChar w:fldCharType="separate"/>
      </w:r>
      <w:r w:rsidR="0084087D">
        <w:rPr>
          <w:rFonts w:eastAsia="Calibri"/>
        </w:rPr>
        <w:t>6.36</w:t>
      </w:r>
      <w:r w:rsidR="00F97898">
        <w:rPr>
          <w:rFonts w:eastAsia="Calibri"/>
        </w:rPr>
        <w:fldChar w:fldCharType="end"/>
      </w:r>
      <w:r w:rsidR="00504538">
        <w:rPr>
          <w:rFonts w:eastAsia="Calibri"/>
        </w:rPr>
        <w:t>)</w:t>
      </w:r>
      <w:r w:rsidR="0029292D">
        <w:rPr>
          <w:rFonts w:eastAsia="Calibri"/>
        </w:rPr>
        <w:t>.</w:t>
      </w:r>
      <w:r w:rsidR="00950D05">
        <w:rPr>
          <w:rFonts w:eastAsia="Calibri"/>
        </w:rPr>
        <w:t xml:space="preserve"> </w:t>
      </w:r>
      <w:r w:rsidR="0005472A">
        <w:rPr>
          <w:rFonts w:eastAsia="Calibri"/>
        </w:rPr>
        <w:t xml:space="preserve">The PBAC agreed with the ESC that </w:t>
      </w:r>
      <w:r w:rsidR="0005472A">
        <w:rPr>
          <w:iCs/>
        </w:rPr>
        <w:t>g</w:t>
      </w:r>
      <w:r w:rsidR="0005472A" w:rsidRPr="0005472A">
        <w:rPr>
          <w:iCs/>
        </w:rPr>
        <w:t xml:space="preserve">iven the lower proportion of patients receiving </w:t>
      </w:r>
      <w:r w:rsidR="0005472A">
        <w:rPr>
          <w:iCs/>
        </w:rPr>
        <w:t>immunotherapy post-recurrence</w:t>
      </w:r>
      <w:r w:rsidR="0005472A" w:rsidRPr="0005472A">
        <w:rPr>
          <w:iCs/>
        </w:rPr>
        <w:t xml:space="preserve"> in the SoC</w:t>
      </w:r>
      <w:r w:rsidR="0005472A">
        <w:rPr>
          <w:iCs/>
        </w:rPr>
        <w:t xml:space="preserve"> </w:t>
      </w:r>
      <w:r w:rsidR="0005472A" w:rsidRPr="0005472A">
        <w:rPr>
          <w:iCs/>
        </w:rPr>
        <w:t>arm compared to typical Australian clinical practice, the observed difference in</w:t>
      </w:r>
      <w:r w:rsidR="0005472A">
        <w:rPr>
          <w:iCs/>
        </w:rPr>
        <w:t xml:space="preserve"> OS</w:t>
      </w:r>
      <w:r w:rsidR="0005472A" w:rsidRPr="0005472A">
        <w:rPr>
          <w:iCs/>
        </w:rPr>
        <w:t xml:space="preserve"> </w:t>
      </w:r>
      <w:r w:rsidR="00F20D61">
        <w:rPr>
          <w:iCs/>
        </w:rPr>
        <w:t>would</w:t>
      </w:r>
      <w:r w:rsidR="0005472A" w:rsidRPr="0005472A">
        <w:rPr>
          <w:iCs/>
        </w:rPr>
        <w:t xml:space="preserve"> likely be smaller in a real-world setting.</w:t>
      </w:r>
    </w:p>
    <w:p w14:paraId="2E4DD495" w14:textId="2D15367A" w:rsidR="00683D7A" w:rsidRDefault="00314B82" w:rsidP="00864272">
      <w:pPr>
        <w:pStyle w:val="3-BodyText"/>
      </w:pPr>
      <w:r>
        <w:lastRenderedPageBreak/>
        <w:t xml:space="preserve">The PBAC noted that </w:t>
      </w:r>
      <w:proofErr w:type="spellStart"/>
      <w:r w:rsidR="001861FA">
        <w:t>PEM+SoC</w:t>
      </w:r>
      <w:proofErr w:type="spellEnd"/>
      <w:r w:rsidR="001861FA" w:rsidRPr="00D74203">
        <w:t xml:space="preserve"> was associated with a statistically significant improvement in EFS compared with SoC</w:t>
      </w:r>
      <w:r w:rsidR="0061428C">
        <w:t xml:space="preserve"> (</w:t>
      </w:r>
      <w:r w:rsidR="009E123A">
        <w:t>hazard ratio [</w:t>
      </w:r>
      <w:r w:rsidR="001861FA" w:rsidRPr="00D74203">
        <w:t>HR</w:t>
      </w:r>
      <w:r w:rsidR="009E123A">
        <w:t>]</w:t>
      </w:r>
      <w:r w:rsidR="001861FA" w:rsidRPr="00D74203">
        <w:t xml:space="preserve">: 0.73; 95% </w:t>
      </w:r>
      <w:r w:rsidR="009E123A">
        <w:t>confidence interval [</w:t>
      </w:r>
      <w:r w:rsidR="001861FA" w:rsidRPr="00D74203">
        <w:t>CI</w:t>
      </w:r>
      <w:r w:rsidR="009E123A">
        <w:t>]</w:t>
      </w:r>
      <w:r w:rsidR="001861FA" w:rsidRPr="00D74203">
        <w:t>: 0.58, 0.92; p-value: 0.00411)</w:t>
      </w:r>
      <w:r w:rsidR="00444435">
        <w:t xml:space="preserve">. The PBAC also noted </w:t>
      </w:r>
      <w:r w:rsidR="00CC0E1F">
        <w:t xml:space="preserve">in the </w:t>
      </w:r>
      <w:proofErr w:type="spellStart"/>
      <w:r w:rsidR="00CC0E1F">
        <w:t>PEM+SoC</w:t>
      </w:r>
      <w:proofErr w:type="spellEnd"/>
      <w:r w:rsidR="00CC0E1F">
        <w:t xml:space="preserve"> arm</w:t>
      </w:r>
      <w:r w:rsidR="00331839">
        <w:t xml:space="preserve">, </w:t>
      </w:r>
      <w:r w:rsidR="003A3523">
        <w:t>major pathological response</w:t>
      </w:r>
      <w:r w:rsidR="00EA36FA">
        <w:t xml:space="preserve"> </w:t>
      </w:r>
      <w:r w:rsidR="003A3523">
        <w:t>(</w:t>
      </w:r>
      <w:proofErr w:type="spellStart"/>
      <w:r w:rsidR="003A3523" w:rsidRPr="00DE49A7">
        <w:t>mPR</w:t>
      </w:r>
      <w:proofErr w:type="spellEnd"/>
      <w:r w:rsidR="003A3523">
        <w:t>)</w:t>
      </w:r>
      <w:r w:rsidR="003A3523" w:rsidRPr="00DE49A7">
        <w:t xml:space="preserve"> and </w:t>
      </w:r>
      <w:r w:rsidR="00E94729">
        <w:t>pathological complete response (</w:t>
      </w:r>
      <w:proofErr w:type="spellStart"/>
      <w:r w:rsidR="003A3523" w:rsidRPr="00DE49A7">
        <w:t>pCR</w:t>
      </w:r>
      <w:proofErr w:type="spellEnd"/>
      <w:r w:rsidR="00E94729">
        <w:t>)</w:t>
      </w:r>
      <w:r w:rsidR="003A3523" w:rsidRPr="00DE49A7">
        <w:t xml:space="preserve"> were reported in</w:t>
      </w:r>
      <w:r w:rsidR="00331839" w:rsidRPr="00331839">
        <w:t xml:space="preserve"> </w:t>
      </w:r>
      <w:r w:rsidR="00331839" w:rsidRPr="00DE49A7">
        <w:t>34 (9.4%) patients and 11 (3.0%) patients</w:t>
      </w:r>
      <w:r w:rsidR="00331839">
        <w:t xml:space="preserve">, </w:t>
      </w:r>
      <w:r w:rsidR="003A3523" w:rsidRPr="00DE49A7">
        <w:t xml:space="preserve">respectively, </w:t>
      </w:r>
      <w:r w:rsidR="00D546C0">
        <w:t xml:space="preserve">whereas the SoC arm had no reported instances of either response. </w:t>
      </w:r>
      <w:r w:rsidR="00F97DB9">
        <w:t xml:space="preserve">The PBAC </w:t>
      </w:r>
      <w:r w:rsidR="00716C16">
        <w:t>noted</w:t>
      </w:r>
      <w:r w:rsidR="00F97DB9">
        <w:t xml:space="preserve"> other </w:t>
      </w:r>
      <w:r w:rsidR="00733450">
        <w:t>clinically important</w:t>
      </w:r>
      <w:r w:rsidR="00F97DB9">
        <w:t xml:space="preserve"> benefits reported for </w:t>
      </w:r>
      <w:proofErr w:type="spellStart"/>
      <w:r w:rsidR="00F97DB9">
        <w:t>PEM+SoC</w:t>
      </w:r>
      <w:proofErr w:type="spellEnd"/>
      <w:r w:rsidR="001E7DCA">
        <w:t xml:space="preserve"> versus SoC, including </w:t>
      </w:r>
      <w:r w:rsidR="00CC159E" w:rsidRPr="00DE49A7">
        <w:t xml:space="preserve">a lower proportion of patients in the </w:t>
      </w:r>
      <w:proofErr w:type="spellStart"/>
      <w:r w:rsidR="00CC159E" w:rsidRPr="00DE49A7">
        <w:t>PEM+SoC</w:t>
      </w:r>
      <w:proofErr w:type="spellEnd"/>
      <w:r w:rsidR="00CC159E" w:rsidRPr="00DE49A7">
        <w:t xml:space="preserve"> arm classified postoperatively with high-risk features compared to the SoC arm (32.5% vs. 44.4%)</w:t>
      </w:r>
      <w:r w:rsidR="00CC159E">
        <w:t xml:space="preserve">, which </w:t>
      </w:r>
      <w:r w:rsidR="00733450">
        <w:t xml:space="preserve">the PBAC considered </w:t>
      </w:r>
      <w:r w:rsidR="00CC159E" w:rsidRPr="00477630">
        <w:rPr>
          <w:iCs/>
        </w:rPr>
        <w:t xml:space="preserve">may have enabled patients in the </w:t>
      </w:r>
      <w:proofErr w:type="spellStart"/>
      <w:r w:rsidR="00CC159E" w:rsidRPr="00477630">
        <w:rPr>
          <w:iCs/>
        </w:rPr>
        <w:t>PEM+SoC</w:t>
      </w:r>
      <w:proofErr w:type="spellEnd"/>
      <w:r w:rsidR="00CC159E" w:rsidRPr="00477630">
        <w:rPr>
          <w:iCs/>
        </w:rPr>
        <w:t xml:space="preserve"> arm to receive lower doses of radiation (60 Gy vs. 66 Gy) and a lower proportion to receive subsequent chemotherapy compared to the SoC group (29.0% vs. 39.6%)</w:t>
      </w:r>
      <w:r w:rsidR="00CC159E" w:rsidRPr="00F374AC">
        <w:t xml:space="preserve">. </w:t>
      </w:r>
      <w:r w:rsidR="0071684D">
        <w:t xml:space="preserve"> </w:t>
      </w:r>
    </w:p>
    <w:p w14:paraId="6F508384" w14:textId="21D7AB1B" w:rsidR="00530295" w:rsidRPr="00F12C32" w:rsidRDefault="00683D7A" w:rsidP="00864272">
      <w:pPr>
        <w:pStyle w:val="3-BodyText"/>
      </w:pPr>
      <w:r>
        <w:t>T</w:t>
      </w:r>
      <w:r w:rsidR="00D741A4">
        <w:t xml:space="preserve">he PBAC considered that the claim of superior comparative effectiveness was adequately supported by the data, noting that </w:t>
      </w:r>
      <w:r w:rsidR="00D741A4" w:rsidRPr="00864272">
        <w:rPr>
          <w:iCs/>
        </w:rPr>
        <w:t xml:space="preserve">the observed difference in OS in </w:t>
      </w:r>
      <w:r w:rsidR="00D741A4" w:rsidRPr="00D74203">
        <w:t>KN689</w:t>
      </w:r>
      <w:r w:rsidR="00D741A4">
        <w:t xml:space="preserve"> </w:t>
      </w:r>
      <w:r w:rsidR="008B3E06" w:rsidRPr="00864272">
        <w:rPr>
          <w:iCs/>
        </w:rPr>
        <w:t>would</w:t>
      </w:r>
      <w:r w:rsidR="00D741A4" w:rsidRPr="00864272">
        <w:rPr>
          <w:iCs/>
        </w:rPr>
        <w:t xml:space="preserve"> likely be smaller in </w:t>
      </w:r>
      <w:r w:rsidR="008B3E06" w:rsidRPr="00864272">
        <w:rPr>
          <w:iCs/>
        </w:rPr>
        <w:t>the Australian clinical setting.</w:t>
      </w:r>
    </w:p>
    <w:p w14:paraId="0560F48E" w14:textId="2A1E0995" w:rsidR="00AC0310" w:rsidRPr="00AC0310" w:rsidRDefault="00F12C32" w:rsidP="00AC0310">
      <w:pPr>
        <w:pStyle w:val="3-BodyText"/>
      </w:pPr>
      <w:r>
        <w:rPr>
          <w:iCs/>
        </w:rPr>
        <w:t xml:space="preserve">The PBAC noted </w:t>
      </w:r>
      <w:r w:rsidR="00ED3037">
        <w:t>p</w:t>
      </w:r>
      <w:r w:rsidR="00ED3037" w:rsidRPr="00D74203">
        <w:t xml:space="preserve">atients receiving </w:t>
      </w:r>
      <w:proofErr w:type="spellStart"/>
      <w:r w:rsidR="00ED3037">
        <w:t>PEM+SoC</w:t>
      </w:r>
      <w:proofErr w:type="spellEnd"/>
      <w:r w:rsidR="00ED3037" w:rsidRPr="00D74203">
        <w:t xml:space="preserve"> had a higher risk of serious adverse events (SAEs) (49.6% vs. 36.8%), AEs leading to treatment discontinuation (24.4% vs. 14.3%), and SAEs leading to discontinuation (13.0% vs. 3.5%), compared with patients receiving SoC alone.</w:t>
      </w:r>
      <w:r w:rsidR="009454EB">
        <w:t xml:space="preserve"> The PBAC </w:t>
      </w:r>
      <w:r w:rsidR="009454EB">
        <w:rPr>
          <w:iCs/>
        </w:rPr>
        <w:t>noted</w:t>
      </w:r>
      <w:r w:rsidR="009454EB" w:rsidRPr="00477630">
        <w:rPr>
          <w:iCs/>
        </w:rPr>
        <w:t xml:space="preserve"> that the</w:t>
      </w:r>
      <w:r w:rsidR="009454EB">
        <w:t xml:space="preserve"> </w:t>
      </w:r>
      <w:r w:rsidR="009454EB" w:rsidRPr="00DE49A7">
        <w:t xml:space="preserve">AE results reported in KN689 were consistent with the </w:t>
      </w:r>
      <w:r w:rsidR="00C145CA">
        <w:t>known</w:t>
      </w:r>
      <w:r w:rsidR="009454EB" w:rsidRPr="00DE49A7">
        <w:t xml:space="preserve"> safety profile of pembrolizumab, radiotherapy, and cisplatin</w:t>
      </w:r>
      <w:r w:rsidR="00C145CA">
        <w:t xml:space="preserve"> and n</w:t>
      </w:r>
      <w:r w:rsidR="009454EB" w:rsidRPr="00DE49A7">
        <w:t xml:space="preserve">o new safety concerns were observed. </w:t>
      </w:r>
      <w:r w:rsidR="007B60B0" w:rsidRPr="00C145CA">
        <w:rPr>
          <w:snapToGrid w:val="0"/>
          <w:lang w:val="en-GB" w:eastAsia="en-US"/>
        </w:rPr>
        <w:t xml:space="preserve">The PBAC considered </w:t>
      </w:r>
      <w:r w:rsidR="00880E11" w:rsidRPr="00C145CA">
        <w:rPr>
          <w:snapToGrid w:val="0"/>
          <w:lang w:val="en-GB" w:eastAsia="en-US"/>
        </w:rPr>
        <w:t>a</w:t>
      </w:r>
      <w:r w:rsidR="007B60B0" w:rsidRPr="00C145CA">
        <w:rPr>
          <w:snapToGrid w:val="0"/>
          <w:lang w:val="en-GB" w:eastAsia="en-US"/>
        </w:rPr>
        <w:t xml:space="preserve"> claim of inferior comparative safety was reasonable.</w:t>
      </w:r>
    </w:p>
    <w:p w14:paraId="09660163" w14:textId="29B9FA49" w:rsidR="00186143" w:rsidRPr="00802CBB" w:rsidRDefault="00B810DE" w:rsidP="00802CBB">
      <w:pPr>
        <w:pStyle w:val="3-BodyText"/>
      </w:pPr>
      <w:r>
        <w:t xml:space="preserve">The PBAC noted </w:t>
      </w:r>
      <w:r w:rsidR="007A350C">
        <w:t xml:space="preserve">that </w:t>
      </w:r>
      <w:r>
        <w:t xml:space="preserve">the submission presented a cost-utility analysis to </w:t>
      </w:r>
      <w:r w:rsidR="00B3667B">
        <w:t>support</w:t>
      </w:r>
      <w:r>
        <w:t xml:space="preserve"> the cost-effectiveness of </w:t>
      </w:r>
      <w:proofErr w:type="spellStart"/>
      <w:r w:rsidR="00436AEE">
        <w:t>PEM+SoC</w:t>
      </w:r>
      <w:proofErr w:type="spellEnd"/>
      <w:r w:rsidR="00436AEE">
        <w:t xml:space="preserve"> versus SoC</w:t>
      </w:r>
      <w:r>
        <w:t xml:space="preserve"> in the locally advanced setting</w:t>
      </w:r>
      <w:r w:rsidR="00B3667B">
        <w:t>.</w:t>
      </w:r>
      <w:r w:rsidR="00A63660">
        <w:t xml:space="preserve"> </w:t>
      </w:r>
      <w:r w:rsidR="00DB798A">
        <w:t xml:space="preserve">The PBAC </w:t>
      </w:r>
      <w:r w:rsidR="004311BD">
        <w:t>ackno</w:t>
      </w:r>
      <w:r w:rsidR="00ED4A9F">
        <w:t xml:space="preserve">wledged the </w:t>
      </w:r>
      <w:r w:rsidR="0076439B">
        <w:t>key</w:t>
      </w:r>
      <w:r w:rsidR="00F71EB6">
        <w:t xml:space="preserve"> </w:t>
      </w:r>
      <w:r w:rsidR="00ED4A9F">
        <w:t>concerns raised by</w:t>
      </w:r>
      <w:r w:rsidR="00DB798A">
        <w:t xml:space="preserve"> the </w:t>
      </w:r>
      <w:r w:rsidR="00EA29F6">
        <w:t xml:space="preserve">evaluation and the </w:t>
      </w:r>
      <w:r w:rsidR="00DB798A">
        <w:t xml:space="preserve">ESC </w:t>
      </w:r>
      <w:r w:rsidR="003C5B23" w:rsidRPr="004B5366">
        <w:rPr>
          <w:iCs/>
        </w:rPr>
        <w:t>relat</w:t>
      </w:r>
      <w:r w:rsidR="000507FD">
        <w:rPr>
          <w:iCs/>
        </w:rPr>
        <w:t>ing</w:t>
      </w:r>
      <w:r w:rsidR="00560858" w:rsidRPr="004B5366">
        <w:rPr>
          <w:iCs/>
        </w:rPr>
        <w:t xml:space="preserve"> </w:t>
      </w:r>
      <w:r w:rsidR="009B39DF" w:rsidRPr="004B5366">
        <w:rPr>
          <w:iCs/>
        </w:rPr>
        <w:t xml:space="preserve">to </w:t>
      </w:r>
      <w:r w:rsidR="00560858" w:rsidRPr="004B5366">
        <w:rPr>
          <w:iCs/>
        </w:rPr>
        <w:t>the</w:t>
      </w:r>
      <w:r w:rsidR="001A770F">
        <w:rPr>
          <w:iCs/>
        </w:rPr>
        <w:t xml:space="preserve"> economic model</w:t>
      </w:r>
      <w:r w:rsidR="003863A5">
        <w:rPr>
          <w:iCs/>
        </w:rPr>
        <w:t xml:space="preserve">. </w:t>
      </w:r>
      <w:r w:rsidR="00FC531C">
        <w:rPr>
          <w:iCs/>
        </w:rPr>
        <w:t xml:space="preserve">The PBAC noted that the </w:t>
      </w:r>
      <w:r w:rsidR="00560858" w:rsidRPr="004B5366">
        <w:rPr>
          <w:iCs/>
        </w:rPr>
        <w:t>OS projections</w:t>
      </w:r>
      <w:r w:rsidR="006F7DEB" w:rsidRPr="004B5366">
        <w:rPr>
          <w:iCs/>
        </w:rPr>
        <w:t xml:space="preserve"> </w:t>
      </w:r>
      <w:r w:rsidR="003863A5">
        <w:rPr>
          <w:iCs/>
        </w:rPr>
        <w:t>in</w:t>
      </w:r>
      <w:r w:rsidR="006F7DEB" w:rsidRPr="004B5366">
        <w:rPr>
          <w:iCs/>
        </w:rPr>
        <w:t xml:space="preserve"> the </w:t>
      </w:r>
      <w:r w:rsidR="00EA29F6">
        <w:rPr>
          <w:iCs/>
        </w:rPr>
        <w:t xml:space="preserve">economic </w:t>
      </w:r>
      <w:r w:rsidR="006F7DEB" w:rsidRPr="004B5366">
        <w:rPr>
          <w:iCs/>
        </w:rPr>
        <w:t>model</w:t>
      </w:r>
      <w:r w:rsidR="00854EA2" w:rsidRPr="004B5366">
        <w:rPr>
          <w:iCs/>
        </w:rPr>
        <w:t xml:space="preserve"> </w:t>
      </w:r>
      <w:r w:rsidR="001A770F">
        <w:rPr>
          <w:iCs/>
        </w:rPr>
        <w:t>were</w:t>
      </w:r>
      <w:r w:rsidR="003E78A5" w:rsidRPr="004B5366">
        <w:rPr>
          <w:iCs/>
        </w:rPr>
        <w:t xml:space="preserve"> </w:t>
      </w:r>
      <w:r w:rsidR="00B7392B" w:rsidRPr="004B5366">
        <w:rPr>
          <w:iCs/>
        </w:rPr>
        <w:t>based on</w:t>
      </w:r>
      <w:r w:rsidR="00391CE7" w:rsidRPr="004B5366">
        <w:rPr>
          <w:iCs/>
        </w:rPr>
        <w:t xml:space="preserve"> </w:t>
      </w:r>
      <w:r w:rsidR="003E78A5" w:rsidRPr="004B5366">
        <w:rPr>
          <w:iCs/>
        </w:rPr>
        <w:t>immature OS data</w:t>
      </w:r>
      <w:r w:rsidR="006924E2" w:rsidRPr="004B5366">
        <w:rPr>
          <w:iCs/>
        </w:rPr>
        <w:t xml:space="preserve"> </w:t>
      </w:r>
      <w:r w:rsidR="00B7392B" w:rsidRPr="004B5366">
        <w:rPr>
          <w:iCs/>
        </w:rPr>
        <w:t>and</w:t>
      </w:r>
      <w:r w:rsidR="0054415C" w:rsidRPr="004B5366">
        <w:rPr>
          <w:iCs/>
        </w:rPr>
        <w:t xml:space="preserve"> the </w:t>
      </w:r>
      <w:r w:rsidR="006135C5" w:rsidRPr="004B5366">
        <w:rPr>
          <w:iCs/>
        </w:rPr>
        <w:t xml:space="preserve">reported </w:t>
      </w:r>
      <w:r w:rsidR="0054415C" w:rsidRPr="004B5366">
        <w:rPr>
          <w:iCs/>
        </w:rPr>
        <w:t xml:space="preserve">difference between the arms would likely be smaller in </w:t>
      </w:r>
      <w:r w:rsidR="006F7DEB" w:rsidRPr="004B5366">
        <w:rPr>
          <w:iCs/>
        </w:rPr>
        <w:t>Australian</w:t>
      </w:r>
      <w:r w:rsidR="0054415C" w:rsidRPr="004B5366">
        <w:rPr>
          <w:iCs/>
        </w:rPr>
        <w:t xml:space="preserve"> clinical practice</w:t>
      </w:r>
      <w:r w:rsidR="00660485" w:rsidRPr="004B5366">
        <w:rPr>
          <w:iCs/>
        </w:rPr>
        <w:t xml:space="preserve">. </w:t>
      </w:r>
      <w:r w:rsidR="00FC531C">
        <w:rPr>
          <w:iCs/>
        </w:rPr>
        <w:t>D</w:t>
      </w:r>
      <w:r w:rsidR="00660485" w:rsidRPr="00A723C1">
        <w:rPr>
          <w:iCs/>
        </w:rPr>
        <w:t>espite this,</w:t>
      </w:r>
      <w:r w:rsidR="00854EA2" w:rsidRPr="00A723C1">
        <w:rPr>
          <w:iCs/>
        </w:rPr>
        <w:t xml:space="preserve"> a</w:t>
      </w:r>
      <w:r w:rsidR="00854EA2">
        <w:t xml:space="preserve"> </w:t>
      </w:r>
      <w:r w:rsidR="00854EA2" w:rsidRPr="00A723C1">
        <w:rPr>
          <w:iCs/>
        </w:rPr>
        <w:t xml:space="preserve">substantial OS benefit had been modelled over a </w:t>
      </w:r>
      <w:r w:rsidR="00E67D6C" w:rsidRPr="00A723C1">
        <w:rPr>
          <w:iCs/>
        </w:rPr>
        <w:t>long time</w:t>
      </w:r>
      <w:r w:rsidR="00854EA2" w:rsidRPr="00A723C1">
        <w:rPr>
          <w:iCs/>
        </w:rPr>
        <w:t xml:space="preserve"> horizon</w:t>
      </w:r>
      <w:r w:rsidR="00E67D6C" w:rsidRPr="00A723C1">
        <w:rPr>
          <w:iCs/>
        </w:rPr>
        <w:t xml:space="preserve"> (25 years)</w:t>
      </w:r>
      <w:r w:rsidR="00560858" w:rsidRPr="00A723C1">
        <w:rPr>
          <w:iCs/>
        </w:rPr>
        <w:t xml:space="preserve">. </w:t>
      </w:r>
      <w:r w:rsidR="00560858" w:rsidRPr="00802CBB">
        <w:rPr>
          <w:iCs/>
        </w:rPr>
        <w:t xml:space="preserve">The PBAC </w:t>
      </w:r>
      <w:r w:rsidR="0046696B" w:rsidRPr="00802CBB">
        <w:rPr>
          <w:iCs/>
        </w:rPr>
        <w:t xml:space="preserve">also </w:t>
      </w:r>
      <w:r w:rsidR="00560858" w:rsidRPr="00802CBB">
        <w:rPr>
          <w:iCs/>
        </w:rPr>
        <w:t>noted that</w:t>
      </w:r>
      <w:r w:rsidR="004024FA" w:rsidRPr="00802CBB">
        <w:rPr>
          <w:iCs/>
        </w:rPr>
        <w:t xml:space="preserve"> the </w:t>
      </w:r>
      <w:r w:rsidR="003A2D21" w:rsidRPr="00802CBB">
        <w:rPr>
          <w:iCs/>
        </w:rPr>
        <w:t>cost of subsequent immunotherapy use in the SoC arm had been overestimated</w:t>
      </w:r>
      <w:r w:rsidR="00A43981" w:rsidRPr="00802CBB">
        <w:rPr>
          <w:iCs/>
        </w:rPr>
        <w:t xml:space="preserve"> and the benefit underestimated (as discussed in paragraph </w:t>
      </w:r>
      <w:r w:rsidR="00CE0FCF" w:rsidRPr="00802CBB">
        <w:rPr>
          <w:iCs/>
        </w:rPr>
        <w:fldChar w:fldCharType="begin"/>
      </w:r>
      <w:r w:rsidR="00CE0FCF" w:rsidRPr="00802CBB">
        <w:rPr>
          <w:iCs/>
        </w:rPr>
        <w:instrText xml:space="preserve"> REF _Ref214510688 \r \h </w:instrText>
      </w:r>
      <w:r w:rsidR="00CE0FCF" w:rsidRPr="00802CBB">
        <w:rPr>
          <w:iCs/>
        </w:rPr>
      </w:r>
      <w:r w:rsidR="00CE0FCF" w:rsidRPr="00802CBB">
        <w:rPr>
          <w:iCs/>
        </w:rPr>
        <w:fldChar w:fldCharType="separate"/>
      </w:r>
      <w:r w:rsidR="0084087D">
        <w:rPr>
          <w:iCs/>
        </w:rPr>
        <w:t>6.56</w:t>
      </w:r>
      <w:r w:rsidR="00CE0FCF" w:rsidRPr="00802CBB">
        <w:rPr>
          <w:iCs/>
        </w:rPr>
        <w:fldChar w:fldCharType="end"/>
      </w:r>
      <w:r w:rsidR="00CE0FCF" w:rsidRPr="00802CBB">
        <w:rPr>
          <w:iCs/>
        </w:rPr>
        <w:t>)</w:t>
      </w:r>
      <w:r w:rsidR="0041407D" w:rsidRPr="00802CBB">
        <w:rPr>
          <w:iCs/>
        </w:rPr>
        <w:t>.</w:t>
      </w:r>
      <w:r w:rsidR="0046696B" w:rsidRPr="00802CBB">
        <w:rPr>
          <w:iCs/>
        </w:rPr>
        <w:t xml:space="preserve"> </w:t>
      </w:r>
      <w:r w:rsidR="00F162E6" w:rsidRPr="00802CBB">
        <w:rPr>
          <w:iCs/>
        </w:rPr>
        <w:t xml:space="preserve">The PBAC noted that </w:t>
      </w:r>
      <w:r w:rsidR="00B97259" w:rsidRPr="00802CBB">
        <w:rPr>
          <w:iCs/>
        </w:rPr>
        <w:t xml:space="preserve">these issues were key drivers in the economic model and that they </w:t>
      </w:r>
      <w:r w:rsidR="00661E9D">
        <w:rPr>
          <w:iCs/>
        </w:rPr>
        <w:t>had</w:t>
      </w:r>
      <w:r w:rsidR="00B97259" w:rsidRPr="00802CBB">
        <w:rPr>
          <w:iCs/>
        </w:rPr>
        <w:t xml:space="preserve"> a cumulative effect on the incremental cost-effectiveness ratio (ICER).</w:t>
      </w:r>
    </w:p>
    <w:p w14:paraId="2F6C5294" w14:textId="0EA905BF" w:rsidR="002D6348" w:rsidRPr="00AA0A49" w:rsidRDefault="00747FE9" w:rsidP="00535FBD">
      <w:pPr>
        <w:pStyle w:val="3-BodyText"/>
      </w:pPr>
      <w:r>
        <w:t>The PBAC</w:t>
      </w:r>
      <w:r w:rsidR="00656D87">
        <w:t xml:space="preserve"> noted that </w:t>
      </w:r>
      <w:r w:rsidR="00B37429">
        <w:t>the pre-PBAC Response provided a revised base case</w:t>
      </w:r>
      <w:r w:rsidR="001D597A">
        <w:t xml:space="preserve"> </w:t>
      </w:r>
      <w:r w:rsidR="001B6876">
        <w:t>incorporat</w:t>
      </w:r>
      <w:r w:rsidR="006B1ECE">
        <w:t>ing</w:t>
      </w:r>
      <w:r w:rsidR="001B6876">
        <w:t xml:space="preserve"> changes </w:t>
      </w:r>
      <w:r w:rsidR="00620B90">
        <w:t xml:space="preserve">to </w:t>
      </w:r>
      <w:r w:rsidR="00806F22">
        <w:t xml:space="preserve">a number of uncertain inputs in the model, including </w:t>
      </w:r>
      <w:r w:rsidR="00441656">
        <w:t>initial surgery and subsequent treatment costs</w:t>
      </w:r>
      <w:r w:rsidR="001D597A">
        <w:t>, the time horizon, and transition probabilities for the IRP health state</w:t>
      </w:r>
      <w:r w:rsidR="00EF518F">
        <w:t xml:space="preserve">, as </w:t>
      </w:r>
      <w:r w:rsidR="001D2780">
        <w:t xml:space="preserve">outlined in paragraph </w:t>
      </w:r>
      <w:r w:rsidR="001D2780">
        <w:fldChar w:fldCharType="begin"/>
      </w:r>
      <w:r w:rsidR="001D2780">
        <w:instrText xml:space="preserve"> REF _Ref213926867 \r \h </w:instrText>
      </w:r>
      <w:r w:rsidR="001D2780">
        <w:fldChar w:fldCharType="separate"/>
      </w:r>
      <w:r w:rsidR="0084087D">
        <w:t>6.66</w:t>
      </w:r>
      <w:r w:rsidR="001D2780">
        <w:fldChar w:fldCharType="end"/>
      </w:r>
      <w:r w:rsidR="00E834C4">
        <w:t xml:space="preserve">. </w:t>
      </w:r>
      <w:r w:rsidR="00C9241A">
        <w:rPr>
          <w:snapToGrid w:val="0"/>
          <w:lang w:val="en-GB"/>
        </w:rPr>
        <w:t xml:space="preserve">The PBAC noted </w:t>
      </w:r>
      <w:r w:rsidR="0028779D">
        <w:rPr>
          <w:snapToGrid w:val="0"/>
          <w:lang w:val="en-GB"/>
        </w:rPr>
        <w:t xml:space="preserve">the justifications provided in the pre-PBAC </w:t>
      </w:r>
      <w:r w:rsidR="00BD7898">
        <w:rPr>
          <w:snapToGrid w:val="0"/>
          <w:lang w:val="en-GB"/>
        </w:rPr>
        <w:t>R</w:t>
      </w:r>
      <w:r w:rsidR="0028779D">
        <w:rPr>
          <w:snapToGrid w:val="0"/>
          <w:lang w:val="en-GB"/>
        </w:rPr>
        <w:t>esponse for</w:t>
      </w:r>
      <w:r w:rsidR="009041B1">
        <w:rPr>
          <w:snapToGrid w:val="0"/>
          <w:lang w:val="en-GB"/>
        </w:rPr>
        <w:t xml:space="preserve"> not addressing issues relat</w:t>
      </w:r>
      <w:r w:rsidR="00A413C6">
        <w:rPr>
          <w:snapToGrid w:val="0"/>
          <w:lang w:val="en-GB"/>
        </w:rPr>
        <w:t xml:space="preserve">ing </w:t>
      </w:r>
      <w:r w:rsidR="009041B1">
        <w:rPr>
          <w:snapToGrid w:val="0"/>
          <w:lang w:val="en-GB"/>
        </w:rPr>
        <w:t xml:space="preserve">to the extrapolation of transition probabilities associated with the EF health state </w:t>
      </w:r>
      <w:r w:rsidR="00807861">
        <w:rPr>
          <w:snapToGrid w:val="0"/>
          <w:lang w:val="en-GB"/>
        </w:rPr>
        <w:t>and</w:t>
      </w:r>
      <w:r w:rsidR="009041B1">
        <w:rPr>
          <w:snapToGrid w:val="0"/>
          <w:lang w:val="en-GB"/>
        </w:rPr>
        <w:t xml:space="preserve"> the time horizon</w:t>
      </w:r>
      <w:r w:rsidR="00B61DBF">
        <w:rPr>
          <w:snapToGrid w:val="0"/>
          <w:lang w:val="en-GB"/>
        </w:rPr>
        <w:t>.</w:t>
      </w:r>
      <w:r w:rsidR="00B61DBF" w:rsidRPr="00B61DBF">
        <w:t xml:space="preserve"> </w:t>
      </w:r>
      <w:r w:rsidR="00B61DBF">
        <w:t xml:space="preserve">The PBAC noted that </w:t>
      </w:r>
      <w:r w:rsidR="00535FBD">
        <w:t xml:space="preserve">the </w:t>
      </w:r>
      <w:r w:rsidR="00085FE1">
        <w:t xml:space="preserve">revised base case </w:t>
      </w:r>
      <w:r w:rsidR="004D0207">
        <w:t xml:space="preserve">provided more reasonable estimates </w:t>
      </w:r>
      <w:r w:rsidR="00535FBD">
        <w:t>for the</w:t>
      </w:r>
      <w:r w:rsidR="005C0D72">
        <w:t xml:space="preserve"> projected</w:t>
      </w:r>
      <w:r w:rsidR="004D0207">
        <w:t xml:space="preserve"> </w:t>
      </w:r>
      <w:r w:rsidR="00535FBD">
        <w:t>life years gained from pembrolizumab treatment versus SoC (</w:t>
      </w:r>
      <w:r w:rsidR="00B61DBF">
        <w:t xml:space="preserve">1.31 </w:t>
      </w:r>
      <w:r w:rsidR="00535FBD">
        <w:t>vs.</w:t>
      </w:r>
      <w:r w:rsidR="00B61DBF">
        <w:t xml:space="preserve"> 0.99 LYs undiscounted) </w:t>
      </w:r>
      <w:r w:rsidR="00535FBD">
        <w:t xml:space="preserve">and considered that </w:t>
      </w:r>
      <w:r w:rsidR="0028779D" w:rsidRPr="00535FBD">
        <w:rPr>
          <w:snapToGrid w:val="0"/>
          <w:lang w:val="en-GB"/>
        </w:rPr>
        <w:t>overall</w:t>
      </w:r>
      <w:r w:rsidR="005C0D72">
        <w:rPr>
          <w:snapToGrid w:val="0"/>
          <w:lang w:val="en-GB"/>
        </w:rPr>
        <w:t>,</w:t>
      </w:r>
      <w:r w:rsidR="009E7021" w:rsidRPr="00535FBD">
        <w:rPr>
          <w:snapToGrid w:val="0"/>
          <w:lang w:val="en-GB"/>
        </w:rPr>
        <w:t xml:space="preserve"> the </w:t>
      </w:r>
      <w:r w:rsidR="009E7021" w:rsidRPr="00535FBD">
        <w:rPr>
          <w:snapToGrid w:val="0"/>
          <w:lang w:val="en-GB"/>
        </w:rPr>
        <w:lastRenderedPageBreak/>
        <w:t xml:space="preserve">revised economic model base case </w:t>
      </w:r>
      <w:r w:rsidR="00DD638C" w:rsidRPr="00535FBD">
        <w:rPr>
          <w:snapToGrid w:val="0"/>
          <w:lang w:val="en-GB"/>
        </w:rPr>
        <w:t>provided</w:t>
      </w:r>
      <w:r w:rsidR="003D7808" w:rsidRPr="00535FBD">
        <w:rPr>
          <w:snapToGrid w:val="0"/>
          <w:lang w:val="en-GB"/>
        </w:rPr>
        <w:t xml:space="preserve"> </w:t>
      </w:r>
      <w:r w:rsidR="00C31DA3" w:rsidRPr="00535FBD">
        <w:rPr>
          <w:snapToGrid w:val="0"/>
          <w:lang w:val="en-GB"/>
        </w:rPr>
        <w:t>acceptable</w:t>
      </w:r>
      <w:r w:rsidR="0096301C" w:rsidRPr="00535FBD">
        <w:rPr>
          <w:snapToGrid w:val="0"/>
          <w:lang w:val="en-GB"/>
        </w:rPr>
        <w:t xml:space="preserve"> </w:t>
      </w:r>
      <w:r w:rsidR="00294943" w:rsidRPr="00535FBD">
        <w:rPr>
          <w:snapToGrid w:val="0"/>
        </w:rPr>
        <w:t>reliability</w:t>
      </w:r>
      <w:r w:rsidR="009E7021" w:rsidRPr="00535FBD">
        <w:rPr>
          <w:snapToGrid w:val="0"/>
          <w:lang w:val="en-GB"/>
        </w:rPr>
        <w:t xml:space="preserve">. The </w:t>
      </w:r>
      <w:r w:rsidR="009E7021" w:rsidRPr="00535FBD">
        <w:rPr>
          <w:rFonts w:cstheme="minorHAnsi"/>
        </w:rPr>
        <w:t xml:space="preserve">PBAC advised that pembrolizumab was considered cost-effective at the price proposed in the pre-PBAC </w:t>
      </w:r>
      <w:r w:rsidR="0005152E" w:rsidRPr="00535FBD">
        <w:rPr>
          <w:rFonts w:cstheme="minorHAnsi"/>
        </w:rPr>
        <w:t>R</w:t>
      </w:r>
      <w:r w:rsidR="009E7021" w:rsidRPr="00535FBD">
        <w:rPr>
          <w:rFonts w:cstheme="minorHAnsi"/>
        </w:rPr>
        <w:t>esponse.</w:t>
      </w:r>
    </w:p>
    <w:p w14:paraId="0C072A84" w14:textId="758E289F" w:rsidR="00C6170F" w:rsidRPr="0043712B" w:rsidRDefault="00494F9D" w:rsidP="0043712B">
      <w:pPr>
        <w:pStyle w:val="3-BodyText"/>
        <w:numPr>
          <w:ilvl w:val="1"/>
          <w:numId w:val="1"/>
        </w:numPr>
        <w:rPr>
          <w:b/>
          <w:bCs/>
        </w:rPr>
      </w:pPr>
      <w:r>
        <w:rPr>
          <w:snapToGrid w:val="0"/>
          <w:lang w:val="en-GB" w:eastAsia="en-US"/>
        </w:rPr>
        <w:t xml:space="preserve">The PBAC noted that the submission used an epidemiological approach to estimate the utilisation and financial implications of listing pembrolizumab for the treatment of LA </w:t>
      </w:r>
      <w:r w:rsidR="00B6526E" w:rsidRPr="00D74203">
        <w:t>HNSCC</w:t>
      </w:r>
      <w:r w:rsidR="00B6526E">
        <w:t xml:space="preserve">. </w:t>
      </w:r>
      <w:r w:rsidR="00723644">
        <w:rPr>
          <w:snapToGrid w:val="0"/>
          <w:lang w:val="en-GB" w:eastAsia="en-US"/>
        </w:rPr>
        <w:t xml:space="preserve">The PBAC noted that the submission’s estimates assumed that all patients would be treated with pembrolizumab Q3W. </w:t>
      </w:r>
      <w:r w:rsidR="0020233F">
        <w:rPr>
          <w:snapToGrid w:val="0"/>
          <w:lang w:val="en-GB" w:eastAsia="en-US"/>
        </w:rPr>
        <w:t xml:space="preserve">While consistent with the </w:t>
      </w:r>
      <w:r w:rsidR="008F790B">
        <w:rPr>
          <w:snapToGrid w:val="0"/>
          <w:lang w:val="en-GB" w:eastAsia="en-US"/>
        </w:rPr>
        <w:t xml:space="preserve">submission’s </w:t>
      </w:r>
      <w:r w:rsidR="0020233F">
        <w:rPr>
          <w:snapToGrid w:val="0"/>
          <w:lang w:val="en-GB" w:eastAsia="en-US"/>
        </w:rPr>
        <w:t>economic model, the PBAC considered t</w:t>
      </w:r>
      <w:r w:rsidR="00E96EAF">
        <w:rPr>
          <w:snapToGrid w:val="0"/>
          <w:lang w:val="en-GB" w:eastAsia="en-US"/>
        </w:rPr>
        <w:t>hat a</w:t>
      </w:r>
      <w:r w:rsidR="00E96EAF" w:rsidRPr="00E96EAF">
        <w:rPr>
          <w:rFonts w:ascii="Calibri" w:eastAsia="Times New Roman" w:hAnsi="Calibri" w:cs="Arial"/>
          <w:szCs w:val="24"/>
        </w:rPr>
        <w:t xml:space="preserve"> </w:t>
      </w:r>
      <w:r w:rsidR="00E96EAF" w:rsidRPr="00E96EAF">
        <w:rPr>
          <w:snapToGrid w:val="0"/>
          <w:lang w:eastAsia="en-US"/>
        </w:rPr>
        <w:t xml:space="preserve">substantial proportion of patients would </w:t>
      </w:r>
      <w:r w:rsidR="00054D2D">
        <w:rPr>
          <w:snapToGrid w:val="0"/>
          <w:lang w:eastAsia="en-US"/>
        </w:rPr>
        <w:t>prefer</w:t>
      </w:r>
      <w:r w:rsidR="00E96EAF" w:rsidRPr="00E96EAF">
        <w:rPr>
          <w:snapToGrid w:val="0"/>
          <w:lang w:eastAsia="en-US"/>
        </w:rPr>
        <w:t xml:space="preserve"> Q6W dosing, given the added convenience of less frequent administration</w:t>
      </w:r>
      <w:r w:rsidR="00E96EAF">
        <w:rPr>
          <w:snapToGrid w:val="0"/>
          <w:lang w:eastAsia="en-US"/>
        </w:rPr>
        <w:t>.</w:t>
      </w:r>
      <w:r w:rsidR="0043712B">
        <w:rPr>
          <w:b/>
          <w:bCs/>
        </w:rPr>
        <w:t xml:space="preserve"> </w:t>
      </w:r>
      <w:r w:rsidR="0025478E">
        <w:t>The PBAC</w:t>
      </w:r>
      <w:r w:rsidR="0043712B">
        <w:t xml:space="preserve"> also</w:t>
      </w:r>
      <w:r w:rsidR="0025478E">
        <w:t xml:space="preserve"> </w:t>
      </w:r>
      <w:r w:rsidR="00774D89">
        <w:t xml:space="preserve">noted </w:t>
      </w:r>
      <w:r w:rsidR="008F5520">
        <w:t xml:space="preserve">the uncertainties raised by the evaluation and the ESC </w:t>
      </w:r>
      <w:r w:rsidR="00710750">
        <w:t>related to the percentage</w:t>
      </w:r>
      <w:r w:rsidR="00E27E0A">
        <w:t xml:space="preserve"> of patients</w:t>
      </w:r>
      <w:r w:rsidR="00710750">
        <w:t xml:space="preserve"> with locally advanced </w:t>
      </w:r>
      <w:r w:rsidR="00131A4B">
        <w:t>and resectable disease who receive surgery (</w:t>
      </w:r>
      <w:r w:rsidR="00381218">
        <w:fldChar w:fldCharType="begin"/>
      </w:r>
      <w:r w:rsidR="00381218">
        <w:instrText xml:space="preserve"> REF _Ref104805262 \h </w:instrText>
      </w:r>
      <w:r w:rsidR="00381218">
        <w:fldChar w:fldCharType="separate"/>
      </w:r>
      <w:r w:rsidR="0084087D" w:rsidRPr="00D74203">
        <w:t xml:space="preserve">Table </w:t>
      </w:r>
      <w:r w:rsidR="0084087D">
        <w:rPr>
          <w:noProof/>
        </w:rPr>
        <w:t>16</w:t>
      </w:r>
      <w:r w:rsidR="00381218">
        <w:fldChar w:fldCharType="end"/>
      </w:r>
      <w:r w:rsidR="00381218">
        <w:t xml:space="preserve">). </w:t>
      </w:r>
      <w:r w:rsidR="005A17D0">
        <w:t>The</w:t>
      </w:r>
      <w:r w:rsidR="009A32A5">
        <w:t xml:space="preserve"> PBAC </w:t>
      </w:r>
      <w:r w:rsidR="005A17D0">
        <w:t xml:space="preserve">noted the </w:t>
      </w:r>
      <w:r w:rsidR="00E13E14">
        <w:t>values</w:t>
      </w:r>
      <w:r w:rsidR="005A17D0">
        <w:t xml:space="preserve"> </w:t>
      </w:r>
      <w:r w:rsidR="00E13E14">
        <w:t xml:space="preserve">for these parameters </w:t>
      </w:r>
      <w:r w:rsidR="005A17D0">
        <w:t>were not amended in the revised financial estimates</w:t>
      </w:r>
      <w:r w:rsidR="00A54234">
        <w:t xml:space="preserve"> provided in the pre-PBAC Response</w:t>
      </w:r>
      <w:r w:rsidR="005A17D0">
        <w:t xml:space="preserve">, however considered </w:t>
      </w:r>
      <w:r w:rsidR="009A32A5">
        <w:t>the percentages</w:t>
      </w:r>
      <w:r w:rsidR="002236E9">
        <w:t xml:space="preserve"> </w:t>
      </w:r>
      <w:r w:rsidR="009A32A5">
        <w:t xml:space="preserve">proposed </w:t>
      </w:r>
      <w:r w:rsidR="00A54234">
        <w:t xml:space="preserve">initially </w:t>
      </w:r>
      <w:r w:rsidR="009A32A5">
        <w:t xml:space="preserve">by the submission were likely reasonable. </w:t>
      </w:r>
    </w:p>
    <w:p w14:paraId="4106E2C5" w14:textId="4BC61746" w:rsidR="007C0CF5" w:rsidRPr="00766DCD" w:rsidRDefault="00C6170F" w:rsidP="00766DCD">
      <w:pPr>
        <w:pStyle w:val="3-BodyText"/>
        <w:numPr>
          <w:ilvl w:val="1"/>
          <w:numId w:val="1"/>
        </w:numPr>
        <w:rPr>
          <w:b/>
          <w:bCs/>
        </w:rPr>
      </w:pPr>
      <w:bookmarkStart w:id="138" w:name="_Ref214436332"/>
      <w:r>
        <w:t xml:space="preserve">The PBAC noted the pre-PBAC </w:t>
      </w:r>
      <w:r w:rsidR="005B3C55">
        <w:t>R</w:t>
      </w:r>
      <w:r>
        <w:t>esponse provided revised financial estimates that included cost offsets for</w:t>
      </w:r>
      <w:r w:rsidR="00F6271E">
        <w:t xml:space="preserve"> </w:t>
      </w:r>
      <w:r>
        <w:t xml:space="preserve">the </w:t>
      </w:r>
      <w:r w:rsidR="00B4533C">
        <w:t xml:space="preserve">reduction </w:t>
      </w:r>
      <w:r w:rsidR="00F6271E">
        <w:t xml:space="preserve">in </w:t>
      </w:r>
      <w:r>
        <w:t>use of immunotherapy in the recurrent/metastatic setting</w:t>
      </w:r>
      <w:r w:rsidR="005A1776">
        <w:t xml:space="preserve"> </w:t>
      </w:r>
      <w:r w:rsidR="00C56B50">
        <w:t>(</w:t>
      </w:r>
      <w:r w:rsidR="009B10C9">
        <w:t xml:space="preserve">due to patients being ineligible for immunotherapy retreatment </w:t>
      </w:r>
      <w:r w:rsidR="00035471">
        <w:t>after</w:t>
      </w:r>
      <w:r w:rsidR="009B10C9">
        <w:t xml:space="preserve"> receiving pembrolizumab in the perioperative setting</w:t>
      </w:r>
      <w:r w:rsidR="005A1776">
        <w:t>)</w:t>
      </w:r>
      <w:r>
        <w:t xml:space="preserve"> and a reduced price for the proposed listing of pembrolizumab.</w:t>
      </w:r>
      <w:r w:rsidR="00490AE8">
        <w:t xml:space="preserve"> The PBAC considered these </w:t>
      </w:r>
      <w:r w:rsidR="00BF77E0">
        <w:t xml:space="preserve">changes were </w:t>
      </w:r>
      <w:r w:rsidR="00EA0E32">
        <w:t>appropriate</w:t>
      </w:r>
      <w:r w:rsidR="00BF77E0">
        <w:t xml:space="preserve">, however </w:t>
      </w:r>
      <w:r w:rsidR="00370D06">
        <w:t xml:space="preserve">noted that further </w:t>
      </w:r>
      <w:r w:rsidR="003353B9">
        <w:t>adjustment to</w:t>
      </w:r>
      <w:r w:rsidR="00942908">
        <w:t xml:space="preserve"> offset </w:t>
      </w:r>
      <w:r w:rsidR="000A0C83">
        <w:t xml:space="preserve">calculations </w:t>
      </w:r>
      <w:r w:rsidR="00BF77E0">
        <w:t>would be required</w:t>
      </w:r>
      <w:r w:rsidR="00C60BDA">
        <w:t xml:space="preserve">. </w:t>
      </w:r>
      <w:r w:rsidR="00B613D5" w:rsidRPr="00E31AD2">
        <w:t>The</w:t>
      </w:r>
      <w:r w:rsidR="00B613D5">
        <w:t xml:space="preserve"> PBAC considered that the offset calculation should </w:t>
      </w:r>
      <w:r w:rsidR="00DB2C1F">
        <w:t xml:space="preserve">be </w:t>
      </w:r>
      <w:r w:rsidR="00DB2C1F" w:rsidRPr="00DB2C1F">
        <w:t>revis</w:t>
      </w:r>
      <w:r w:rsidR="00DB2C1F">
        <w:t xml:space="preserve">ed </w:t>
      </w:r>
      <w:r w:rsidR="00DB2C1F" w:rsidRPr="00DB2C1F">
        <w:t xml:space="preserve">to account for patients who do not progress </w:t>
      </w:r>
      <w:r w:rsidR="001B0980" w:rsidRPr="001B0980">
        <w:t xml:space="preserve">as a result </w:t>
      </w:r>
      <w:r w:rsidR="00B117EF">
        <w:t>of</w:t>
      </w:r>
      <w:r w:rsidR="009F64C9">
        <w:t xml:space="preserve"> treatment </w:t>
      </w:r>
      <w:r w:rsidR="00B31735">
        <w:t>with pembrolizumab in the LA setting</w:t>
      </w:r>
      <w:r w:rsidR="009438B6">
        <w:t xml:space="preserve">. </w:t>
      </w:r>
      <w:r w:rsidR="00493FEB">
        <w:t xml:space="preserve">The PBAC </w:t>
      </w:r>
      <w:r w:rsidR="00AC06F6">
        <w:t xml:space="preserve">also </w:t>
      </w:r>
      <w:r w:rsidR="00493FEB">
        <w:t xml:space="preserve">advised any revisions </w:t>
      </w:r>
      <w:r w:rsidR="00815A98">
        <w:t xml:space="preserve">to utilisation </w:t>
      </w:r>
      <w:r w:rsidR="00493FEB">
        <w:t xml:space="preserve">should be </w:t>
      </w:r>
      <w:r w:rsidR="00815A98">
        <w:t xml:space="preserve">appropriately </w:t>
      </w:r>
      <w:r w:rsidR="00493FEB">
        <w:t xml:space="preserve">incorporated into the </w:t>
      </w:r>
      <w:r w:rsidR="00815A98">
        <w:t xml:space="preserve">broad listing proposal that will be considered at the December 2025 PBAC meeting.  </w:t>
      </w:r>
      <w:bookmarkEnd w:id="138"/>
    </w:p>
    <w:p w14:paraId="42E4DD48" w14:textId="04F8FC47" w:rsidR="00680E97" w:rsidRPr="00C527E6" w:rsidRDefault="00D70B49">
      <w:pPr>
        <w:pStyle w:val="3-BodyText"/>
        <w:numPr>
          <w:ilvl w:val="1"/>
          <w:numId w:val="1"/>
        </w:numPr>
        <w:rPr>
          <w:b/>
          <w:bCs/>
        </w:rPr>
      </w:pPr>
      <w:r w:rsidRPr="007E5494">
        <w:t xml:space="preserve">The PBAC </w:t>
      </w:r>
      <w:r w:rsidR="002D0F81">
        <w:t>considered it would be appropriate for pembrolizumab to be</w:t>
      </w:r>
      <w:r w:rsidR="001E7B96">
        <w:t xml:space="preserve"> </w:t>
      </w:r>
      <w:r w:rsidR="002D0F81">
        <w:t xml:space="preserve">included </w:t>
      </w:r>
      <w:r w:rsidR="001E7B96">
        <w:t>in</w:t>
      </w:r>
      <w:r w:rsidR="00C527E6" w:rsidRPr="00D74203">
        <w:t xml:space="preserve"> the existing HNSCC </w:t>
      </w:r>
      <w:r w:rsidR="00C527E6">
        <w:t>risk sharing arrangement (</w:t>
      </w:r>
      <w:r w:rsidR="00C527E6" w:rsidRPr="00D74203">
        <w:t>RSA</w:t>
      </w:r>
      <w:r w:rsidR="00C527E6">
        <w:t>)</w:t>
      </w:r>
      <w:r w:rsidR="00C527E6" w:rsidRPr="00D74203">
        <w:t xml:space="preserve"> </w:t>
      </w:r>
      <w:r w:rsidR="00B73577">
        <w:t xml:space="preserve">in place for pembrolizumab and nivolumab in </w:t>
      </w:r>
      <w:r w:rsidR="00B73577" w:rsidRPr="00B73577">
        <w:t>recurrent or metastatic squamous cell carcinoma of the oral cavity, pharynx or larynx</w:t>
      </w:r>
      <w:r w:rsidR="000E3680">
        <w:t xml:space="preserve"> </w:t>
      </w:r>
      <w:r w:rsidR="000E3680" w:rsidRPr="007E5494">
        <w:t xml:space="preserve">with expenditure caps adjusted to account for the net cost of listing pembrolizumab for </w:t>
      </w:r>
      <w:r w:rsidR="006642B5">
        <w:t>LA HNSCC</w:t>
      </w:r>
      <w:r w:rsidR="000E3680" w:rsidRPr="007E5494">
        <w:t xml:space="preserve"> (accounting for </w:t>
      </w:r>
      <w:r w:rsidR="0051032C">
        <w:t xml:space="preserve">the revisions outlined in paragraph </w:t>
      </w:r>
      <w:r w:rsidR="0051032C">
        <w:fldChar w:fldCharType="begin"/>
      </w:r>
      <w:r w:rsidR="0051032C">
        <w:instrText xml:space="preserve"> REF _Ref214436332 \r \h </w:instrText>
      </w:r>
      <w:r w:rsidR="0051032C">
        <w:fldChar w:fldCharType="separate"/>
      </w:r>
      <w:r w:rsidR="0084087D">
        <w:t>7.12</w:t>
      </w:r>
      <w:r w:rsidR="0051032C">
        <w:fldChar w:fldCharType="end"/>
      </w:r>
      <w:r w:rsidR="000E3680" w:rsidRPr="007E5494">
        <w:t>).</w:t>
      </w:r>
    </w:p>
    <w:p w14:paraId="7100D944" w14:textId="77777777" w:rsidR="00D70B49" w:rsidRPr="003512E4" w:rsidRDefault="00D70B49" w:rsidP="00D70B49">
      <w:pPr>
        <w:widowControl w:val="0"/>
        <w:numPr>
          <w:ilvl w:val="1"/>
          <w:numId w:val="1"/>
        </w:numPr>
        <w:spacing w:after="120"/>
        <w:rPr>
          <w:rFonts w:asciiTheme="minorHAnsi" w:hAnsiTheme="minorHAnsi"/>
          <w:bCs/>
          <w:snapToGrid w:val="0"/>
          <w:lang w:val="en-GB"/>
        </w:rPr>
      </w:pPr>
      <w:r w:rsidRPr="009E4242">
        <w:rPr>
          <w:lang w:val="en-GB" w:eastAsia="en-US"/>
        </w:rPr>
        <w:t xml:space="preserve">The PBAC found that the criteria prescribed by the </w:t>
      </w:r>
      <w:r w:rsidRPr="009E4242">
        <w:rPr>
          <w:i/>
          <w:lang w:val="en-GB" w:eastAsia="en-US"/>
        </w:rPr>
        <w:t>National Health (Pharmaceuticals and Vaccines – Cost Recovery) Regulations 2022</w:t>
      </w:r>
      <w:r w:rsidRPr="009E4242">
        <w:rPr>
          <w:lang w:val="en-GB" w:eastAsia="en-US"/>
        </w:rPr>
        <w:t xml:space="preserve"> for Pricing Pathway A were not met. </w:t>
      </w:r>
      <w:r w:rsidRPr="003512E4">
        <w:rPr>
          <w:rFonts w:asciiTheme="minorHAnsi" w:hAnsiTheme="minorHAnsi"/>
          <w:bCs/>
          <w:snapToGrid w:val="0"/>
          <w:lang w:val="en-GB"/>
        </w:rPr>
        <w:t>Specifically, the PBAC found that in the circumstances of its recommendation for pembrolizumab:</w:t>
      </w:r>
    </w:p>
    <w:p w14:paraId="57B9BF66" w14:textId="77777777" w:rsidR="000B2AA8" w:rsidRPr="000B2AA8" w:rsidRDefault="000B2AA8" w:rsidP="000B2AA8">
      <w:pPr>
        <w:pStyle w:val="ListParagraph"/>
        <w:numPr>
          <w:ilvl w:val="2"/>
          <w:numId w:val="32"/>
        </w:numPr>
        <w:rPr>
          <w:rStyle w:val="cf01"/>
          <w:rFonts w:asciiTheme="minorHAnsi" w:hAnsiTheme="minorHAnsi" w:cstheme="minorHAnsi"/>
          <w:snapToGrid/>
          <w:sz w:val="24"/>
          <w:szCs w:val="24"/>
          <w:lang w:val="en-GB"/>
        </w:rPr>
      </w:pPr>
      <w:r w:rsidRPr="000B2AA8">
        <w:rPr>
          <w:rStyle w:val="cf01"/>
          <w:rFonts w:asciiTheme="minorHAnsi" w:hAnsiTheme="minorHAnsi" w:cstheme="minorHAnsi"/>
          <w:snapToGrid/>
          <w:sz w:val="24"/>
          <w:szCs w:val="24"/>
          <w:lang w:val="en-GB"/>
        </w:rPr>
        <w:t>The treatment is not expected to provide a substantial and clinically relevant improvement in efficacy over SoC, as while clinically relevant improvements in EFS were evident, they were moderate rather than substantial, and the overall survival benefit remains unclear;</w:t>
      </w:r>
    </w:p>
    <w:p w14:paraId="7F50A672" w14:textId="41B6D541" w:rsidR="00C470EF" w:rsidRPr="00C470EF" w:rsidRDefault="004E7E89" w:rsidP="00D70B49">
      <w:pPr>
        <w:widowControl w:val="0"/>
        <w:numPr>
          <w:ilvl w:val="2"/>
          <w:numId w:val="32"/>
        </w:numPr>
        <w:spacing w:after="120"/>
        <w:rPr>
          <w:rStyle w:val="cf01"/>
          <w:rFonts w:asciiTheme="minorHAnsi" w:hAnsiTheme="minorHAnsi" w:cstheme="minorHAnsi"/>
          <w:sz w:val="24"/>
          <w:szCs w:val="24"/>
          <w:lang w:val="en-GB"/>
        </w:rPr>
      </w:pPr>
      <w:r w:rsidRPr="0098643C">
        <w:rPr>
          <w:rFonts w:asciiTheme="minorHAnsi" w:hAnsiTheme="minorHAnsi" w:cstheme="minorHAnsi"/>
          <w:lang w:val="en-GB"/>
        </w:rPr>
        <w:t xml:space="preserve">The treatment is not expected to address a high and urgent unmet clinical need as there are currently </w:t>
      </w:r>
      <w:r>
        <w:rPr>
          <w:rFonts w:asciiTheme="minorHAnsi" w:hAnsiTheme="minorHAnsi"/>
          <w:bCs/>
          <w:snapToGrid w:val="0"/>
          <w:lang w:val="en-GB"/>
        </w:rPr>
        <w:t>PD-(L)1 inhibitors</w:t>
      </w:r>
      <w:r w:rsidRPr="0098643C">
        <w:rPr>
          <w:rFonts w:asciiTheme="minorHAnsi" w:hAnsiTheme="minorHAnsi" w:cstheme="minorHAnsi"/>
          <w:lang w:val="en-GB"/>
        </w:rPr>
        <w:t xml:space="preserve"> listed on the PBS for </w:t>
      </w:r>
      <w:r>
        <w:rPr>
          <w:rFonts w:asciiTheme="minorHAnsi" w:hAnsiTheme="minorHAnsi" w:cstheme="minorHAnsi"/>
          <w:lang w:val="en-GB"/>
        </w:rPr>
        <w:t>HNSCC</w:t>
      </w:r>
      <w:r w:rsidRPr="0098643C">
        <w:rPr>
          <w:rFonts w:asciiTheme="minorHAnsi" w:hAnsiTheme="minorHAnsi" w:cstheme="minorHAnsi"/>
          <w:lang w:val="en-GB"/>
        </w:rPr>
        <w:t>;</w:t>
      </w:r>
    </w:p>
    <w:p w14:paraId="6D088811" w14:textId="3178B8A7" w:rsidR="00D70B49" w:rsidRPr="00763DFB" w:rsidRDefault="00D70B49" w:rsidP="00D70B49">
      <w:pPr>
        <w:widowControl w:val="0"/>
        <w:numPr>
          <w:ilvl w:val="2"/>
          <w:numId w:val="32"/>
        </w:numPr>
        <w:spacing w:after="120"/>
        <w:rPr>
          <w:rFonts w:asciiTheme="minorHAnsi" w:hAnsiTheme="minorHAnsi" w:cstheme="minorHAnsi"/>
          <w:lang w:val="en-GB"/>
        </w:rPr>
      </w:pPr>
      <w:r w:rsidRPr="00763DFB">
        <w:rPr>
          <w:rFonts w:asciiTheme="minorHAnsi" w:hAnsiTheme="minorHAnsi" w:cstheme="minorHAnsi"/>
          <w:lang w:val="en-GB"/>
        </w:rPr>
        <w:lastRenderedPageBreak/>
        <w:t>It was not necessary to make a finding in relation to whether it would be in the public interest for the subsequent pricing application to be progressed under Pricing Pathway A because one or more of the preceding tests had failed</w:t>
      </w:r>
      <w:r>
        <w:rPr>
          <w:rFonts w:asciiTheme="minorHAnsi" w:hAnsiTheme="minorHAnsi" w:cstheme="minorHAnsi"/>
          <w:lang w:val="en-GB"/>
        </w:rPr>
        <w:t>.</w:t>
      </w:r>
    </w:p>
    <w:p w14:paraId="2BF8B1C2" w14:textId="71F6C37B" w:rsidR="002D332A" w:rsidRPr="00D70B49" w:rsidRDefault="00D70B49" w:rsidP="00D70B49">
      <w:pPr>
        <w:pStyle w:val="3-BodyText"/>
        <w:numPr>
          <w:ilvl w:val="1"/>
          <w:numId w:val="1"/>
        </w:numPr>
        <w:rPr>
          <w:snapToGrid w:val="0"/>
          <w:lang w:val="en-GB" w:eastAsia="en-US"/>
        </w:rPr>
      </w:pPr>
      <w:r w:rsidRPr="009E4242">
        <w:rPr>
          <w:snapToGrid w:val="0"/>
          <w:lang w:val="en-GB" w:eastAsia="en-US"/>
        </w:rPr>
        <w:t>The PBAC noted that this submission is not eligible for an Independent Review as it received a positive recommendation.</w:t>
      </w:r>
    </w:p>
    <w:p w14:paraId="7EC8218F" w14:textId="77777777" w:rsidR="002D332A" w:rsidRPr="002D332A" w:rsidRDefault="002D332A" w:rsidP="002D332A">
      <w:pPr>
        <w:spacing w:before="240"/>
        <w:rPr>
          <w:rFonts w:asciiTheme="minorHAnsi" w:hAnsiTheme="minorHAnsi"/>
          <w:b/>
          <w:bCs/>
          <w:snapToGrid w:val="0"/>
          <w:lang w:val="en-GB" w:eastAsia="en-US"/>
        </w:rPr>
      </w:pPr>
      <w:r w:rsidRPr="002D332A">
        <w:rPr>
          <w:rFonts w:asciiTheme="minorHAnsi" w:hAnsiTheme="minorHAnsi"/>
          <w:b/>
          <w:bCs/>
          <w:snapToGrid w:val="0"/>
          <w:lang w:val="en-GB" w:eastAsia="en-US"/>
        </w:rPr>
        <w:t>Outcome:</w:t>
      </w:r>
    </w:p>
    <w:p w14:paraId="5EBC7318" w14:textId="0411D916" w:rsidR="002D332A" w:rsidRPr="002D332A" w:rsidRDefault="002D332A" w:rsidP="002D332A">
      <w:pPr>
        <w:spacing w:after="120"/>
        <w:rPr>
          <w:rFonts w:asciiTheme="minorHAnsi" w:hAnsiTheme="minorHAnsi"/>
          <w:bCs/>
          <w:snapToGrid w:val="0"/>
          <w:lang w:val="en-GB" w:eastAsia="en-US"/>
        </w:rPr>
      </w:pPr>
      <w:r w:rsidRPr="002D332A">
        <w:rPr>
          <w:rFonts w:asciiTheme="minorHAnsi" w:hAnsiTheme="minorHAnsi"/>
          <w:bCs/>
          <w:snapToGrid w:val="0"/>
          <w:lang w:val="en-GB" w:eastAsia="en-US"/>
        </w:rPr>
        <w:t>Recommended</w:t>
      </w:r>
    </w:p>
    <w:p w14:paraId="7E983B34" w14:textId="77777777" w:rsidR="002D332A" w:rsidRPr="002D332A" w:rsidRDefault="002D332A" w:rsidP="002D332A">
      <w:pPr>
        <w:widowControl w:val="0"/>
        <w:spacing w:after="120"/>
        <w:rPr>
          <w:rFonts w:asciiTheme="minorHAnsi" w:hAnsiTheme="minorHAnsi"/>
          <w:b/>
          <w:bCs/>
          <w:snapToGrid w:val="0"/>
          <w:lang w:eastAsia="en-US"/>
        </w:rPr>
      </w:pPr>
    </w:p>
    <w:bookmarkEnd w:id="134"/>
    <w:p w14:paraId="020F675D" w14:textId="435D4A63" w:rsidR="00CC4C63" w:rsidRDefault="00CC4C63">
      <w:pPr>
        <w:jc w:val="left"/>
        <w:rPr>
          <w:rFonts w:asciiTheme="minorHAnsi" w:eastAsiaTheme="minorHAnsi" w:hAnsiTheme="minorHAnsi" w:cstheme="minorBidi"/>
          <w:szCs w:val="22"/>
        </w:rPr>
      </w:pPr>
      <w:r>
        <w:br w:type="page"/>
      </w:r>
    </w:p>
    <w:p w14:paraId="73BBC519" w14:textId="56DC800F" w:rsidR="007649FA" w:rsidRDefault="002D332A" w:rsidP="007649FA">
      <w:pPr>
        <w:keepNext/>
        <w:numPr>
          <w:ilvl w:val="0"/>
          <w:numId w:val="1"/>
        </w:numPr>
        <w:spacing w:before="240" w:after="120"/>
        <w:jc w:val="left"/>
        <w:outlineLvl w:val="0"/>
        <w:rPr>
          <w:rFonts w:asciiTheme="minorHAnsi" w:hAnsiTheme="minorHAnsi"/>
          <w:b/>
          <w:snapToGrid w:val="0"/>
          <w:sz w:val="32"/>
          <w:szCs w:val="32"/>
        </w:rPr>
      </w:pPr>
      <w:r w:rsidRPr="002D332A">
        <w:rPr>
          <w:rFonts w:asciiTheme="minorHAnsi" w:hAnsiTheme="minorHAnsi"/>
          <w:b/>
          <w:snapToGrid w:val="0"/>
          <w:sz w:val="32"/>
          <w:szCs w:val="32"/>
        </w:rPr>
        <w:lastRenderedPageBreak/>
        <w:t>Recommended listing</w:t>
      </w:r>
      <w:bookmarkEnd w:id="135"/>
    </w:p>
    <w:p w14:paraId="70069B91" w14:textId="44EF48CE" w:rsidR="00722565" w:rsidRPr="007649FA" w:rsidRDefault="008E5989" w:rsidP="00722565">
      <w:pPr>
        <w:pStyle w:val="3-BodyText"/>
        <w:rPr>
          <w:snapToGrid w:val="0"/>
        </w:rPr>
      </w:pPr>
      <w:r>
        <w:rPr>
          <w:snapToGrid w:val="0"/>
        </w:rPr>
        <w:t>Add new</w:t>
      </w:r>
      <w:r w:rsidR="00722565">
        <w:rPr>
          <w:snapToGrid w:val="0"/>
        </w:rPr>
        <w:t xml:space="preserve"> listing as follows:</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1271"/>
        <w:gridCol w:w="1824"/>
        <w:gridCol w:w="1973"/>
        <w:gridCol w:w="1973"/>
        <w:gridCol w:w="2026"/>
      </w:tblGrid>
      <w:tr w:rsidR="007649FA" w:rsidRPr="00C3591D" w14:paraId="3ECC8493" w14:textId="77777777" w:rsidTr="00C33A05">
        <w:trPr>
          <w:cantSplit/>
          <w:trHeight w:val="20"/>
        </w:trPr>
        <w:tc>
          <w:tcPr>
            <w:tcW w:w="1707" w:type="pct"/>
            <w:gridSpan w:val="2"/>
            <w:vAlign w:val="center"/>
          </w:tcPr>
          <w:p w14:paraId="05854FB0" w14:textId="77777777" w:rsidR="007649FA" w:rsidRPr="00C3591D" w:rsidRDefault="007649FA">
            <w:pPr>
              <w:keepNext/>
              <w:rPr>
                <w:rFonts w:ascii="Arial Narrow" w:hAnsi="Arial Narrow"/>
                <w:b/>
                <w:bCs/>
                <w:sz w:val="20"/>
                <w:szCs w:val="20"/>
              </w:rPr>
            </w:pPr>
            <w:r w:rsidRPr="00C3591D">
              <w:rPr>
                <w:rFonts w:ascii="Arial Narrow" w:hAnsi="Arial Narrow"/>
                <w:b/>
                <w:bCs/>
                <w:sz w:val="20"/>
                <w:szCs w:val="20"/>
              </w:rPr>
              <w:t>MEDICINAL PRODUCT</w:t>
            </w:r>
          </w:p>
          <w:p w14:paraId="664ED34D" w14:textId="77777777" w:rsidR="007649FA" w:rsidRPr="00C3591D" w:rsidRDefault="007649FA">
            <w:pPr>
              <w:keepNext/>
              <w:rPr>
                <w:rFonts w:ascii="Arial Narrow" w:hAnsi="Arial Narrow"/>
                <w:b/>
                <w:sz w:val="20"/>
                <w:szCs w:val="20"/>
              </w:rPr>
            </w:pPr>
            <w:r w:rsidRPr="00C3591D">
              <w:rPr>
                <w:rFonts w:ascii="Arial Narrow" w:hAnsi="Arial Narrow"/>
                <w:b/>
                <w:sz w:val="20"/>
                <w:szCs w:val="20"/>
              </w:rPr>
              <w:t>Form</w:t>
            </w:r>
          </w:p>
        </w:tc>
        <w:tc>
          <w:tcPr>
            <w:tcW w:w="1088" w:type="pct"/>
            <w:vAlign w:val="center"/>
          </w:tcPr>
          <w:p w14:paraId="790D0BEF" w14:textId="77777777" w:rsidR="007649FA" w:rsidRPr="00C3591D" w:rsidRDefault="007649FA">
            <w:pPr>
              <w:keepNext/>
              <w:jc w:val="center"/>
              <w:rPr>
                <w:rFonts w:ascii="Arial Narrow" w:hAnsi="Arial Narrow"/>
                <w:b/>
                <w:sz w:val="20"/>
                <w:szCs w:val="20"/>
              </w:rPr>
            </w:pPr>
            <w:r w:rsidRPr="00C3591D">
              <w:rPr>
                <w:rFonts w:ascii="Arial Narrow" w:hAnsi="Arial Narrow"/>
                <w:b/>
                <w:sz w:val="20"/>
                <w:szCs w:val="20"/>
              </w:rPr>
              <w:t>PBS item code</w:t>
            </w:r>
          </w:p>
        </w:tc>
        <w:tc>
          <w:tcPr>
            <w:tcW w:w="1088" w:type="pct"/>
            <w:vAlign w:val="center"/>
          </w:tcPr>
          <w:p w14:paraId="048FBD4C" w14:textId="77777777" w:rsidR="007649FA" w:rsidRPr="00C3591D" w:rsidRDefault="007649FA">
            <w:pPr>
              <w:keepNext/>
              <w:jc w:val="center"/>
              <w:rPr>
                <w:rFonts w:ascii="Arial Narrow" w:hAnsi="Arial Narrow"/>
                <w:b/>
                <w:sz w:val="20"/>
                <w:szCs w:val="20"/>
              </w:rPr>
            </w:pPr>
            <w:r w:rsidRPr="00C3591D">
              <w:rPr>
                <w:rFonts w:ascii="Arial Narrow" w:hAnsi="Arial Narrow"/>
                <w:b/>
                <w:sz w:val="20"/>
                <w:szCs w:val="20"/>
              </w:rPr>
              <w:t>Max. Amount</w:t>
            </w:r>
          </w:p>
        </w:tc>
        <w:tc>
          <w:tcPr>
            <w:tcW w:w="1117" w:type="pct"/>
            <w:vAlign w:val="center"/>
          </w:tcPr>
          <w:p w14:paraId="195DCEA0" w14:textId="77777777" w:rsidR="007649FA" w:rsidRPr="00C3591D" w:rsidRDefault="007649FA">
            <w:pPr>
              <w:keepNext/>
              <w:jc w:val="center"/>
              <w:rPr>
                <w:rFonts w:ascii="Arial Narrow" w:hAnsi="Arial Narrow"/>
                <w:b/>
                <w:sz w:val="20"/>
                <w:szCs w:val="20"/>
              </w:rPr>
            </w:pPr>
            <w:r w:rsidRPr="00C3591D">
              <w:rPr>
                <w:rFonts w:ascii="Arial Narrow" w:hAnsi="Arial Narrow"/>
                <w:b/>
                <w:sz w:val="20"/>
                <w:szCs w:val="20"/>
              </w:rPr>
              <w:t>№.of Rpts</w:t>
            </w:r>
          </w:p>
        </w:tc>
      </w:tr>
      <w:tr w:rsidR="007649FA" w:rsidRPr="00C3591D" w14:paraId="74DD086F" w14:textId="77777777" w:rsidTr="00C33A05">
        <w:trPr>
          <w:cantSplit/>
          <w:trHeight w:val="20"/>
        </w:trPr>
        <w:tc>
          <w:tcPr>
            <w:tcW w:w="1707" w:type="pct"/>
            <w:gridSpan w:val="2"/>
            <w:vAlign w:val="center"/>
          </w:tcPr>
          <w:p w14:paraId="3E0F2E2F" w14:textId="77777777" w:rsidR="007649FA" w:rsidRPr="00C3591D" w:rsidRDefault="007649FA">
            <w:pPr>
              <w:keepNext/>
              <w:rPr>
                <w:rFonts w:ascii="Arial Narrow" w:hAnsi="Arial Narrow"/>
                <w:b/>
                <w:bCs/>
                <w:sz w:val="20"/>
                <w:szCs w:val="20"/>
              </w:rPr>
            </w:pPr>
            <w:r w:rsidRPr="00C3591D">
              <w:rPr>
                <w:rFonts w:ascii="Arial Narrow" w:hAnsi="Arial Narrow"/>
                <w:sz w:val="20"/>
                <w:szCs w:val="20"/>
              </w:rPr>
              <w:t>PEMBROLIZUMAB</w:t>
            </w:r>
            <w:r w:rsidRPr="00C3591D">
              <w:rPr>
                <w:rFonts w:ascii="Arial Narrow" w:hAnsi="Arial Narrow"/>
                <w:sz w:val="20"/>
                <w:szCs w:val="20"/>
              </w:rPr>
              <w:br/>
            </w:r>
            <w:r w:rsidRPr="00C3591D">
              <w:rPr>
                <w:rFonts w:ascii="Arial Narrow" w:hAnsi="Arial Narrow" w:cs="Arial Narrow"/>
                <w:sz w:val="20"/>
                <w:szCs w:val="20"/>
              </w:rPr>
              <w:t>Injection</w:t>
            </w:r>
          </w:p>
        </w:tc>
        <w:tc>
          <w:tcPr>
            <w:tcW w:w="1088" w:type="pct"/>
            <w:vAlign w:val="center"/>
          </w:tcPr>
          <w:p w14:paraId="676B9751" w14:textId="77777777" w:rsidR="007649FA" w:rsidRPr="00C3591D" w:rsidRDefault="007649FA">
            <w:pPr>
              <w:keepNext/>
              <w:jc w:val="center"/>
              <w:rPr>
                <w:rFonts w:ascii="Arial Narrow" w:hAnsi="Arial Narrow"/>
                <w:b/>
                <w:sz w:val="20"/>
                <w:szCs w:val="20"/>
              </w:rPr>
            </w:pPr>
            <w:r w:rsidRPr="00C3591D">
              <w:rPr>
                <w:rFonts w:ascii="Arial Narrow" w:hAnsi="Arial Narrow"/>
                <w:sz w:val="20"/>
                <w:szCs w:val="20"/>
              </w:rPr>
              <w:t>NEW (Public)</w:t>
            </w:r>
            <w:r w:rsidRPr="00C3591D">
              <w:rPr>
                <w:rFonts w:ascii="Arial Narrow" w:hAnsi="Arial Narrow"/>
                <w:sz w:val="20"/>
                <w:szCs w:val="20"/>
              </w:rPr>
              <w:br/>
              <w:t>NEW (Private)</w:t>
            </w:r>
          </w:p>
        </w:tc>
        <w:tc>
          <w:tcPr>
            <w:tcW w:w="1088" w:type="pct"/>
            <w:vAlign w:val="center"/>
          </w:tcPr>
          <w:p w14:paraId="2598DAE4" w14:textId="77777777" w:rsidR="007649FA" w:rsidRPr="00C3591D" w:rsidRDefault="007649FA">
            <w:pPr>
              <w:keepNext/>
              <w:jc w:val="center"/>
              <w:rPr>
                <w:rFonts w:ascii="Arial Narrow" w:hAnsi="Arial Narrow"/>
                <w:b/>
                <w:sz w:val="20"/>
                <w:szCs w:val="20"/>
              </w:rPr>
            </w:pPr>
            <w:r w:rsidRPr="00C3591D">
              <w:rPr>
                <w:rFonts w:ascii="Arial Narrow" w:hAnsi="Arial Narrow"/>
                <w:sz w:val="20"/>
                <w:szCs w:val="20"/>
              </w:rPr>
              <w:t>400 mg</w:t>
            </w:r>
          </w:p>
        </w:tc>
        <w:tc>
          <w:tcPr>
            <w:tcW w:w="1117" w:type="pct"/>
            <w:vAlign w:val="center"/>
          </w:tcPr>
          <w:p w14:paraId="741215D9" w14:textId="76A8609C" w:rsidR="007649FA" w:rsidRPr="009E2494" w:rsidRDefault="007649FA">
            <w:pPr>
              <w:keepNext/>
              <w:jc w:val="center"/>
              <w:rPr>
                <w:rFonts w:ascii="Arial Narrow" w:hAnsi="Arial Narrow"/>
                <w:bCs/>
                <w:sz w:val="20"/>
                <w:szCs w:val="20"/>
              </w:rPr>
            </w:pPr>
            <w:r w:rsidRPr="009E2494">
              <w:rPr>
                <w:rFonts w:ascii="Arial Narrow" w:hAnsi="Arial Narrow"/>
                <w:bCs/>
                <w:sz w:val="20"/>
                <w:szCs w:val="20"/>
              </w:rPr>
              <w:t>7</w:t>
            </w:r>
          </w:p>
        </w:tc>
      </w:tr>
      <w:tr w:rsidR="007649FA" w:rsidRPr="00C3591D" w14:paraId="439DAC34" w14:textId="77777777" w:rsidTr="00C33A05">
        <w:trPr>
          <w:cantSplit/>
          <w:trHeight w:val="20"/>
        </w:trPr>
        <w:tc>
          <w:tcPr>
            <w:tcW w:w="5000" w:type="pct"/>
            <w:gridSpan w:val="5"/>
            <w:vAlign w:val="center"/>
          </w:tcPr>
          <w:p w14:paraId="5E998C06" w14:textId="77777777" w:rsidR="007649FA" w:rsidRPr="00C3591D" w:rsidRDefault="007649FA">
            <w:pPr>
              <w:keepNext/>
              <w:rPr>
                <w:rFonts w:ascii="Arial Narrow" w:hAnsi="Arial Narrow"/>
                <w:b/>
                <w:sz w:val="20"/>
                <w:szCs w:val="20"/>
              </w:rPr>
            </w:pPr>
            <w:r w:rsidRPr="00C3591D">
              <w:rPr>
                <w:rFonts w:ascii="Arial Narrow" w:hAnsi="Arial Narrow"/>
                <w:b/>
                <w:sz w:val="20"/>
                <w:szCs w:val="20"/>
              </w:rPr>
              <w:t xml:space="preserve">Available brands </w:t>
            </w:r>
          </w:p>
        </w:tc>
      </w:tr>
      <w:tr w:rsidR="007649FA" w:rsidRPr="00C3591D" w14:paraId="66A7DB7E" w14:textId="77777777" w:rsidTr="00C33A05">
        <w:trPr>
          <w:cantSplit/>
          <w:trHeight w:val="20"/>
        </w:trPr>
        <w:tc>
          <w:tcPr>
            <w:tcW w:w="5000" w:type="pct"/>
            <w:gridSpan w:val="5"/>
            <w:vAlign w:val="center"/>
          </w:tcPr>
          <w:p w14:paraId="12E4218F" w14:textId="77777777" w:rsidR="007649FA" w:rsidRPr="00C3591D" w:rsidRDefault="007649FA">
            <w:pPr>
              <w:keepNext/>
              <w:rPr>
                <w:rFonts w:ascii="Arial Narrow" w:hAnsi="Arial Narrow"/>
                <w:sz w:val="20"/>
                <w:szCs w:val="20"/>
              </w:rPr>
            </w:pPr>
            <w:r w:rsidRPr="00C3591D">
              <w:rPr>
                <w:rFonts w:ascii="Arial Narrow" w:hAnsi="Arial Narrow"/>
                <w:sz w:val="20"/>
                <w:szCs w:val="20"/>
              </w:rPr>
              <w:t xml:space="preserve">Keytruda </w:t>
            </w:r>
          </w:p>
          <w:p w14:paraId="54E8162F" w14:textId="77777777" w:rsidR="007649FA" w:rsidRPr="00C3591D" w:rsidRDefault="007649FA">
            <w:pPr>
              <w:keepNext/>
              <w:rPr>
                <w:rFonts w:ascii="Arial Narrow" w:hAnsi="Arial Narrow"/>
                <w:sz w:val="20"/>
                <w:szCs w:val="20"/>
              </w:rPr>
            </w:pPr>
            <w:r w:rsidRPr="00C3591D">
              <w:rPr>
                <w:rFonts w:ascii="Arial Narrow" w:hAnsi="Arial Narrow"/>
                <w:sz w:val="20"/>
                <w:szCs w:val="20"/>
              </w:rPr>
              <w:t>(pembrolizumab 100 mg/4 ml injection, 4 ml vial)</w:t>
            </w:r>
          </w:p>
        </w:tc>
      </w:tr>
      <w:tr w:rsidR="007649FA" w:rsidRPr="00C3591D" w14:paraId="1B87856D" w14:textId="77777777" w:rsidTr="00C33A05">
        <w:trPr>
          <w:cantSplit/>
          <w:trHeight w:val="20"/>
        </w:trPr>
        <w:tc>
          <w:tcPr>
            <w:tcW w:w="5000" w:type="pct"/>
            <w:gridSpan w:val="5"/>
            <w:vAlign w:val="center"/>
          </w:tcPr>
          <w:p w14:paraId="509C697B" w14:textId="77777777" w:rsidR="007649FA" w:rsidRPr="00C3591D" w:rsidRDefault="007649FA">
            <w:pPr>
              <w:rPr>
                <w:rFonts w:ascii="Arial Narrow" w:hAnsi="Arial Narrow"/>
                <w:sz w:val="20"/>
                <w:szCs w:val="20"/>
              </w:rPr>
            </w:pPr>
          </w:p>
        </w:tc>
      </w:tr>
      <w:tr w:rsidR="00C33A05" w:rsidRPr="00C3591D" w14:paraId="56ECFFE6"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5"/>
          </w:tcPr>
          <w:p w14:paraId="2DBD6C35" w14:textId="77777777" w:rsidR="00C33A05" w:rsidRPr="00C3591D" w:rsidRDefault="00C33A05">
            <w:pPr>
              <w:keepNext/>
              <w:rPr>
                <w:rFonts w:ascii="Arial Narrow" w:hAnsi="Arial Narrow"/>
                <w:sz w:val="20"/>
                <w:szCs w:val="20"/>
              </w:rPr>
            </w:pPr>
            <w:r w:rsidRPr="00C3591D">
              <w:rPr>
                <w:rFonts w:ascii="Arial Narrow" w:hAnsi="Arial Narrow"/>
                <w:b/>
                <w:sz w:val="20"/>
                <w:szCs w:val="20"/>
              </w:rPr>
              <w:t xml:space="preserve">Category / Program: </w:t>
            </w:r>
            <w:r w:rsidRPr="00C3591D">
              <w:rPr>
                <w:rFonts w:ascii="Arial Narrow" w:hAnsi="Arial Narrow"/>
                <w:sz w:val="20"/>
                <w:szCs w:val="20"/>
              </w:rPr>
              <w:t xml:space="preserve">Section 100 – Efficient Funding of Chemotherapy Public/Private hospitals </w:t>
            </w:r>
          </w:p>
        </w:tc>
      </w:tr>
      <w:tr w:rsidR="00C33A05" w:rsidRPr="00C3591D" w14:paraId="72830B9A"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5"/>
          </w:tcPr>
          <w:p w14:paraId="7CAC2136" w14:textId="77777777" w:rsidR="00C33A05" w:rsidRPr="00C3591D" w:rsidRDefault="00C33A05">
            <w:pPr>
              <w:keepNext/>
              <w:rPr>
                <w:rFonts w:ascii="Arial Narrow" w:hAnsi="Arial Narrow"/>
                <w:b/>
                <w:sz w:val="20"/>
                <w:szCs w:val="20"/>
              </w:rPr>
            </w:pPr>
            <w:r w:rsidRPr="00C3591D">
              <w:rPr>
                <w:rFonts w:ascii="Arial Narrow" w:hAnsi="Arial Narrow"/>
                <w:b/>
                <w:sz w:val="20"/>
                <w:szCs w:val="20"/>
              </w:rPr>
              <w:t xml:space="preserve">Prescriber type: </w:t>
            </w:r>
            <w:r w:rsidRPr="00C3591D">
              <w:rPr>
                <w:rFonts w:ascii="Arial Narrow" w:hAnsi="Arial Narrow"/>
                <w:sz w:val="20"/>
                <w:szCs w:val="20"/>
              </w:rPr>
              <w:fldChar w:fldCharType="begin">
                <w:ffData>
                  <w:name w:val=""/>
                  <w:enabled/>
                  <w:calcOnExit w:val="0"/>
                  <w:checkBox>
                    <w:sizeAuto/>
                    <w:default w:val="1"/>
                  </w:checkBox>
                </w:ffData>
              </w:fldChar>
            </w:r>
            <w:r w:rsidRPr="00C3591D">
              <w:rPr>
                <w:rFonts w:ascii="Arial Narrow" w:hAnsi="Arial Narrow"/>
                <w:sz w:val="20"/>
                <w:szCs w:val="20"/>
              </w:rPr>
              <w:instrText xml:space="preserve"> FORMCHECKBOX </w:instrText>
            </w:r>
            <w:r w:rsidRPr="00C3591D">
              <w:rPr>
                <w:rFonts w:ascii="Arial Narrow" w:hAnsi="Arial Narrow"/>
                <w:sz w:val="20"/>
                <w:szCs w:val="20"/>
              </w:rPr>
            </w:r>
            <w:r w:rsidRPr="00C3591D">
              <w:rPr>
                <w:rFonts w:ascii="Arial Narrow" w:hAnsi="Arial Narrow"/>
                <w:sz w:val="20"/>
                <w:szCs w:val="20"/>
              </w:rPr>
              <w:fldChar w:fldCharType="separate"/>
            </w:r>
            <w:r w:rsidRPr="00C3591D">
              <w:rPr>
                <w:rFonts w:ascii="Arial Narrow" w:hAnsi="Arial Narrow"/>
                <w:sz w:val="20"/>
                <w:szCs w:val="20"/>
              </w:rPr>
              <w:fldChar w:fldCharType="end"/>
            </w:r>
            <w:r w:rsidRPr="00C3591D">
              <w:rPr>
                <w:rFonts w:ascii="Arial Narrow" w:hAnsi="Arial Narrow"/>
                <w:sz w:val="20"/>
                <w:szCs w:val="20"/>
              </w:rPr>
              <w:t xml:space="preserve">Medical Practitioners </w:t>
            </w:r>
          </w:p>
        </w:tc>
      </w:tr>
      <w:tr w:rsidR="00C33A05" w:rsidRPr="00C3591D" w14:paraId="666F0AA1"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5"/>
          </w:tcPr>
          <w:p w14:paraId="2BF80F48" w14:textId="77777777" w:rsidR="00C33A05" w:rsidRPr="00C3591D" w:rsidRDefault="00C33A05">
            <w:pPr>
              <w:rPr>
                <w:rFonts w:ascii="Arial Narrow" w:eastAsia="Calibri" w:hAnsi="Arial Narrow"/>
                <w:sz w:val="20"/>
                <w:szCs w:val="20"/>
              </w:rPr>
            </w:pPr>
            <w:r w:rsidRPr="00C3591D">
              <w:rPr>
                <w:rFonts w:ascii="Arial Narrow" w:hAnsi="Arial Narrow"/>
                <w:b/>
                <w:sz w:val="20"/>
                <w:szCs w:val="20"/>
              </w:rPr>
              <w:t xml:space="preserve">Restriction type: </w:t>
            </w:r>
            <w:r w:rsidRPr="00C3591D">
              <w:rPr>
                <w:rFonts w:ascii="Arial Narrow" w:eastAsia="Calibri" w:hAnsi="Arial Narrow"/>
                <w:sz w:val="20"/>
                <w:szCs w:val="20"/>
              </w:rPr>
              <w:fldChar w:fldCharType="begin">
                <w:ffData>
                  <w:name w:val=""/>
                  <w:enabled/>
                  <w:calcOnExit w:val="0"/>
                  <w:checkBox>
                    <w:sizeAuto/>
                    <w:default w:val="1"/>
                  </w:checkBox>
                </w:ffData>
              </w:fldChar>
            </w:r>
            <w:r w:rsidRPr="00C3591D">
              <w:rPr>
                <w:rFonts w:ascii="Arial Narrow" w:eastAsia="Calibri" w:hAnsi="Arial Narrow"/>
                <w:sz w:val="20"/>
                <w:szCs w:val="20"/>
              </w:rPr>
              <w:instrText xml:space="preserve"> FORMCHECKBOX </w:instrText>
            </w:r>
            <w:r w:rsidRPr="00C3591D">
              <w:rPr>
                <w:rFonts w:ascii="Arial Narrow" w:eastAsia="Calibri" w:hAnsi="Arial Narrow"/>
                <w:sz w:val="20"/>
                <w:szCs w:val="20"/>
              </w:rPr>
            </w:r>
            <w:r w:rsidRPr="00C3591D">
              <w:rPr>
                <w:rFonts w:ascii="Arial Narrow" w:eastAsia="Calibri" w:hAnsi="Arial Narrow"/>
                <w:sz w:val="20"/>
                <w:szCs w:val="20"/>
              </w:rPr>
              <w:fldChar w:fldCharType="separate"/>
            </w:r>
            <w:r w:rsidRPr="00C3591D">
              <w:rPr>
                <w:rFonts w:ascii="Arial Narrow" w:eastAsia="Calibri" w:hAnsi="Arial Narrow"/>
                <w:sz w:val="20"/>
                <w:szCs w:val="20"/>
              </w:rPr>
              <w:fldChar w:fldCharType="end"/>
            </w:r>
            <w:r w:rsidRPr="00C3591D">
              <w:rPr>
                <w:rFonts w:ascii="Arial Narrow" w:eastAsia="Calibri" w:hAnsi="Arial Narrow"/>
                <w:sz w:val="20"/>
                <w:szCs w:val="20"/>
              </w:rPr>
              <w:t xml:space="preserve">Authority Required (STREAMLINED) [new] </w:t>
            </w:r>
          </w:p>
        </w:tc>
      </w:tr>
      <w:tr w:rsidR="00C33A05" w:rsidRPr="00C3591D" w14:paraId="74FBDDFF" w14:textId="77777777" w:rsidTr="00C33A05">
        <w:tblPrEx>
          <w:tblCellMar>
            <w:top w:w="15" w:type="dxa"/>
            <w:bottom w:w="15" w:type="dxa"/>
          </w:tblCellMar>
          <w:tblLook w:val="04A0" w:firstRow="1" w:lastRow="0" w:firstColumn="1" w:lastColumn="0" w:noHBand="0" w:noVBand="1"/>
        </w:tblPrEx>
        <w:trPr>
          <w:trHeight w:val="20"/>
        </w:trPr>
        <w:tc>
          <w:tcPr>
            <w:tcW w:w="5000" w:type="pct"/>
            <w:gridSpan w:val="5"/>
            <w:vAlign w:val="center"/>
          </w:tcPr>
          <w:p w14:paraId="684D351F" w14:textId="45D76CFE" w:rsidR="00C33A05" w:rsidRPr="00C3591D" w:rsidRDefault="00C33A05">
            <w:pPr>
              <w:keepLines/>
              <w:rPr>
                <w:rFonts w:ascii="Arial Narrow" w:hAnsi="Arial Narrow"/>
                <w:sz w:val="20"/>
                <w:szCs w:val="20"/>
              </w:rPr>
            </w:pPr>
            <w:r w:rsidRPr="00C3591D">
              <w:rPr>
                <w:rFonts w:ascii="Arial Narrow" w:hAnsi="Arial Narrow"/>
                <w:b/>
                <w:sz w:val="20"/>
                <w:szCs w:val="20"/>
              </w:rPr>
              <w:t>Administrative Advice:</w:t>
            </w:r>
            <w:r w:rsidRPr="00C3591D">
              <w:rPr>
                <w:rFonts w:ascii="Arial Narrow" w:hAnsi="Arial Narrow"/>
                <w:bCs/>
                <w:sz w:val="20"/>
                <w:szCs w:val="20"/>
              </w:rPr>
              <w:t xml:space="preserve"> </w:t>
            </w:r>
            <w:r w:rsidRPr="00C3591D">
              <w:rPr>
                <w:rFonts w:ascii="Arial Narrow" w:hAnsi="Arial Narrow"/>
                <w:sz w:val="20"/>
                <w:szCs w:val="20"/>
              </w:rPr>
              <w:t xml:space="preserve">No increase in the maximum </w:t>
            </w:r>
            <w:r w:rsidRPr="00766AD5">
              <w:rPr>
                <w:rFonts w:ascii="Arial Narrow" w:hAnsi="Arial Narrow"/>
                <w:sz w:val="20"/>
                <w:szCs w:val="20"/>
              </w:rPr>
              <w:t>amount</w:t>
            </w:r>
            <w:r w:rsidRPr="00C3591D">
              <w:rPr>
                <w:rFonts w:ascii="Arial Narrow" w:hAnsi="Arial Narrow"/>
                <w:sz w:val="20"/>
                <w:szCs w:val="20"/>
              </w:rPr>
              <w:t xml:space="preserve"> or number of units may be authorised.</w:t>
            </w:r>
          </w:p>
        </w:tc>
      </w:tr>
      <w:tr w:rsidR="00C33A05" w:rsidRPr="00C3591D" w14:paraId="2F5F8FEB" w14:textId="77777777" w:rsidTr="00C33A05">
        <w:tblPrEx>
          <w:tblCellMar>
            <w:top w:w="15" w:type="dxa"/>
            <w:bottom w:w="15" w:type="dxa"/>
          </w:tblCellMar>
          <w:tblLook w:val="04A0" w:firstRow="1" w:lastRow="0" w:firstColumn="1" w:lastColumn="0" w:noHBand="0" w:noVBand="1"/>
        </w:tblPrEx>
        <w:trPr>
          <w:trHeight w:val="55"/>
        </w:trPr>
        <w:tc>
          <w:tcPr>
            <w:tcW w:w="5000" w:type="pct"/>
            <w:gridSpan w:val="5"/>
            <w:vAlign w:val="center"/>
          </w:tcPr>
          <w:p w14:paraId="7E8E2CF4" w14:textId="77777777" w:rsidR="00C33A05" w:rsidRPr="00C3591D" w:rsidRDefault="00C33A05">
            <w:pPr>
              <w:keepLines/>
              <w:rPr>
                <w:rFonts w:ascii="Arial Narrow" w:hAnsi="Arial Narrow"/>
                <w:b/>
                <w:bCs/>
                <w:sz w:val="20"/>
                <w:szCs w:val="20"/>
              </w:rPr>
            </w:pPr>
            <w:r w:rsidRPr="00C3591D">
              <w:rPr>
                <w:rFonts w:ascii="Arial Narrow" w:hAnsi="Arial Narrow"/>
                <w:b/>
                <w:sz w:val="20"/>
                <w:szCs w:val="20"/>
              </w:rPr>
              <w:t>Administrative Advice:</w:t>
            </w:r>
            <w:r w:rsidRPr="00C3591D">
              <w:rPr>
                <w:rFonts w:ascii="Arial Narrow" w:hAnsi="Arial Narrow"/>
                <w:bCs/>
                <w:sz w:val="20"/>
                <w:szCs w:val="20"/>
              </w:rPr>
              <w:t xml:space="preserve"> </w:t>
            </w:r>
            <w:r w:rsidRPr="00C3591D">
              <w:rPr>
                <w:rFonts w:ascii="Arial Narrow" w:hAnsi="Arial Narrow"/>
                <w:sz w:val="20"/>
                <w:szCs w:val="20"/>
              </w:rPr>
              <w:t>No increase in the maximum number of repeats may be authorised</w:t>
            </w:r>
          </w:p>
        </w:tc>
      </w:tr>
      <w:tr w:rsidR="00C33A05" w:rsidRPr="00C3591D" w14:paraId="15C3BF8D" w14:textId="77777777" w:rsidTr="00C33A05">
        <w:tblPrEx>
          <w:tblCellMar>
            <w:top w:w="15" w:type="dxa"/>
            <w:bottom w:w="15" w:type="dxa"/>
          </w:tblCellMar>
          <w:tblLook w:val="04A0" w:firstRow="1" w:lastRow="0" w:firstColumn="1" w:lastColumn="0" w:noHBand="0" w:noVBand="1"/>
        </w:tblPrEx>
        <w:trPr>
          <w:trHeight w:val="47"/>
        </w:trPr>
        <w:tc>
          <w:tcPr>
            <w:tcW w:w="5000" w:type="pct"/>
            <w:gridSpan w:val="5"/>
            <w:vAlign w:val="center"/>
          </w:tcPr>
          <w:p w14:paraId="26549423" w14:textId="77777777" w:rsidR="00C33A05" w:rsidRPr="00C3591D" w:rsidRDefault="00C33A05">
            <w:pPr>
              <w:keepLines/>
              <w:rPr>
                <w:rFonts w:ascii="Arial Narrow" w:hAnsi="Arial Narrow"/>
                <w:b/>
                <w:bCs/>
                <w:sz w:val="20"/>
                <w:szCs w:val="20"/>
              </w:rPr>
            </w:pPr>
            <w:r w:rsidRPr="00C3591D">
              <w:rPr>
                <w:rFonts w:ascii="Arial Narrow" w:hAnsi="Arial Narrow"/>
                <w:b/>
                <w:sz w:val="20"/>
                <w:szCs w:val="20"/>
              </w:rPr>
              <w:t xml:space="preserve">Administrative Advice: </w:t>
            </w:r>
            <w:r w:rsidRPr="00C3591D">
              <w:rPr>
                <w:rFonts w:ascii="Arial Narrow" w:hAnsi="Arial Narrow"/>
                <w:sz w:val="20"/>
                <w:szCs w:val="20"/>
              </w:rPr>
              <w:t>Special Pricing Arrangements apply</w:t>
            </w:r>
          </w:p>
        </w:tc>
      </w:tr>
      <w:tr w:rsidR="007649FA" w:rsidRPr="00C3591D" w14:paraId="763CF67C"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155B9A59" w14:textId="77777777" w:rsidR="007649FA" w:rsidRPr="00C3591D" w:rsidRDefault="007649FA">
            <w:pPr>
              <w:keepLines/>
              <w:rPr>
                <w:rFonts w:ascii="Arial Narrow" w:hAnsi="Arial Narrow"/>
                <w:b/>
                <w:bCs/>
                <w:sz w:val="20"/>
                <w:szCs w:val="20"/>
              </w:rPr>
            </w:pPr>
            <w:r w:rsidRPr="00C3591D">
              <w:rPr>
                <w:rFonts w:ascii="Arial Narrow" w:hAnsi="Arial Narrow"/>
                <w:b/>
                <w:sz w:val="20"/>
                <w:szCs w:val="20"/>
              </w:rPr>
              <w:t xml:space="preserve">Restriction Summary [new1] / Treatment of Concept: [new1A] </w:t>
            </w:r>
          </w:p>
        </w:tc>
      </w:tr>
      <w:tr w:rsidR="00C33A05" w:rsidRPr="00C3591D" w14:paraId="1F8D801F"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0687B73E" w14:textId="77777777" w:rsidR="00C33A05" w:rsidRPr="00C3591D" w:rsidRDefault="00C33A05">
            <w:pPr>
              <w:keepLines/>
              <w:rPr>
                <w:rFonts w:ascii="Arial Narrow" w:hAnsi="Arial Narrow"/>
                <w:bCs/>
                <w:sz w:val="20"/>
                <w:szCs w:val="20"/>
              </w:rPr>
            </w:pPr>
            <w:r w:rsidRPr="00C3591D">
              <w:rPr>
                <w:rFonts w:ascii="Arial Narrow" w:hAnsi="Arial Narrow"/>
                <w:b/>
                <w:bCs/>
                <w:sz w:val="20"/>
                <w:szCs w:val="20"/>
              </w:rPr>
              <w:t xml:space="preserve">Episodicity: </w:t>
            </w:r>
            <w:r w:rsidRPr="00C3591D">
              <w:rPr>
                <w:rFonts w:ascii="Arial Narrow" w:hAnsi="Arial Narrow"/>
                <w:bCs/>
                <w:sz w:val="20"/>
                <w:szCs w:val="20"/>
              </w:rPr>
              <w:t>[blank]</w:t>
            </w:r>
          </w:p>
        </w:tc>
      </w:tr>
      <w:tr w:rsidR="00C33A05" w:rsidRPr="00C3591D" w14:paraId="6ECA5BDC"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415ED97D" w14:textId="77777777" w:rsidR="00C33A05" w:rsidRPr="00C3591D" w:rsidRDefault="00C33A05">
            <w:pPr>
              <w:keepLines/>
              <w:rPr>
                <w:rFonts w:ascii="Arial Narrow" w:hAnsi="Arial Narrow"/>
                <w:b/>
                <w:bCs/>
                <w:sz w:val="20"/>
                <w:szCs w:val="20"/>
              </w:rPr>
            </w:pPr>
            <w:r w:rsidRPr="00C3591D">
              <w:rPr>
                <w:rFonts w:ascii="Arial Narrow" w:hAnsi="Arial Narrow"/>
                <w:b/>
                <w:bCs/>
                <w:sz w:val="20"/>
                <w:szCs w:val="20"/>
              </w:rPr>
              <w:t xml:space="preserve">Severity: </w:t>
            </w:r>
            <w:r w:rsidRPr="00C3591D">
              <w:rPr>
                <w:rFonts w:ascii="Arial Narrow" w:hAnsi="Arial Narrow"/>
                <w:bCs/>
                <w:sz w:val="20"/>
                <w:szCs w:val="20"/>
              </w:rPr>
              <w:t>Resectable locally advanced</w:t>
            </w:r>
          </w:p>
        </w:tc>
      </w:tr>
      <w:tr w:rsidR="00C33A05" w:rsidRPr="00C3591D" w14:paraId="3CACE7A9" w14:textId="77777777" w:rsidTr="00C33A05">
        <w:tblPrEx>
          <w:tblCellMar>
            <w:top w:w="15" w:type="dxa"/>
            <w:bottom w:w="15" w:type="dxa"/>
          </w:tblCellMar>
          <w:tblLook w:val="04A0" w:firstRow="1" w:lastRow="0" w:firstColumn="1" w:lastColumn="0" w:noHBand="0" w:noVBand="1"/>
        </w:tblPrEx>
        <w:trPr>
          <w:cantSplit/>
          <w:trHeight w:val="312"/>
        </w:trPr>
        <w:tc>
          <w:tcPr>
            <w:tcW w:w="5000" w:type="pct"/>
            <w:gridSpan w:val="5"/>
            <w:vAlign w:val="center"/>
          </w:tcPr>
          <w:p w14:paraId="1423CE45" w14:textId="77777777" w:rsidR="00C33A05" w:rsidRPr="00C3591D" w:rsidRDefault="00C33A05">
            <w:pPr>
              <w:keepLines/>
              <w:rPr>
                <w:rFonts w:ascii="Arial Narrow" w:hAnsi="Arial Narrow"/>
                <w:b/>
                <w:bCs/>
                <w:sz w:val="20"/>
                <w:szCs w:val="20"/>
              </w:rPr>
            </w:pPr>
            <w:r w:rsidRPr="00C3591D">
              <w:rPr>
                <w:rFonts w:ascii="Arial Narrow" w:hAnsi="Arial Narrow"/>
                <w:b/>
                <w:bCs/>
                <w:sz w:val="20"/>
                <w:szCs w:val="20"/>
              </w:rPr>
              <w:t xml:space="preserve">Condition: </w:t>
            </w:r>
            <w:r w:rsidRPr="00C3591D">
              <w:rPr>
                <w:rFonts w:ascii="Arial Narrow" w:hAnsi="Arial Narrow"/>
                <w:bCs/>
                <w:sz w:val="20"/>
                <w:szCs w:val="20"/>
              </w:rPr>
              <w:t>Squamous cell carcinoma of the oral cavity, pharynx or larynx</w:t>
            </w:r>
          </w:p>
        </w:tc>
      </w:tr>
      <w:tr w:rsidR="00C33A05" w:rsidRPr="00C3591D" w14:paraId="64DCF993"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5"/>
            <w:vAlign w:val="center"/>
            <w:hideMark/>
          </w:tcPr>
          <w:p w14:paraId="462DC4A0" w14:textId="77777777" w:rsidR="00C33A05" w:rsidRPr="00C3591D" w:rsidRDefault="00C33A05">
            <w:pPr>
              <w:keepLines/>
              <w:rPr>
                <w:rFonts w:ascii="Arial Narrow" w:hAnsi="Arial Narrow"/>
                <w:sz w:val="20"/>
                <w:szCs w:val="20"/>
              </w:rPr>
            </w:pPr>
            <w:r w:rsidRPr="00C3591D">
              <w:rPr>
                <w:rFonts w:ascii="Arial Narrow" w:hAnsi="Arial Narrow"/>
                <w:b/>
                <w:bCs/>
                <w:sz w:val="20"/>
                <w:szCs w:val="20"/>
              </w:rPr>
              <w:t>Indication:</w:t>
            </w:r>
            <w:r w:rsidRPr="00C3591D">
              <w:rPr>
                <w:rFonts w:ascii="Arial Narrow" w:hAnsi="Arial Narrow"/>
                <w:sz w:val="20"/>
                <w:szCs w:val="20"/>
              </w:rPr>
              <w:t xml:space="preserve"> Resectable locally advanced squamous cell carcinoma of the oral cavity, pharynx or larynx</w:t>
            </w:r>
          </w:p>
        </w:tc>
      </w:tr>
      <w:tr w:rsidR="00C33A05" w:rsidRPr="00C3591D" w14:paraId="2810347F"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5"/>
            <w:vAlign w:val="center"/>
            <w:hideMark/>
          </w:tcPr>
          <w:p w14:paraId="45BABDCD" w14:textId="77777777" w:rsidR="00C33A05" w:rsidRPr="00C3591D" w:rsidRDefault="00C33A05">
            <w:pPr>
              <w:rPr>
                <w:rFonts w:ascii="Arial Narrow" w:hAnsi="Arial Narrow"/>
                <w:sz w:val="20"/>
                <w:szCs w:val="20"/>
              </w:rPr>
            </w:pPr>
            <w:r w:rsidRPr="00C3591D">
              <w:rPr>
                <w:rFonts w:ascii="Arial Narrow" w:hAnsi="Arial Narrow"/>
                <w:b/>
                <w:bCs/>
                <w:sz w:val="20"/>
                <w:szCs w:val="20"/>
              </w:rPr>
              <w:t>Treatment Phase:</w:t>
            </w:r>
            <w:r w:rsidRPr="00C3591D">
              <w:rPr>
                <w:rFonts w:ascii="Arial Narrow" w:hAnsi="Arial Narrow"/>
                <w:sz w:val="20"/>
                <w:szCs w:val="20"/>
              </w:rPr>
              <w:t xml:space="preserve"> [Blank]</w:t>
            </w:r>
          </w:p>
        </w:tc>
      </w:tr>
      <w:tr w:rsidR="00C33A05" w:rsidRPr="00C3591D" w14:paraId="43A461B6"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64058AA2" w14:textId="77777777" w:rsidR="00C33A05" w:rsidRPr="00C3591D" w:rsidRDefault="00C33A05">
            <w:pPr>
              <w:rPr>
                <w:rFonts w:ascii="Arial Narrow" w:hAnsi="Arial Narrow"/>
                <w:b/>
                <w:sz w:val="20"/>
                <w:szCs w:val="20"/>
              </w:rPr>
            </w:pPr>
            <w:r w:rsidRPr="00C3591D">
              <w:rPr>
                <w:rFonts w:ascii="Arial Narrow" w:hAnsi="Arial Narrow"/>
                <w:b/>
                <w:sz w:val="20"/>
                <w:szCs w:val="20"/>
              </w:rPr>
              <w:t>Clinical criteria:</w:t>
            </w:r>
          </w:p>
        </w:tc>
      </w:tr>
      <w:tr w:rsidR="00C33A05" w:rsidRPr="00C3591D" w14:paraId="15C98501"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43F7D595" w14:textId="77777777" w:rsidR="00C33A05" w:rsidRPr="00C3591D" w:rsidRDefault="00C33A05">
            <w:pPr>
              <w:rPr>
                <w:rFonts w:ascii="Arial Narrow" w:hAnsi="Arial Narrow"/>
                <w:bCs/>
                <w:sz w:val="20"/>
                <w:szCs w:val="20"/>
              </w:rPr>
            </w:pPr>
            <w:r w:rsidRPr="00C3591D">
              <w:rPr>
                <w:rFonts w:ascii="Arial Narrow" w:hAnsi="Arial Narrow"/>
                <w:bCs/>
                <w:sz w:val="20"/>
                <w:szCs w:val="20"/>
              </w:rPr>
              <w:t>Patient must have stage III-IVB squamous cell carcinoma of the oral cavity, pharynx or larynx</w:t>
            </w:r>
          </w:p>
        </w:tc>
      </w:tr>
      <w:tr w:rsidR="00C33A05" w:rsidRPr="00C3591D" w14:paraId="7A911B79"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7815E222" w14:textId="77777777" w:rsidR="00C33A05" w:rsidRPr="00C3591D" w:rsidRDefault="00C33A05">
            <w:pPr>
              <w:rPr>
                <w:rFonts w:ascii="Arial Narrow" w:hAnsi="Arial Narrow"/>
                <w:b/>
                <w:sz w:val="20"/>
                <w:szCs w:val="20"/>
              </w:rPr>
            </w:pPr>
            <w:r w:rsidRPr="00C3591D">
              <w:rPr>
                <w:rFonts w:ascii="Arial Narrow" w:hAnsi="Arial Narrow"/>
                <w:b/>
                <w:sz w:val="20"/>
                <w:szCs w:val="20"/>
              </w:rPr>
              <w:t>AND</w:t>
            </w:r>
          </w:p>
        </w:tc>
      </w:tr>
      <w:tr w:rsidR="00C33A05" w:rsidRPr="00C3591D" w14:paraId="7404F3AE"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15658DFE" w14:textId="77777777" w:rsidR="00C33A05" w:rsidRPr="00C3591D" w:rsidRDefault="00C33A05">
            <w:pPr>
              <w:rPr>
                <w:rFonts w:ascii="Arial Narrow" w:hAnsi="Arial Narrow"/>
                <w:b/>
                <w:sz w:val="20"/>
                <w:szCs w:val="20"/>
              </w:rPr>
            </w:pPr>
            <w:r w:rsidRPr="00C3591D">
              <w:rPr>
                <w:rFonts w:ascii="Arial Narrow" w:hAnsi="Arial Narrow"/>
                <w:b/>
                <w:sz w:val="20"/>
                <w:szCs w:val="20"/>
              </w:rPr>
              <w:t>Clinical criteria</w:t>
            </w:r>
          </w:p>
        </w:tc>
      </w:tr>
      <w:tr w:rsidR="00C33A05" w:rsidRPr="00C3591D" w14:paraId="42ED22C3"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5050B2EE" w14:textId="77777777" w:rsidR="00C33A05" w:rsidRPr="00C3591D" w:rsidRDefault="00C33A05">
            <w:pPr>
              <w:rPr>
                <w:rFonts w:ascii="Arial Narrow" w:hAnsi="Arial Narrow"/>
                <w:bCs/>
                <w:sz w:val="20"/>
                <w:szCs w:val="20"/>
              </w:rPr>
            </w:pPr>
            <w:r w:rsidRPr="00C3591D">
              <w:rPr>
                <w:rFonts w:ascii="Arial Narrow" w:hAnsi="Arial Narrow"/>
                <w:bCs/>
                <w:sz w:val="20"/>
                <w:szCs w:val="20"/>
              </w:rPr>
              <w:t>Patient must have tumour(s) that are resectable as assessed by the treating clinician</w:t>
            </w:r>
            <w:r w:rsidRPr="00C3591D">
              <w:rPr>
                <w:rFonts w:ascii="Arial Narrow" w:hAnsi="Arial Narrow"/>
                <w:i/>
                <w:iCs/>
                <w:sz w:val="20"/>
                <w:szCs w:val="20"/>
              </w:rPr>
              <w:t xml:space="preserve">; </w:t>
            </w:r>
            <w:r w:rsidRPr="006A71EF">
              <w:rPr>
                <w:rFonts w:ascii="Arial Narrow" w:hAnsi="Arial Narrow"/>
                <w:sz w:val="20"/>
                <w:szCs w:val="20"/>
              </w:rPr>
              <w:t>OR</w:t>
            </w:r>
          </w:p>
        </w:tc>
      </w:tr>
      <w:tr w:rsidR="00C33A05" w:rsidRPr="00C3591D" w14:paraId="3A8A0BE1"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33540D2B" w14:textId="77777777" w:rsidR="00C33A05" w:rsidRPr="00F74DD0" w:rsidRDefault="00C33A05">
            <w:pPr>
              <w:rPr>
                <w:rFonts w:ascii="Arial Narrow" w:hAnsi="Arial Narrow"/>
                <w:bCs/>
                <w:sz w:val="20"/>
                <w:szCs w:val="20"/>
              </w:rPr>
            </w:pPr>
            <w:r w:rsidRPr="00F74DD0">
              <w:rPr>
                <w:rFonts w:ascii="Arial Narrow" w:hAnsi="Arial Narrow"/>
                <w:sz w:val="20"/>
                <w:szCs w:val="20"/>
              </w:rPr>
              <w:t>Patient must have undergone surgical resection</w:t>
            </w:r>
          </w:p>
        </w:tc>
      </w:tr>
      <w:tr w:rsidR="00C33A05" w:rsidRPr="00C3591D" w14:paraId="4A2085FA"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78C21EB2" w14:textId="77777777" w:rsidR="00C33A05" w:rsidRPr="00C3591D" w:rsidRDefault="00C33A05">
            <w:pPr>
              <w:rPr>
                <w:rFonts w:ascii="Arial Narrow" w:hAnsi="Arial Narrow"/>
                <w:b/>
                <w:sz w:val="20"/>
                <w:szCs w:val="20"/>
              </w:rPr>
            </w:pPr>
            <w:r w:rsidRPr="00C3591D">
              <w:rPr>
                <w:rFonts w:ascii="Arial Narrow" w:hAnsi="Arial Narrow"/>
                <w:b/>
                <w:sz w:val="20"/>
                <w:szCs w:val="20"/>
              </w:rPr>
              <w:t>AND</w:t>
            </w:r>
          </w:p>
        </w:tc>
      </w:tr>
      <w:tr w:rsidR="00C33A05" w:rsidRPr="00C3591D" w14:paraId="678810F3"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682B7DDA" w14:textId="77777777" w:rsidR="00C33A05" w:rsidRPr="00C3591D" w:rsidRDefault="00C33A05">
            <w:pPr>
              <w:rPr>
                <w:rFonts w:ascii="Arial Narrow" w:hAnsi="Arial Narrow"/>
                <w:b/>
                <w:sz w:val="20"/>
                <w:szCs w:val="20"/>
              </w:rPr>
            </w:pPr>
            <w:r w:rsidRPr="00C3591D">
              <w:rPr>
                <w:rFonts w:ascii="Arial Narrow" w:hAnsi="Arial Narrow"/>
                <w:b/>
                <w:sz w:val="20"/>
                <w:szCs w:val="20"/>
              </w:rPr>
              <w:t>Clinical criteria</w:t>
            </w:r>
          </w:p>
        </w:tc>
      </w:tr>
      <w:tr w:rsidR="00C33A05" w:rsidRPr="00C3591D" w14:paraId="2C20E844"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7C2ED7FC" w14:textId="77777777" w:rsidR="00C33A05" w:rsidRPr="00C3591D" w:rsidRDefault="00C33A05">
            <w:pPr>
              <w:rPr>
                <w:rFonts w:ascii="Arial Narrow" w:hAnsi="Arial Narrow"/>
                <w:bCs/>
                <w:sz w:val="20"/>
                <w:szCs w:val="20"/>
              </w:rPr>
            </w:pPr>
            <w:r w:rsidRPr="00C3591D">
              <w:rPr>
                <w:rFonts w:ascii="Arial Narrow" w:hAnsi="Arial Narrow"/>
                <w:bCs/>
                <w:sz w:val="20"/>
                <w:szCs w:val="20"/>
              </w:rPr>
              <w:t>Patient must have a WHO performance status of 1 or less</w:t>
            </w:r>
          </w:p>
        </w:tc>
      </w:tr>
      <w:tr w:rsidR="00C33A05" w:rsidRPr="00C3591D" w14:paraId="788032E1"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664B797A" w14:textId="77777777" w:rsidR="00C33A05" w:rsidRPr="00C3591D" w:rsidRDefault="00C33A05">
            <w:pPr>
              <w:rPr>
                <w:rFonts w:ascii="Arial Narrow" w:hAnsi="Arial Narrow"/>
                <w:bCs/>
                <w:sz w:val="20"/>
                <w:szCs w:val="20"/>
              </w:rPr>
            </w:pPr>
            <w:r w:rsidRPr="00C3591D">
              <w:rPr>
                <w:rFonts w:ascii="Arial Narrow" w:hAnsi="Arial Narrow"/>
                <w:b/>
                <w:sz w:val="20"/>
                <w:szCs w:val="20"/>
              </w:rPr>
              <w:t>AND</w:t>
            </w:r>
          </w:p>
        </w:tc>
      </w:tr>
      <w:tr w:rsidR="00C33A05" w:rsidRPr="00C3591D" w14:paraId="09DCA26E"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79DC0C9B" w14:textId="77777777" w:rsidR="00C33A05" w:rsidRPr="00C3591D" w:rsidRDefault="00C33A05">
            <w:pPr>
              <w:rPr>
                <w:rFonts w:ascii="Arial Narrow" w:hAnsi="Arial Narrow"/>
                <w:bCs/>
                <w:sz w:val="20"/>
                <w:szCs w:val="20"/>
              </w:rPr>
            </w:pPr>
            <w:r w:rsidRPr="00C3591D">
              <w:rPr>
                <w:rFonts w:ascii="Arial Narrow" w:hAnsi="Arial Narrow"/>
                <w:b/>
                <w:sz w:val="20"/>
                <w:szCs w:val="20"/>
              </w:rPr>
              <w:t>Clinical criteria</w:t>
            </w:r>
          </w:p>
        </w:tc>
      </w:tr>
      <w:tr w:rsidR="00C33A05" w:rsidRPr="00C3591D" w14:paraId="77FE2854"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47A3F516" w14:textId="77777777" w:rsidR="00C33A05" w:rsidRPr="00C3591D" w:rsidRDefault="00C33A05">
            <w:pPr>
              <w:rPr>
                <w:rFonts w:ascii="Arial Narrow" w:hAnsi="Arial Narrow"/>
                <w:bCs/>
                <w:sz w:val="20"/>
                <w:szCs w:val="20"/>
              </w:rPr>
            </w:pPr>
            <w:r w:rsidRPr="00C3591D">
              <w:rPr>
                <w:rFonts w:ascii="Arial Narrow" w:hAnsi="Arial Narrow"/>
                <w:bCs/>
                <w:sz w:val="20"/>
                <w:szCs w:val="20"/>
              </w:rPr>
              <w:t>Patient must not have experienced disease recurrence or progression while being treated with this drug for this condition</w:t>
            </w:r>
          </w:p>
        </w:tc>
      </w:tr>
      <w:tr w:rsidR="00C33A05" w:rsidRPr="00C3591D" w14:paraId="7C0569A1"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6E779113" w14:textId="77777777" w:rsidR="00C33A05" w:rsidRPr="00C3591D" w:rsidRDefault="00C33A05">
            <w:pPr>
              <w:rPr>
                <w:rFonts w:ascii="Arial Narrow" w:hAnsi="Arial Narrow"/>
                <w:bCs/>
                <w:sz w:val="20"/>
                <w:szCs w:val="20"/>
              </w:rPr>
            </w:pPr>
            <w:r w:rsidRPr="00C3591D">
              <w:rPr>
                <w:rFonts w:ascii="Arial Narrow" w:hAnsi="Arial Narrow"/>
                <w:b/>
                <w:sz w:val="20"/>
                <w:szCs w:val="20"/>
              </w:rPr>
              <w:t>AND</w:t>
            </w:r>
          </w:p>
        </w:tc>
      </w:tr>
      <w:tr w:rsidR="00C33A05" w:rsidRPr="00C3591D" w14:paraId="68512EE9"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2ECF7891" w14:textId="37F180C8" w:rsidR="00C33A05" w:rsidRPr="00C3591D" w:rsidRDefault="00C33A05">
            <w:pPr>
              <w:rPr>
                <w:rFonts w:ascii="Arial Narrow" w:hAnsi="Arial Narrow"/>
                <w:bCs/>
                <w:sz w:val="20"/>
                <w:szCs w:val="20"/>
              </w:rPr>
            </w:pPr>
            <w:r w:rsidRPr="00C3591D">
              <w:rPr>
                <w:rFonts w:ascii="Arial Narrow" w:hAnsi="Arial Narrow"/>
                <w:b/>
                <w:sz w:val="20"/>
                <w:szCs w:val="20"/>
              </w:rPr>
              <w:t>Clinical criteria</w:t>
            </w:r>
          </w:p>
        </w:tc>
      </w:tr>
      <w:tr w:rsidR="00C33A05" w:rsidRPr="00C3591D" w14:paraId="02EDB7C1"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64B4B0C1" w14:textId="16A4F772" w:rsidR="00C33A05" w:rsidRPr="00C3591D" w:rsidRDefault="00C33A05">
            <w:pPr>
              <w:rPr>
                <w:rFonts w:ascii="Arial Narrow" w:hAnsi="Arial Narrow"/>
                <w:bCs/>
                <w:sz w:val="20"/>
                <w:szCs w:val="20"/>
              </w:rPr>
            </w:pPr>
            <w:r w:rsidRPr="00C3591D">
              <w:rPr>
                <w:rFonts w:ascii="Arial Narrow" w:hAnsi="Arial Narrow"/>
                <w:bCs/>
                <w:sz w:val="20"/>
                <w:szCs w:val="20"/>
              </w:rPr>
              <w:t xml:space="preserve">The treatment must be commenced as neoadjuvant therapy and continued in combination with radiation therapy +/- chemotherapy </w:t>
            </w:r>
            <w:r w:rsidRPr="00EC4B3A">
              <w:rPr>
                <w:rFonts w:ascii="Arial Narrow" w:hAnsi="Arial Narrow"/>
                <w:sz w:val="20"/>
                <w:szCs w:val="20"/>
              </w:rPr>
              <w:t>after surgical resection</w:t>
            </w:r>
            <w:r w:rsidRPr="00C3591D">
              <w:rPr>
                <w:rFonts w:ascii="Arial Narrow" w:hAnsi="Arial Narrow"/>
                <w:bCs/>
                <w:sz w:val="20"/>
                <w:szCs w:val="20"/>
              </w:rPr>
              <w:t>,</w:t>
            </w:r>
            <w:r w:rsidRPr="00C3591D">
              <w:rPr>
                <w:rFonts w:ascii="Arial Narrow" w:hAnsi="Arial Narrow"/>
                <w:i/>
                <w:iCs/>
                <w:sz w:val="20"/>
                <w:szCs w:val="20"/>
              </w:rPr>
              <w:t xml:space="preserve"> </w:t>
            </w:r>
            <w:r w:rsidRPr="006A71EF">
              <w:rPr>
                <w:rFonts w:ascii="Arial Narrow" w:hAnsi="Arial Narrow"/>
                <w:sz w:val="20"/>
                <w:szCs w:val="20"/>
              </w:rPr>
              <w:t>OR</w:t>
            </w:r>
          </w:p>
        </w:tc>
      </w:tr>
      <w:tr w:rsidR="00C33A05" w:rsidRPr="00C3591D" w14:paraId="523C053C"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7D737AD4" w14:textId="77777777" w:rsidR="00C33A05" w:rsidRPr="006A71EF" w:rsidRDefault="00C33A05">
            <w:pPr>
              <w:rPr>
                <w:rFonts w:ascii="Arial Narrow" w:hAnsi="Arial Narrow"/>
                <w:bCs/>
                <w:sz w:val="20"/>
                <w:szCs w:val="20"/>
              </w:rPr>
            </w:pPr>
            <w:r w:rsidRPr="006A71EF">
              <w:rPr>
                <w:rFonts w:ascii="Arial Narrow" w:hAnsi="Arial Narrow"/>
                <w:sz w:val="20"/>
                <w:szCs w:val="20"/>
              </w:rPr>
              <w:t>The treatment must be the sole PBS-subsidised systemic anti-cancer therapy for this condition</w:t>
            </w:r>
          </w:p>
        </w:tc>
      </w:tr>
      <w:tr w:rsidR="00C33A05" w:rsidRPr="00C3591D" w14:paraId="7D60A8EB"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4CEEB9F4" w14:textId="77777777" w:rsidR="00C33A05" w:rsidRPr="00C3591D" w:rsidRDefault="00C33A05">
            <w:pPr>
              <w:rPr>
                <w:rFonts w:ascii="Arial Narrow" w:hAnsi="Arial Narrow"/>
                <w:b/>
                <w:sz w:val="20"/>
                <w:szCs w:val="20"/>
              </w:rPr>
            </w:pPr>
            <w:r w:rsidRPr="00C3591D">
              <w:rPr>
                <w:rFonts w:ascii="Arial Narrow" w:hAnsi="Arial Narrow"/>
                <w:b/>
                <w:sz w:val="20"/>
                <w:szCs w:val="20"/>
              </w:rPr>
              <w:t>AND</w:t>
            </w:r>
          </w:p>
        </w:tc>
      </w:tr>
      <w:tr w:rsidR="00C33A05" w:rsidRPr="00C3591D" w14:paraId="1B98EA8E"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46DCB1AC" w14:textId="77777777" w:rsidR="00C33A05" w:rsidRPr="00C3591D" w:rsidRDefault="00C33A05">
            <w:pPr>
              <w:rPr>
                <w:rFonts w:ascii="Arial Narrow" w:hAnsi="Arial Narrow"/>
                <w:b/>
                <w:sz w:val="20"/>
                <w:szCs w:val="20"/>
              </w:rPr>
            </w:pPr>
            <w:r w:rsidRPr="00C3591D">
              <w:rPr>
                <w:rFonts w:ascii="Arial Narrow" w:hAnsi="Arial Narrow"/>
                <w:b/>
                <w:sz w:val="20"/>
                <w:szCs w:val="20"/>
              </w:rPr>
              <w:t>Treatment criteria</w:t>
            </w:r>
          </w:p>
        </w:tc>
      </w:tr>
      <w:tr w:rsidR="00C33A05" w:rsidRPr="00C3591D" w14:paraId="11670DAD"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1B7C7A28" w14:textId="77777777" w:rsidR="00C33A05" w:rsidRPr="006A71EF" w:rsidRDefault="00C33A05">
            <w:pPr>
              <w:rPr>
                <w:rFonts w:ascii="Arial Narrow" w:hAnsi="Arial Narrow"/>
                <w:sz w:val="20"/>
                <w:szCs w:val="20"/>
              </w:rPr>
            </w:pPr>
            <w:r w:rsidRPr="006A71EF">
              <w:rPr>
                <w:rFonts w:ascii="Arial Narrow" w:hAnsi="Arial Narrow"/>
                <w:sz w:val="20"/>
                <w:szCs w:val="20"/>
              </w:rPr>
              <w:t>The treatment must not exceed a total of 12 cumulative months, either as (i) 17 doses (based on a 3-weekly dose regimen), (ii) 8 doses (based on a 6-weekly dose regimen) whichever comes first from the first dose of this drug regardless of if it was PBS/non-PBS subsidised</w:t>
            </w:r>
          </w:p>
        </w:tc>
      </w:tr>
      <w:tr w:rsidR="00C33A05" w:rsidRPr="00C3591D" w14:paraId="376C49CC"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26A58857" w14:textId="77777777" w:rsidR="00C33A05" w:rsidRPr="00C3591D" w:rsidRDefault="00C33A05">
            <w:pPr>
              <w:rPr>
                <w:rFonts w:ascii="Arial Narrow" w:hAnsi="Arial Narrow"/>
                <w:b/>
                <w:sz w:val="20"/>
                <w:szCs w:val="20"/>
              </w:rPr>
            </w:pPr>
            <w:r w:rsidRPr="00C3591D">
              <w:rPr>
                <w:rFonts w:ascii="Arial Narrow" w:hAnsi="Arial Narrow"/>
                <w:b/>
                <w:sz w:val="20"/>
                <w:szCs w:val="20"/>
              </w:rPr>
              <w:t>AND</w:t>
            </w:r>
          </w:p>
        </w:tc>
      </w:tr>
      <w:tr w:rsidR="00C33A05" w:rsidRPr="00C3591D" w14:paraId="44A2E05E"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578FD9C9" w14:textId="77777777" w:rsidR="00C33A05" w:rsidRPr="00C3591D" w:rsidRDefault="00C33A05">
            <w:pPr>
              <w:rPr>
                <w:rFonts w:ascii="Arial Narrow" w:hAnsi="Arial Narrow"/>
                <w:b/>
                <w:sz w:val="20"/>
                <w:szCs w:val="20"/>
              </w:rPr>
            </w:pPr>
            <w:r w:rsidRPr="00C3591D">
              <w:rPr>
                <w:rFonts w:ascii="Arial Narrow" w:hAnsi="Arial Narrow"/>
                <w:b/>
                <w:sz w:val="20"/>
                <w:szCs w:val="20"/>
              </w:rPr>
              <w:t>Treatment criteria</w:t>
            </w:r>
          </w:p>
        </w:tc>
      </w:tr>
      <w:tr w:rsidR="007649FA" w:rsidRPr="00C3591D" w14:paraId="092482FC" w14:textId="77777777" w:rsidTr="00C33A05">
        <w:tblPrEx>
          <w:tblCellMar>
            <w:top w:w="15" w:type="dxa"/>
            <w:bottom w:w="15" w:type="dxa"/>
          </w:tblCellMar>
          <w:tblLook w:val="04A0" w:firstRow="1" w:lastRow="0" w:firstColumn="1" w:lastColumn="0" w:noHBand="0" w:noVBand="1"/>
        </w:tblPrEx>
        <w:trPr>
          <w:cantSplit/>
          <w:trHeight w:val="20"/>
        </w:trPr>
        <w:tc>
          <w:tcPr>
            <w:tcW w:w="701" w:type="pct"/>
            <w:vAlign w:val="center"/>
          </w:tcPr>
          <w:p w14:paraId="378642A7" w14:textId="15AA481E" w:rsidR="007649FA" w:rsidRPr="00C3591D" w:rsidRDefault="007649FA">
            <w:pPr>
              <w:jc w:val="center"/>
              <w:rPr>
                <w:rFonts w:ascii="Arial Narrow" w:hAnsi="Arial Narrow"/>
                <w:sz w:val="20"/>
                <w:szCs w:val="20"/>
              </w:rPr>
            </w:pPr>
          </w:p>
        </w:tc>
        <w:tc>
          <w:tcPr>
            <w:tcW w:w="4299" w:type="pct"/>
            <w:gridSpan w:val="4"/>
            <w:vAlign w:val="center"/>
            <w:hideMark/>
          </w:tcPr>
          <w:p w14:paraId="34B7C59A" w14:textId="77777777" w:rsidR="007649FA" w:rsidRPr="00C3591D" w:rsidRDefault="007649FA">
            <w:pPr>
              <w:rPr>
                <w:rFonts w:ascii="Arial Narrow" w:hAnsi="Arial Narrow"/>
                <w:bCs/>
                <w:sz w:val="20"/>
                <w:szCs w:val="20"/>
              </w:rPr>
            </w:pPr>
            <w:r w:rsidRPr="00C3591D">
              <w:rPr>
                <w:rFonts w:ascii="Arial Narrow" w:hAnsi="Arial Narrow"/>
                <w:bCs/>
                <w:sz w:val="20"/>
                <w:szCs w:val="20"/>
              </w:rPr>
              <w:t>Patient must be undergoing treatment with this drug administered once every 3 weeks - prescribe up to 7 repeat prescriptions; OR</w:t>
            </w:r>
          </w:p>
        </w:tc>
      </w:tr>
      <w:tr w:rsidR="007649FA" w:rsidRPr="00C3591D" w14:paraId="2B4D48E2" w14:textId="77777777" w:rsidTr="00C33A05">
        <w:tblPrEx>
          <w:tblCellMar>
            <w:top w:w="15" w:type="dxa"/>
            <w:bottom w:w="15" w:type="dxa"/>
          </w:tblCellMar>
          <w:tblLook w:val="04A0" w:firstRow="1" w:lastRow="0" w:firstColumn="1" w:lastColumn="0" w:noHBand="0" w:noVBand="1"/>
        </w:tblPrEx>
        <w:trPr>
          <w:cantSplit/>
          <w:trHeight w:val="20"/>
        </w:trPr>
        <w:tc>
          <w:tcPr>
            <w:tcW w:w="701" w:type="pct"/>
            <w:vAlign w:val="center"/>
          </w:tcPr>
          <w:p w14:paraId="58C1AF73" w14:textId="409D6CCF" w:rsidR="007649FA" w:rsidRPr="00C3591D" w:rsidRDefault="007649FA">
            <w:pPr>
              <w:jc w:val="center"/>
              <w:rPr>
                <w:rFonts w:ascii="Arial Narrow" w:hAnsi="Arial Narrow"/>
                <w:sz w:val="20"/>
                <w:szCs w:val="20"/>
              </w:rPr>
            </w:pPr>
          </w:p>
        </w:tc>
        <w:tc>
          <w:tcPr>
            <w:tcW w:w="4299" w:type="pct"/>
            <w:gridSpan w:val="4"/>
            <w:vAlign w:val="center"/>
            <w:hideMark/>
          </w:tcPr>
          <w:p w14:paraId="1974A792" w14:textId="77777777" w:rsidR="007649FA" w:rsidRPr="00C3591D" w:rsidRDefault="007649FA">
            <w:pPr>
              <w:rPr>
                <w:rFonts w:ascii="Arial Narrow" w:hAnsi="Arial Narrow"/>
                <w:bCs/>
                <w:sz w:val="20"/>
                <w:szCs w:val="20"/>
              </w:rPr>
            </w:pPr>
            <w:r w:rsidRPr="00C3591D">
              <w:rPr>
                <w:rFonts w:ascii="Arial Narrow" w:hAnsi="Arial Narrow"/>
                <w:bCs/>
                <w:sz w:val="20"/>
                <w:szCs w:val="20"/>
              </w:rPr>
              <w:t>Patient must be undergoing treatment with this drug administered once every 6 weeks - prescribe up to 3 repeat prescriptions</w:t>
            </w:r>
          </w:p>
        </w:tc>
      </w:tr>
    </w:tbl>
    <w:p w14:paraId="4EF1CC75" w14:textId="77777777" w:rsidR="007649FA" w:rsidRPr="00BB6108" w:rsidRDefault="007649FA" w:rsidP="007649FA">
      <w:pPr>
        <w:spacing w:after="120"/>
        <w:rPr>
          <w:rFonts w:asciiTheme="minorHAnsi" w:hAnsiTheme="minorHAnsi" w:cstheme="minorHAnsi"/>
          <w:sz w:val="22"/>
          <w:szCs w:val="22"/>
        </w:rPr>
      </w:pPr>
    </w:p>
    <w:p w14:paraId="7612573B" w14:textId="321FD020" w:rsidR="006A71EF" w:rsidRPr="00170F21" w:rsidRDefault="007649FA" w:rsidP="00A56C71">
      <w:pPr>
        <w:pStyle w:val="3-BodyText"/>
        <w:rPr>
          <w:snapToGrid w:val="0"/>
          <w:lang w:eastAsia="en-US"/>
        </w:rPr>
      </w:pPr>
      <w:r w:rsidRPr="006A71EF">
        <w:rPr>
          <w:snapToGrid w:val="0"/>
          <w:lang w:eastAsia="en-US"/>
        </w:rPr>
        <w:t>Flow on</w:t>
      </w:r>
      <w:r w:rsidRPr="00170F21">
        <w:rPr>
          <w:snapToGrid w:val="0"/>
          <w:lang w:eastAsia="en-US"/>
        </w:rPr>
        <w:t xml:space="preserve"> </w:t>
      </w:r>
      <w:r w:rsidRPr="006A71EF">
        <w:rPr>
          <w:snapToGrid w:val="0"/>
          <w:lang w:eastAsia="en-US"/>
        </w:rPr>
        <w:t>changes</w:t>
      </w:r>
      <w:r w:rsidRPr="00170F21">
        <w:rPr>
          <w:snapToGrid w:val="0"/>
          <w:lang w:eastAsia="en-US"/>
        </w:rPr>
        <w:t>:</w:t>
      </w:r>
      <w:r w:rsidR="00A56C71" w:rsidRPr="00170F21">
        <w:rPr>
          <w:snapToGrid w:val="0"/>
          <w:lang w:eastAsia="en-US"/>
        </w:rPr>
        <w:t xml:space="preserve"> amend</w:t>
      </w:r>
      <w:r w:rsidR="007F5C89" w:rsidRPr="00170F21">
        <w:rPr>
          <w:snapToGrid w:val="0"/>
          <w:lang w:eastAsia="en-US"/>
        </w:rPr>
        <w:t xml:space="preserve"> </w:t>
      </w:r>
      <w:r w:rsidR="007F5C89">
        <w:rPr>
          <w:snapToGrid w:val="0"/>
          <w:lang w:eastAsia="en-US"/>
        </w:rPr>
        <w:t>existing pembrolizumab</w:t>
      </w:r>
      <w:r w:rsidR="00C332A0">
        <w:rPr>
          <w:snapToGrid w:val="0"/>
          <w:lang w:eastAsia="en-US"/>
        </w:rPr>
        <w:t xml:space="preserve"> </w:t>
      </w:r>
      <w:r w:rsidR="00170F21">
        <w:rPr>
          <w:snapToGrid w:val="0"/>
          <w:lang w:eastAsia="en-US"/>
        </w:rPr>
        <w:t>‘</w:t>
      </w:r>
      <w:r w:rsidR="00F44C10">
        <w:rPr>
          <w:snapToGrid w:val="0"/>
          <w:lang w:eastAsia="en-US"/>
        </w:rPr>
        <w:t>r</w:t>
      </w:r>
      <w:r w:rsidR="00170F21" w:rsidRPr="00170F21">
        <w:rPr>
          <w:snapToGrid w:val="0"/>
          <w:lang w:eastAsia="en-US"/>
        </w:rPr>
        <w:t>ecurrent or metastatic squamous cell carcinoma of the oral cavity, pharynx or larynx’ listing as follows.</w:t>
      </w:r>
    </w:p>
    <w:p w14:paraId="2E5DC287" w14:textId="331FAA4D" w:rsidR="007649FA" w:rsidRPr="00170F21" w:rsidRDefault="00C332A0" w:rsidP="00C332A0">
      <w:pPr>
        <w:pStyle w:val="3-BodyText"/>
        <w:numPr>
          <w:ilvl w:val="0"/>
          <w:numId w:val="0"/>
        </w:numPr>
        <w:ind w:left="720"/>
        <w:rPr>
          <w:snapToGrid w:val="0"/>
          <w:lang w:eastAsia="en-US"/>
        </w:rPr>
      </w:pPr>
      <w:r w:rsidRPr="00170F21">
        <w:rPr>
          <w:snapToGrid w:val="0"/>
          <w:lang w:eastAsia="en-US"/>
        </w:rPr>
        <w:t>Suggested additions are in italics.</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Flow on changes"/>
      </w:tblPr>
      <w:tblGrid>
        <w:gridCol w:w="3095"/>
        <w:gridCol w:w="1973"/>
        <w:gridCol w:w="1973"/>
        <w:gridCol w:w="2026"/>
      </w:tblGrid>
      <w:tr w:rsidR="007649FA" w:rsidRPr="00C3591D" w14:paraId="748E6F6C" w14:textId="77777777" w:rsidTr="00C33A05">
        <w:trPr>
          <w:cantSplit/>
          <w:trHeight w:val="20"/>
        </w:trPr>
        <w:tc>
          <w:tcPr>
            <w:tcW w:w="1707" w:type="pct"/>
            <w:vAlign w:val="center"/>
          </w:tcPr>
          <w:p w14:paraId="5DFC6E96" w14:textId="77777777" w:rsidR="007649FA" w:rsidRPr="00C3591D" w:rsidRDefault="007649FA">
            <w:pPr>
              <w:keepNext/>
              <w:rPr>
                <w:rFonts w:ascii="Arial Narrow" w:hAnsi="Arial Narrow"/>
                <w:b/>
                <w:bCs/>
                <w:sz w:val="20"/>
                <w:szCs w:val="20"/>
              </w:rPr>
            </w:pPr>
            <w:r w:rsidRPr="00C3591D">
              <w:rPr>
                <w:rFonts w:ascii="Arial Narrow" w:hAnsi="Arial Narrow"/>
                <w:b/>
                <w:bCs/>
                <w:sz w:val="20"/>
                <w:szCs w:val="20"/>
              </w:rPr>
              <w:t>MEDICINAL PRODUCT</w:t>
            </w:r>
          </w:p>
          <w:p w14:paraId="382B5D83" w14:textId="77777777" w:rsidR="007649FA" w:rsidRPr="00C3591D" w:rsidRDefault="007649FA">
            <w:pPr>
              <w:keepNext/>
              <w:rPr>
                <w:rFonts w:ascii="Arial Narrow" w:hAnsi="Arial Narrow"/>
                <w:b/>
                <w:sz w:val="20"/>
                <w:szCs w:val="20"/>
              </w:rPr>
            </w:pPr>
            <w:r w:rsidRPr="00C3591D">
              <w:rPr>
                <w:rFonts w:ascii="Arial Narrow" w:hAnsi="Arial Narrow"/>
                <w:b/>
                <w:sz w:val="20"/>
                <w:szCs w:val="20"/>
              </w:rPr>
              <w:t>Form</w:t>
            </w:r>
          </w:p>
        </w:tc>
        <w:tc>
          <w:tcPr>
            <w:tcW w:w="1088" w:type="pct"/>
            <w:vAlign w:val="center"/>
          </w:tcPr>
          <w:p w14:paraId="72AF4F71" w14:textId="77777777" w:rsidR="007649FA" w:rsidRPr="00C3591D" w:rsidRDefault="007649FA">
            <w:pPr>
              <w:keepNext/>
              <w:jc w:val="center"/>
              <w:rPr>
                <w:rFonts w:ascii="Arial Narrow" w:hAnsi="Arial Narrow"/>
                <w:b/>
                <w:sz w:val="20"/>
                <w:szCs w:val="20"/>
              </w:rPr>
            </w:pPr>
            <w:r w:rsidRPr="00C3591D">
              <w:rPr>
                <w:rFonts w:ascii="Arial Narrow" w:hAnsi="Arial Narrow"/>
                <w:b/>
                <w:sz w:val="20"/>
                <w:szCs w:val="20"/>
              </w:rPr>
              <w:t>PBS item code</w:t>
            </w:r>
          </w:p>
        </w:tc>
        <w:tc>
          <w:tcPr>
            <w:tcW w:w="1088" w:type="pct"/>
            <w:vAlign w:val="center"/>
          </w:tcPr>
          <w:p w14:paraId="4A878E9F" w14:textId="77777777" w:rsidR="007649FA" w:rsidRPr="00C3591D" w:rsidRDefault="007649FA">
            <w:pPr>
              <w:keepNext/>
              <w:jc w:val="center"/>
              <w:rPr>
                <w:rFonts w:ascii="Arial Narrow" w:hAnsi="Arial Narrow"/>
                <w:b/>
                <w:sz w:val="20"/>
                <w:szCs w:val="20"/>
              </w:rPr>
            </w:pPr>
            <w:r w:rsidRPr="00C3591D">
              <w:rPr>
                <w:rFonts w:ascii="Arial Narrow" w:hAnsi="Arial Narrow"/>
                <w:b/>
                <w:sz w:val="20"/>
                <w:szCs w:val="20"/>
              </w:rPr>
              <w:t>Max. Amount</w:t>
            </w:r>
          </w:p>
        </w:tc>
        <w:tc>
          <w:tcPr>
            <w:tcW w:w="1117" w:type="pct"/>
            <w:vAlign w:val="center"/>
          </w:tcPr>
          <w:p w14:paraId="4D774B3E" w14:textId="77777777" w:rsidR="007649FA" w:rsidRPr="00C3591D" w:rsidRDefault="007649FA">
            <w:pPr>
              <w:keepNext/>
              <w:jc w:val="center"/>
              <w:rPr>
                <w:rFonts w:ascii="Arial Narrow" w:hAnsi="Arial Narrow"/>
                <w:b/>
                <w:sz w:val="20"/>
                <w:szCs w:val="20"/>
              </w:rPr>
            </w:pPr>
            <w:r w:rsidRPr="00C3591D">
              <w:rPr>
                <w:rFonts w:ascii="Arial Narrow" w:hAnsi="Arial Narrow"/>
                <w:b/>
                <w:sz w:val="20"/>
                <w:szCs w:val="20"/>
              </w:rPr>
              <w:t>№.of Rpts</w:t>
            </w:r>
          </w:p>
        </w:tc>
      </w:tr>
      <w:tr w:rsidR="007649FA" w:rsidRPr="00C3591D" w14:paraId="07F8A23F" w14:textId="77777777" w:rsidTr="00C33A05">
        <w:trPr>
          <w:cantSplit/>
          <w:trHeight w:val="20"/>
        </w:trPr>
        <w:tc>
          <w:tcPr>
            <w:tcW w:w="1707" w:type="pct"/>
            <w:vAlign w:val="center"/>
          </w:tcPr>
          <w:p w14:paraId="175583A3" w14:textId="77777777" w:rsidR="007649FA" w:rsidRPr="00C3591D" w:rsidRDefault="007649FA">
            <w:pPr>
              <w:keepNext/>
              <w:rPr>
                <w:rFonts w:ascii="Arial Narrow" w:hAnsi="Arial Narrow"/>
                <w:sz w:val="20"/>
                <w:szCs w:val="20"/>
              </w:rPr>
            </w:pPr>
            <w:r w:rsidRPr="00C3591D">
              <w:rPr>
                <w:rFonts w:ascii="Arial Narrow" w:hAnsi="Arial Narrow"/>
                <w:sz w:val="20"/>
                <w:szCs w:val="20"/>
              </w:rPr>
              <w:t>PEMBROLIZUMAB</w:t>
            </w:r>
            <w:r w:rsidRPr="00C3591D">
              <w:rPr>
                <w:rFonts w:ascii="Arial Narrow" w:hAnsi="Arial Narrow"/>
                <w:sz w:val="20"/>
                <w:szCs w:val="20"/>
              </w:rPr>
              <w:br/>
            </w:r>
            <w:r w:rsidRPr="00C3591D">
              <w:rPr>
                <w:rFonts w:ascii="Arial Narrow" w:hAnsi="Arial Narrow" w:cs="Arial Narrow"/>
                <w:sz w:val="20"/>
                <w:szCs w:val="20"/>
              </w:rPr>
              <w:t>Injection</w:t>
            </w:r>
          </w:p>
        </w:tc>
        <w:tc>
          <w:tcPr>
            <w:tcW w:w="1088" w:type="pct"/>
            <w:vAlign w:val="center"/>
          </w:tcPr>
          <w:p w14:paraId="46A7D25D" w14:textId="77777777" w:rsidR="007649FA" w:rsidRPr="00C3591D" w:rsidRDefault="007649FA">
            <w:pPr>
              <w:keepNext/>
              <w:jc w:val="center"/>
              <w:rPr>
                <w:rFonts w:ascii="Arial Narrow" w:hAnsi="Arial Narrow"/>
                <w:sz w:val="20"/>
                <w:szCs w:val="20"/>
              </w:rPr>
            </w:pPr>
            <w:r w:rsidRPr="00C3591D">
              <w:rPr>
                <w:rFonts w:ascii="Arial Narrow" w:hAnsi="Arial Narrow"/>
                <w:sz w:val="20"/>
                <w:szCs w:val="20"/>
              </w:rPr>
              <w:t>13131D (Public)</w:t>
            </w:r>
            <w:r w:rsidRPr="00C3591D">
              <w:rPr>
                <w:rFonts w:ascii="Arial Narrow" w:hAnsi="Arial Narrow"/>
                <w:sz w:val="20"/>
                <w:szCs w:val="20"/>
              </w:rPr>
              <w:br/>
              <w:t>13114F (Private)</w:t>
            </w:r>
          </w:p>
        </w:tc>
        <w:tc>
          <w:tcPr>
            <w:tcW w:w="1088" w:type="pct"/>
            <w:vAlign w:val="center"/>
          </w:tcPr>
          <w:p w14:paraId="2F3E24EF" w14:textId="77777777" w:rsidR="007649FA" w:rsidRPr="00C3591D" w:rsidRDefault="007649FA">
            <w:pPr>
              <w:keepNext/>
              <w:jc w:val="center"/>
              <w:rPr>
                <w:rFonts w:ascii="Arial Narrow" w:hAnsi="Arial Narrow"/>
                <w:sz w:val="20"/>
                <w:szCs w:val="20"/>
              </w:rPr>
            </w:pPr>
            <w:r w:rsidRPr="00C3591D">
              <w:rPr>
                <w:rFonts w:ascii="Arial Narrow" w:hAnsi="Arial Narrow"/>
                <w:sz w:val="20"/>
                <w:szCs w:val="20"/>
              </w:rPr>
              <w:t>400 mg</w:t>
            </w:r>
          </w:p>
        </w:tc>
        <w:tc>
          <w:tcPr>
            <w:tcW w:w="1117" w:type="pct"/>
            <w:vAlign w:val="center"/>
          </w:tcPr>
          <w:p w14:paraId="7E1BB4EB" w14:textId="77777777" w:rsidR="007649FA" w:rsidRPr="00C3591D" w:rsidRDefault="007649FA">
            <w:pPr>
              <w:keepNext/>
              <w:jc w:val="center"/>
              <w:rPr>
                <w:rFonts w:ascii="Arial Narrow" w:hAnsi="Arial Narrow"/>
                <w:sz w:val="20"/>
                <w:szCs w:val="20"/>
              </w:rPr>
            </w:pPr>
            <w:r w:rsidRPr="00C3591D">
              <w:rPr>
                <w:rFonts w:ascii="Arial Narrow" w:hAnsi="Arial Narrow"/>
                <w:sz w:val="20"/>
                <w:szCs w:val="20"/>
              </w:rPr>
              <w:t>6</w:t>
            </w:r>
          </w:p>
        </w:tc>
      </w:tr>
      <w:tr w:rsidR="007649FA" w:rsidRPr="00C3591D" w14:paraId="6B0A0A8F" w14:textId="77777777" w:rsidTr="00C33A05">
        <w:trPr>
          <w:cantSplit/>
          <w:trHeight w:val="20"/>
        </w:trPr>
        <w:tc>
          <w:tcPr>
            <w:tcW w:w="5000" w:type="pct"/>
            <w:gridSpan w:val="4"/>
            <w:vAlign w:val="center"/>
          </w:tcPr>
          <w:p w14:paraId="6874FC90" w14:textId="77777777" w:rsidR="007649FA" w:rsidRPr="00C3591D" w:rsidRDefault="007649FA">
            <w:pPr>
              <w:keepNext/>
              <w:rPr>
                <w:rFonts w:ascii="Arial Narrow" w:hAnsi="Arial Narrow"/>
                <w:b/>
                <w:sz w:val="20"/>
                <w:szCs w:val="20"/>
              </w:rPr>
            </w:pPr>
            <w:r w:rsidRPr="00C3591D">
              <w:rPr>
                <w:rFonts w:ascii="Arial Narrow" w:hAnsi="Arial Narrow"/>
                <w:b/>
                <w:sz w:val="20"/>
                <w:szCs w:val="20"/>
              </w:rPr>
              <w:t xml:space="preserve">Available brands </w:t>
            </w:r>
          </w:p>
        </w:tc>
      </w:tr>
      <w:tr w:rsidR="007649FA" w:rsidRPr="00C3591D" w14:paraId="0D3E12B7" w14:textId="77777777" w:rsidTr="00C33A05">
        <w:trPr>
          <w:cantSplit/>
          <w:trHeight w:val="20"/>
        </w:trPr>
        <w:tc>
          <w:tcPr>
            <w:tcW w:w="5000" w:type="pct"/>
            <w:gridSpan w:val="4"/>
            <w:vAlign w:val="center"/>
          </w:tcPr>
          <w:p w14:paraId="7B43FF84" w14:textId="77777777" w:rsidR="007649FA" w:rsidRPr="00C3591D" w:rsidRDefault="007649FA">
            <w:pPr>
              <w:keepNext/>
              <w:rPr>
                <w:rFonts w:ascii="Arial Narrow" w:hAnsi="Arial Narrow"/>
                <w:sz w:val="20"/>
                <w:szCs w:val="20"/>
              </w:rPr>
            </w:pPr>
            <w:r w:rsidRPr="00C3591D">
              <w:rPr>
                <w:rFonts w:ascii="Arial Narrow" w:hAnsi="Arial Narrow"/>
                <w:sz w:val="20"/>
                <w:szCs w:val="20"/>
              </w:rPr>
              <w:t xml:space="preserve">Keytruda® </w:t>
            </w:r>
          </w:p>
          <w:p w14:paraId="7AAE569F" w14:textId="77777777" w:rsidR="007649FA" w:rsidRPr="00C3591D" w:rsidRDefault="007649FA">
            <w:pPr>
              <w:keepNext/>
              <w:rPr>
                <w:rFonts w:ascii="Arial Narrow" w:hAnsi="Arial Narrow"/>
                <w:sz w:val="20"/>
                <w:szCs w:val="20"/>
              </w:rPr>
            </w:pPr>
            <w:r w:rsidRPr="00C3591D">
              <w:rPr>
                <w:rFonts w:ascii="Arial Narrow" w:hAnsi="Arial Narrow"/>
                <w:sz w:val="20"/>
                <w:szCs w:val="20"/>
              </w:rPr>
              <w:t>(pembrolizumab 100 mg/4 ml injection, 4 ml vial)</w:t>
            </w:r>
          </w:p>
        </w:tc>
      </w:tr>
      <w:tr w:rsidR="007649FA" w:rsidRPr="00C3591D" w14:paraId="17E00596" w14:textId="77777777" w:rsidTr="00C33A05">
        <w:trPr>
          <w:cantSplit/>
          <w:trHeight w:val="20"/>
        </w:trPr>
        <w:tc>
          <w:tcPr>
            <w:tcW w:w="5000" w:type="pct"/>
            <w:gridSpan w:val="4"/>
            <w:vAlign w:val="center"/>
          </w:tcPr>
          <w:p w14:paraId="2160C130" w14:textId="77777777" w:rsidR="007649FA" w:rsidRPr="00C3591D" w:rsidRDefault="007649FA">
            <w:pPr>
              <w:rPr>
                <w:rFonts w:ascii="Arial Narrow" w:hAnsi="Arial Narrow"/>
                <w:sz w:val="20"/>
                <w:szCs w:val="20"/>
              </w:rPr>
            </w:pPr>
          </w:p>
        </w:tc>
      </w:tr>
      <w:tr w:rsidR="00C33A05" w:rsidRPr="00C3591D" w14:paraId="7C856F1A"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4"/>
          </w:tcPr>
          <w:p w14:paraId="1130143F" w14:textId="77777777" w:rsidR="00C33A05" w:rsidRPr="00C3591D" w:rsidRDefault="00C33A05">
            <w:pPr>
              <w:keepNext/>
              <w:rPr>
                <w:rFonts w:ascii="Arial Narrow" w:hAnsi="Arial Narrow"/>
                <w:sz w:val="20"/>
                <w:szCs w:val="20"/>
              </w:rPr>
            </w:pPr>
            <w:r w:rsidRPr="00C3591D">
              <w:rPr>
                <w:rFonts w:ascii="Arial Narrow" w:hAnsi="Arial Narrow"/>
                <w:b/>
                <w:sz w:val="20"/>
                <w:szCs w:val="20"/>
              </w:rPr>
              <w:t xml:space="preserve">Category / Program: </w:t>
            </w:r>
            <w:r w:rsidRPr="00C3591D">
              <w:rPr>
                <w:rFonts w:ascii="Arial Narrow" w:hAnsi="Arial Narrow"/>
                <w:sz w:val="20"/>
                <w:szCs w:val="20"/>
              </w:rPr>
              <w:t xml:space="preserve">Section 100 – Efficient Funding of Chemotherapy Public/Private hospitals </w:t>
            </w:r>
          </w:p>
        </w:tc>
      </w:tr>
      <w:tr w:rsidR="00C33A05" w:rsidRPr="00C3591D" w14:paraId="07CC1FAB"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4"/>
          </w:tcPr>
          <w:p w14:paraId="0BC4610E" w14:textId="77777777" w:rsidR="00C33A05" w:rsidRPr="00C3591D" w:rsidRDefault="00C33A05">
            <w:pPr>
              <w:keepNext/>
              <w:rPr>
                <w:rFonts w:ascii="Arial Narrow" w:hAnsi="Arial Narrow"/>
                <w:b/>
                <w:sz w:val="20"/>
                <w:szCs w:val="20"/>
              </w:rPr>
            </w:pPr>
            <w:r w:rsidRPr="00C3591D">
              <w:rPr>
                <w:rFonts w:ascii="Arial Narrow" w:hAnsi="Arial Narrow"/>
                <w:b/>
                <w:sz w:val="20"/>
                <w:szCs w:val="20"/>
              </w:rPr>
              <w:t xml:space="preserve">Prescriber type: </w:t>
            </w:r>
            <w:r w:rsidRPr="00C3591D">
              <w:rPr>
                <w:rFonts w:ascii="Arial Narrow" w:hAnsi="Arial Narrow"/>
                <w:sz w:val="20"/>
                <w:szCs w:val="20"/>
              </w:rPr>
              <w:fldChar w:fldCharType="begin">
                <w:ffData>
                  <w:name w:val=""/>
                  <w:enabled/>
                  <w:calcOnExit w:val="0"/>
                  <w:checkBox>
                    <w:sizeAuto/>
                    <w:default w:val="1"/>
                  </w:checkBox>
                </w:ffData>
              </w:fldChar>
            </w:r>
            <w:r w:rsidRPr="00C3591D">
              <w:rPr>
                <w:rFonts w:ascii="Arial Narrow" w:hAnsi="Arial Narrow"/>
                <w:sz w:val="20"/>
                <w:szCs w:val="20"/>
              </w:rPr>
              <w:instrText xml:space="preserve"> FORMCHECKBOX </w:instrText>
            </w:r>
            <w:r w:rsidRPr="00C3591D">
              <w:rPr>
                <w:rFonts w:ascii="Arial Narrow" w:hAnsi="Arial Narrow"/>
                <w:sz w:val="20"/>
                <w:szCs w:val="20"/>
              </w:rPr>
            </w:r>
            <w:r w:rsidRPr="00C3591D">
              <w:rPr>
                <w:rFonts w:ascii="Arial Narrow" w:hAnsi="Arial Narrow"/>
                <w:sz w:val="20"/>
                <w:szCs w:val="20"/>
              </w:rPr>
              <w:fldChar w:fldCharType="separate"/>
            </w:r>
            <w:r w:rsidRPr="00C3591D">
              <w:rPr>
                <w:rFonts w:ascii="Arial Narrow" w:hAnsi="Arial Narrow"/>
                <w:sz w:val="20"/>
                <w:szCs w:val="20"/>
              </w:rPr>
              <w:fldChar w:fldCharType="end"/>
            </w:r>
            <w:r w:rsidRPr="00C3591D">
              <w:rPr>
                <w:rFonts w:ascii="Arial Narrow" w:hAnsi="Arial Narrow"/>
                <w:sz w:val="20"/>
                <w:szCs w:val="20"/>
              </w:rPr>
              <w:t xml:space="preserve">Medical Practitioners </w:t>
            </w:r>
          </w:p>
        </w:tc>
      </w:tr>
      <w:tr w:rsidR="00C33A05" w:rsidRPr="00C3591D" w14:paraId="5342573A"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4"/>
          </w:tcPr>
          <w:p w14:paraId="1DAB64AF" w14:textId="77777777" w:rsidR="00C33A05" w:rsidRPr="00C3591D" w:rsidRDefault="00C33A05">
            <w:pPr>
              <w:rPr>
                <w:rFonts w:ascii="Arial Narrow" w:eastAsia="Calibri" w:hAnsi="Arial Narrow"/>
                <w:sz w:val="20"/>
                <w:szCs w:val="20"/>
              </w:rPr>
            </w:pPr>
            <w:r w:rsidRPr="00C3591D">
              <w:rPr>
                <w:rFonts w:ascii="Arial Narrow" w:hAnsi="Arial Narrow"/>
                <w:b/>
                <w:sz w:val="20"/>
                <w:szCs w:val="20"/>
              </w:rPr>
              <w:t xml:space="preserve">Restriction type: </w:t>
            </w:r>
            <w:r w:rsidRPr="00C3591D">
              <w:rPr>
                <w:rFonts w:ascii="Arial Narrow" w:eastAsia="Calibri" w:hAnsi="Arial Narrow"/>
                <w:sz w:val="20"/>
                <w:szCs w:val="20"/>
              </w:rPr>
              <w:fldChar w:fldCharType="begin">
                <w:ffData>
                  <w:name w:val=""/>
                  <w:enabled/>
                  <w:calcOnExit w:val="0"/>
                  <w:checkBox>
                    <w:sizeAuto/>
                    <w:default w:val="1"/>
                  </w:checkBox>
                </w:ffData>
              </w:fldChar>
            </w:r>
            <w:r w:rsidRPr="00C3591D">
              <w:rPr>
                <w:rFonts w:ascii="Arial Narrow" w:eastAsia="Calibri" w:hAnsi="Arial Narrow"/>
                <w:sz w:val="20"/>
                <w:szCs w:val="20"/>
              </w:rPr>
              <w:instrText xml:space="preserve"> FORMCHECKBOX </w:instrText>
            </w:r>
            <w:r w:rsidRPr="00C3591D">
              <w:rPr>
                <w:rFonts w:ascii="Arial Narrow" w:eastAsia="Calibri" w:hAnsi="Arial Narrow"/>
                <w:sz w:val="20"/>
                <w:szCs w:val="20"/>
              </w:rPr>
            </w:r>
            <w:r w:rsidRPr="00C3591D">
              <w:rPr>
                <w:rFonts w:ascii="Arial Narrow" w:eastAsia="Calibri" w:hAnsi="Arial Narrow"/>
                <w:sz w:val="20"/>
                <w:szCs w:val="20"/>
              </w:rPr>
              <w:fldChar w:fldCharType="separate"/>
            </w:r>
            <w:r w:rsidRPr="00C3591D">
              <w:rPr>
                <w:rFonts w:ascii="Arial Narrow" w:eastAsia="Calibri" w:hAnsi="Arial Narrow"/>
                <w:sz w:val="20"/>
                <w:szCs w:val="20"/>
              </w:rPr>
              <w:fldChar w:fldCharType="end"/>
            </w:r>
            <w:r w:rsidRPr="00C3591D">
              <w:rPr>
                <w:rFonts w:ascii="Arial Narrow" w:eastAsia="Calibri" w:hAnsi="Arial Narrow"/>
                <w:sz w:val="20"/>
                <w:szCs w:val="20"/>
              </w:rPr>
              <w:t>Authority Required (STREAMLINED) [13735]</w:t>
            </w:r>
          </w:p>
        </w:tc>
      </w:tr>
      <w:tr w:rsidR="00C33A05" w:rsidRPr="00C3591D" w14:paraId="4BB0AA89" w14:textId="77777777" w:rsidTr="00C33A05">
        <w:tblPrEx>
          <w:tblCellMar>
            <w:top w:w="15" w:type="dxa"/>
            <w:bottom w:w="15" w:type="dxa"/>
          </w:tblCellMar>
          <w:tblLook w:val="04A0" w:firstRow="1" w:lastRow="0" w:firstColumn="1" w:lastColumn="0" w:noHBand="0" w:noVBand="1"/>
        </w:tblPrEx>
        <w:trPr>
          <w:trHeight w:val="132"/>
        </w:trPr>
        <w:tc>
          <w:tcPr>
            <w:tcW w:w="5000" w:type="pct"/>
            <w:gridSpan w:val="4"/>
            <w:vAlign w:val="center"/>
          </w:tcPr>
          <w:p w14:paraId="433E64DF" w14:textId="77777777" w:rsidR="00C33A05" w:rsidRPr="00C3591D" w:rsidRDefault="00C33A05" w:rsidP="00C33A05">
            <w:pPr>
              <w:keepLines/>
              <w:rPr>
                <w:rFonts w:ascii="Arial Narrow" w:hAnsi="Arial Narrow"/>
                <w:sz w:val="20"/>
                <w:szCs w:val="20"/>
              </w:rPr>
            </w:pPr>
            <w:r w:rsidRPr="00C3591D">
              <w:rPr>
                <w:rFonts w:ascii="Arial Narrow" w:hAnsi="Arial Narrow"/>
                <w:b/>
                <w:sz w:val="20"/>
                <w:szCs w:val="20"/>
              </w:rPr>
              <w:t>Administrative Advice:</w:t>
            </w:r>
            <w:r w:rsidRPr="00C3591D">
              <w:rPr>
                <w:rFonts w:ascii="Arial Narrow" w:hAnsi="Arial Narrow"/>
                <w:bCs/>
                <w:sz w:val="20"/>
                <w:szCs w:val="20"/>
              </w:rPr>
              <w:t xml:space="preserve"> </w:t>
            </w:r>
            <w:r w:rsidRPr="00C3591D">
              <w:rPr>
                <w:rFonts w:ascii="Arial Narrow" w:hAnsi="Arial Narrow"/>
                <w:sz w:val="20"/>
                <w:szCs w:val="20"/>
              </w:rPr>
              <w:t>No increase in the maximum amount or number of units may be authorised.</w:t>
            </w:r>
          </w:p>
        </w:tc>
      </w:tr>
      <w:tr w:rsidR="00C33A05" w:rsidRPr="00C3591D" w14:paraId="0D8759C3" w14:textId="77777777" w:rsidTr="00C33A05">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061277B7" w14:textId="77777777" w:rsidR="00C33A05" w:rsidRPr="00C3591D" w:rsidRDefault="00C33A05" w:rsidP="00C33A05">
            <w:pPr>
              <w:keepLines/>
              <w:rPr>
                <w:rFonts w:ascii="Arial Narrow" w:hAnsi="Arial Narrow"/>
                <w:b/>
                <w:bCs/>
                <w:sz w:val="20"/>
                <w:szCs w:val="20"/>
              </w:rPr>
            </w:pPr>
            <w:r w:rsidRPr="00C3591D">
              <w:rPr>
                <w:rFonts w:ascii="Arial Narrow" w:hAnsi="Arial Narrow"/>
                <w:b/>
                <w:sz w:val="20"/>
                <w:szCs w:val="20"/>
              </w:rPr>
              <w:t>Administrative Advice:</w:t>
            </w:r>
            <w:r w:rsidRPr="00C3591D">
              <w:rPr>
                <w:rFonts w:ascii="Arial Narrow" w:hAnsi="Arial Narrow"/>
                <w:bCs/>
                <w:sz w:val="20"/>
                <w:szCs w:val="20"/>
              </w:rPr>
              <w:t xml:space="preserve"> </w:t>
            </w:r>
            <w:r w:rsidRPr="00C3591D">
              <w:rPr>
                <w:rFonts w:ascii="Arial Narrow" w:hAnsi="Arial Narrow"/>
                <w:sz w:val="20"/>
                <w:szCs w:val="20"/>
              </w:rPr>
              <w:t>No increase in the maximum number of repeats may be authorised</w:t>
            </w:r>
          </w:p>
        </w:tc>
      </w:tr>
      <w:tr w:rsidR="00C33A05" w:rsidRPr="00C3591D" w14:paraId="0880ADD1" w14:textId="77777777" w:rsidTr="00C33A05">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180B6725" w14:textId="77777777" w:rsidR="00C33A05" w:rsidRPr="00C3591D" w:rsidRDefault="00C33A05" w:rsidP="00C33A05">
            <w:pPr>
              <w:keepLines/>
              <w:rPr>
                <w:rFonts w:ascii="Arial Narrow" w:hAnsi="Arial Narrow"/>
                <w:b/>
                <w:sz w:val="20"/>
                <w:szCs w:val="20"/>
              </w:rPr>
            </w:pPr>
            <w:r w:rsidRPr="00C3591D">
              <w:rPr>
                <w:rFonts w:ascii="Arial Narrow" w:hAnsi="Arial Narrow"/>
                <w:b/>
                <w:sz w:val="20"/>
                <w:szCs w:val="20"/>
              </w:rPr>
              <w:t xml:space="preserve">Administrative Advice: </w:t>
            </w:r>
            <w:r w:rsidRPr="00C3591D">
              <w:rPr>
                <w:rFonts w:ascii="Arial Narrow" w:hAnsi="Arial Narrow"/>
                <w:sz w:val="20"/>
                <w:szCs w:val="20"/>
              </w:rPr>
              <w:t>Special Pricing Arrangements apply</w:t>
            </w:r>
          </w:p>
        </w:tc>
      </w:tr>
      <w:tr w:rsidR="00C33A05" w:rsidRPr="00C3591D" w14:paraId="694853BD" w14:textId="77777777" w:rsidTr="00C33A05">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41A16FBC" w14:textId="77777777" w:rsidR="00C33A05" w:rsidRPr="00C3591D" w:rsidRDefault="00C33A05" w:rsidP="00C33A05">
            <w:pPr>
              <w:keepLines/>
              <w:rPr>
                <w:rFonts w:ascii="Arial Narrow" w:hAnsi="Arial Narrow"/>
                <w:sz w:val="20"/>
                <w:szCs w:val="20"/>
              </w:rPr>
            </w:pPr>
            <w:r w:rsidRPr="00C3591D">
              <w:rPr>
                <w:rFonts w:ascii="Arial Narrow" w:hAnsi="Arial Narrow"/>
                <w:b/>
                <w:sz w:val="20"/>
                <w:szCs w:val="20"/>
              </w:rPr>
              <w:t xml:space="preserve">Administrative Advice: </w:t>
            </w:r>
            <w:r w:rsidRPr="00C3591D">
              <w:rPr>
                <w:rFonts w:ascii="Arial Narrow" w:hAnsi="Arial Narrow"/>
                <w:sz w:val="20"/>
                <w:szCs w:val="20"/>
              </w:rPr>
              <w:t>Patient should be treated with the recommended dose of pembrolizumab according to the TGA-approved Product Information.</w:t>
            </w:r>
          </w:p>
        </w:tc>
      </w:tr>
      <w:tr w:rsidR="00C33A05" w:rsidRPr="00C3591D" w14:paraId="15C0983B"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16C16EB3" w14:textId="77777777" w:rsidR="00C33A05" w:rsidRPr="00C3591D" w:rsidRDefault="00C33A05" w:rsidP="00C33A05">
            <w:pPr>
              <w:keepLines/>
              <w:rPr>
                <w:rFonts w:ascii="Arial Narrow" w:hAnsi="Arial Narrow"/>
                <w:b/>
                <w:bCs/>
                <w:sz w:val="20"/>
                <w:szCs w:val="20"/>
              </w:rPr>
            </w:pPr>
            <w:r w:rsidRPr="00C3591D">
              <w:rPr>
                <w:rFonts w:ascii="Arial Narrow" w:hAnsi="Arial Narrow"/>
                <w:b/>
                <w:sz w:val="20"/>
                <w:szCs w:val="20"/>
              </w:rPr>
              <w:t xml:space="preserve">Restriction Summary 13734 / Treatment of Concept: 13735 </w:t>
            </w:r>
          </w:p>
        </w:tc>
      </w:tr>
      <w:tr w:rsidR="00C33A05" w:rsidRPr="00C3591D" w14:paraId="12D35D25"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50E596B4" w14:textId="77777777" w:rsidR="00C33A05" w:rsidRPr="00C3591D" w:rsidRDefault="00C33A05" w:rsidP="00C33A05">
            <w:pPr>
              <w:keepLines/>
              <w:rPr>
                <w:rFonts w:ascii="Arial Narrow" w:hAnsi="Arial Narrow"/>
                <w:sz w:val="20"/>
                <w:szCs w:val="20"/>
              </w:rPr>
            </w:pPr>
            <w:r w:rsidRPr="00C3591D">
              <w:rPr>
                <w:rFonts w:ascii="Arial Narrow" w:hAnsi="Arial Narrow"/>
                <w:b/>
                <w:bCs/>
                <w:sz w:val="20"/>
                <w:szCs w:val="20"/>
              </w:rPr>
              <w:t>Indication:</w:t>
            </w:r>
            <w:r w:rsidRPr="00C3591D">
              <w:rPr>
                <w:rFonts w:ascii="Arial Narrow" w:hAnsi="Arial Narrow"/>
                <w:sz w:val="20"/>
                <w:szCs w:val="20"/>
              </w:rPr>
              <w:t xml:space="preserve"> Recurrent or metastatic squamous cell carcinoma of the oral cavity, pharynx or larynx</w:t>
            </w:r>
          </w:p>
        </w:tc>
      </w:tr>
      <w:tr w:rsidR="00C33A05" w:rsidRPr="00C3591D" w14:paraId="0FCAB9FF"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6078A7D0" w14:textId="77777777" w:rsidR="00C33A05" w:rsidRPr="00C3591D" w:rsidRDefault="00C33A05" w:rsidP="00C33A05">
            <w:pPr>
              <w:rPr>
                <w:rFonts w:ascii="Arial Narrow" w:hAnsi="Arial Narrow"/>
                <w:sz w:val="20"/>
                <w:szCs w:val="20"/>
              </w:rPr>
            </w:pPr>
            <w:r w:rsidRPr="00C3591D">
              <w:rPr>
                <w:rFonts w:ascii="Arial Narrow" w:hAnsi="Arial Narrow"/>
                <w:b/>
                <w:bCs/>
                <w:sz w:val="20"/>
                <w:szCs w:val="20"/>
              </w:rPr>
              <w:t>Treatment Phase:</w:t>
            </w:r>
            <w:r w:rsidRPr="00C3591D">
              <w:rPr>
                <w:rFonts w:ascii="Arial Narrow" w:hAnsi="Arial Narrow"/>
                <w:sz w:val="20"/>
                <w:szCs w:val="20"/>
              </w:rPr>
              <w:t xml:space="preserve"> Initial treatment</w:t>
            </w:r>
          </w:p>
        </w:tc>
      </w:tr>
      <w:tr w:rsidR="00C33A05" w:rsidRPr="00C3591D" w14:paraId="5E003FA4"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23430AC0" w14:textId="77777777" w:rsidR="00C33A05" w:rsidRPr="00C3591D" w:rsidRDefault="00C33A05" w:rsidP="00C33A05">
            <w:pPr>
              <w:rPr>
                <w:rFonts w:ascii="Arial Narrow" w:hAnsi="Arial Narrow"/>
                <w:b/>
                <w:sz w:val="20"/>
                <w:szCs w:val="20"/>
              </w:rPr>
            </w:pPr>
            <w:r w:rsidRPr="00C3591D">
              <w:rPr>
                <w:rFonts w:ascii="Arial Narrow" w:hAnsi="Arial Narrow"/>
                <w:b/>
                <w:sz w:val="20"/>
                <w:szCs w:val="20"/>
              </w:rPr>
              <w:t>Clinical criteria:</w:t>
            </w:r>
          </w:p>
        </w:tc>
      </w:tr>
      <w:tr w:rsidR="00C33A05" w:rsidRPr="00C3591D" w14:paraId="2D215647"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03F6C647" w14:textId="77777777" w:rsidR="00C33A05" w:rsidRPr="00C3591D" w:rsidRDefault="00C33A05" w:rsidP="00C33A05">
            <w:pPr>
              <w:rPr>
                <w:rFonts w:ascii="Arial Narrow" w:hAnsi="Arial Narrow"/>
                <w:bCs/>
                <w:sz w:val="20"/>
                <w:szCs w:val="20"/>
              </w:rPr>
            </w:pPr>
            <w:r w:rsidRPr="00C3591D">
              <w:rPr>
                <w:rFonts w:ascii="Arial Narrow" w:hAnsi="Arial Narrow"/>
                <w:bCs/>
                <w:sz w:val="20"/>
                <w:szCs w:val="20"/>
              </w:rPr>
              <w:t>The condition must be incurable by local therapies in the locally advanced setting</w:t>
            </w:r>
          </w:p>
        </w:tc>
      </w:tr>
      <w:tr w:rsidR="00C33A05" w:rsidRPr="00C3591D" w14:paraId="767B9BF9"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2502C63B" w14:textId="77777777" w:rsidR="00C33A05" w:rsidRPr="00C3591D" w:rsidRDefault="00C33A05" w:rsidP="00C33A05">
            <w:pPr>
              <w:rPr>
                <w:rFonts w:ascii="Arial Narrow" w:hAnsi="Arial Narrow"/>
                <w:b/>
                <w:sz w:val="20"/>
                <w:szCs w:val="20"/>
              </w:rPr>
            </w:pPr>
            <w:r w:rsidRPr="00C3591D">
              <w:rPr>
                <w:rFonts w:ascii="Arial Narrow" w:hAnsi="Arial Narrow"/>
                <w:b/>
                <w:sz w:val="20"/>
                <w:szCs w:val="20"/>
              </w:rPr>
              <w:t>AND</w:t>
            </w:r>
          </w:p>
        </w:tc>
      </w:tr>
      <w:tr w:rsidR="00C33A05" w:rsidRPr="00C3591D" w14:paraId="389FFEDD"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609B15CB" w14:textId="77777777" w:rsidR="00C33A05" w:rsidRPr="00C3591D" w:rsidRDefault="00C33A05" w:rsidP="00C33A05">
            <w:pPr>
              <w:rPr>
                <w:rFonts w:ascii="Arial Narrow" w:hAnsi="Arial Narrow"/>
                <w:b/>
                <w:sz w:val="20"/>
                <w:szCs w:val="20"/>
              </w:rPr>
            </w:pPr>
            <w:r w:rsidRPr="00C3591D">
              <w:rPr>
                <w:rFonts w:ascii="Arial Narrow" w:hAnsi="Arial Narrow"/>
                <w:b/>
                <w:sz w:val="20"/>
                <w:szCs w:val="20"/>
              </w:rPr>
              <w:t>Clinical criteria</w:t>
            </w:r>
          </w:p>
        </w:tc>
      </w:tr>
      <w:tr w:rsidR="00C33A05" w:rsidRPr="00C3591D" w14:paraId="1FA96E4E"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61A55B38" w14:textId="77777777" w:rsidR="00C33A05" w:rsidRPr="00C3591D" w:rsidRDefault="00C33A05" w:rsidP="00C33A05">
            <w:pPr>
              <w:rPr>
                <w:rFonts w:ascii="Arial Narrow" w:hAnsi="Arial Narrow"/>
                <w:bCs/>
                <w:sz w:val="20"/>
                <w:szCs w:val="20"/>
              </w:rPr>
            </w:pPr>
            <w:r w:rsidRPr="00C3591D">
              <w:rPr>
                <w:rFonts w:ascii="Arial Narrow" w:hAnsi="Arial Narrow"/>
                <w:bCs/>
                <w:sz w:val="20"/>
                <w:szCs w:val="20"/>
              </w:rPr>
              <w:t>Patient must not have had systemic therapy for this condition in the recurrent or metastatic setting prior to initiating PBS-subsidised treatment with this drug for this condition</w:t>
            </w:r>
          </w:p>
        </w:tc>
      </w:tr>
      <w:tr w:rsidR="00C33A05" w:rsidRPr="00C3591D" w14:paraId="3C47EF24"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1661AD74" w14:textId="77777777" w:rsidR="00C33A05" w:rsidRPr="00C3591D" w:rsidRDefault="00C33A05" w:rsidP="00C33A05">
            <w:pPr>
              <w:rPr>
                <w:rFonts w:ascii="Arial Narrow" w:hAnsi="Arial Narrow"/>
                <w:bCs/>
                <w:i/>
                <w:iCs/>
                <w:sz w:val="20"/>
                <w:szCs w:val="20"/>
              </w:rPr>
            </w:pPr>
            <w:r w:rsidRPr="00C3591D">
              <w:rPr>
                <w:rFonts w:ascii="Arial Narrow" w:hAnsi="Arial Narrow"/>
                <w:b/>
                <w:i/>
                <w:iCs/>
                <w:sz w:val="20"/>
                <w:szCs w:val="20"/>
              </w:rPr>
              <w:t>AND</w:t>
            </w:r>
          </w:p>
        </w:tc>
      </w:tr>
      <w:tr w:rsidR="00C33A05" w:rsidRPr="00C3591D" w14:paraId="6150861B"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67487229" w14:textId="77777777" w:rsidR="00C33A05" w:rsidRPr="00C3591D" w:rsidRDefault="00C33A05" w:rsidP="00C33A05">
            <w:pPr>
              <w:rPr>
                <w:rFonts w:ascii="Arial Narrow" w:hAnsi="Arial Narrow"/>
                <w:bCs/>
                <w:i/>
                <w:iCs/>
                <w:sz w:val="20"/>
                <w:szCs w:val="20"/>
              </w:rPr>
            </w:pPr>
            <w:r w:rsidRPr="00C3591D">
              <w:rPr>
                <w:rFonts w:ascii="Arial Narrow" w:hAnsi="Arial Narrow"/>
                <w:b/>
                <w:i/>
                <w:iCs/>
                <w:sz w:val="20"/>
                <w:szCs w:val="20"/>
              </w:rPr>
              <w:t>Clinical criteria</w:t>
            </w:r>
          </w:p>
        </w:tc>
      </w:tr>
      <w:tr w:rsidR="00C33A05" w:rsidRPr="00C3591D" w14:paraId="3E60F6C2"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475FB99F" w14:textId="77777777" w:rsidR="00C33A05" w:rsidRPr="00C3591D" w:rsidRDefault="00C33A05" w:rsidP="00C33A05">
            <w:pPr>
              <w:rPr>
                <w:rFonts w:ascii="Arial Narrow" w:hAnsi="Arial Narrow"/>
                <w:bCs/>
                <w:i/>
                <w:iCs/>
                <w:sz w:val="20"/>
                <w:szCs w:val="20"/>
              </w:rPr>
            </w:pPr>
            <w:r w:rsidRPr="00C3591D">
              <w:rPr>
                <w:rFonts w:ascii="Arial Narrow" w:hAnsi="Arial Narrow"/>
                <w:bCs/>
                <w:i/>
                <w:iCs/>
                <w:sz w:val="20"/>
                <w:szCs w:val="20"/>
              </w:rPr>
              <w:t>Patient must not have previously received programmed cell death-1/ligand 1 (PD-1/PD-L1) inhibitor therapy for any earlier stage of squamous cell carcinoma of the oral cavity, pharynx or larynx</w:t>
            </w:r>
          </w:p>
        </w:tc>
      </w:tr>
      <w:tr w:rsidR="00C33A05" w:rsidRPr="00C3591D" w14:paraId="33383F27"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4A156E60" w14:textId="77777777" w:rsidR="00C33A05" w:rsidRPr="00C3591D" w:rsidRDefault="00C33A05" w:rsidP="00C33A05">
            <w:pPr>
              <w:rPr>
                <w:rFonts w:ascii="Arial Narrow" w:hAnsi="Arial Narrow"/>
                <w:b/>
                <w:sz w:val="20"/>
                <w:szCs w:val="20"/>
              </w:rPr>
            </w:pPr>
            <w:r w:rsidRPr="00C3591D">
              <w:rPr>
                <w:rFonts w:ascii="Arial Narrow" w:hAnsi="Arial Narrow"/>
                <w:b/>
                <w:sz w:val="20"/>
                <w:szCs w:val="20"/>
              </w:rPr>
              <w:t>AND</w:t>
            </w:r>
          </w:p>
        </w:tc>
      </w:tr>
      <w:tr w:rsidR="00C33A05" w:rsidRPr="00C3591D" w14:paraId="423632D5"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75972368" w14:textId="77777777" w:rsidR="00C33A05" w:rsidRPr="00C3591D" w:rsidRDefault="00C33A05" w:rsidP="00C33A05">
            <w:pPr>
              <w:rPr>
                <w:rFonts w:ascii="Arial Narrow" w:hAnsi="Arial Narrow"/>
                <w:b/>
                <w:sz w:val="20"/>
                <w:szCs w:val="20"/>
              </w:rPr>
            </w:pPr>
            <w:r w:rsidRPr="00C3591D">
              <w:rPr>
                <w:rFonts w:ascii="Arial Narrow" w:hAnsi="Arial Narrow"/>
                <w:b/>
                <w:sz w:val="20"/>
                <w:szCs w:val="20"/>
              </w:rPr>
              <w:t>Clinical criteria</w:t>
            </w:r>
          </w:p>
        </w:tc>
      </w:tr>
      <w:tr w:rsidR="00C33A05" w:rsidRPr="00C3591D" w14:paraId="2E99198A"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6F586EA1" w14:textId="77777777" w:rsidR="00C33A05" w:rsidRPr="00C3591D" w:rsidRDefault="00C33A05" w:rsidP="00C33A05">
            <w:pPr>
              <w:rPr>
                <w:rFonts w:ascii="Arial Narrow" w:hAnsi="Arial Narrow"/>
                <w:bCs/>
                <w:sz w:val="20"/>
                <w:szCs w:val="20"/>
              </w:rPr>
            </w:pPr>
            <w:r w:rsidRPr="00C3591D">
              <w:rPr>
                <w:rFonts w:ascii="Arial Narrow" w:hAnsi="Arial Narrow"/>
                <w:bCs/>
                <w:sz w:val="20"/>
                <w:szCs w:val="20"/>
              </w:rPr>
              <w:t>Patient must not have experienced disease recurrence within 6 months of completion of systemic therapy if previously treated in the locally advanced setting</w:t>
            </w:r>
          </w:p>
        </w:tc>
      </w:tr>
      <w:tr w:rsidR="00C33A05" w:rsidRPr="00C3591D" w14:paraId="446246A7"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334DA290" w14:textId="77777777" w:rsidR="00C33A05" w:rsidRPr="00C3591D" w:rsidRDefault="00C33A05" w:rsidP="00C33A05">
            <w:pPr>
              <w:rPr>
                <w:rFonts w:ascii="Arial Narrow" w:hAnsi="Arial Narrow"/>
                <w:bCs/>
                <w:sz w:val="20"/>
                <w:szCs w:val="20"/>
              </w:rPr>
            </w:pPr>
            <w:r w:rsidRPr="00C3591D">
              <w:rPr>
                <w:rFonts w:ascii="Arial Narrow" w:hAnsi="Arial Narrow"/>
                <w:b/>
                <w:sz w:val="20"/>
                <w:szCs w:val="20"/>
              </w:rPr>
              <w:t>AND</w:t>
            </w:r>
          </w:p>
        </w:tc>
      </w:tr>
      <w:tr w:rsidR="00C33A05" w:rsidRPr="00C3591D" w14:paraId="7EA5D84E"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10DCB8AF" w14:textId="77777777" w:rsidR="00C33A05" w:rsidRPr="00C3591D" w:rsidRDefault="00C33A05" w:rsidP="00C33A05">
            <w:pPr>
              <w:rPr>
                <w:rFonts w:ascii="Arial Narrow" w:hAnsi="Arial Narrow"/>
                <w:b/>
                <w:i/>
                <w:iCs/>
                <w:sz w:val="20"/>
                <w:szCs w:val="20"/>
              </w:rPr>
            </w:pPr>
            <w:r w:rsidRPr="00C3591D">
              <w:rPr>
                <w:rFonts w:ascii="Arial Narrow" w:hAnsi="Arial Narrow"/>
                <w:b/>
                <w:sz w:val="20"/>
                <w:szCs w:val="20"/>
              </w:rPr>
              <w:t>Clinical criteria</w:t>
            </w:r>
          </w:p>
        </w:tc>
      </w:tr>
      <w:tr w:rsidR="00C33A05" w:rsidRPr="00C3591D" w14:paraId="26B2A0D6"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22DA2B0F" w14:textId="77777777" w:rsidR="00C33A05" w:rsidRPr="00C3591D" w:rsidRDefault="00C33A05" w:rsidP="00C33A05">
            <w:pPr>
              <w:rPr>
                <w:rFonts w:ascii="Arial Narrow" w:hAnsi="Arial Narrow"/>
                <w:bCs/>
                <w:sz w:val="20"/>
                <w:szCs w:val="20"/>
              </w:rPr>
            </w:pPr>
            <w:r w:rsidRPr="00C3591D">
              <w:rPr>
                <w:rFonts w:ascii="Arial Narrow" w:hAnsi="Arial Narrow"/>
                <w:bCs/>
                <w:sz w:val="20"/>
                <w:szCs w:val="20"/>
              </w:rPr>
              <w:t>Patient must have had a WHO performance status of 0 or 1</w:t>
            </w:r>
          </w:p>
        </w:tc>
      </w:tr>
      <w:tr w:rsidR="00C33A05" w:rsidRPr="00C3591D" w14:paraId="0C549595"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47546933" w14:textId="77777777" w:rsidR="00C33A05" w:rsidRPr="00C3591D" w:rsidRDefault="00C33A05" w:rsidP="00C33A05">
            <w:pPr>
              <w:rPr>
                <w:rFonts w:ascii="Arial Narrow" w:hAnsi="Arial Narrow"/>
                <w:bCs/>
                <w:sz w:val="20"/>
                <w:szCs w:val="20"/>
              </w:rPr>
            </w:pPr>
            <w:r w:rsidRPr="00C3591D">
              <w:rPr>
                <w:rFonts w:ascii="Arial Narrow" w:hAnsi="Arial Narrow"/>
                <w:b/>
                <w:sz w:val="20"/>
                <w:szCs w:val="20"/>
              </w:rPr>
              <w:t>AND</w:t>
            </w:r>
          </w:p>
        </w:tc>
      </w:tr>
      <w:tr w:rsidR="00C33A05" w:rsidRPr="00C3591D" w14:paraId="63163720"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4"/>
          </w:tcPr>
          <w:p w14:paraId="776B1BCB" w14:textId="77777777" w:rsidR="00C33A05" w:rsidRPr="00C3591D" w:rsidRDefault="00C33A05" w:rsidP="00C33A05">
            <w:pPr>
              <w:rPr>
                <w:rFonts w:ascii="Arial Narrow" w:hAnsi="Arial Narrow"/>
                <w:bCs/>
                <w:sz w:val="20"/>
                <w:szCs w:val="20"/>
              </w:rPr>
            </w:pPr>
            <w:r w:rsidRPr="00C3591D">
              <w:rPr>
                <w:rStyle w:val="Strong"/>
                <w:rFonts w:ascii="Arial Narrow" w:hAnsi="Arial Narrow" w:cs="Open Sans"/>
                <w:sz w:val="20"/>
                <w:szCs w:val="20"/>
                <w:bdr w:val="none" w:sz="0" w:space="0" w:color="auto" w:frame="1"/>
              </w:rPr>
              <w:t>Clinical criteria:</w:t>
            </w:r>
          </w:p>
        </w:tc>
      </w:tr>
      <w:tr w:rsidR="00C33A05" w:rsidRPr="00C3591D" w14:paraId="75BF4001"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4"/>
          </w:tcPr>
          <w:p w14:paraId="4E14243E" w14:textId="77777777" w:rsidR="00C33A05" w:rsidRPr="00C3591D" w:rsidRDefault="00C33A05" w:rsidP="00C33A05">
            <w:pPr>
              <w:rPr>
                <w:rFonts w:ascii="Arial Narrow" w:hAnsi="Arial Narrow"/>
                <w:bCs/>
                <w:sz w:val="20"/>
                <w:szCs w:val="20"/>
              </w:rPr>
            </w:pPr>
            <w:r w:rsidRPr="00C3591D">
              <w:rPr>
                <w:rFonts w:ascii="Arial Narrow" w:hAnsi="Arial Narrow" w:cs="Open Sans"/>
                <w:sz w:val="20"/>
                <w:szCs w:val="20"/>
              </w:rPr>
              <w:lastRenderedPageBreak/>
              <w:t>The treatment must be either: (i) the sole PBS-subsidised therapy where the condition expresses programmed cell death ligand 1 (PD-L1) with a combined positive score (CPS) greater than or equal to 20 in the tumour sample, (ii) in combination with platinum-based chemotherapy, unless contraindicated or not tolerated</w:t>
            </w:r>
          </w:p>
        </w:tc>
      </w:tr>
      <w:tr w:rsidR="00C33A05" w:rsidRPr="00C3591D" w14:paraId="2800F21A"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4"/>
          </w:tcPr>
          <w:p w14:paraId="4405A7BE" w14:textId="77777777" w:rsidR="00C33A05" w:rsidRPr="00C3591D" w:rsidRDefault="00C33A05" w:rsidP="00C33A05">
            <w:pPr>
              <w:rPr>
                <w:rFonts w:ascii="Arial Narrow" w:hAnsi="Arial Narrow"/>
                <w:bCs/>
                <w:sz w:val="20"/>
                <w:szCs w:val="20"/>
              </w:rPr>
            </w:pPr>
            <w:r w:rsidRPr="00C3591D">
              <w:rPr>
                <w:rStyle w:val="Strong"/>
                <w:rFonts w:ascii="Arial Narrow" w:hAnsi="Arial Narrow" w:cs="Open Sans"/>
                <w:sz w:val="20"/>
                <w:szCs w:val="20"/>
                <w:bdr w:val="none" w:sz="0" w:space="0" w:color="auto" w:frame="1"/>
              </w:rPr>
              <w:t>Treatment criteria:</w:t>
            </w:r>
          </w:p>
        </w:tc>
      </w:tr>
      <w:tr w:rsidR="00C33A05" w:rsidRPr="00C3591D" w14:paraId="77E0A914"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4"/>
          </w:tcPr>
          <w:p w14:paraId="11BC1790" w14:textId="77777777" w:rsidR="00C33A05" w:rsidRPr="00C3591D" w:rsidRDefault="00C33A05" w:rsidP="00C33A05">
            <w:pPr>
              <w:rPr>
                <w:rFonts w:ascii="Arial Narrow" w:hAnsi="Arial Narrow"/>
                <w:bCs/>
                <w:sz w:val="20"/>
                <w:szCs w:val="20"/>
              </w:rPr>
            </w:pPr>
            <w:r w:rsidRPr="00C3591D">
              <w:rPr>
                <w:rFonts w:ascii="Arial Narrow" w:hAnsi="Arial Narrow" w:cs="Open Sans"/>
                <w:sz w:val="20"/>
                <w:szCs w:val="20"/>
              </w:rPr>
              <w:t>Patient must be undergoing treatment with this drug administered once every 3 weeks - prescribe up to 6 repeat prescriptions; or</w:t>
            </w:r>
          </w:p>
        </w:tc>
      </w:tr>
      <w:tr w:rsidR="00C33A05" w:rsidRPr="00C3591D" w14:paraId="664C4A51"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4"/>
          </w:tcPr>
          <w:p w14:paraId="63343E70" w14:textId="77777777" w:rsidR="00C33A05" w:rsidRPr="00C3591D" w:rsidRDefault="00C33A05" w:rsidP="00C33A05">
            <w:pPr>
              <w:rPr>
                <w:rFonts w:ascii="Arial Narrow" w:hAnsi="Arial Narrow"/>
                <w:bCs/>
                <w:sz w:val="20"/>
                <w:szCs w:val="20"/>
              </w:rPr>
            </w:pPr>
            <w:r w:rsidRPr="00C3591D">
              <w:rPr>
                <w:rFonts w:ascii="Arial Narrow" w:hAnsi="Arial Narrow" w:cs="Open Sans"/>
                <w:sz w:val="20"/>
                <w:szCs w:val="20"/>
              </w:rPr>
              <w:t>Patient must be undergoing treatment with this drug administered once every 6 weeks - prescribe up to 3 repeat prescriptions</w:t>
            </w:r>
          </w:p>
        </w:tc>
      </w:tr>
      <w:tr w:rsidR="00C33A05" w:rsidRPr="00C3591D" w14:paraId="6B27105A" w14:textId="77777777" w:rsidTr="00C33A05">
        <w:tblPrEx>
          <w:tblCellMar>
            <w:top w:w="15" w:type="dxa"/>
            <w:bottom w:w="15" w:type="dxa"/>
          </w:tblCellMar>
          <w:tblLook w:val="04A0" w:firstRow="1" w:lastRow="0" w:firstColumn="1" w:lastColumn="0" w:noHBand="0" w:noVBand="1"/>
        </w:tblPrEx>
        <w:trPr>
          <w:cantSplit/>
          <w:trHeight w:val="20"/>
        </w:trPr>
        <w:tc>
          <w:tcPr>
            <w:tcW w:w="5000" w:type="pct"/>
            <w:gridSpan w:val="4"/>
          </w:tcPr>
          <w:p w14:paraId="090962C7" w14:textId="77777777" w:rsidR="00C33A05" w:rsidRPr="00C3591D" w:rsidRDefault="00C33A05" w:rsidP="00C33A05">
            <w:pPr>
              <w:pStyle w:val="NormalWeb"/>
              <w:spacing w:before="0" w:after="0"/>
              <w:textAlignment w:val="baseline"/>
              <w:rPr>
                <w:rFonts w:ascii="Arial Narrow" w:hAnsi="Arial Narrow" w:cs="Open Sans"/>
                <w:sz w:val="20"/>
                <w:szCs w:val="20"/>
              </w:rPr>
            </w:pPr>
            <w:r w:rsidRPr="00C3591D">
              <w:rPr>
                <w:rStyle w:val="Strong"/>
                <w:rFonts w:ascii="Arial Narrow" w:eastAsiaTheme="majorEastAsia" w:hAnsi="Arial Narrow" w:cs="Open Sans"/>
                <w:sz w:val="20"/>
                <w:szCs w:val="20"/>
                <w:bdr w:val="none" w:sz="0" w:space="0" w:color="auto" w:frame="1"/>
              </w:rPr>
              <w:t>Administrative Advice:</w:t>
            </w:r>
          </w:p>
          <w:p w14:paraId="481F12F5" w14:textId="77777777" w:rsidR="00C33A05" w:rsidRPr="00C3591D" w:rsidRDefault="00C33A05" w:rsidP="00C33A05">
            <w:pPr>
              <w:rPr>
                <w:rFonts w:ascii="Arial Narrow" w:hAnsi="Arial Narrow"/>
                <w:bCs/>
                <w:sz w:val="20"/>
                <w:szCs w:val="20"/>
              </w:rPr>
            </w:pPr>
            <w:r w:rsidRPr="00C3591D">
              <w:rPr>
                <w:rFonts w:ascii="Arial Narrow" w:hAnsi="Arial Narrow" w:cs="Open Sans"/>
                <w:sz w:val="20"/>
                <w:szCs w:val="20"/>
              </w:rPr>
              <w:t>In the first few months after start of immunotherapy, some patients can have a transient tumour flare with subsequent disease response. When progression is suspected, this should be confirmed through a confirmatory scan, taken at least 4 weeks later.</w:t>
            </w:r>
          </w:p>
        </w:tc>
      </w:tr>
    </w:tbl>
    <w:p w14:paraId="54AB343F" w14:textId="77777777" w:rsidR="007649FA" w:rsidRDefault="007649FA" w:rsidP="007649FA">
      <w:pPr>
        <w:rPr>
          <w:b/>
          <w:bCs/>
          <w:snapToGrid w:val="0"/>
        </w:rPr>
      </w:pPr>
    </w:p>
    <w:p w14:paraId="7EBD1CFB" w14:textId="34B7EC99" w:rsidR="00B542E3" w:rsidRPr="00170F21" w:rsidRDefault="00B542E3">
      <w:pPr>
        <w:pStyle w:val="3-BodyText"/>
        <w:rPr>
          <w:snapToGrid w:val="0"/>
          <w:lang w:eastAsia="en-US"/>
        </w:rPr>
      </w:pPr>
      <w:r w:rsidRPr="006A71EF">
        <w:rPr>
          <w:snapToGrid w:val="0"/>
          <w:lang w:eastAsia="en-US"/>
        </w:rPr>
        <w:t>Flow on</w:t>
      </w:r>
      <w:r w:rsidRPr="00170F21">
        <w:rPr>
          <w:snapToGrid w:val="0"/>
          <w:lang w:eastAsia="en-US"/>
        </w:rPr>
        <w:t xml:space="preserve"> </w:t>
      </w:r>
      <w:r w:rsidRPr="006A71EF">
        <w:rPr>
          <w:snapToGrid w:val="0"/>
          <w:lang w:eastAsia="en-US"/>
        </w:rPr>
        <w:t>changes</w:t>
      </w:r>
      <w:r w:rsidRPr="00170F21">
        <w:rPr>
          <w:snapToGrid w:val="0"/>
          <w:lang w:eastAsia="en-US"/>
        </w:rPr>
        <w:t xml:space="preserve">: amend </w:t>
      </w:r>
      <w:r>
        <w:rPr>
          <w:snapToGrid w:val="0"/>
          <w:lang w:eastAsia="en-US"/>
        </w:rPr>
        <w:t>existing nivolumab ‘r</w:t>
      </w:r>
      <w:r w:rsidRPr="00170F21">
        <w:rPr>
          <w:snapToGrid w:val="0"/>
          <w:lang w:eastAsia="en-US"/>
        </w:rPr>
        <w:t>ecurrent or metastatic squamous cell carcinoma of the oral cavity, pharynx or larynx’ listing as follows.</w:t>
      </w:r>
    </w:p>
    <w:p w14:paraId="380DD839" w14:textId="77777777" w:rsidR="00B542E3" w:rsidRDefault="00B542E3" w:rsidP="00B542E3">
      <w:pPr>
        <w:pStyle w:val="3-BodyText"/>
        <w:numPr>
          <w:ilvl w:val="0"/>
          <w:numId w:val="0"/>
        </w:numPr>
        <w:ind w:left="720"/>
        <w:rPr>
          <w:snapToGrid w:val="0"/>
          <w:lang w:eastAsia="en-US"/>
        </w:rPr>
      </w:pPr>
      <w:r w:rsidRPr="00170F21">
        <w:rPr>
          <w:snapToGrid w:val="0"/>
          <w:lang w:eastAsia="en-US"/>
        </w:rPr>
        <w:t>Suggested additions are in italics and deletions are in strikethrough.</w:t>
      </w:r>
    </w:p>
    <w:p w14:paraId="062281AE" w14:textId="77777777" w:rsidR="00B542E3" w:rsidRPr="00170F21" w:rsidRDefault="00B542E3" w:rsidP="00B542E3">
      <w:pPr>
        <w:pStyle w:val="3-BodyText"/>
        <w:numPr>
          <w:ilvl w:val="0"/>
          <w:numId w:val="0"/>
        </w:numPr>
        <w:ind w:left="720" w:hanging="720"/>
        <w:rPr>
          <w:snapToGrid w:val="0"/>
          <w:lang w:eastAsia="en-US"/>
        </w:rPr>
      </w:pPr>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Flow on changes to nivolumab"/>
      </w:tblPr>
      <w:tblGrid>
        <w:gridCol w:w="1275"/>
        <w:gridCol w:w="1825"/>
        <w:gridCol w:w="1974"/>
        <w:gridCol w:w="1974"/>
        <w:gridCol w:w="2023"/>
      </w:tblGrid>
      <w:tr w:rsidR="007649FA" w:rsidRPr="00C3591D" w14:paraId="74090B15" w14:textId="77777777" w:rsidTr="00727720">
        <w:trPr>
          <w:cantSplit/>
          <w:trHeight w:val="20"/>
        </w:trPr>
        <w:tc>
          <w:tcPr>
            <w:tcW w:w="1709" w:type="pct"/>
            <w:gridSpan w:val="2"/>
            <w:vAlign w:val="center"/>
          </w:tcPr>
          <w:p w14:paraId="6D3B652C" w14:textId="77777777" w:rsidR="007649FA" w:rsidRPr="00C3591D" w:rsidRDefault="007649FA">
            <w:pPr>
              <w:keepNext/>
              <w:rPr>
                <w:rFonts w:ascii="Arial Narrow" w:hAnsi="Arial Narrow"/>
                <w:b/>
                <w:bCs/>
                <w:sz w:val="20"/>
                <w:szCs w:val="20"/>
              </w:rPr>
            </w:pPr>
            <w:r w:rsidRPr="00C3591D">
              <w:rPr>
                <w:rFonts w:ascii="Arial Narrow" w:hAnsi="Arial Narrow"/>
                <w:b/>
                <w:bCs/>
                <w:sz w:val="20"/>
                <w:szCs w:val="20"/>
              </w:rPr>
              <w:t>MEDICINAL PRODUCT</w:t>
            </w:r>
          </w:p>
          <w:p w14:paraId="1AA52D2B" w14:textId="77777777" w:rsidR="007649FA" w:rsidRPr="00C3591D" w:rsidRDefault="007649FA">
            <w:pPr>
              <w:keepNext/>
              <w:rPr>
                <w:rFonts w:ascii="Arial Narrow" w:hAnsi="Arial Narrow"/>
                <w:b/>
                <w:sz w:val="20"/>
                <w:szCs w:val="20"/>
              </w:rPr>
            </w:pPr>
            <w:r w:rsidRPr="00C3591D">
              <w:rPr>
                <w:rFonts w:ascii="Arial Narrow" w:hAnsi="Arial Narrow"/>
                <w:b/>
                <w:sz w:val="20"/>
                <w:szCs w:val="20"/>
              </w:rPr>
              <w:t>Form</w:t>
            </w:r>
          </w:p>
        </w:tc>
        <w:tc>
          <w:tcPr>
            <w:tcW w:w="1088" w:type="pct"/>
            <w:vAlign w:val="center"/>
          </w:tcPr>
          <w:p w14:paraId="4DC2788D" w14:textId="77777777" w:rsidR="007649FA" w:rsidRPr="00C3591D" w:rsidRDefault="007649FA">
            <w:pPr>
              <w:keepNext/>
              <w:jc w:val="center"/>
              <w:rPr>
                <w:rFonts w:ascii="Arial Narrow" w:hAnsi="Arial Narrow"/>
                <w:b/>
                <w:sz w:val="20"/>
                <w:szCs w:val="20"/>
              </w:rPr>
            </w:pPr>
            <w:r w:rsidRPr="00C3591D">
              <w:rPr>
                <w:rFonts w:ascii="Arial Narrow" w:hAnsi="Arial Narrow"/>
                <w:b/>
                <w:sz w:val="20"/>
                <w:szCs w:val="20"/>
              </w:rPr>
              <w:t>PBS item code</w:t>
            </w:r>
          </w:p>
        </w:tc>
        <w:tc>
          <w:tcPr>
            <w:tcW w:w="1088" w:type="pct"/>
            <w:vAlign w:val="center"/>
          </w:tcPr>
          <w:p w14:paraId="3897A053" w14:textId="77777777" w:rsidR="007649FA" w:rsidRPr="00C3591D" w:rsidRDefault="007649FA">
            <w:pPr>
              <w:keepNext/>
              <w:jc w:val="center"/>
              <w:rPr>
                <w:rFonts w:ascii="Arial Narrow" w:hAnsi="Arial Narrow"/>
                <w:b/>
                <w:sz w:val="20"/>
                <w:szCs w:val="20"/>
              </w:rPr>
            </w:pPr>
            <w:r w:rsidRPr="00C3591D">
              <w:rPr>
                <w:rFonts w:ascii="Arial Narrow" w:hAnsi="Arial Narrow"/>
                <w:b/>
                <w:sz w:val="20"/>
                <w:szCs w:val="20"/>
              </w:rPr>
              <w:t>Max. Amount</w:t>
            </w:r>
          </w:p>
        </w:tc>
        <w:tc>
          <w:tcPr>
            <w:tcW w:w="1116" w:type="pct"/>
            <w:vAlign w:val="center"/>
          </w:tcPr>
          <w:p w14:paraId="2BEE6798" w14:textId="77777777" w:rsidR="007649FA" w:rsidRPr="00C3591D" w:rsidRDefault="007649FA">
            <w:pPr>
              <w:keepNext/>
              <w:jc w:val="center"/>
              <w:rPr>
                <w:rFonts w:ascii="Arial Narrow" w:hAnsi="Arial Narrow"/>
                <w:b/>
                <w:sz w:val="20"/>
                <w:szCs w:val="20"/>
              </w:rPr>
            </w:pPr>
            <w:r w:rsidRPr="00C3591D">
              <w:rPr>
                <w:rFonts w:ascii="Arial Narrow" w:hAnsi="Arial Narrow"/>
                <w:b/>
                <w:sz w:val="20"/>
                <w:szCs w:val="20"/>
              </w:rPr>
              <w:t>№.of Rpts</w:t>
            </w:r>
          </w:p>
        </w:tc>
      </w:tr>
      <w:tr w:rsidR="007649FA" w:rsidRPr="00C3591D" w14:paraId="58DF7B12" w14:textId="77777777" w:rsidTr="00727720">
        <w:trPr>
          <w:cantSplit/>
          <w:trHeight w:val="20"/>
        </w:trPr>
        <w:tc>
          <w:tcPr>
            <w:tcW w:w="1709" w:type="pct"/>
            <w:gridSpan w:val="2"/>
            <w:vAlign w:val="center"/>
          </w:tcPr>
          <w:p w14:paraId="19FB0ECE" w14:textId="77777777" w:rsidR="007649FA" w:rsidRPr="00C3591D" w:rsidRDefault="007649FA">
            <w:pPr>
              <w:keepNext/>
              <w:rPr>
                <w:rFonts w:ascii="Arial Narrow" w:hAnsi="Arial Narrow"/>
                <w:sz w:val="20"/>
                <w:szCs w:val="20"/>
              </w:rPr>
            </w:pPr>
            <w:r w:rsidRPr="00C3591D">
              <w:rPr>
                <w:rFonts w:ascii="Arial Narrow" w:hAnsi="Arial Narrow"/>
                <w:sz w:val="20"/>
                <w:szCs w:val="20"/>
              </w:rPr>
              <w:t>NIVOLUMAB Injection</w:t>
            </w:r>
          </w:p>
        </w:tc>
        <w:tc>
          <w:tcPr>
            <w:tcW w:w="1088" w:type="pct"/>
            <w:vAlign w:val="center"/>
          </w:tcPr>
          <w:p w14:paraId="4F73B726" w14:textId="77777777" w:rsidR="007649FA" w:rsidRPr="00C3591D" w:rsidRDefault="007649FA">
            <w:pPr>
              <w:keepNext/>
              <w:jc w:val="center"/>
              <w:rPr>
                <w:rFonts w:ascii="Arial Narrow" w:hAnsi="Arial Narrow"/>
                <w:sz w:val="20"/>
                <w:szCs w:val="20"/>
              </w:rPr>
            </w:pPr>
            <w:r w:rsidRPr="00C3591D">
              <w:rPr>
                <w:rFonts w:ascii="Arial Narrow" w:hAnsi="Arial Narrow"/>
                <w:sz w:val="20"/>
                <w:szCs w:val="20"/>
              </w:rPr>
              <w:t>11435W (Public)</w:t>
            </w:r>
          </w:p>
          <w:p w14:paraId="2545FD21" w14:textId="77777777" w:rsidR="007649FA" w:rsidRPr="00C3591D" w:rsidRDefault="007649FA">
            <w:pPr>
              <w:keepNext/>
              <w:jc w:val="center"/>
              <w:rPr>
                <w:rFonts w:ascii="Arial Narrow" w:hAnsi="Arial Narrow"/>
                <w:sz w:val="20"/>
                <w:szCs w:val="20"/>
              </w:rPr>
            </w:pPr>
            <w:r w:rsidRPr="00C3591D">
              <w:rPr>
                <w:rFonts w:ascii="Arial Narrow" w:hAnsi="Arial Narrow"/>
                <w:sz w:val="20"/>
                <w:szCs w:val="20"/>
              </w:rPr>
              <w:t>11434T (Private)</w:t>
            </w:r>
          </w:p>
        </w:tc>
        <w:tc>
          <w:tcPr>
            <w:tcW w:w="1088" w:type="pct"/>
            <w:vAlign w:val="center"/>
          </w:tcPr>
          <w:p w14:paraId="090CAA0B" w14:textId="77777777" w:rsidR="007649FA" w:rsidRPr="00C3591D" w:rsidRDefault="007649FA">
            <w:pPr>
              <w:keepNext/>
              <w:jc w:val="center"/>
              <w:rPr>
                <w:rFonts w:ascii="Arial Narrow" w:hAnsi="Arial Narrow"/>
                <w:sz w:val="20"/>
                <w:szCs w:val="20"/>
              </w:rPr>
            </w:pPr>
            <w:r w:rsidRPr="00C3591D">
              <w:rPr>
                <w:rFonts w:ascii="Arial Narrow" w:hAnsi="Arial Narrow"/>
                <w:sz w:val="20"/>
                <w:szCs w:val="20"/>
              </w:rPr>
              <w:t>480mg</w:t>
            </w:r>
          </w:p>
        </w:tc>
        <w:tc>
          <w:tcPr>
            <w:tcW w:w="1116" w:type="pct"/>
            <w:vAlign w:val="center"/>
          </w:tcPr>
          <w:p w14:paraId="45E40D4F" w14:textId="77777777" w:rsidR="007649FA" w:rsidRPr="00C3591D" w:rsidRDefault="007649FA">
            <w:pPr>
              <w:keepNext/>
              <w:jc w:val="center"/>
              <w:rPr>
                <w:rFonts w:ascii="Arial Narrow" w:hAnsi="Arial Narrow"/>
                <w:sz w:val="20"/>
                <w:szCs w:val="20"/>
              </w:rPr>
            </w:pPr>
            <w:r w:rsidRPr="00C3591D">
              <w:rPr>
                <w:rFonts w:ascii="Arial Narrow" w:hAnsi="Arial Narrow"/>
                <w:sz w:val="20"/>
                <w:szCs w:val="20"/>
              </w:rPr>
              <w:t>8</w:t>
            </w:r>
          </w:p>
        </w:tc>
      </w:tr>
      <w:tr w:rsidR="007649FA" w:rsidRPr="00C3591D" w14:paraId="4A7C16A4" w14:textId="77777777" w:rsidTr="00727720">
        <w:trPr>
          <w:cantSplit/>
          <w:trHeight w:val="20"/>
        </w:trPr>
        <w:tc>
          <w:tcPr>
            <w:tcW w:w="5000" w:type="pct"/>
            <w:gridSpan w:val="5"/>
            <w:vAlign w:val="center"/>
          </w:tcPr>
          <w:p w14:paraId="1081468C" w14:textId="77777777" w:rsidR="007649FA" w:rsidRPr="00C3591D" w:rsidRDefault="007649FA">
            <w:pPr>
              <w:keepNext/>
              <w:rPr>
                <w:rFonts w:ascii="Arial Narrow" w:hAnsi="Arial Narrow"/>
                <w:b/>
                <w:sz w:val="20"/>
                <w:szCs w:val="20"/>
              </w:rPr>
            </w:pPr>
            <w:r w:rsidRPr="00C3591D">
              <w:rPr>
                <w:rFonts w:ascii="Arial Narrow" w:hAnsi="Arial Narrow"/>
                <w:b/>
                <w:sz w:val="20"/>
                <w:szCs w:val="20"/>
              </w:rPr>
              <w:t xml:space="preserve">Available brands </w:t>
            </w:r>
          </w:p>
        </w:tc>
      </w:tr>
      <w:tr w:rsidR="007649FA" w:rsidRPr="00C3591D" w14:paraId="28F729DF" w14:textId="77777777" w:rsidTr="00727720">
        <w:trPr>
          <w:cantSplit/>
          <w:trHeight w:val="20"/>
        </w:trPr>
        <w:tc>
          <w:tcPr>
            <w:tcW w:w="5000" w:type="pct"/>
            <w:gridSpan w:val="5"/>
            <w:vAlign w:val="center"/>
          </w:tcPr>
          <w:p w14:paraId="157D6ABF" w14:textId="77777777" w:rsidR="007649FA" w:rsidRPr="00C3591D" w:rsidRDefault="007649FA">
            <w:pPr>
              <w:keepNext/>
              <w:rPr>
                <w:rFonts w:ascii="Arial Narrow" w:hAnsi="Arial Narrow"/>
                <w:sz w:val="20"/>
                <w:szCs w:val="20"/>
              </w:rPr>
            </w:pPr>
            <w:r w:rsidRPr="00C3591D">
              <w:rPr>
                <w:rFonts w:ascii="Arial Narrow" w:hAnsi="Arial Narrow"/>
                <w:sz w:val="20"/>
                <w:szCs w:val="20"/>
              </w:rPr>
              <w:t xml:space="preserve">Opdivo </w:t>
            </w:r>
          </w:p>
          <w:p w14:paraId="0774DAB6" w14:textId="77777777" w:rsidR="007649FA" w:rsidRPr="00C3591D" w:rsidRDefault="007649FA">
            <w:pPr>
              <w:keepNext/>
              <w:rPr>
                <w:rFonts w:ascii="Arial Narrow" w:hAnsi="Arial Narrow"/>
                <w:sz w:val="20"/>
                <w:szCs w:val="20"/>
              </w:rPr>
            </w:pPr>
            <w:r w:rsidRPr="00C3591D">
              <w:rPr>
                <w:rFonts w:ascii="Arial Narrow" w:hAnsi="Arial Narrow"/>
                <w:sz w:val="20"/>
                <w:szCs w:val="20"/>
              </w:rPr>
              <w:t>(nivolumab 40 mg/4 mL injection, 4 mL vial)</w:t>
            </w:r>
          </w:p>
        </w:tc>
      </w:tr>
      <w:tr w:rsidR="007649FA" w:rsidRPr="00C3591D" w14:paraId="7F7CA0E7" w14:textId="77777777" w:rsidTr="00727720">
        <w:trPr>
          <w:cantSplit/>
          <w:trHeight w:val="20"/>
        </w:trPr>
        <w:tc>
          <w:tcPr>
            <w:tcW w:w="5000" w:type="pct"/>
            <w:gridSpan w:val="5"/>
            <w:vAlign w:val="center"/>
          </w:tcPr>
          <w:p w14:paraId="2D0E1ADE" w14:textId="77777777" w:rsidR="007649FA" w:rsidRPr="00C3591D" w:rsidRDefault="007649FA">
            <w:pPr>
              <w:keepNext/>
              <w:rPr>
                <w:rFonts w:ascii="Arial Narrow" w:hAnsi="Arial Narrow"/>
                <w:sz w:val="20"/>
                <w:szCs w:val="20"/>
              </w:rPr>
            </w:pPr>
            <w:r w:rsidRPr="00C3591D">
              <w:rPr>
                <w:rFonts w:ascii="Arial Narrow" w:hAnsi="Arial Narrow"/>
                <w:sz w:val="20"/>
                <w:szCs w:val="20"/>
              </w:rPr>
              <w:t xml:space="preserve">Opdivo </w:t>
            </w:r>
          </w:p>
          <w:p w14:paraId="11297BBC" w14:textId="77777777" w:rsidR="007649FA" w:rsidRPr="00C3591D" w:rsidRDefault="007649FA">
            <w:pPr>
              <w:keepNext/>
              <w:rPr>
                <w:rFonts w:ascii="Arial Narrow" w:hAnsi="Arial Narrow"/>
                <w:sz w:val="20"/>
                <w:szCs w:val="20"/>
              </w:rPr>
            </w:pPr>
            <w:r w:rsidRPr="00C3591D">
              <w:rPr>
                <w:rFonts w:ascii="Arial Narrow" w:hAnsi="Arial Narrow"/>
                <w:sz w:val="20"/>
                <w:szCs w:val="20"/>
              </w:rPr>
              <w:t>(nivolumab 100 mg/10 mL injection, 10 mL vial)</w:t>
            </w:r>
          </w:p>
        </w:tc>
      </w:tr>
      <w:tr w:rsidR="007649FA" w:rsidRPr="00C3591D" w14:paraId="0652EDE1" w14:textId="77777777" w:rsidTr="00727720">
        <w:trPr>
          <w:cantSplit/>
          <w:trHeight w:val="20"/>
        </w:trPr>
        <w:tc>
          <w:tcPr>
            <w:tcW w:w="5000" w:type="pct"/>
            <w:gridSpan w:val="5"/>
            <w:vAlign w:val="center"/>
          </w:tcPr>
          <w:p w14:paraId="6B35B44D" w14:textId="77777777" w:rsidR="007649FA" w:rsidRPr="00C3591D" w:rsidRDefault="007649FA">
            <w:pPr>
              <w:keepNext/>
              <w:rPr>
                <w:rFonts w:ascii="Arial Narrow" w:hAnsi="Arial Narrow"/>
                <w:sz w:val="20"/>
                <w:szCs w:val="20"/>
              </w:rPr>
            </w:pPr>
          </w:p>
        </w:tc>
      </w:tr>
      <w:tr w:rsidR="007649FA" w:rsidRPr="00C3591D" w14:paraId="6244FF83" w14:textId="77777777" w:rsidTr="00727720">
        <w:trPr>
          <w:cantSplit/>
          <w:trHeight w:val="20"/>
        </w:trPr>
        <w:tc>
          <w:tcPr>
            <w:tcW w:w="5000" w:type="pct"/>
            <w:gridSpan w:val="5"/>
            <w:vAlign w:val="center"/>
          </w:tcPr>
          <w:p w14:paraId="367C869D" w14:textId="77777777" w:rsidR="007649FA" w:rsidRPr="00C3591D" w:rsidRDefault="007649FA">
            <w:pPr>
              <w:keepNext/>
              <w:rPr>
                <w:rFonts w:ascii="Arial Narrow" w:hAnsi="Arial Narrow"/>
                <w:sz w:val="20"/>
                <w:szCs w:val="20"/>
              </w:rPr>
            </w:pPr>
            <w:r w:rsidRPr="00C3591D">
              <w:rPr>
                <w:rFonts w:ascii="Arial Narrow" w:hAnsi="Arial Narrow"/>
                <w:b/>
                <w:sz w:val="20"/>
                <w:szCs w:val="20"/>
              </w:rPr>
              <w:t>Restriction Summary 9283 / Treatment of Concept: 9216</w:t>
            </w:r>
          </w:p>
        </w:tc>
      </w:tr>
      <w:tr w:rsidR="007649FA" w:rsidRPr="00C3591D" w14:paraId="53A94C68" w14:textId="77777777" w:rsidTr="00727720">
        <w:tblPrEx>
          <w:tblCellMar>
            <w:top w:w="15" w:type="dxa"/>
            <w:bottom w:w="15" w:type="dxa"/>
          </w:tblCellMar>
        </w:tblPrEx>
        <w:trPr>
          <w:cantSplit/>
          <w:trHeight w:val="20"/>
        </w:trPr>
        <w:tc>
          <w:tcPr>
            <w:tcW w:w="703" w:type="pct"/>
            <w:vMerge w:val="restart"/>
          </w:tcPr>
          <w:p w14:paraId="0C0B3390" w14:textId="77777777" w:rsidR="007649FA" w:rsidRPr="00C3591D" w:rsidRDefault="007649FA">
            <w:pPr>
              <w:keepNext/>
              <w:jc w:val="center"/>
              <w:rPr>
                <w:rFonts w:ascii="Arial Narrow" w:hAnsi="Arial Narrow"/>
                <w:b/>
                <w:sz w:val="20"/>
                <w:szCs w:val="20"/>
              </w:rPr>
            </w:pPr>
            <w:r w:rsidRPr="00C3591D">
              <w:rPr>
                <w:rFonts w:ascii="Arial Narrow" w:hAnsi="Arial Narrow"/>
                <w:b/>
                <w:sz w:val="20"/>
                <w:szCs w:val="20"/>
              </w:rPr>
              <w:t xml:space="preserve">Concept ID </w:t>
            </w:r>
            <w:r w:rsidRPr="00C3591D">
              <w:rPr>
                <w:rFonts w:ascii="Arial Narrow" w:hAnsi="Arial Narrow"/>
                <w:sz w:val="20"/>
                <w:szCs w:val="20"/>
              </w:rPr>
              <w:t>(for internal Dept. use)</w:t>
            </w:r>
          </w:p>
        </w:tc>
        <w:tc>
          <w:tcPr>
            <w:tcW w:w="4297" w:type="pct"/>
            <w:gridSpan w:val="4"/>
          </w:tcPr>
          <w:p w14:paraId="24C5CF2A" w14:textId="77777777" w:rsidR="007649FA" w:rsidRPr="00C3591D" w:rsidRDefault="007649FA">
            <w:pPr>
              <w:keepNext/>
              <w:rPr>
                <w:rFonts w:ascii="Arial Narrow" w:hAnsi="Arial Narrow"/>
                <w:sz w:val="20"/>
                <w:szCs w:val="20"/>
              </w:rPr>
            </w:pPr>
            <w:r w:rsidRPr="00C3591D">
              <w:rPr>
                <w:rFonts w:ascii="Arial Narrow" w:hAnsi="Arial Narrow"/>
                <w:b/>
                <w:sz w:val="20"/>
                <w:szCs w:val="20"/>
              </w:rPr>
              <w:t xml:space="preserve">Category / Program: </w:t>
            </w:r>
            <w:r w:rsidRPr="00C3591D">
              <w:rPr>
                <w:rFonts w:ascii="Arial Narrow" w:hAnsi="Arial Narrow"/>
                <w:sz w:val="20"/>
                <w:szCs w:val="20"/>
              </w:rPr>
              <w:t xml:space="preserve">Section 100 – Efficient Funding of Chemotherapy Public/Private hospitals </w:t>
            </w:r>
          </w:p>
        </w:tc>
      </w:tr>
      <w:tr w:rsidR="007649FA" w:rsidRPr="00C3591D" w14:paraId="0B699C76" w14:textId="77777777" w:rsidTr="00727720">
        <w:tblPrEx>
          <w:tblCellMar>
            <w:top w:w="15" w:type="dxa"/>
            <w:bottom w:w="15" w:type="dxa"/>
          </w:tblCellMar>
        </w:tblPrEx>
        <w:trPr>
          <w:cantSplit/>
          <w:trHeight w:val="20"/>
        </w:trPr>
        <w:tc>
          <w:tcPr>
            <w:tcW w:w="703" w:type="pct"/>
            <w:vMerge/>
          </w:tcPr>
          <w:p w14:paraId="20E51CEE" w14:textId="77777777" w:rsidR="007649FA" w:rsidRPr="00C3591D" w:rsidRDefault="007649FA">
            <w:pPr>
              <w:keepNext/>
              <w:rPr>
                <w:rFonts w:ascii="Arial Narrow" w:hAnsi="Arial Narrow"/>
                <w:sz w:val="20"/>
                <w:szCs w:val="20"/>
              </w:rPr>
            </w:pPr>
          </w:p>
        </w:tc>
        <w:tc>
          <w:tcPr>
            <w:tcW w:w="4297" w:type="pct"/>
            <w:gridSpan w:val="4"/>
          </w:tcPr>
          <w:p w14:paraId="1093A690" w14:textId="77777777" w:rsidR="007649FA" w:rsidRPr="00C3591D" w:rsidRDefault="007649FA">
            <w:pPr>
              <w:keepNext/>
              <w:rPr>
                <w:rFonts w:ascii="Arial Narrow" w:hAnsi="Arial Narrow"/>
                <w:b/>
                <w:sz w:val="20"/>
                <w:szCs w:val="20"/>
              </w:rPr>
            </w:pPr>
            <w:r w:rsidRPr="00C3591D">
              <w:rPr>
                <w:rFonts w:ascii="Arial Narrow" w:hAnsi="Arial Narrow"/>
                <w:b/>
                <w:sz w:val="20"/>
                <w:szCs w:val="20"/>
              </w:rPr>
              <w:t xml:space="preserve">Prescriber type: </w:t>
            </w:r>
            <w:r w:rsidRPr="00C3591D">
              <w:rPr>
                <w:rFonts w:ascii="Arial Narrow" w:hAnsi="Arial Narrow"/>
                <w:sz w:val="20"/>
                <w:szCs w:val="20"/>
              </w:rPr>
              <w:fldChar w:fldCharType="begin">
                <w:ffData>
                  <w:name w:val=""/>
                  <w:enabled/>
                  <w:calcOnExit w:val="0"/>
                  <w:checkBox>
                    <w:sizeAuto/>
                    <w:default w:val="1"/>
                  </w:checkBox>
                </w:ffData>
              </w:fldChar>
            </w:r>
            <w:r w:rsidRPr="00C3591D">
              <w:rPr>
                <w:rFonts w:ascii="Arial Narrow" w:hAnsi="Arial Narrow"/>
                <w:sz w:val="20"/>
                <w:szCs w:val="20"/>
              </w:rPr>
              <w:instrText xml:space="preserve"> FORMCHECKBOX </w:instrText>
            </w:r>
            <w:r w:rsidRPr="00C3591D">
              <w:rPr>
                <w:rFonts w:ascii="Arial Narrow" w:hAnsi="Arial Narrow"/>
                <w:sz w:val="20"/>
                <w:szCs w:val="20"/>
              </w:rPr>
            </w:r>
            <w:r w:rsidRPr="00C3591D">
              <w:rPr>
                <w:rFonts w:ascii="Arial Narrow" w:hAnsi="Arial Narrow"/>
                <w:sz w:val="20"/>
                <w:szCs w:val="20"/>
              </w:rPr>
              <w:fldChar w:fldCharType="separate"/>
            </w:r>
            <w:r w:rsidRPr="00C3591D">
              <w:rPr>
                <w:rFonts w:ascii="Arial Narrow" w:hAnsi="Arial Narrow"/>
                <w:sz w:val="20"/>
                <w:szCs w:val="20"/>
              </w:rPr>
              <w:fldChar w:fldCharType="end"/>
            </w:r>
            <w:r w:rsidRPr="00C3591D">
              <w:rPr>
                <w:rFonts w:ascii="Arial Narrow" w:hAnsi="Arial Narrow"/>
                <w:sz w:val="20"/>
                <w:szCs w:val="20"/>
              </w:rPr>
              <w:t xml:space="preserve">Medical Practitioners </w:t>
            </w:r>
          </w:p>
        </w:tc>
      </w:tr>
      <w:tr w:rsidR="007649FA" w:rsidRPr="00C3591D" w14:paraId="1F48DABE" w14:textId="77777777" w:rsidTr="00727720">
        <w:tblPrEx>
          <w:tblCellMar>
            <w:top w:w="15" w:type="dxa"/>
            <w:bottom w:w="15" w:type="dxa"/>
          </w:tblCellMar>
        </w:tblPrEx>
        <w:trPr>
          <w:cantSplit/>
          <w:trHeight w:val="20"/>
        </w:trPr>
        <w:tc>
          <w:tcPr>
            <w:tcW w:w="703" w:type="pct"/>
            <w:vMerge/>
          </w:tcPr>
          <w:p w14:paraId="6DA40C8B" w14:textId="77777777" w:rsidR="007649FA" w:rsidRPr="00C3591D" w:rsidRDefault="007649FA">
            <w:pPr>
              <w:rPr>
                <w:rFonts w:ascii="Arial Narrow" w:hAnsi="Arial Narrow"/>
                <w:sz w:val="20"/>
                <w:szCs w:val="20"/>
              </w:rPr>
            </w:pPr>
          </w:p>
        </w:tc>
        <w:tc>
          <w:tcPr>
            <w:tcW w:w="4297" w:type="pct"/>
            <w:gridSpan w:val="4"/>
          </w:tcPr>
          <w:p w14:paraId="49821ABF" w14:textId="77777777" w:rsidR="007649FA" w:rsidRPr="00C3591D" w:rsidRDefault="007649FA">
            <w:pPr>
              <w:rPr>
                <w:rFonts w:ascii="Arial Narrow" w:eastAsia="Calibri" w:hAnsi="Arial Narrow"/>
                <w:sz w:val="20"/>
                <w:szCs w:val="20"/>
              </w:rPr>
            </w:pPr>
            <w:r w:rsidRPr="00C3591D">
              <w:rPr>
                <w:rFonts w:ascii="Arial Narrow" w:hAnsi="Arial Narrow"/>
                <w:b/>
                <w:sz w:val="20"/>
                <w:szCs w:val="20"/>
              </w:rPr>
              <w:t xml:space="preserve">Restriction type: </w:t>
            </w:r>
            <w:r w:rsidRPr="00C3591D">
              <w:rPr>
                <w:rFonts w:ascii="Arial Narrow" w:eastAsia="Calibri" w:hAnsi="Arial Narrow"/>
                <w:sz w:val="20"/>
                <w:szCs w:val="20"/>
              </w:rPr>
              <w:fldChar w:fldCharType="begin">
                <w:ffData>
                  <w:name w:val=""/>
                  <w:enabled/>
                  <w:calcOnExit w:val="0"/>
                  <w:checkBox>
                    <w:sizeAuto/>
                    <w:default w:val="1"/>
                  </w:checkBox>
                </w:ffData>
              </w:fldChar>
            </w:r>
            <w:r w:rsidRPr="00C3591D">
              <w:rPr>
                <w:rFonts w:ascii="Arial Narrow" w:eastAsia="Calibri" w:hAnsi="Arial Narrow"/>
                <w:sz w:val="20"/>
                <w:szCs w:val="20"/>
              </w:rPr>
              <w:instrText xml:space="preserve"> FORMCHECKBOX </w:instrText>
            </w:r>
            <w:r w:rsidRPr="00C3591D">
              <w:rPr>
                <w:rFonts w:ascii="Arial Narrow" w:eastAsia="Calibri" w:hAnsi="Arial Narrow"/>
                <w:sz w:val="20"/>
                <w:szCs w:val="20"/>
              </w:rPr>
            </w:r>
            <w:r w:rsidRPr="00C3591D">
              <w:rPr>
                <w:rFonts w:ascii="Arial Narrow" w:eastAsia="Calibri" w:hAnsi="Arial Narrow"/>
                <w:sz w:val="20"/>
                <w:szCs w:val="20"/>
              </w:rPr>
              <w:fldChar w:fldCharType="separate"/>
            </w:r>
            <w:r w:rsidRPr="00C3591D">
              <w:rPr>
                <w:rFonts w:ascii="Arial Narrow" w:eastAsia="Calibri" w:hAnsi="Arial Narrow"/>
                <w:sz w:val="20"/>
                <w:szCs w:val="20"/>
              </w:rPr>
              <w:fldChar w:fldCharType="end"/>
            </w:r>
            <w:r w:rsidRPr="00C3591D">
              <w:rPr>
                <w:rFonts w:ascii="Arial Narrow" w:eastAsia="Calibri" w:hAnsi="Arial Narrow"/>
                <w:sz w:val="20"/>
                <w:szCs w:val="20"/>
              </w:rPr>
              <w:t xml:space="preserve">Authority Required (STREAMLINED) [9216] </w:t>
            </w:r>
          </w:p>
        </w:tc>
      </w:tr>
      <w:tr w:rsidR="00727720" w:rsidRPr="00C3591D" w14:paraId="438799DF" w14:textId="77777777" w:rsidTr="00727720">
        <w:tblPrEx>
          <w:tblCellMar>
            <w:top w:w="15" w:type="dxa"/>
            <w:bottom w:w="15" w:type="dxa"/>
          </w:tblCellMar>
          <w:tblLook w:val="04A0" w:firstRow="1" w:lastRow="0" w:firstColumn="1" w:lastColumn="0" w:noHBand="0" w:noVBand="1"/>
        </w:tblPrEx>
        <w:trPr>
          <w:trHeight w:val="169"/>
        </w:trPr>
        <w:tc>
          <w:tcPr>
            <w:tcW w:w="4999" w:type="pct"/>
            <w:gridSpan w:val="5"/>
            <w:vAlign w:val="center"/>
          </w:tcPr>
          <w:p w14:paraId="2D983720" w14:textId="77777777" w:rsidR="00727720" w:rsidRPr="00C3591D" w:rsidRDefault="00727720">
            <w:pPr>
              <w:keepLines/>
              <w:rPr>
                <w:rFonts w:ascii="Arial Narrow" w:hAnsi="Arial Narrow"/>
                <w:sz w:val="20"/>
                <w:szCs w:val="20"/>
              </w:rPr>
            </w:pPr>
            <w:r w:rsidRPr="00C3591D">
              <w:rPr>
                <w:rFonts w:ascii="Arial Narrow" w:hAnsi="Arial Narrow"/>
                <w:b/>
                <w:sz w:val="20"/>
                <w:szCs w:val="20"/>
              </w:rPr>
              <w:t>Administrative Advice:</w:t>
            </w:r>
            <w:r w:rsidRPr="00C3591D">
              <w:rPr>
                <w:rFonts w:ascii="Arial Narrow" w:hAnsi="Arial Narrow"/>
                <w:bCs/>
                <w:sz w:val="20"/>
                <w:szCs w:val="20"/>
              </w:rPr>
              <w:t xml:space="preserve"> </w:t>
            </w:r>
            <w:r w:rsidRPr="00C3591D">
              <w:rPr>
                <w:rFonts w:ascii="Arial Narrow" w:hAnsi="Arial Narrow"/>
                <w:sz w:val="20"/>
                <w:szCs w:val="20"/>
              </w:rPr>
              <w:t>No increase in the maximum number of repeats may be authorised</w:t>
            </w:r>
          </w:p>
        </w:tc>
      </w:tr>
      <w:tr w:rsidR="00727720" w:rsidRPr="00C3591D" w14:paraId="7EB42860" w14:textId="77777777" w:rsidTr="00727720">
        <w:tblPrEx>
          <w:tblCellMar>
            <w:top w:w="15" w:type="dxa"/>
            <w:bottom w:w="15" w:type="dxa"/>
          </w:tblCellMar>
          <w:tblLook w:val="04A0" w:firstRow="1" w:lastRow="0" w:firstColumn="1" w:lastColumn="0" w:noHBand="0" w:noVBand="1"/>
        </w:tblPrEx>
        <w:trPr>
          <w:trHeight w:val="230"/>
        </w:trPr>
        <w:tc>
          <w:tcPr>
            <w:tcW w:w="4999" w:type="pct"/>
            <w:gridSpan w:val="5"/>
            <w:vAlign w:val="center"/>
          </w:tcPr>
          <w:p w14:paraId="5109C415" w14:textId="77777777" w:rsidR="00727720" w:rsidRPr="00C3591D" w:rsidRDefault="00727720">
            <w:pPr>
              <w:keepLines/>
              <w:rPr>
                <w:rFonts w:ascii="Arial Narrow" w:hAnsi="Arial Narrow"/>
                <w:b/>
                <w:sz w:val="20"/>
                <w:szCs w:val="20"/>
              </w:rPr>
            </w:pPr>
            <w:r w:rsidRPr="00C3591D">
              <w:rPr>
                <w:rFonts w:ascii="Arial Narrow" w:hAnsi="Arial Narrow"/>
                <w:b/>
                <w:sz w:val="20"/>
                <w:szCs w:val="20"/>
              </w:rPr>
              <w:t xml:space="preserve">Administrative Advice: </w:t>
            </w:r>
            <w:r w:rsidRPr="00C3591D">
              <w:rPr>
                <w:rFonts w:ascii="Arial Narrow" w:hAnsi="Arial Narrow"/>
                <w:sz w:val="20"/>
                <w:szCs w:val="20"/>
              </w:rPr>
              <w:t>Special Pricing Arrangements apply</w:t>
            </w:r>
          </w:p>
        </w:tc>
      </w:tr>
      <w:tr w:rsidR="00727720" w:rsidRPr="00C3591D" w14:paraId="3BB75EAD" w14:textId="77777777" w:rsidTr="00727720">
        <w:tblPrEx>
          <w:tblCellMar>
            <w:top w:w="15" w:type="dxa"/>
            <w:bottom w:w="15" w:type="dxa"/>
          </w:tblCellMar>
        </w:tblPrEx>
        <w:trPr>
          <w:cantSplit/>
          <w:trHeight w:val="20"/>
        </w:trPr>
        <w:tc>
          <w:tcPr>
            <w:tcW w:w="4999" w:type="pct"/>
            <w:gridSpan w:val="5"/>
            <w:vAlign w:val="center"/>
            <w:hideMark/>
          </w:tcPr>
          <w:p w14:paraId="5923566C" w14:textId="77777777" w:rsidR="00727720" w:rsidRPr="00C3591D" w:rsidRDefault="00727720">
            <w:pPr>
              <w:keepLines/>
              <w:rPr>
                <w:rFonts w:ascii="Arial Narrow" w:hAnsi="Arial Narrow"/>
                <w:sz w:val="20"/>
                <w:szCs w:val="20"/>
              </w:rPr>
            </w:pPr>
            <w:r w:rsidRPr="00C3591D">
              <w:rPr>
                <w:rFonts w:ascii="Arial Narrow" w:hAnsi="Arial Narrow"/>
                <w:b/>
                <w:bCs/>
                <w:sz w:val="20"/>
                <w:szCs w:val="20"/>
              </w:rPr>
              <w:t>Indication:</w:t>
            </w:r>
            <w:r w:rsidRPr="00C3591D">
              <w:rPr>
                <w:rFonts w:ascii="Arial Narrow" w:hAnsi="Arial Narrow"/>
                <w:sz w:val="20"/>
                <w:szCs w:val="20"/>
              </w:rPr>
              <w:t xml:space="preserve"> Recurrent or metastatic squamous cell carcinoma of the oral cavity, pharynx or larynx</w:t>
            </w:r>
          </w:p>
        </w:tc>
      </w:tr>
      <w:tr w:rsidR="00727720" w:rsidRPr="00C3591D" w14:paraId="37D826D8" w14:textId="77777777" w:rsidTr="00727720">
        <w:tblPrEx>
          <w:tblCellMar>
            <w:top w:w="15" w:type="dxa"/>
            <w:bottom w:w="15" w:type="dxa"/>
          </w:tblCellMar>
        </w:tblPrEx>
        <w:trPr>
          <w:cantSplit/>
          <w:trHeight w:val="20"/>
        </w:trPr>
        <w:tc>
          <w:tcPr>
            <w:tcW w:w="4999" w:type="pct"/>
            <w:gridSpan w:val="5"/>
            <w:vAlign w:val="center"/>
            <w:hideMark/>
          </w:tcPr>
          <w:p w14:paraId="1F05AD5A" w14:textId="77777777" w:rsidR="00727720" w:rsidRPr="00C3591D" w:rsidRDefault="00727720">
            <w:pPr>
              <w:rPr>
                <w:rFonts w:ascii="Arial Narrow" w:hAnsi="Arial Narrow"/>
                <w:sz w:val="20"/>
                <w:szCs w:val="20"/>
              </w:rPr>
            </w:pPr>
            <w:r w:rsidRPr="00C3591D">
              <w:rPr>
                <w:rFonts w:ascii="Arial Narrow" w:hAnsi="Arial Narrow"/>
                <w:b/>
                <w:bCs/>
                <w:sz w:val="20"/>
                <w:szCs w:val="20"/>
              </w:rPr>
              <w:t>Treatment Phase:</w:t>
            </w:r>
            <w:r w:rsidRPr="00C3591D">
              <w:rPr>
                <w:rFonts w:ascii="Arial Narrow" w:hAnsi="Arial Narrow"/>
                <w:sz w:val="20"/>
                <w:szCs w:val="20"/>
              </w:rPr>
              <w:t xml:space="preserve"> Initial treatment</w:t>
            </w:r>
            <w:r w:rsidRPr="00C3591D">
              <w:rPr>
                <w:rFonts w:ascii="Arial Narrow" w:hAnsi="Arial Narrow"/>
                <w:strike/>
                <w:sz w:val="20"/>
                <w:szCs w:val="20"/>
              </w:rPr>
              <w:t xml:space="preserve"> </w:t>
            </w:r>
          </w:p>
        </w:tc>
      </w:tr>
      <w:tr w:rsidR="00727720" w:rsidRPr="00C3591D" w14:paraId="6DDFD9D4" w14:textId="77777777" w:rsidTr="00727720">
        <w:tblPrEx>
          <w:tblCellMar>
            <w:top w:w="15" w:type="dxa"/>
            <w:bottom w:w="15" w:type="dxa"/>
          </w:tblCellMar>
        </w:tblPrEx>
        <w:trPr>
          <w:cantSplit/>
          <w:trHeight w:val="20"/>
        </w:trPr>
        <w:tc>
          <w:tcPr>
            <w:tcW w:w="4999" w:type="pct"/>
            <w:gridSpan w:val="5"/>
            <w:vAlign w:val="center"/>
          </w:tcPr>
          <w:p w14:paraId="75F9091F" w14:textId="77777777" w:rsidR="00727720" w:rsidRPr="00C3591D" w:rsidRDefault="00727720">
            <w:pPr>
              <w:rPr>
                <w:rFonts w:ascii="Arial Narrow" w:hAnsi="Arial Narrow"/>
                <w:sz w:val="20"/>
                <w:szCs w:val="20"/>
              </w:rPr>
            </w:pPr>
            <w:r w:rsidRPr="00C3591D">
              <w:rPr>
                <w:rFonts w:ascii="Arial Narrow" w:hAnsi="Arial Narrow"/>
                <w:b/>
                <w:bCs/>
                <w:sz w:val="20"/>
                <w:szCs w:val="20"/>
              </w:rPr>
              <w:t xml:space="preserve">Clinical criteria: </w:t>
            </w:r>
          </w:p>
        </w:tc>
      </w:tr>
      <w:tr w:rsidR="00727720" w:rsidRPr="00C3591D" w14:paraId="50EA84AC" w14:textId="77777777" w:rsidTr="00727720">
        <w:tblPrEx>
          <w:tblCellMar>
            <w:top w:w="15" w:type="dxa"/>
            <w:bottom w:w="15" w:type="dxa"/>
          </w:tblCellMar>
        </w:tblPrEx>
        <w:trPr>
          <w:cantSplit/>
          <w:trHeight w:val="20"/>
        </w:trPr>
        <w:tc>
          <w:tcPr>
            <w:tcW w:w="4999" w:type="pct"/>
            <w:gridSpan w:val="5"/>
            <w:vAlign w:val="center"/>
          </w:tcPr>
          <w:p w14:paraId="0B798B88" w14:textId="77777777" w:rsidR="00727720" w:rsidRPr="00C3591D" w:rsidRDefault="00727720">
            <w:pPr>
              <w:rPr>
                <w:rFonts w:ascii="Arial Narrow" w:hAnsi="Arial Narrow"/>
                <w:sz w:val="20"/>
                <w:szCs w:val="20"/>
              </w:rPr>
            </w:pPr>
            <w:r w:rsidRPr="00C3591D">
              <w:rPr>
                <w:rFonts w:ascii="Arial Narrow" w:hAnsi="Arial Narrow"/>
                <w:sz w:val="20"/>
                <w:szCs w:val="20"/>
              </w:rPr>
              <w:t>Patient must have a WHO performance status of 0 or 1</w:t>
            </w:r>
          </w:p>
        </w:tc>
      </w:tr>
      <w:tr w:rsidR="00727720" w:rsidRPr="00C3591D" w14:paraId="0C0D15DB" w14:textId="77777777" w:rsidTr="00727720">
        <w:tblPrEx>
          <w:tblCellMar>
            <w:top w:w="15" w:type="dxa"/>
            <w:bottom w:w="15" w:type="dxa"/>
          </w:tblCellMar>
        </w:tblPrEx>
        <w:trPr>
          <w:cantSplit/>
          <w:trHeight w:val="20"/>
        </w:trPr>
        <w:tc>
          <w:tcPr>
            <w:tcW w:w="4999" w:type="pct"/>
            <w:gridSpan w:val="5"/>
          </w:tcPr>
          <w:p w14:paraId="5AF88B83" w14:textId="77777777" w:rsidR="00727720" w:rsidRPr="00C3591D" w:rsidRDefault="00727720">
            <w:pPr>
              <w:rPr>
                <w:rFonts w:ascii="Arial Narrow" w:hAnsi="Arial Narrow" w:cs="Calibri"/>
                <w:sz w:val="20"/>
                <w:szCs w:val="20"/>
              </w:rPr>
            </w:pPr>
            <w:r w:rsidRPr="00C3591D">
              <w:rPr>
                <w:rStyle w:val="Strong"/>
                <w:rFonts w:ascii="Arial Narrow" w:hAnsi="Arial Narrow" w:cs="Calibri"/>
                <w:sz w:val="20"/>
                <w:szCs w:val="20"/>
                <w:bdr w:val="none" w:sz="0" w:space="0" w:color="auto" w:frame="1"/>
              </w:rPr>
              <w:t>AND</w:t>
            </w:r>
          </w:p>
        </w:tc>
      </w:tr>
      <w:tr w:rsidR="00727720" w:rsidRPr="00C3591D" w14:paraId="7DD8BA08" w14:textId="77777777" w:rsidTr="00727720">
        <w:tblPrEx>
          <w:tblCellMar>
            <w:top w:w="15" w:type="dxa"/>
            <w:bottom w:w="15" w:type="dxa"/>
          </w:tblCellMar>
        </w:tblPrEx>
        <w:trPr>
          <w:cantSplit/>
          <w:trHeight w:val="20"/>
        </w:trPr>
        <w:tc>
          <w:tcPr>
            <w:tcW w:w="4999" w:type="pct"/>
            <w:gridSpan w:val="5"/>
          </w:tcPr>
          <w:p w14:paraId="07A5C73A" w14:textId="77777777" w:rsidR="00727720" w:rsidRPr="00C3591D" w:rsidRDefault="00727720">
            <w:pPr>
              <w:rPr>
                <w:rFonts w:ascii="Arial Narrow" w:hAnsi="Arial Narrow" w:cs="Calibri"/>
                <w:sz w:val="20"/>
                <w:szCs w:val="20"/>
              </w:rPr>
            </w:pPr>
            <w:r w:rsidRPr="00C3591D">
              <w:rPr>
                <w:rStyle w:val="Strong"/>
                <w:rFonts w:ascii="Arial Narrow" w:hAnsi="Arial Narrow" w:cs="Calibri"/>
                <w:sz w:val="20"/>
                <w:szCs w:val="20"/>
                <w:bdr w:val="none" w:sz="0" w:space="0" w:color="auto" w:frame="1"/>
              </w:rPr>
              <w:t>Clinical criteria:</w:t>
            </w:r>
          </w:p>
        </w:tc>
      </w:tr>
      <w:tr w:rsidR="00727720" w:rsidRPr="00C3591D" w14:paraId="22B3A58A" w14:textId="77777777" w:rsidTr="00727720">
        <w:tblPrEx>
          <w:tblCellMar>
            <w:top w:w="15" w:type="dxa"/>
            <w:bottom w:w="15" w:type="dxa"/>
          </w:tblCellMar>
        </w:tblPrEx>
        <w:trPr>
          <w:cantSplit/>
          <w:trHeight w:val="20"/>
        </w:trPr>
        <w:tc>
          <w:tcPr>
            <w:tcW w:w="4999" w:type="pct"/>
            <w:gridSpan w:val="5"/>
          </w:tcPr>
          <w:p w14:paraId="2286A6A4" w14:textId="77777777" w:rsidR="00727720" w:rsidRPr="00C3591D" w:rsidRDefault="00727720">
            <w:pPr>
              <w:rPr>
                <w:rFonts w:ascii="Arial Narrow" w:hAnsi="Arial Narrow" w:cs="Calibri"/>
                <w:sz w:val="20"/>
                <w:szCs w:val="20"/>
              </w:rPr>
            </w:pPr>
            <w:r w:rsidRPr="00C3591D">
              <w:rPr>
                <w:rFonts w:ascii="Arial Narrow" w:hAnsi="Arial Narrow" w:cs="Calibri"/>
                <w:sz w:val="20"/>
                <w:szCs w:val="20"/>
              </w:rPr>
              <w:t>The treatment must be the sole PBS-subsidised therapy for this condition</w:t>
            </w:r>
          </w:p>
        </w:tc>
      </w:tr>
      <w:tr w:rsidR="00727720" w:rsidRPr="00C3591D" w14:paraId="2841017C" w14:textId="77777777" w:rsidTr="00727720">
        <w:tblPrEx>
          <w:tblCellMar>
            <w:top w:w="15" w:type="dxa"/>
            <w:bottom w:w="15" w:type="dxa"/>
          </w:tblCellMar>
        </w:tblPrEx>
        <w:trPr>
          <w:cantSplit/>
          <w:trHeight w:val="20"/>
        </w:trPr>
        <w:tc>
          <w:tcPr>
            <w:tcW w:w="4999" w:type="pct"/>
            <w:gridSpan w:val="5"/>
          </w:tcPr>
          <w:p w14:paraId="69D4EACF" w14:textId="77777777" w:rsidR="00727720" w:rsidRPr="00C3591D" w:rsidRDefault="00727720">
            <w:pPr>
              <w:rPr>
                <w:rFonts w:ascii="Arial Narrow" w:hAnsi="Arial Narrow" w:cs="Calibri"/>
                <w:sz w:val="20"/>
                <w:szCs w:val="20"/>
              </w:rPr>
            </w:pPr>
            <w:r w:rsidRPr="00C3591D">
              <w:rPr>
                <w:rStyle w:val="Strong"/>
                <w:rFonts w:ascii="Arial Narrow" w:hAnsi="Arial Narrow" w:cs="Calibri"/>
                <w:sz w:val="20"/>
                <w:szCs w:val="20"/>
                <w:bdr w:val="none" w:sz="0" w:space="0" w:color="auto" w:frame="1"/>
              </w:rPr>
              <w:t>AND</w:t>
            </w:r>
          </w:p>
        </w:tc>
      </w:tr>
      <w:tr w:rsidR="00727720" w:rsidRPr="00C3591D" w14:paraId="56931898" w14:textId="77777777" w:rsidTr="00727720">
        <w:tblPrEx>
          <w:tblCellMar>
            <w:top w:w="15" w:type="dxa"/>
            <w:bottom w:w="15" w:type="dxa"/>
          </w:tblCellMar>
        </w:tblPrEx>
        <w:trPr>
          <w:cantSplit/>
          <w:trHeight w:val="20"/>
        </w:trPr>
        <w:tc>
          <w:tcPr>
            <w:tcW w:w="4999" w:type="pct"/>
            <w:gridSpan w:val="5"/>
          </w:tcPr>
          <w:p w14:paraId="7478BA61" w14:textId="77777777" w:rsidR="00727720" w:rsidRPr="00C3591D" w:rsidRDefault="00727720">
            <w:pPr>
              <w:rPr>
                <w:rFonts w:ascii="Arial Narrow" w:hAnsi="Arial Narrow" w:cs="Calibri"/>
                <w:sz w:val="20"/>
                <w:szCs w:val="20"/>
              </w:rPr>
            </w:pPr>
            <w:r w:rsidRPr="00C3591D">
              <w:rPr>
                <w:rStyle w:val="Strong"/>
                <w:rFonts w:ascii="Arial Narrow" w:hAnsi="Arial Narrow" w:cs="Calibri"/>
                <w:sz w:val="20"/>
                <w:szCs w:val="20"/>
                <w:bdr w:val="none" w:sz="0" w:space="0" w:color="auto" w:frame="1"/>
              </w:rPr>
              <w:t>Clinical criteria:</w:t>
            </w:r>
          </w:p>
        </w:tc>
      </w:tr>
      <w:tr w:rsidR="00727720" w:rsidRPr="00C3591D" w14:paraId="4F928EFE" w14:textId="77777777" w:rsidTr="00727720">
        <w:tblPrEx>
          <w:tblCellMar>
            <w:top w:w="15" w:type="dxa"/>
            <w:bottom w:w="15" w:type="dxa"/>
          </w:tblCellMar>
        </w:tblPrEx>
        <w:trPr>
          <w:cantSplit/>
          <w:trHeight w:val="20"/>
        </w:trPr>
        <w:tc>
          <w:tcPr>
            <w:tcW w:w="4999" w:type="pct"/>
            <w:gridSpan w:val="5"/>
          </w:tcPr>
          <w:p w14:paraId="3A75AD9F" w14:textId="77777777" w:rsidR="00727720" w:rsidRPr="00C3591D" w:rsidRDefault="00727720">
            <w:pPr>
              <w:rPr>
                <w:rFonts w:ascii="Arial Narrow" w:hAnsi="Arial Narrow" w:cs="Calibri"/>
                <w:sz w:val="20"/>
                <w:szCs w:val="20"/>
              </w:rPr>
            </w:pPr>
            <w:r w:rsidRPr="00C3591D">
              <w:rPr>
                <w:rFonts w:ascii="Arial Narrow" w:hAnsi="Arial Narrow" w:cs="Calibri"/>
                <w:sz w:val="20"/>
                <w:szCs w:val="20"/>
              </w:rPr>
              <w:t>The condition must have progressed within 6 months of the last dose of prior platinum based chemotherapy</w:t>
            </w:r>
          </w:p>
        </w:tc>
      </w:tr>
      <w:tr w:rsidR="00727720" w:rsidRPr="00C3591D" w14:paraId="77834351" w14:textId="77777777" w:rsidTr="00727720">
        <w:tblPrEx>
          <w:tblCellMar>
            <w:top w:w="15" w:type="dxa"/>
            <w:bottom w:w="15" w:type="dxa"/>
          </w:tblCellMar>
        </w:tblPrEx>
        <w:trPr>
          <w:cantSplit/>
          <w:trHeight w:val="20"/>
        </w:trPr>
        <w:tc>
          <w:tcPr>
            <w:tcW w:w="4999" w:type="pct"/>
            <w:gridSpan w:val="5"/>
          </w:tcPr>
          <w:p w14:paraId="2AF4418B" w14:textId="77777777" w:rsidR="00727720" w:rsidRPr="00C3591D" w:rsidRDefault="00727720">
            <w:pPr>
              <w:rPr>
                <w:rFonts w:ascii="Arial Narrow" w:hAnsi="Arial Narrow" w:cs="Calibri"/>
                <w:sz w:val="20"/>
                <w:szCs w:val="20"/>
              </w:rPr>
            </w:pPr>
            <w:r w:rsidRPr="00C3591D">
              <w:rPr>
                <w:rStyle w:val="Strong"/>
                <w:rFonts w:ascii="Arial Narrow" w:hAnsi="Arial Narrow" w:cs="Calibri"/>
                <w:sz w:val="20"/>
                <w:szCs w:val="20"/>
                <w:bdr w:val="none" w:sz="0" w:space="0" w:color="auto" w:frame="1"/>
              </w:rPr>
              <w:t>AND</w:t>
            </w:r>
          </w:p>
        </w:tc>
      </w:tr>
      <w:tr w:rsidR="00727720" w:rsidRPr="00C3591D" w14:paraId="7D983E74" w14:textId="77777777" w:rsidTr="00727720">
        <w:tblPrEx>
          <w:tblCellMar>
            <w:top w:w="15" w:type="dxa"/>
            <w:bottom w:w="15" w:type="dxa"/>
          </w:tblCellMar>
        </w:tblPrEx>
        <w:trPr>
          <w:cantSplit/>
          <w:trHeight w:val="20"/>
        </w:trPr>
        <w:tc>
          <w:tcPr>
            <w:tcW w:w="4999" w:type="pct"/>
            <w:gridSpan w:val="5"/>
          </w:tcPr>
          <w:p w14:paraId="6644EF2B" w14:textId="77777777" w:rsidR="00727720" w:rsidRPr="00C3591D" w:rsidRDefault="00727720">
            <w:pPr>
              <w:rPr>
                <w:rFonts w:ascii="Arial Narrow" w:hAnsi="Arial Narrow" w:cs="Calibri"/>
                <w:b/>
                <w:bCs/>
                <w:sz w:val="20"/>
                <w:szCs w:val="20"/>
              </w:rPr>
            </w:pPr>
            <w:r w:rsidRPr="00C3591D">
              <w:rPr>
                <w:rStyle w:val="Strong"/>
                <w:rFonts w:ascii="Arial Narrow" w:hAnsi="Arial Narrow" w:cs="Calibri"/>
                <w:sz w:val="20"/>
                <w:szCs w:val="20"/>
                <w:bdr w:val="none" w:sz="0" w:space="0" w:color="auto" w:frame="1"/>
              </w:rPr>
              <w:t>Clinical criteria:</w:t>
            </w:r>
          </w:p>
        </w:tc>
      </w:tr>
      <w:tr w:rsidR="00727720" w:rsidRPr="00C3591D" w14:paraId="03EEC6EC" w14:textId="77777777" w:rsidTr="00727720">
        <w:tblPrEx>
          <w:tblCellMar>
            <w:top w:w="15" w:type="dxa"/>
            <w:bottom w:w="15" w:type="dxa"/>
          </w:tblCellMar>
        </w:tblPrEx>
        <w:trPr>
          <w:cantSplit/>
          <w:trHeight w:val="20"/>
        </w:trPr>
        <w:tc>
          <w:tcPr>
            <w:tcW w:w="4999" w:type="pct"/>
            <w:gridSpan w:val="5"/>
          </w:tcPr>
          <w:p w14:paraId="3BB0AD22" w14:textId="77777777" w:rsidR="00727720" w:rsidRPr="00C3591D" w:rsidRDefault="00727720">
            <w:pPr>
              <w:rPr>
                <w:rFonts w:ascii="Arial Narrow" w:hAnsi="Arial Narrow" w:cs="Calibri"/>
                <w:sz w:val="20"/>
                <w:szCs w:val="20"/>
              </w:rPr>
            </w:pPr>
            <w:r w:rsidRPr="00C3591D">
              <w:rPr>
                <w:rFonts w:ascii="Arial Narrow" w:hAnsi="Arial Narrow" w:cs="Calibri"/>
                <w:sz w:val="20"/>
                <w:szCs w:val="20"/>
              </w:rPr>
              <w:t xml:space="preserve">Patient must not have received prior treatment with a programmed cell death-1 (PD-1) inhibitor for </w:t>
            </w:r>
            <w:r w:rsidRPr="00C3591D">
              <w:rPr>
                <w:rFonts w:ascii="Arial Narrow" w:hAnsi="Arial Narrow" w:cs="Calibri"/>
                <w:strike/>
                <w:sz w:val="20"/>
                <w:szCs w:val="20"/>
              </w:rPr>
              <w:t>this condition</w:t>
            </w:r>
            <w:r w:rsidRPr="00C3591D">
              <w:rPr>
                <w:rFonts w:ascii="Arial Narrow" w:hAnsi="Arial Narrow" w:cs="Calibri"/>
                <w:sz w:val="20"/>
                <w:szCs w:val="20"/>
              </w:rPr>
              <w:t xml:space="preserve"> </w:t>
            </w:r>
            <w:r w:rsidRPr="00C3591D">
              <w:rPr>
                <w:rFonts w:ascii="Arial Narrow" w:hAnsi="Arial Narrow"/>
                <w:bCs/>
                <w:i/>
                <w:iCs/>
                <w:sz w:val="20"/>
                <w:szCs w:val="20"/>
              </w:rPr>
              <w:t>for any earlier stage of squamous cell carcinoma of the oral cavity, pharynx or larynx</w:t>
            </w:r>
          </w:p>
        </w:tc>
      </w:tr>
      <w:tr w:rsidR="007649FA" w:rsidRPr="00C3591D" w14:paraId="06D8F4AC" w14:textId="77777777" w:rsidTr="00727720">
        <w:tblPrEx>
          <w:tblCellMar>
            <w:top w:w="15" w:type="dxa"/>
            <w:bottom w:w="15" w:type="dxa"/>
          </w:tblCellMar>
        </w:tblPrEx>
        <w:trPr>
          <w:cantSplit/>
          <w:trHeight w:val="20"/>
        </w:trPr>
        <w:tc>
          <w:tcPr>
            <w:tcW w:w="703" w:type="pct"/>
          </w:tcPr>
          <w:p w14:paraId="7A520FD7" w14:textId="28300772" w:rsidR="007649FA" w:rsidRPr="00C3591D" w:rsidRDefault="007649FA">
            <w:pPr>
              <w:jc w:val="center"/>
              <w:rPr>
                <w:rFonts w:ascii="Arial Narrow" w:hAnsi="Arial Narrow" w:cs="Calibri"/>
                <w:strike/>
                <w:sz w:val="20"/>
                <w:szCs w:val="20"/>
              </w:rPr>
            </w:pPr>
          </w:p>
        </w:tc>
        <w:tc>
          <w:tcPr>
            <w:tcW w:w="4297" w:type="pct"/>
            <w:gridSpan w:val="4"/>
          </w:tcPr>
          <w:p w14:paraId="3936AF94" w14:textId="77777777" w:rsidR="007649FA" w:rsidRPr="00C3591D" w:rsidRDefault="007649FA">
            <w:pPr>
              <w:pStyle w:val="NormalWeb"/>
              <w:spacing w:before="0" w:after="0"/>
              <w:textAlignment w:val="baseline"/>
              <w:rPr>
                <w:rFonts w:ascii="Arial Narrow" w:hAnsi="Arial Narrow" w:cs="Calibri"/>
                <w:sz w:val="20"/>
                <w:szCs w:val="20"/>
              </w:rPr>
            </w:pPr>
            <w:r w:rsidRPr="00C3591D">
              <w:rPr>
                <w:rStyle w:val="Strong"/>
                <w:rFonts w:ascii="Arial Narrow" w:eastAsiaTheme="majorEastAsia" w:hAnsi="Arial Narrow" w:cs="Calibri"/>
                <w:sz w:val="20"/>
                <w:szCs w:val="20"/>
                <w:bdr w:val="none" w:sz="0" w:space="0" w:color="auto" w:frame="1"/>
              </w:rPr>
              <w:t>Prescribing Instructions:</w:t>
            </w:r>
          </w:p>
          <w:p w14:paraId="01FAA001" w14:textId="77777777" w:rsidR="007649FA" w:rsidRPr="00C3591D" w:rsidRDefault="007649FA">
            <w:pPr>
              <w:rPr>
                <w:rFonts w:ascii="Arial Narrow" w:hAnsi="Arial Narrow" w:cs="Calibri"/>
                <w:strike/>
                <w:sz w:val="20"/>
                <w:szCs w:val="20"/>
              </w:rPr>
            </w:pPr>
            <w:r w:rsidRPr="00C3591D">
              <w:rPr>
                <w:rFonts w:ascii="Arial Narrow" w:hAnsi="Arial Narrow" w:cs="Calibri"/>
                <w:sz w:val="20"/>
                <w:szCs w:val="20"/>
              </w:rPr>
              <w:t>The patient's body weight must be documented in the patient's medical records at the time treatment is initiated.</w:t>
            </w:r>
          </w:p>
        </w:tc>
      </w:tr>
      <w:tr w:rsidR="007649FA" w:rsidRPr="00C3591D" w14:paraId="39AAD703" w14:textId="77777777" w:rsidTr="00727720">
        <w:tblPrEx>
          <w:tblCellMar>
            <w:top w:w="15" w:type="dxa"/>
            <w:bottom w:w="15" w:type="dxa"/>
          </w:tblCellMar>
        </w:tblPrEx>
        <w:trPr>
          <w:cantSplit/>
          <w:trHeight w:val="20"/>
        </w:trPr>
        <w:tc>
          <w:tcPr>
            <w:tcW w:w="703" w:type="pct"/>
          </w:tcPr>
          <w:p w14:paraId="4C2F27B4" w14:textId="559A7887" w:rsidR="007649FA" w:rsidRPr="00C3591D" w:rsidRDefault="007649FA">
            <w:pPr>
              <w:jc w:val="center"/>
              <w:rPr>
                <w:rFonts w:ascii="Arial Narrow" w:hAnsi="Arial Narrow" w:cs="Calibri"/>
                <w:strike/>
                <w:sz w:val="20"/>
                <w:szCs w:val="20"/>
              </w:rPr>
            </w:pPr>
          </w:p>
        </w:tc>
        <w:tc>
          <w:tcPr>
            <w:tcW w:w="4297" w:type="pct"/>
            <w:gridSpan w:val="4"/>
          </w:tcPr>
          <w:p w14:paraId="4812FE38" w14:textId="77777777" w:rsidR="007649FA" w:rsidRPr="00C3591D" w:rsidRDefault="007649FA">
            <w:pPr>
              <w:pStyle w:val="NormalWeb"/>
              <w:spacing w:before="0" w:after="0"/>
              <w:textAlignment w:val="baseline"/>
              <w:rPr>
                <w:rFonts w:ascii="Arial Narrow" w:hAnsi="Arial Narrow" w:cs="Calibri"/>
                <w:sz w:val="20"/>
                <w:szCs w:val="20"/>
              </w:rPr>
            </w:pPr>
            <w:r w:rsidRPr="00C3591D">
              <w:rPr>
                <w:rStyle w:val="Strong"/>
                <w:rFonts w:ascii="Arial Narrow" w:eastAsiaTheme="majorEastAsia" w:hAnsi="Arial Narrow" w:cs="Calibri"/>
                <w:sz w:val="20"/>
                <w:szCs w:val="20"/>
                <w:bdr w:val="none" w:sz="0" w:space="0" w:color="auto" w:frame="1"/>
              </w:rPr>
              <w:t>Prescribing Instructions:</w:t>
            </w:r>
          </w:p>
          <w:p w14:paraId="1BAF9319" w14:textId="77777777" w:rsidR="007649FA" w:rsidRPr="00C3591D" w:rsidRDefault="007649FA">
            <w:pPr>
              <w:rPr>
                <w:rFonts w:ascii="Arial Narrow" w:hAnsi="Arial Narrow" w:cs="Calibri"/>
                <w:b/>
                <w:bCs/>
                <w:strike/>
                <w:sz w:val="20"/>
                <w:szCs w:val="20"/>
              </w:rPr>
            </w:pPr>
            <w:r w:rsidRPr="00C3591D">
              <w:rPr>
                <w:rFonts w:ascii="Arial Narrow" w:hAnsi="Arial Narrow" w:cs="Calibri"/>
                <w:sz w:val="20"/>
                <w:szCs w:val="20"/>
              </w:rPr>
              <w:t>Patients must only receive a maximum of 240 mg every two weeks or 480 mg every four weeks under a weight based or flat dosing regimen.</w:t>
            </w:r>
          </w:p>
        </w:tc>
      </w:tr>
      <w:tr w:rsidR="007649FA" w:rsidRPr="00C3591D" w14:paraId="725BDAE5" w14:textId="77777777" w:rsidTr="00727720">
        <w:tblPrEx>
          <w:tblCellMar>
            <w:top w:w="15" w:type="dxa"/>
            <w:bottom w:w="15" w:type="dxa"/>
          </w:tblCellMar>
        </w:tblPrEx>
        <w:trPr>
          <w:cantSplit/>
          <w:trHeight w:val="20"/>
        </w:trPr>
        <w:tc>
          <w:tcPr>
            <w:tcW w:w="703" w:type="pct"/>
          </w:tcPr>
          <w:p w14:paraId="6A075904" w14:textId="220EC443" w:rsidR="007649FA" w:rsidRPr="00C3591D" w:rsidRDefault="007649FA">
            <w:pPr>
              <w:jc w:val="center"/>
              <w:rPr>
                <w:rFonts w:ascii="Arial Narrow" w:hAnsi="Arial Narrow" w:cs="Calibri"/>
                <w:strike/>
                <w:sz w:val="20"/>
                <w:szCs w:val="20"/>
              </w:rPr>
            </w:pPr>
          </w:p>
        </w:tc>
        <w:tc>
          <w:tcPr>
            <w:tcW w:w="4297" w:type="pct"/>
            <w:gridSpan w:val="4"/>
          </w:tcPr>
          <w:p w14:paraId="36EEE0DF" w14:textId="77777777" w:rsidR="007649FA" w:rsidRPr="00C3591D" w:rsidRDefault="007649FA">
            <w:pPr>
              <w:pStyle w:val="NormalWeb"/>
              <w:spacing w:before="0" w:after="0"/>
              <w:textAlignment w:val="baseline"/>
              <w:rPr>
                <w:rFonts w:ascii="Arial Narrow" w:hAnsi="Arial Narrow" w:cs="Calibri"/>
                <w:sz w:val="20"/>
                <w:szCs w:val="20"/>
              </w:rPr>
            </w:pPr>
            <w:r w:rsidRPr="00C3591D">
              <w:rPr>
                <w:rStyle w:val="Strong"/>
                <w:rFonts w:ascii="Arial Narrow" w:eastAsiaTheme="majorEastAsia" w:hAnsi="Arial Narrow" w:cs="Calibri"/>
                <w:sz w:val="20"/>
                <w:szCs w:val="20"/>
                <w:bdr w:val="none" w:sz="0" w:space="0" w:color="auto" w:frame="1"/>
              </w:rPr>
              <w:t>Administrative Advice:</w:t>
            </w:r>
          </w:p>
          <w:p w14:paraId="05358C81" w14:textId="77777777" w:rsidR="007649FA" w:rsidRPr="00C3591D" w:rsidRDefault="007649FA">
            <w:pPr>
              <w:rPr>
                <w:rFonts w:ascii="Arial Narrow" w:hAnsi="Arial Narrow" w:cs="Calibri"/>
                <w:strike/>
                <w:sz w:val="20"/>
                <w:szCs w:val="20"/>
              </w:rPr>
            </w:pPr>
            <w:r w:rsidRPr="00C3591D">
              <w:rPr>
                <w:rFonts w:ascii="Arial Narrow" w:hAnsi="Arial Narrow" w:cs="Calibri"/>
                <w:sz w:val="20"/>
                <w:szCs w:val="20"/>
              </w:rPr>
              <w:t>In the first few months after start of immunotherapy, some patients can have a transient tumour flare with subsequent disease response. When progression is suspected, this should be confirmed through a confirmatory scan, taken at least 4 weeks later.</w:t>
            </w:r>
          </w:p>
        </w:tc>
      </w:tr>
    </w:tbl>
    <w:p w14:paraId="48E97F92" w14:textId="77777777" w:rsidR="007649FA" w:rsidRDefault="007649FA" w:rsidP="007649FA">
      <w:pPr>
        <w:spacing w:after="120"/>
        <w:rPr>
          <w:rFonts w:eastAsia="Calibri" w:cs="Calibri"/>
        </w:rPr>
      </w:pPr>
    </w:p>
    <w:p w14:paraId="6C842B06" w14:textId="77777777" w:rsidR="00E071BF" w:rsidRPr="006960AF" w:rsidRDefault="00E071BF" w:rsidP="00E071BF">
      <w:pPr>
        <w:spacing w:before="120" w:after="120"/>
        <w:rPr>
          <w:rFonts w:asciiTheme="minorHAnsi" w:hAnsiTheme="minorHAnsi"/>
          <w:b/>
          <w:i/>
          <w:iCs/>
          <w:snapToGrid w:val="0"/>
          <w:lang w:val="en-GB" w:eastAsia="en-US"/>
        </w:rPr>
      </w:pPr>
      <w:r w:rsidRPr="00763E59">
        <w:rPr>
          <w:rFonts w:asciiTheme="minorHAnsi" w:hAnsiTheme="minorHAnsi"/>
          <w:b/>
          <w:i/>
          <w:iCs/>
          <w:snapToGrid w:val="0"/>
          <w:lang w:val="en-GB" w:eastAsia="en-US"/>
        </w:rPr>
        <w:t>These restrictions may be subject to further review. Should there be any changes made to the restriction the sponsor will be informed.</w:t>
      </w:r>
    </w:p>
    <w:p w14:paraId="0660C50E" w14:textId="77777777" w:rsidR="003D2942" w:rsidRDefault="003D2942" w:rsidP="003D2942">
      <w:pPr>
        <w:pStyle w:val="COMH1numbered"/>
        <w:numPr>
          <w:ilvl w:val="0"/>
          <w:numId w:val="0"/>
        </w:numPr>
        <w:ind w:left="720" w:hanging="720"/>
        <w:rPr>
          <w:bCs/>
          <w:lang w:val="en-GB"/>
        </w:rPr>
      </w:pPr>
      <w:bookmarkStart w:id="139" w:name="_Hlk219795394"/>
      <w:bookmarkStart w:id="140" w:name="_Hlk219795414"/>
      <w:bookmarkStart w:id="141" w:name="_Hlk219383813"/>
      <w:r w:rsidRPr="00C07617">
        <w:t>9</w:t>
      </w:r>
      <w:r w:rsidRPr="00C07617">
        <w:tab/>
        <w:t>Context for Decision</w:t>
      </w:r>
    </w:p>
    <w:p w14:paraId="49745B8A" w14:textId="77777777" w:rsidR="003D2942" w:rsidRPr="00311EEF" w:rsidRDefault="003D2942" w:rsidP="003D2942">
      <w:pPr>
        <w:spacing w:after="120"/>
        <w:ind w:left="720"/>
        <w:rPr>
          <w:rFonts w:asciiTheme="minorHAnsi" w:hAnsiTheme="minorHAnsi"/>
          <w:bCs/>
          <w:lang w:val="en-GB"/>
        </w:rPr>
      </w:pPr>
      <w:r w:rsidRPr="00311EEF">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FE8927B" w14:textId="77777777" w:rsidR="003D2942" w:rsidRPr="00311EEF" w:rsidRDefault="003D2942" w:rsidP="003D2942">
      <w:pPr>
        <w:pStyle w:val="COMH1numbered"/>
        <w:numPr>
          <w:ilvl w:val="0"/>
          <w:numId w:val="0"/>
        </w:numPr>
        <w:ind w:left="720" w:hanging="720"/>
      </w:pPr>
      <w:r w:rsidRPr="00311EEF">
        <w:t>10</w:t>
      </w:r>
      <w:r>
        <w:tab/>
      </w:r>
      <w:r w:rsidRPr="00311EEF">
        <w:t>Sponsor’s Comment</w:t>
      </w:r>
    </w:p>
    <w:p w14:paraId="332F19F0" w14:textId="77777777" w:rsidR="003D2942" w:rsidRPr="001179AC" w:rsidRDefault="003D2942" w:rsidP="003D2942">
      <w:pPr>
        <w:spacing w:after="120"/>
        <w:ind w:left="720"/>
        <w:rPr>
          <w:rFonts w:asciiTheme="minorHAnsi" w:hAnsiTheme="minorHAnsi"/>
          <w:bCs/>
        </w:rPr>
      </w:pPr>
      <w:bookmarkStart w:id="142" w:name="_Hlk219795403"/>
      <w:bookmarkEnd w:id="139"/>
      <w:r w:rsidRPr="00C07617">
        <w:rPr>
          <w:rFonts w:asciiTheme="minorHAnsi" w:hAnsiTheme="minorHAnsi"/>
          <w:bCs/>
        </w:rPr>
        <w:t>The sponsor had no comment</w:t>
      </w:r>
      <w:bookmarkEnd w:id="140"/>
      <w:r w:rsidRPr="00C07617">
        <w:rPr>
          <w:rFonts w:asciiTheme="minorHAnsi" w:hAnsiTheme="minorHAnsi"/>
          <w:bCs/>
        </w:rPr>
        <w:t>.</w:t>
      </w:r>
    </w:p>
    <w:bookmarkEnd w:id="141"/>
    <w:bookmarkEnd w:id="142"/>
    <w:p w14:paraId="3B5EABCA" w14:textId="77777777" w:rsidR="007649FA" w:rsidRDefault="007649FA" w:rsidP="007649FA">
      <w:pPr>
        <w:pStyle w:val="3-BodyText"/>
        <w:numPr>
          <w:ilvl w:val="0"/>
          <w:numId w:val="0"/>
        </w:numPr>
        <w:rPr>
          <w:lang w:eastAsia="en-US"/>
        </w:rPr>
      </w:pPr>
    </w:p>
    <w:p w14:paraId="74747ED4" w14:textId="77777777" w:rsidR="007649FA" w:rsidRPr="002D332A" w:rsidRDefault="007649FA" w:rsidP="007649FA">
      <w:pPr>
        <w:pStyle w:val="3-BodyText"/>
        <w:numPr>
          <w:ilvl w:val="0"/>
          <w:numId w:val="0"/>
        </w:numPr>
        <w:rPr>
          <w:lang w:eastAsia="en-US"/>
        </w:rPr>
      </w:pPr>
    </w:p>
    <w:p w14:paraId="654187C6" w14:textId="77777777" w:rsidR="002D332A" w:rsidRPr="002D332A" w:rsidRDefault="002D332A" w:rsidP="002D332A">
      <w:pPr>
        <w:spacing w:after="200" w:line="276" w:lineRule="auto"/>
        <w:jc w:val="left"/>
        <w:rPr>
          <w:rFonts w:ascii="Arial" w:hAnsi="Arial"/>
          <w:bCs/>
          <w:sz w:val="22"/>
          <w:szCs w:val="22"/>
          <w:lang w:eastAsia="en-US"/>
        </w:rPr>
      </w:pPr>
    </w:p>
    <w:bookmarkEnd w:id="136"/>
    <w:bookmarkEnd w:id="137"/>
    <w:p w14:paraId="2181825F" w14:textId="35034529" w:rsidR="002D332A" w:rsidRPr="002D332A" w:rsidRDefault="002D332A" w:rsidP="002D332A">
      <w:pPr>
        <w:keepNext/>
        <w:keepLines/>
        <w:spacing w:before="480" w:after="120" w:line="276" w:lineRule="auto"/>
        <w:jc w:val="left"/>
        <w:outlineLvl w:val="0"/>
        <w:rPr>
          <w:rFonts w:ascii="Arial" w:eastAsia="Calibri" w:hAnsi="Arial"/>
          <w:sz w:val="22"/>
          <w:szCs w:val="22"/>
          <w:lang w:eastAsia="en-US"/>
        </w:rPr>
      </w:pPr>
    </w:p>
    <w:sectPr w:rsidR="002D332A" w:rsidRPr="002D332A" w:rsidSect="00FD26C1">
      <w:headerReference w:type="even" r:id="rId16"/>
      <w:headerReference w:type="default" r:id="rId17"/>
      <w:footerReference w:type="even" r:id="rId18"/>
      <w:footerReference w:type="default" r:id="rId19"/>
      <w:headerReference w:type="first" r:id="rId20"/>
      <w:footerReference w:type="first" r:id="rId21"/>
      <w:footnotePr>
        <w:numRestart w:val="eachSect"/>
      </w:footnotePr>
      <w:endnotePr>
        <w:numFmt w:val="decimal"/>
      </w:endnotePr>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72E8A" w14:textId="77777777" w:rsidR="00763E2A" w:rsidRDefault="00763E2A" w:rsidP="00124A51">
      <w:r>
        <w:separator/>
      </w:r>
    </w:p>
    <w:p w14:paraId="63F15B1E" w14:textId="77777777" w:rsidR="00763E2A" w:rsidRDefault="00763E2A"/>
  </w:endnote>
  <w:endnote w:type="continuationSeparator" w:id="0">
    <w:p w14:paraId="13C4F1D9" w14:textId="77777777" w:rsidR="00763E2A" w:rsidRDefault="00763E2A" w:rsidP="00124A51">
      <w:r>
        <w:continuationSeparator/>
      </w:r>
    </w:p>
    <w:p w14:paraId="057ED858" w14:textId="77777777" w:rsidR="00763E2A" w:rsidRDefault="00763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Quattrocento">
    <w:charset w:val="00"/>
    <w:family w:val="roman"/>
    <w:pitch w:val="variable"/>
    <w:sig w:usb0="800000BF" w:usb1="4000004B" w:usb2="00000000" w:usb3="00000000" w:csb0="00000001"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5941" w14:textId="31BD7735" w:rsidR="0000635F" w:rsidRDefault="007C4335">
    <w:pPr>
      <w:pStyle w:val="Footer"/>
    </w:pPr>
    <w:r>
      <w:rPr>
        <w:noProof/>
      </w:rPr>
      <mc:AlternateContent>
        <mc:Choice Requires="wps">
          <w:drawing>
            <wp:anchor distT="0" distB="0" distL="0" distR="0" simplePos="0" relativeHeight="251669506" behindDoc="0" locked="0" layoutInCell="1" allowOverlap="1" wp14:anchorId="4C92EDE4" wp14:editId="4F87E10A">
              <wp:simplePos x="635" y="635"/>
              <wp:positionH relativeFrom="page">
                <wp:align>center</wp:align>
              </wp:positionH>
              <wp:positionV relativeFrom="page">
                <wp:align>bottom</wp:align>
              </wp:positionV>
              <wp:extent cx="622300" cy="376555"/>
              <wp:effectExtent l="0" t="0" r="6350" b="0"/>
              <wp:wrapNone/>
              <wp:docPr id="27670183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1D47308" w14:textId="2E4DE894" w:rsidR="007C4335" w:rsidRPr="007C4335" w:rsidRDefault="007C4335" w:rsidP="007C4335">
                          <w:pPr>
                            <w:rPr>
                              <w:rFonts w:ascii="Aptos" w:eastAsia="Aptos" w:hAnsi="Aptos" w:cs="Aptos"/>
                              <w:noProof/>
                              <w:color w:val="FF0000"/>
                            </w:rPr>
                          </w:pPr>
                          <w:r w:rsidRPr="007C433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92EDE4"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950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61D47308" w14:textId="2E4DE894" w:rsidR="007C4335" w:rsidRPr="007C4335" w:rsidRDefault="007C4335" w:rsidP="007C4335">
                    <w:pPr>
                      <w:rPr>
                        <w:rFonts w:ascii="Aptos" w:eastAsia="Aptos" w:hAnsi="Aptos" w:cs="Aptos"/>
                        <w:noProof/>
                        <w:color w:val="FF0000"/>
                      </w:rPr>
                    </w:pPr>
                    <w:r w:rsidRPr="007C4335">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3354E640" w:rsidR="00D843F2" w:rsidRDefault="007C4335" w:rsidP="00753B29">
    <w:pPr>
      <w:pStyle w:val="Footer"/>
      <w:jc w:val="center"/>
    </w:pPr>
    <w:r>
      <w:rPr>
        <w:noProof/>
      </w:rPr>
      <mc:AlternateContent>
        <mc:Choice Requires="wps">
          <w:drawing>
            <wp:anchor distT="0" distB="0" distL="0" distR="0" simplePos="0" relativeHeight="251670530" behindDoc="0" locked="0" layoutInCell="1" allowOverlap="1" wp14:anchorId="5B11ED41" wp14:editId="6BE34920">
              <wp:simplePos x="914400" y="9406393"/>
              <wp:positionH relativeFrom="page">
                <wp:align>center</wp:align>
              </wp:positionH>
              <wp:positionV relativeFrom="page">
                <wp:align>bottom</wp:align>
              </wp:positionV>
              <wp:extent cx="622300" cy="376555"/>
              <wp:effectExtent l="0" t="0" r="6350" b="0"/>
              <wp:wrapNone/>
              <wp:docPr id="6862250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FFC5EF4" w14:textId="6FD39ECA" w:rsidR="007C4335" w:rsidRPr="007C4335" w:rsidRDefault="007C4335" w:rsidP="007C4335">
                          <w:pPr>
                            <w:rPr>
                              <w:rFonts w:ascii="Aptos" w:eastAsia="Aptos" w:hAnsi="Aptos" w:cs="Aptos"/>
                              <w:noProof/>
                              <w:color w:val="FF0000"/>
                            </w:rPr>
                          </w:pPr>
                          <w:r w:rsidRPr="007C433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1ED41"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7053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5FFC5EF4" w14:textId="6FD39ECA" w:rsidR="007C4335" w:rsidRPr="007C4335" w:rsidRDefault="007C4335" w:rsidP="007C4335">
                    <w:pPr>
                      <w:rPr>
                        <w:rFonts w:ascii="Aptos" w:eastAsia="Aptos" w:hAnsi="Aptos" w:cs="Aptos"/>
                        <w:noProof/>
                        <w:color w:val="FF0000"/>
                      </w:rPr>
                    </w:pPr>
                    <w:r w:rsidRPr="007C4335">
                      <w:rPr>
                        <w:rFonts w:ascii="Aptos" w:eastAsia="Aptos" w:hAnsi="Aptos" w:cs="Aptos"/>
                        <w:noProof/>
                        <w:color w:val="FF0000"/>
                      </w:rPr>
                      <w:t>OFFICIAL</w:t>
                    </w:r>
                  </w:p>
                </w:txbxContent>
              </v:textbox>
              <w10:wrap anchorx="page" anchory="page"/>
            </v:shape>
          </w:pict>
        </mc:Fallback>
      </mc:AlternateContent>
    </w:r>
  </w:p>
  <w:p w14:paraId="37484CD3" w14:textId="066FD82A" w:rsidR="00D843F2" w:rsidRPr="007C1CD9" w:rsidRDefault="00000000" w:rsidP="006028D3">
    <w:pPr>
      <w:pStyle w:val="PageFooter"/>
    </w:pPr>
    <w:sdt>
      <w:sdtPr>
        <w:id w:val="1036156457"/>
        <w:docPartObj>
          <w:docPartGallery w:val="Page Numbers (Bottom of Page)"/>
          <w:docPartUnique/>
        </w:docPartObj>
      </w:sdtPr>
      <w:sdtEndPr>
        <w:rPr>
          <w:noProof/>
        </w:rPr>
      </w:sdtEndPr>
      <w:sdtContent>
        <w:r w:rsidR="00D843F2">
          <w:fldChar w:fldCharType="begin"/>
        </w:r>
        <w:r w:rsidR="00D843F2">
          <w:instrText xml:space="preserve"> PAGE   \* MERGEFORMAT </w:instrText>
        </w:r>
        <w:r w:rsidR="00D843F2">
          <w:fldChar w:fldCharType="separate"/>
        </w:r>
        <w:r w:rsidR="00D843F2">
          <w:rPr>
            <w:noProof/>
          </w:rPr>
          <w:t>2</w:t>
        </w:r>
        <w:r w:rsidR="00D843F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57C4" w14:textId="44A5BAB6" w:rsidR="0000635F" w:rsidRDefault="007C4335">
    <w:pPr>
      <w:pStyle w:val="Footer"/>
    </w:pPr>
    <w:r>
      <w:rPr>
        <w:noProof/>
      </w:rPr>
      <mc:AlternateContent>
        <mc:Choice Requires="wps">
          <w:drawing>
            <wp:anchor distT="0" distB="0" distL="0" distR="0" simplePos="0" relativeHeight="251668482" behindDoc="0" locked="0" layoutInCell="1" allowOverlap="1" wp14:anchorId="24F8AD63" wp14:editId="076A4896">
              <wp:simplePos x="635" y="635"/>
              <wp:positionH relativeFrom="page">
                <wp:align>center</wp:align>
              </wp:positionH>
              <wp:positionV relativeFrom="page">
                <wp:align>bottom</wp:align>
              </wp:positionV>
              <wp:extent cx="622300" cy="376555"/>
              <wp:effectExtent l="0" t="0" r="6350" b="0"/>
              <wp:wrapNone/>
              <wp:docPr id="31429867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07DEBE8" w14:textId="39D00104" w:rsidR="007C4335" w:rsidRPr="007C4335" w:rsidRDefault="007C4335" w:rsidP="007C4335">
                          <w:pPr>
                            <w:rPr>
                              <w:rFonts w:ascii="Aptos" w:eastAsia="Aptos" w:hAnsi="Aptos" w:cs="Aptos"/>
                              <w:noProof/>
                              <w:color w:val="FF0000"/>
                            </w:rPr>
                          </w:pPr>
                          <w:r w:rsidRPr="007C433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F8AD63"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848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407DEBE8" w14:textId="39D00104" w:rsidR="007C4335" w:rsidRPr="007C4335" w:rsidRDefault="007C4335" w:rsidP="007C4335">
                    <w:pPr>
                      <w:rPr>
                        <w:rFonts w:ascii="Aptos" w:eastAsia="Aptos" w:hAnsi="Aptos" w:cs="Aptos"/>
                        <w:noProof/>
                        <w:color w:val="FF0000"/>
                      </w:rPr>
                    </w:pPr>
                    <w:r w:rsidRPr="007C4335">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E7191" w14:textId="77777777" w:rsidR="00763E2A" w:rsidRDefault="00763E2A">
      <w:r>
        <w:separator/>
      </w:r>
    </w:p>
  </w:footnote>
  <w:footnote w:type="continuationSeparator" w:id="0">
    <w:p w14:paraId="3D8F6879" w14:textId="77777777" w:rsidR="00763E2A" w:rsidRDefault="00763E2A" w:rsidP="00124A51">
      <w:r>
        <w:continuationSeparator/>
      </w:r>
    </w:p>
    <w:p w14:paraId="41A7BC9A" w14:textId="77777777" w:rsidR="00763E2A" w:rsidRDefault="00763E2A"/>
  </w:footnote>
  <w:footnote w:id="1">
    <w:p w14:paraId="19D2DEA3" w14:textId="77777777" w:rsidR="005F3809" w:rsidRDefault="005F3809" w:rsidP="008E0BA3">
      <w:pPr>
        <w:pStyle w:val="FootnoteText"/>
        <w:jc w:val="both"/>
      </w:pPr>
      <w:r>
        <w:rPr>
          <w:rStyle w:val="FootnoteReference"/>
        </w:rPr>
        <w:footnoteRef/>
      </w:r>
      <w:r>
        <w:t xml:space="preserve"> </w:t>
      </w:r>
      <w:r w:rsidRPr="00883B57">
        <w:t>Australian Institute of Health and Welfare</w:t>
      </w:r>
      <w:r>
        <w:t xml:space="preserve"> (AIHW)</w:t>
      </w:r>
      <w:r w:rsidRPr="00883B57">
        <w:t>. Cancer summary data visu</w:t>
      </w:r>
      <w:r>
        <w:t>a</w:t>
      </w:r>
      <w:r w:rsidRPr="00883B57">
        <w:t xml:space="preserve">lisation. </w:t>
      </w:r>
      <w:r>
        <w:t>AIHW. 2024;</w:t>
      </w:r>
      <w:r w:rsidRPr="00883B57">
        <w:t xml:space="preserve"> Available from: </w:t>
      </w:r>
      <w:hyperlink r:id="rId1" w:history="1">
        <w:r w:rsidRPr="00C27D6E">
          <w:rPr>
            <w:rStyle w:val="Hyperlink"/>
          </w:rPr>
          <w:t>https://www.aihw.gov.au/reports/cancer/cancer-data-in-australia/contents/summary-dashboard</w:t>
        </w:r>
      </w:hyperlink>
      <w:r w:rsidRPr="00883B57">
        <w:t>. [Accessed 25 July 2025].</w:t>
      </w:r>
    </w:p>
  </w:footnote>
  <w:footnote w:id="2">
    <w:p w14:paraId="49B3E2DD" w14:textId="77777777" w:rsidR="005F3809" w:rsidRDefault="005F3809" w:rsidP="008E0BA3">
      <w:pPr>
        <w:pStyle w:val="FootnoteText"/>
        <w:jc w:val="both"/>
      </w:pPr>
      <w:r>
        <w:rPr>
          <w:rStyle w:val="FootnoteReference"/>
        </w:rPr>
        <w:footnoteRef/>
      </w:r>
      <w:r>
        <w:t xml:space="preserve"> </w:t>
      </w:r>
      <w:r w:rsidRPr="00180A7F">
        <w:t xml:space="preserve">Foley J, Wishart LR, et al. Exploring the impact of remoteness on people with head and neck cancer: Utilisation of a state-wide dataset. </w:t>
      </w:r>
      <w:r w:rsidRPr="00180A7F">
        <w:rPr>
          <w:i/>
          <w:iCs/>
        </w:rPr>
        <w:t>Aust J Rural Health</w:t>
      </w:r>
      <w:r w:rsidRPr="00180A7F">
        <w:t>. 2023;31(4):726-43</w:t>
      </w:r>
    </w:p>
  </w:footnote>
  <w:footnote w:id="3">
    <w:p w14:paraId="1826C1BD" w14:textId="77777777" w:rsidR="005F3809" w:rsidRDefault="005F3809" w:rsidP="008E0BA3">
      <w:pPr>
        <w:pStyle w:val="FootnoteText"/>
        <w:jc w:val="both"/>
      </w:pPr>
      <w:r>
        <w:rPr>
          <w:rStyle w:val="FootnoteReference"/>
        </w:rPr>
        <w:footnoteRef/>
      </w:r>
      <w:r>
        <w:t xml:space="preserve"> </w:t>
      </w:r>
      <w:r w:rsidRPr="00425507">
        <w:t xml:space="preserve">Kwok MMK, Wong A, Prasad J. Factors affecting timeliness in management of head and neck cancer. </w:t>
      </w:r>
      <w:r w:rsidRPr="00425507">
        <w:rPr>
          <w:i/>
          <w:iCs/>
        </w:rPr>
        <w:t>ANZ J Surg</w:t>
      </w:r>
      <w:r w:rsidRPr="00425507">
        <w:t>. 2023;93(10):2388-93.</w:t>
      </w:r>
    </w:p>
  </w:footnote>
  <w:footnote w:id="4">
    <w:p w14:paraId="21E3314D" w14:textId="77777777" w:rsidR="005F3809" w:rsidRDefault="005F3809" w:rsidP="008E0BA3">
      <w:pPr>
        <w:pStyle w:val="FootnoteText"/>
        <w:jc w:val="both"/>
      </w:pPr>
      <w:r>
        <w:rPr>
          <w:rStyle w:val="FootnoteReference"/>
        </w:rPr>
        <w:footnoteRef/>
      </w:r>
      <w:r>
        <w:t xml:space="preserve"> </w:t>
      </w:r>
      <w:r w:rsidRPr="00425507">
        <w:t xml:space="preserve">Black CM, Hanna GJ, </w:t>
      </w:r>
      <w:r>
        <w:rPr>
          <w:i/>
          <w:iCs/>
        </w:rPr>
        <w:t>et al</w:t>
      </w:r>
      <w:r w:rsidRPr="00425507">
        <w:t xml:space="preserve">. Real-world treatment patterns and outcomes among individuals receiving first-line pembrolizumab therapy for recurrent/metastatic head and neck squamous cell carcinoma. </w:t>
      </w:r>
      <w:r w:rsidRPr="00425507">
        <w:rPr>
          <w:i/>
          <w:iCs/>
        </w:rPr>
        <w:t>Front Oncol</w:t>
      </w:r>
      <w:r w:rsidRPr="00425507">
        <w:t>. 2023;13:1160144</w:t>
      </w:r>
    </w:p>
  </w:footnote>
  <w:footnote w:id="5">
    <w:p w14:paraId="23E70EF2" w14:textId="77777777" w:rsidR="005F3809" w:rsidRDefault="005F3809" w:rsidP="008E0BA3">
      <w:pPr>
        <w:pStyle w:val="FootnoteText"/>
        <w:jc w:val="both"/>
      </w:pPr>
      <w:r>
        <w:rPr>
          <w:rStyle w:val="FootnoteReference"/>
        </w:rPr>
        <w:footnoteRef/>
      </w:r>
      <w:r>
        <w:t xml:space="preserve"> P</w:t>
      </w:r>
      <w:r w:rsidRPr="009228BE">
        <w:t xml:space="preserve">embrolizumab ± chemotherapy as first-line therapy in the recurrent/metastatic setting when disease recurs beyond 6 months of completion of systemic therapy if previously treated in the locally advanced setting </w:t>
      </w:r>
      <w:r w:rsidRPr="008E0BA3">
        <w:rPr>
          <w:i/>
          <w:iCs/>
        </w:rPr>
        <w:t>versus</w:t>
      </w:r>
      <w:r w:rsidRPr="009228BE">
        <w:t xml:space="preserve"> nivolumab when disease progresses within 6 months of prior platinum-based chemotherapy</w:t>
      </w:r>
      <w:r>
        <w:t>.</w:t>
      </w:r>
    </w:p>
  </w:footnote>
  <w:footnote w:id="6">
    <w:p w14:paraId="7C40799A" w14:textId="69DECCE5" w:rsidR="005F3809" w:rsidRDefault="005F3809" w:rsidP="005F3809">
      <w:pPr>
        <w:pStyle w:val="FootnoteText"/>
      </w:pPr>
      <w:r>
        <w:rPr>
          <w:rStyle w:val="FootnoteReference"/>
        </w:rPr>
        <w:footnoteRef/>
      </w:r>
      <w:r>
        <w:t xml:space="preserve"> eviQ. Head and neck. Cancer Institute NSW. 2025; Available from: </w:t>
      </w:r>
      <w:hyperlink r:id="rId2" w:history="1">
        <w:r w:rsidRPr="00C27D6E">
          <w:rPr>
            <w:rStyle w:val="Hyperlink"/>
          </w:rPr>
          <w:t>https://www.eviq.org.au/medical-oncology/head-and-neck</w:t>
        </w:r>
      </w:hyperlink>
      <w:r>
        <w:t>. [Accessed 30 July 2025].</w:t>
      </w:r>
    </w:p>
  </w:footnote>
  <w:footnote w:id="7">
    <w:p w14:paraId="74A3EB80" w14:textId="2F47A056" w:rsidR="008F2366" w:rsidRDefault="008F2366">
      <w:pPr>
        <w:pStyle w:val="FootnoteText"/>
      </w:pPr>
      <w:r>
        <w:rPr>
          <w:rStyle w:val="FootnoteReference"/>
        </w:rPr>
        <w:footnoteRef/>
      </w:r>
      <w:r>
        <w:t xml:space="preserve"> National Comprehensive Cancer Network (NCCN). NCCN Guidelines Version 4.2025: Head and Neck Cancers. 2025.</w:t>
      </w:r>
    </w:p>
  </w:footnote>
  <w:footnote w:id="8">
    <w:p w14:paraId="2B72EEC2" w14:textId="64DCC386" w:rsidR="00E20867" w:rsidRDefault="00E20867">
      <w:pPr>
        <w:pStyle w:val="FootnoteText"/>
      </w:pPr>
      <w:r>
        <w:rPr>
          <w:rStyle w:val="FootnoteReference"/>
        </w:rPr>
        <w:footnoteRef/>
      </w:r>
      <w:r>
        <w:t xml:space="preserve"> </w:t>
      </w:r>
      <w:r w:rsidRPr="00E20867">
        <w:t>Cherny NI, Dafni U, Bogaerts J, et al: ESMO-Magnitude of Clinical Benefit Scale version 1.1. Annals of Oncology 28:2340-2366, 2017</w:t>
      </w:r>
    </w:p>
  </w:footnote>
  <w:footnote w:id="9">
    <w:p w14:paraId="50861416" w14:textId="77777777" w:rsidR="005F3809" w:rsidRDefault="005F3809" w:rsidP="005F3809">
      <w:pPr>
        <w:pStyle w:val="FootnoteText"/>
        <w:jc w:val="both"/>
      </w:pPr>
      <w:r>
        <w:rPr>
          <w:rStyle w:val="FootnoteReference"/>
        </w:rPr>
        <w:footnoteRef/>
      </w:r>
      <w:r>
        <w:t xml:space="preserve"> EFS is defined as t</w:t>
      </w:r>
      <w:r w:rsidRPr="00277481">
        <w:t>ime from the date of randomisation to the date of first record of any of the following events: radiographic disease progression, radiographic disease progression during the neoadjuvant phase that precludes surgery, local or distant disease progression or recurrence as assessed with imaging or biopsy as indicated, death due to any cause</w:t>
      </w:r>
      <w:r>
        <w:t xml:space="preserve">. </w:t>
      </w:r>
    </w:p>
  </w:footnote>
  <w:footnote w:id="10">
    <w:p w14:paraId="42BD75AC" w14:textId="77777777" w:rsidR="005F3809" w:rsidRDefault="005F3809" w:rsidP="005F3809">
      <w:pPr>
        <w:pStyle w:val="FootnoteText"/>
      </w:pPr>
      <w:r>
        <w:rPr>
          <w:rStyle w:val="FootnoteReference"/>
        </w:rPr>
        <w:footnoteRef/>
      </w:r>
      <w:r>
        <w:t xml:space="preserve"> mPR is defined as having ≤10% invasive squamous cell carcinoma within the resected primary tumour specimen and all sampled regional lymph nodes</w:t>
      </w:r>
    </w:p>
  </w:footnote>
  <w:footnote w:id="11">
    <w:p w14:paraId="79580D9D" w14:textId="77777777" w:rsidR="005F3809" w:rsidRDefault="005F3809" w:rsidP="005F3809">
      <w:pPr>
        <w:pStyle w:val="FootnoteText"/>
      </w:pPr>
      <w:r>
        <w:rPr>
          <w:rStyle w:val="FootnoteReference"/>
        </w:rPr>
        <w:footnoteRef/>
      </w:r>
      <w:r>
        <w:t xml:space="preserve"> pCR is defined as having no residual invasive squamous cell carcinoma within the resected primary tumour specimen and all sampled regional lymph nodes</w:t>
      </w:r>
    </w:p>
  </w:footnote>
  <w:footnote w:id="12">
    <w:p w14:paraId="420F40D6" w14:textId="77777777" w:rsidR="005F3809" w:rsidRDefault="005F3809" w:rsidP="005F3809">
      <w:pPr>
        <w:pStyle w:val="FootnoteText"/>
      </w:pPr>
      <w:r>
        <w:rPr>
          <w:rStyle w:val="FootnoteReference"/>
        </w:rPr>
        <w:footnoteRef/>
      </w:r>
      <w:r>
        <w:t xml:space="preserve"> </w:t>
      </w:r>
      <w:hyperlink r:id="rId3" w:history="1">
        <w:r w:rsidRPr="00D24009">
          <w:rPr>
            <w:rStyle w:val="Hyperlink"/>
          </w:rPr>
          <w:t>https://clinicaltrials.gov/study/NCT06102395</w:t>
        </w:r>
      </w:hyperlink>
      <w:r>
        <w:t xml:space="preserve"> </w:t>
      </w:r>
    </w:p>
  </w:footnote>
  <w:footnote w:id="13">
    <w:p w14:paraId="5E3734DF" w14:textId="77777777" w:rsidR="005F3809" w:rsidRDefault="005F3809" w:rsidP="005F3809">
      <w:pPr>
        <w:pStyle w:val="FootnoteText"/>
      </w:pPr>
      <w:r>
        <w:rPr>
          <w:rStyle w:val="FootnoteReference"/>
        </w:rPr>
        <w:footnoteRef/>
      </w:r>
      <w:r>
        <w:t xml:space="preserve"> </w:t>
      </w:r>
      <w:hyperlink r:id="rId4" w:history="1">
        <w:r w:rsidRPr="00D24009">
          <w:rPr>
            <w:rStyle w:val="Hyperlink"/>
          </w:rPr>
          <w:t>https://clinicaltrials.gov/study/NCT03480672</w:t>
        </w:r>
      </w:hyperlink>
      <w:r>
        <w:t xml:space="preserve"> </w:t>
      </w:r>
    </w:p>
  </w:footnote>
  <w:footnote w:id="14">
    <w:p w14:paraId="06F434C5" w14:textId="77777777" w:rsidR="005F3809" w:rsidRDefault="005F3809" w:rsidP="005F3809">
      <w:pPr>
        <w:pStyle w:val="FootnoteText"/>
        <w:jc w:val="both"/>
      </w:pPr>
      <w:r>
        <w:rPr>
          <w:rStyle w:val="FootnoteReference"/>
        </w:rPr>
        <w:footnoteRef/>
      </w:r>
      <w:r>
        <w:t xml:space="preserve"> </w:t>
      </w:r>
      <w:r w:rsidRPr="00083BA8">
        <w:t xml:space="preserve">Participants considered lower risk for recurrence received </w:t>
      </w:r>
      <w:r>
        <w:t xml:space="preserve">radiotherapy </w:t>
      </w:r>
      <w:r w:rsidRPr="00083BA8">
        <w:t xml:space="preserve">(60 Gy) plus pembrolizumab (15 cycles of 200 mg Q3W) in the pembrolizumab arm and without pembrolizumab in the SoC arm. Participants assessed have a high risk of recurrence following surgery received </w:t>
      </w:r>
      <w:r>
        <w:t xml:space="preserve">radiotherapy </w:t>
      </w:r>
      <w:r w:rsidRPr="00083BA8">
        <w:t>(66 Gy</w:t>
      </w:r>
      <w:r>
        <w:t xml:space="preserve"> or 70Gy if with gross residual disease</w:t>
      </w:r>
      <w:r w:rsidRPr="00083BA8">
        <w:t>) plus concurrent cisplatin (3 cycles of 100 mg/m</w:t>
      </w:r>
      <w:r w:rsidRPr="00083BA8">
        <w:rPr>
          <w:vertAlign w:val="superscript"/>
        </w:rPr>
        <w:t>2</w:t>
      </w:r>
      <w:r w:rsidRPr="00083BA8">
        <w:t xml:space="preserve"> Q3W) plus pembrolizumab (15 cycles of 200 mg Q3W) in the </w:t>
      </w:r>
      <w:r>
        <w:t>pembrolizumab arm</w:t>
      </w:r>
      <w:r w:rsidRPr="00083BA8">
        <w:t xml:space="preserve"> and without pembrolizumab in the SoC arm.</w:t>
      </w:r>
    </w:p>
  </w:footnote>
  <w:footnote w:id="15">
    <w:p w14:paraId="41CBFE5B" w14:textId="3BE62249" w:rsidR="00833F14" w:rsidRDefault="00833F14">
      <w:pPr>
        <w:pStyle w:val="FootnoteText"/>
      </w:pPr>
      <w:r>
        <w:rPr>
          <w:rStyle w:val="FootnoteReference"/>
        </w:rPr>
        <w:footnoteRef/>
      </w:r>
      <w:r>
        <w:t xml:space="preserve"> US food and Drug Administration </w:t>
      </w:r>
      <w:r w:rsidR="00303F4F">
        <w:t xml:space="preserve">(FDA) (2014), </w:t>
      </w:r>
      <w:r w:rsidR="00A56B88">
        <w:t>Keytruda (pembrolizumab</w:t>
      </w:r>
      <w:r w:rsidR="004A09A2">
        <w:t xml:space="preserve">). Highlights of prescribing information. </w:t>
      </w:r>
      <w:r w:rsidR="00C04238">
        <w:t xml:space="preserve">Available at: </w:t>
      </w:r>
      <w:r w:rsidR="00655DDC" w:rsidRPr="00655DDC">
        <w:t>https://www.accessdata.fda.gov/drugsatfda_docs/label/2025/125514s178lbl.pdf</w:t>
      </w:r>
    </w:p>
  </w:footnote>
  <w:footnote w:id="16">
    <w:p w14:paraId="22B08D25" w14:textId="77777777" w:rsidR="00032D12" w:rsidRDefault="00032D12" w:rsidP="00032D12">
      <w:pPr>
        <w:pStyle w:val="FootnoteText"/>
      </w:pPr>
      <w:r>
        <w:rPr>
          <w:rStyle w:val="FootnoteReference"/>
        </w:rPr>
        <w:footnoteRef/>
      </w:r>
      <w:r>
        <w:t xml:space="preserve"> </w:t>
      </w:r>
      <w:r w:rsidRPr="00FC1BA5">
        <w:t>Williams C, Lewsey JD, Briggs AH, Mackay DF. Cost-effectiveness Analysis in R Using a Multi-state Modeling Survival Analysis Framework: A Tutorial. Medical Decision Making. 2017;37(4):340-52.</w:t>
      </w:r>
    </w:p>
  </w:footnote>
  <w:footnote w:id="17">
    <w:p w14:paraId="6A238447" w14:textId="77777777" w:rsidR="00032D12" w:rsidRDefault="00032D12" w:rsidP="00032D12">
      <w:pPr>
        <w:pStyle w:val="FootnoteText"/>
      </w:pPr>
      <w:r>
        <w:rPr>
          <w:rStyle w:val="FootnoteReference"/>
        </w:rPr>
        <w:footnoteRef/>
      </w:r>
      <w:r>
        <w:t xml:space="preserve"> </w:t>
      </w:r>
      <w:r w:rsidRPr="00FC1BA5">
        <w:t>Williams C, Lewsey JD, Mackay DF, Briggs AH. Estimation of Survival Probabilities for Use in Cost-effectiveness Analyses: A Comparison of a Multi-state Modeling Survival Analysis Approach with Partitioned Survival and Markov Decision-Analytic Modeling. Medical Decision Making. 2017;37(4):427-39.</w:t>
      </w:r>
    </w:p>
  </w:footnote>
  <w:footnote w:id="18">
    <w:p w14:paraId="6F968EB4" w14:textId="77777777" w:rsidR="00032D12" w:rsidRDefault="00032D12" w:rsidP="00032D12">
      <w:pPr>
        <w:pStyle w:val="FootnoteText"/>
      </w:pPr>
      <w:r>
        <w:rPr>
          <w:rStyle w:val="FootnoteReference"/>
        </w:rPr>
        <w:footnoteRef/>
      </w:r>
      <w:r>
        <w:t xml:space="preserve"> </w:t>
      </w:r>
      <w:r w:rsidRPr="00A66031">
        <w:t>Chakrabandhu S, Bunyatisai W, Sripan P, Traisathit P, Chitapanarux I. Five- and ten-year survival of squamous cell carcinoma of the head and neck in northern Thailand: a multivariate analysis. Journal of Radiotherapy in Practice. 2021;20(4):413-8.</w:t>
      </w:r>
    </w:p>
  </w:footnote>
  <w:footnote w:id="19">
    <w:p w14:paraId="7DED7357" w14:textId="77777777" w:rsidR="00032D12" w:rsidRDefault="00032D12" w:rsidP="00032D12">
      <w:pPr>
        <w:pStyle w:val="FootnoteText"/>
      </w:pPr>
      <w:r>
        <w:rPr>
          <w:rStyle w:val="FootnoteReference"/>
        </w:rPr>
        <w:footnoteRef/>
      </w:r>
      <w:r>
        <w:t xml:space="preserve"> </w:t>
      </w:r>
      <w:r w:rsidRPr="00BE4E4F">
        <w:t>Santos FMd, Viani GA, Pavoni JF. Evaluation of survival of patients with locally advanced head and neck cancer treated in a single center. Brazilian Journal of Otorhinolaryngology. 2021 2021/01/01/;87(1):3-10.</w:t>
      </w:r>
    </w:p>
  </w:footnote>
  <w:footnote w:id="20">
    <w:p w14:paraId="1C3172A0" w14:textId="57922C3A" w:rsidR="00976762" w:rsidRDefault="00976762" w:rsidP="00976762">
      <w:pPr>
        <w:pStyle w:val="FootnoteText"/>
      </w:pPr>
      <w:r>
        <w:rPr>
          <w:rStyle w:val="FootnoteReference"/>
        </w:rPr>
        <w:footnoteRef/>
      </w:r>
      <w:r>
        <w:t xml:space="preserve"> eviQ. Head and neck. Cancer Institute NSW. 2025; Available from: </w:t>
      </w:r>
      <w:hyperlink r:id="rId5" w:history="1">
        <w:r w:rsidRPr="00C27D6E">
          <w:rPr>
            <w:rStyle w:val="Hyperlink"/>
          </w:rPr>
          <w:t>https://www.eviq.org.au/medical-oncology/head-and-neck</w:t>
        </w:r>
      </w:hyperlink>
      <w:r>
        <w:t xml:space="preserve">. </w:t>
      </w:r>
    </w:p>
  </w:footnote>
  <w:footnote w:id="21">
    <w:p w14:paraId="30072996" w14:textId="77777777" w:rsidR="00976762" w:rsidRDefault="00976762" w:rsidP="00976762">
      <w:pPr>
        <w:pStyle w:val="FootnoteText"/>
      </w:pPr>
      <w:r>
        <w:rPr>
          <w:rStyle w:val="FootnoteReference"/>
        </w:rPr>
        <w:footnoteRef/>
      </w:r>
      <w:r>
        <w:t xml:space="preserve"> National Comprehensive Cancer Network (NCCN). NCCN Guidelines Version 4.2025: Head and Neck Cancers.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AFA69" w14:textId="613E374B" w:rsidR="0000635F" w:rsidRDefault="007C4335">
    <w:pPr>
      <w:pStyle w:val="Header"/>
    </w:pPr>
    <w:r>
      <w:rPr>
        <w:noProof/>
      </w:rPr>
      <mc:AlternateContent>
        <mc:Choice Requires="wps">
          <w:drawing>
            <wp:anchor distT="0" distB="0" distL="0" distR="0" simplePos="0" relativeHeight="251666434" behindDoc="0" locked="0" layoutInCell="1" allowOverlap="1" wp14:anchorId="2ADC1768" wp14:editId="44BF0973">
              <wp:simplePos x="635" y="635"/>
              <wp:positionH relativeFrom="page">
                <wp:align>center</wp:align>
              </wp:positionH>
              <wp:positionV relativeFrom="page">
                <wp:align>top</wp:align>
              </wp:positionV>
              <wp:extent cx="622300" cy="376555"/>
              <wp:effectExtent l="0" t="0" r="6350" b="4445"/>
              <wp:wrapNone/>
              <wp:docPr id="4379831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7EA5C62" w14:textId="74E7046C" w:rsidR="007C4335" w:rsidRPr="007C4335" w:rsidRDefault="007C4335" w:rsidP="007C4335">
                          <w:pPr>
                            <w:rPr>
                              <w:rFonts w:ascii="Aptos" w:eastAsia="Aptos" w:hAnsi="Aptos" w:cs="Aptos"/>
                              <w:noProof/>
                              <w:color w:val="FF0000"/>
                            </w:rPr>
                          </w:pPr>
                          <w:r w:rsidRPr="007C433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DC1768"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6643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77EA5C62" w14:textId="74E7046C" w:rsidR="007C4335" w:rsidRPr="007C4335" w:rsidRDefault="007C4335" w:rsidP="007C4335">
                    <w:pPr>
                      <w:rPr>
                        <w:rFonts w:ascii="Aptos" w:eastAsia="Aptos" w:hAnsi="Aptos" w:cs="Aptos"/>
                        <w:noProof/>
                        <w:color w:val="FF0000"/>
                      </w:rPr>
                    </w:pPr>
                    <w:r w:rsidRPr="007C4335">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E2D4" w14:textId="681E331B" w:rsidR="0057530F" w:rsidRDefault="007C4335" w:rsidP="000B08E1">
    <w:pPr>
      <w:pStyle w:val="Header"/>
      <w:rPr>
        <w:rFonts w:asciiTheme="minorHAnsi" w:hAnsiTheme="minorHAnsi" w:cstheme="minorBidi"/>
        <w:i w:val="0"/>
        <w:iCs w:val="0"/>
        <w:color w:val="808080"/>
      </w:rPr>
    </w:pPr>
    <w:r>
      <w:rPr>
        <w:rFonts w:asciiTheme="minorHAnsi" w:hAnsiTheme="minorHAnsi" w:cstheme="minorBidi"/>
        <w:i w:val="0"/>
        <w:iCs w:val="0"/>
        <w:noProof/>
        <w:color w:val="808080"/>
      </w:rPr>
      <mc:AlternateContent>
        <mc:Choice Requires="wps">
          <w:drawing>
            <wp:anchor distT="0" distB="0" distL="0" distR="0" simplePos="0" relativeHeight="251667458" behindDoc="0" locked="0" layoutInCell="1" allowOverlap="1" wp14:anchorId="155E96BC" wp14:editId="1B07248F">
              <wp:simplePos x="914400" y="914400"/>
              <wp:positionH relativeFrom="page">
                <wp:align>center</wp:align>
              </wp:positionH>
              <wp:positionV relativeFrom="page">
                <wp:align>top</wp:align>
              </wp:positionV>
              <wp:extent cx="622300" cy="376555"/>
              <wp:effectExtent l="0" t="0" r="6350" b="4445"/>
              <wp:wrapNone/>
              <wp:docPr id="187723593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EBDB683" w14:textId="1F0F7AC9" w:rsidR="007C4335" w:rsidRPr="007C4335" w:rsidRDefault="007C4335" w:rsidP="007C4335">
                          <w:pPr>
                            <w:rPr>
                              <w:rFonts w:ascii="Aptos" w:eastAsia="Aptos" w:hAnsi="Aptos" w:cs="Aptos"/>
                              <w:noProof/>
                              <w:color w:val="FF0000"/>
                            </w:rPr>
                          </w:pPr>
                          <w:r w:rsidRPr="007C433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5E96BC"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74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0EBDB683" w14:textId="1F0F7AC9" w:rsidR="007C4335" w:rsidRPr="007C4335" w:rsidRDefault="007C4335" w:rsidP="007C4335">
                    <w:pPr>
                      <w:rPr>
                        <w:rFonts w:ascii="Aptos" w:eastAsia="Aptos" w:hAnsi="Aptos" w:cs="Aptos"/>
                        <w:noProof/>
                        <w:color w:val="FF0000"/>
                      </w:rPr>
                    </w:pPr>
                    <w:r w:rsidRPr="007C4335">
                      <w:rPr>
                        <w:rFonts w:ascii="Aptos" w:eastAsia="Aptos" w:hAnsi="Aptos" w:cs="Aptos"/>
                        <w:noProof/>
                        <w:color w:val="FF0000"/>
                      </w:rPr>
                      <w:t>OFFICIAL</w:t>
                    </w:r>
                  </w:p>
                </w:txbxContent>
              </v:textbox>
              <w10:wrap anchorx="page" anchory="page"/>
            </v:shape>
          </w:pict>
        </mc:Fallback>
      </mc:AlternateContent>
    </w:r>
    <w:r w:rsidR="1581D4CD" w:rsidRPr="1581D4CD">
      <w:rPr>
        <w:rFonts w:asciiTheme="minorHAnsi" w:hAnsiTheme="minorHAnsi" w:cstheme="minorBidi"/>
        <w:i w:val="0"/>
        <w:iCs w:val="0"/>
        <w:color w:val="808080"/>
      </w:rPr>
      <w:t xml:space="preserve"> </w:t>
    </w:r>
    <w:r w:rsidR="002464A9">
      <w:rPr>
        <w:rFonts w:asciiTheme="minorHAnsi" w:hAnsiTheme="minorHAnsi" w:cstheme="minorBidi"/>
        <w:color w:val="808080"/>
      </w:rPr>
      <w:t>Public Summary Document</w:t>
    </w:r>
    <w:r w:rsidR="1581D4CD" w:rsidRPr="1581D4CD">
      <w:rPr>
        <w:rFonts w:asciiTheme="minorHAnsi" w:hAnsiTheme="minorHAnsi" w:cstheme="minorBidi"/>
        <w:color w:val="808080"/>
      </w:rPr>
      <w:t xml:space="preserve"> – November 2025 PBAC Meeting</w:t>
    </w:r>
  </w:p>
  <w:p w14:paraId="0D5E6E8E" w14:textId="77777777" w:rsidR="000B08E1" w:rsidRPr="000B08E1" w:rsidRDefault="000B08E1" w:rsidP="000B08E1">
    <w:pPr>
      <w:pStyle w:val="Header"/>
      <w:rPr>
        <w:rFonts w:asciiTheme="minorHAnsi" w:hAnsiTheme="minorHAnsi" w:cstheme="minorBidi"/>
        <w:i w:val="0"/>
        <w:iCs w:val="0"/>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D9FA" w14:textId="467F6B08" w:rsidR="0000635F" w:rsidRDefault="007C4335">
    <w:pPr>
      <w:pStyle w:val="Header"/>
    </w:pPr>
    <w:r>
      <w:rPr>
        <w:noProof/>
      </w:rPr>
      <mc:AlternateContent>
        <mc:Choice Requires="wps">
          <w:drawing>
            <wp:anchor distT="0" distB="0" distL="0" distR="0" simplePos="0" relativeHeight="251665410" behindDoc="0" locked="0" layoutInCell="1" allowOverlap="1" wp14:anchorId="2139EA2D" wp14:editId="51CD12F4">
              <wp:simplePos x="635" y="635"/>
              <wp:positionH relativeFrom="page">
                <wp:align>center</wp:align>
              </wp:positionH>
              <wp:positionV relativeFrom="page">
                <wp:align>top</wp:align>
              </wp:positionV>
              <wp:extent cx="622300" cy="376555"/>
              <wp:effectExtent l="0" t="0" r="6350" b="4445"/>
              <wp:wrapNone/>
              <wp:docPr id="176654861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214F923" w14:textId="39A67A13" w:rsidR="007C4335" w:rsidRPr="007C4335" w:rsidRDefault="007C4335" w:rsidP="007C4335">
                          <w:pPr>
                            <w:rPr>
                              <w:rFonts w:ascii="Aptos" w:eastAsia="Aptos" w:hAnsi="Aptos" w:cs="Aptos"/>
                              <w:noProof/>
                              <w:color w:val="FF0000"/>
                            </w:rPr>
                          </w:pPr>
                          <w:r w:rsidRPr="007C433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39EA2D"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6541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4214F923" w14:textId="39A67A13" w:rsidR="007C4335" w:rsidRPr="007C4335" w:rsidRDefault="007C4335" w:rsidP="007C4335">
                    <w:pPr>
                      <w:rPr>
                        <w:rFonts w:ascii="Aptos" w:eastAsia="Aptos" w:hAnsi="Aptos" w:cs="Aptos"/>
                        <w:noProof/>
                        <w:color w:val="FF0000"/>
                      </w:rPr>
                    </w:pPr>
                    <w:r w:rsidRPr="007C4335">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011099E"/>
    <w:multiLevelType w:val="hybridMultilevel"/>
    <w:tmpl w:val="2682B82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95A4A30"/>
    <w:multiLevelType w:val="hybridMultilevel"/>
    <w:tmpl w:val="8DCAE94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1BE1D18"/>
    <w:multiLevelType w:val="hybridMultilevel"/>
    <w:tmpl w:val="13E21144"/>
    <w:lvl w:ilvl="0" w:tplc="E36658E0">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551235"/>
    <w:multiLevelType w:val="hybridMultilevel"/>
    <w:tmpl w:val="CA3C0BE0"/>
    <w:lvl w:ilvl="0" w:tplc="1294F908">
      <w:start w:val="1"/>
      <w:numFmt w:val="decimal"/>
      <w:lvlText w:val="%1."/>
      <w:lvlJc w:val="left"/>
      <w:pPr>
        <w:ind w:left="360" w:hanging="360"/>
      </w:pPr>
      <w:rPr>
        <w:rFonts w:ascii="Calibri" w:hAnsi="Calibri" w:cs="Calibri" w:hint="default"/>
        <w:i/>
        <w:iCs/>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346AD7"/>
    <w:multiLevelType w:val="hybridMultilevel"/>
    <w:tmpl w:val="25DE083C"/>
    <w:lvl w:ilvl="0" w:tplc="CFBE442A">
      <w:start w:val="1"/>
      <w:numFmt w:val="bullet"/>
      <w:pStyle w:val="ListParagraph"/>
      <w:lvlText w:val=""/>
      <w:lvlJc w:val="left"/>
      <w:pPr>
        <w:ind w:left="-1416" w:hanging="360"/>
      </w:pPr>
      <w:rPr>
        <w:rFonts w:ascii="Symbol" w:hAnsi="Symbol" w:hint="default"/>
      </w:rPr>
    </w:lvl>
    <w:lvl w:ilvl="1" w:tplc="4BF8BB06">
      <w:numFmt w:val="bullet"/>
      <w:lvlText w:val="•"/>
      <w:lvlJc w:val="left"/>
      <w:pPr>
        <w:ind w:left="-336" w:hanging="720"/>
      </w:pPr>
      <w:rPr>
        <w:rFonts w:ascii="Arial Narrow" w:eastAsiaTheme="majorEastAsia" w:hAnsi="Arial Narrow" w:cstheme="majorBidi" w:hint="default"/>
      </w:rPr>
    </w:lvl>
    <w:lvl w:ilvl="2" w:tplc="0C090005">
      <w:start w:val="1"/>
      <w:numFmt w:val="bullet"/>
      <w:lvlText w:val=""/>
      <w:lvlJc w:val="left"/>
      <w:pPr>
        <w:ind w:left="24" w:hanging="360"/>
      </w:pPr>
      <w:rPr>
        <w:rFonts w:ascii="Wingdings" w:hAnsi="Wingdings" w:hint="default"/>
      </w:rPr>
    </w:lvl>
    <w:lvl w:ilvl="3" w:tplc="0C090003">
      <w:start w:val="1"/>
      <w:numFmt w:val="bullet"/>
      <w:lvlText w:val="o"/>
      <w:lvlJc w:val="left"/>
      <w:pPr>
        <w:ind w:left="1440" w:hanging="360"/>
      </w:pPr>
      <w:rPr>
        <w:rFonts w:ascii="Courier New" w:hAnsi="Courier New" w:cs="Courier New" w:hint="default"/>
      </w:rPr>
    </w:lvl>
    <w:lvl w:ilvl="4" w:tplc="0C090003" w:tentative="1">
      <w:start w:val="1"/>
      <w:numFmt w:val="bullet"/>
      <w:lvlText w:val="o"/>
      <w:lvlJc w:val="left"/>
      <w:pPr>
        <w:ind w:left="1464" w:hanging="360"/>
      </w:pPr>
      <w:rPr>
        <w:rFonts w:ascii="Courier New" w:hAnsi="Courier New" w:cs="Courier New" w:hint="default"/>
      </w:rPr>
    </w:lvl>
    <w:lvl w:ilvl="5" w:tplc="0C090005" w:tentative="1">
      <w:start w:val="1"/>
      <w:numFmt w:val="bullet"/>
      <w:lvlText w:val=""/>
      <w:lvlJc w:val="left"/>
      <w:pPr>
        <w:ind w:left="2184" w:hanging="360"/>
      </w:pPr>
      <w:rPr>
        <w:rFonts w:ascii="Wingdings" w:hAnsi="Wingdings" w:hint="default"/>
      </w:rPr>
    </w:lvl>
    <w:lvl w:ilvl="6" w:tplc="0C090001" w:tentative="1">
      <w:start w:val="1"/>
      <w:numFmt w:val="bullet"/>
      <w:lvlText w:val=""/>
      <w:lvlJc w:val="left"/>
      <w:pPr>
        <w:ind w:left="2904" w:hanging="360"/>
      </w:pPr>
      <w:rPr>
        <w:rFonts w:ascii="Symbol" w:hAnsi="Symbol" w:hint="default"/>
      </w:rPr>
    </w:lvl>
    <w:lvl w:ilvl="7" w:tplc="0C090003" w:tentative="1">
      <w:start w:val="1"/>
      <w:numFmt w:val="bullet"/>
      <w:lvlText w:val="o"/>
      <w:lvlJc w:val="left"/>
      <w:pPr>
        <w:ind w:left="3624" w:hanging="360"/>
      </w:pPr>
      <w:rPr>
        <w:rFonts w:ascii="Courier New" w:hAnsi="Courier New" w:cs="Courier New" w:hint="default"/>
      </w:rPr>
    </w:lvl>
    <w:lvl w:ilvl="8" w:tplc="0C090005" w:tentative="1">
      <w:start w:val="1"/>
      <w:numFmt w:val="bullet"/>
      <w:lvlText w:val=""/>
      <w:lvlJc w:val="left"/>
      <w:pPr>
        <w:ind w:left="4344" w:hanging="360"/>
      </w:pPr>
      <w:rPr>
        <w:rFonts w:ascii="Wingdings" w:hAnsi="Wingdings" w:hint="default"/>
      </w:rPr>
    </w:lvl>
  </w:abstractNum>
  <w:abstractNum w:abstractNumId="13" w15:restartNumberingAfterBreak="0">
    <w:nsid w:val="3C9B5057"/>
    <w:multiLevelType w:val="hybridMultilevel"/>
    <w:tmpl w:val="B3D2201A"/>
    <w:lvl w:ilvl="0" w:tplc="09CC1F0C">
      <w:start w:val="1"/>
      <w:numFmt w:val="bullet"/>
      <w:lvlText w:val="•"/>
      <w:lvlJc w:val="left"/>
      <w:pPr>
        <w:tabs>
          <w:tab w:val="num" w:pos="720"/>
        </w:tabs>
        <w:ind w:left="720" w:hanging="360"/>
      </w:pPr>
      <w:rPr>
        <w:rFonts w:ascii="Arial" w:hAnsi="Arial" w:hint="default"/>
      </w:rPr>
    </w:lvl>
    <w:lvl w:ilvl="1" w:tplc="9384AAD6">
      <w:start w:val="1"/>
      <w:numFmt w:val="bullet"/>
      <w:lvlText w:val="•"/>
      <w:lvlJc w:val="left"/>
      <w:pPr>
        <w:tabs>
          <w:tab w:val="num" w:pos="1440"/>
        </w:tabs>
        <w:ind w:left="1440" w:hanging="360"/>
      </w:pPr>
      <w:rPr>
        <w:rFonts w:ascii="Arial" w:hAnsi="Arial" w:hint="default"/>
      </w:rPr>
    </w:lvl>
    <w:lvl w:ilvl="2" w:tplc="434AEF30" w:tentative="1">
      <w:start w:val="1"/>
      <w:numFmt w:val="bullet"/>
      <w:lvlText w:val="•"/>
      <w:lvlJc w:val="left"/>
      <w:pPr>
        <w:tabs>
          <w:tab w:val="num" w:pos="2160"/>
        </w:tabs>
        <w:ind w:left="2160" w:hanging="360"/>
      </w:pPr>
      <w:rPr>
        <w:rFonts w:ascii="Arial" w:hAnsi="Arial" w:hint="default"/>
      </w:rPr>
    </w:lvl>
    <w:lvl w:ilvl="3" w:tplc="B1A23D3E" w:tentative="1">
      <w:start w:val="1"/>
      <w:numFmt w:val="bullet"/>
      <w:lvlText w:val="•"/>
      <w:lvlJc w:val="left"/>
      <w:pPr>
        <w:tabs>
          <w:tab w:val="num" w:pos="2880"/>
        </w:tabs>
        <w:ind w:left="2880" w:hanging="360"/>
      </w:pPr>
      <w:rPr>
        <w:rFonts w:ascii="Arial" w:hAnsi="Arial" w:hint="default"/>
      </w:rPr>
    </w:lvl>
    <w:lvl w:ilvl="4" w:tplc="D586277A" w:tentative="1">
      <w:start w:val="1"/>
      <w:numFmt w:val="bullet"/>
      <w:lvlText w:val="•"/>
      <w:lvlJc w:val="left"/>
      <w:pPr>
        <w:tabs>
          <w:tab w:val="num" w:pos="3600"/>
        </w:tabs>
        <w:ind w:left="3600" w:hanging="360"/>
      </w:pPr>
      <w:rPr>
        <w:rFonts w:ascii="Arial" w:hAnsi="Arial" w:hint="default"/>
      </w:rPr>
    </w:lvl>
    <w:lvl w:ilvl="5" w:tplc="D67E2F46" w:tentative="1">
      <w:start w:val="1"/>
      <w:numFmt w:val="bullet"/>
      <w:lvlText w:val="•"/>
      <w:lvlJc w:val="left"/>
      <w:pPr>
        <w:tabs>
          <w:tab w:val="num" w:pos="4320"/>
        </w:tabs>
        <w:ind w:left="4320" w:hanging="360"/>
      </w:pPr>
      <w:rPr>
        <w:rFonts w:ascii="Arial" w:hAnsi="Arial" w:hint="default"/>
      </w:rPr>
    </w:lvl>
    <w:lvl w:ilvl="6" w:tplc="19C03B26" w:tentative="1">
      <w:start w:val="1"/>
      <w:numFmt w:val="bullet"/>
      <w:lvlText w:val="•"/>
      <w:lvlJc w:val="left"/>
      <w:pPr>
        <w:tabs>
          <w:tab w:val="num" w:pos="5040"/>
        </w:tabs>
        <w:ind w:left="5040" w:hanging="360"/>
      </w:pPr>
      <w:rPr>
        <w:rFonts w:ascii="Arial" w:hAnsi="Arial" w:hint="default"/>
      </w:rPr>
    </w:lvl>
    <w:lvl w:ilvl="7" w:tplc="98D21D5A" w:tentative="1">
      <w:start w:val="1"/>
      <w:numFmt w:val="bullet"/>
      <w:lvlText w:val="•"/>
      <w:lvlJc w:val="left"/>
      <w:pPr>
        <w:tabs>
          <w:tab w:val="num" w:pos="5760"/>
        </w:tabs>
        <w:ind w:left="5760" w:hanging="360"/>
      </w:pPr>
      <w:rPr>
        <w:rFonts w:ascii="Arial" w:hAnsi="Arial" w:hint="default"/>
      </w:rPr>
    </w:lvl>
    <w:lvl w:ilvl="8" w:tplc="5ACA4D3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EB6798"/>
    <w:multiLevelType w:val="hybridMultilevel"/>
    <w:tmpl w:val="221851AA"/>
    <w:lvl w:ilvl="0" w:tplc="5C186F82">
      <w:start w:val="1"/>
      <w:numFmt w:val="bullet"/>
      <w:lvlText w:val="•"/>
      <w:lvlJc w:val="left"/>
      <w:pPr>
        <w:tabs>
          <w:tab w:val="num" w:pos="720"/>
        </w:tabs>
        <w:ind w:left="720" w:hanging="360"/>
      </w:pPr>
      <w:rPr>
        <w:rFonts w:ascii="Arial" w:hAnsi="Arial" w:hint="default"/>
      </w:rPr>
    </w:lvl>
    <w:lvl w:ilvl="1" w:tplc="4544B460" w:tentative="1">
      <w:start w:val="1"/>
      <w:numFmt w:val="bullet"/>
      <w:lvlText w:val="•"/>
      <w:lvlJc w:val="left"/>
      <w:pPr>
        <w:tabs>
          <w:tab w:val="num" w:pos="1440"/>
        </w:tabs>
        <w:ind w:left="1440" w:hanging="360"/>
      </w:pPr>
      <w:rPr>
        <w:rFonts w:ascii="Arial" w:hAnsi="Arial" w:hint="default"/>
      </w:rPr>
    </w:lvl>
    <w:lvl w:ilvl="2" w:tplc="555E5248" w:tentative="1">
      <w:start w:val="1"/>
      <w:numFmt w:val="bullet"/>
      <w:lvlText w:val="•"/>
      <w:lvlJc w:val="left"/>
      <w:pPr>
        <w:tabs>
          <w:tab w:val="num" w:pos="2160"/>
        </w:tabs>
        <w:ind w:left="2160" w:hanging="360"/>
      </w:pPr>
      <w:rPr>
        <w:rFonts w:ascii="Arial" w:hAnsi="Arial" w:hint="default"/>
      </w:rPr>
    </w:lvl>
    <w:lvl w:ilvl="3" w:tplc="167E5D3A" w:tentative="1">
      <w:start w:val="1"/>
      <w:numFmt w:val="bullet"/>
      <w:lvlText w:val="•"/>
      <w:lvlJc w:val="left"/>
      <w:pPr>
        <w:tabs>
          <w:tab w:val="num" w:pos="2880"/>
        </w:tabs>
        <w:ind w:left="2880" w:hanging="360"/>
      </w:pPr>
      <w:rPr>
        <w:rFonts w:ascii="Arial" w:hAnsi="Arial" w:hint="default"/>
      </w:rPr>
    </w:lvl>
    <w:lvl w:ilvl="4" w:tplc="DFC4E714" w:tentative="1">
      <w:start w:val="1"/>
      <w:numFmt w:val="bullet"/>
      <w:lvlText w:val="•"/>
      <w:lvlJc w:val="left"/>
      <w:pPr>
        <w:tabs>
          <w:tab w:val="num" w:pos="3600"/>
        </w:tabs>
        <w:ind w:left="3600" w:hanging="360"/>
      </w:pPr>
      <w:rPr>
        <w:rFonts w:ascii="Arial" w:hAnsi="Arial" w:hint="default"/>
      </w:rPr>
    </w:lvl>
    <w:lvl w:ilvl="5" w:tplc="A2F4FDEC" w:tentative="1">
      <w:start w:val="1"/>
      <w:numFmt w:val="bullet"/>
      <w:lvlText w:val="•"/>
      <w:lvlJc w:val="left"/>
      <w:pPr>
        <w:tabs>
          <w:tab w:val="num" w:pos="4320"/>
        </w:tabs>
        <w:ind w:left="4320" w:hanging="360"/>
      </w:pPr>
      <w:rPr>
        <w:rFonts w:ascii="Arial" w:hAnsi="Arial" w:hint="default"/>
      </w:rPr>
    </w:lvl>
    <w:lvl w:ilvl="6" w:tplc="037E4C9A" w:tentative="1">
      <w:start w:val="1"/>
      <w:numFmt w:val="bullet"/>
      <w:lvlText w:val="•"/>
      <w:lvlJc w:val="left"/>
      <w:pPr>
        <w:tabs>
          <w:tab w:val="num" w:pos="5040"/>
        </w:tabs>
        <w:ind w:left="5040" w:hanging="360"/>
      </w:pPr>
      <w:rPr>
        <w:rFonts w:ascii="Arial" w:hAnsi="Arial" w:hint="default"/>
      </w:rPr>
    </w:lvl>
    <w:lvl w:ilvl="7" w:tplc="37A8A078" w:tentative="1">
      <w:start w:val="1"/>
      <w:numFmt w:val="bullet"/>
      <w:lvlText w:val="•"/>
      <w:lvlJc w:val="left"/>
      <w:pPr>
        <w:tabs>
          <w:tab w:val="num" w:pos="5760"/>
        </w:tabs>
        <w:ind w:left="5760" w:hanging="360"/>
      </w:pPr>
      <w:rPr>
        <w:rFonts w:ascii="Arial" w:hAnsi="Arial" w:hint="default"/>
      </w:rPr>
    </w:lvl>
    <w:lvl w:ilvl="8" w:tplc="CB8A088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77633B9"/>
    <w:multiLevelType w:val="hybridMultilevel"/>
    <w:tmpl w:val="07408F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D5209B6"/>
    <w:multiLevelType w:val="multilevel"/>
    <w:tmpl w:val="FA88EE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F272C7"/>
    <w:multiLevelType w:val="hybridMultilevel"/>
    <w:tmpl w:val="54DCD07A"/>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6AF22442"/>
    <w:multiLevelType w:val="hybridMultilevel"/>
    <w:tmpl w:val="1EBEAB9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290883"/>
    <w:multiLevelType w:val="hybridMultilevel"/>
    <w:tmpl w:val="5B66B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6543921"/>
    <w:multiLevelType w:val="hybridMultilevel"/>
    <w:tmpl w:val="9BEC44CC"/>
    <w:lvl w:ilvl="0" w:tplc="0C090013">
      <w:start w:val="1"/>
      <w:numFmt w:val="upperRoman"/>
      <w:lvlText w:val="%1."/>
      <w:lvlJc w:val="right"/>
      <w:pPr>
        <w:ind w:left="1440" w:hanging="360"/>
      </w:pPr>
      <w:rPr>
        <w: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784D033C"/>
    <w:multiLevelType w:val="multilevel"/>
    <w:tmpl w:val="2A881782"/>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EC272B"/>
    <w:multiLevelType w:val="hybridMultilevel"/>
    <w:tmpl w:val="EED85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41676B"/>
    <w:multiLevelType w:val="hybridMultilevel"/>
    <w:tmpl w:val="827EA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6186631">
    <w:abstractNumId w:val="27"/>
  </w:num>
  <w:num w:numId="2" w16cid:durableId="917793048">
    <w:abstractNumId w:val="14"/>
  </w:num>
  <w:num w:numId="3" w16cid:durableId="263461728">
    <w:abstractNumId w:val="0"/>
  </w:num>
  <w:num w:numId="4" w16cid:durableId="139346788">
    <w:abstractNumId w:val="28"/>
  </w:num>
  <w:num w:numId="5" w16cid:durableId="220360847">
    <w:abstractNumId w:val="22"/>
  </w:num>
  <w:num w:numId="6" w16cid:durableId="268196418">
    <w:abstractNumId w:val="12"/>
  </w:num>
  <w:num w:numId="7" w16cid:durableId="1048839230">
    <w:abstractNumId w:val="27"/>
  </w:num>
  <w:num w:numId="8" w16cid:durableId="1957441061">
    <w:abstractNumId w:val="29"/>
  </w:num>
  <w:num w:numId="9" w16cid:durableId="67844984">
    <w:abstractNumId w:val="10"/>
  </w:num>
  <w:num w:numId="10" w16cid:durableId="1981767357">
    <w:abstractNumId w:val="26"/>
  </w:num>
  <w:num w:numId="11" w16cid:durableId="1406293761">
    <w:abstractNumId w:val="6"/>
  </w:num>
  <w:num w:numId="12" w16cid:durableId="126240624">
    <w:abstractNumId w:val="23"/>
  </w:num>
  <w:num w:numId="13" w16cid:durableId="2133669128">
    <w:abstractNumId w:val="20"/>
  </w:num>
  <w:num w:numId="14" w16cid:durableId="1660116426">
    <w:abstractNumId w:val="2"/>
  </w:num>
  <w:num w:numId="15" w16cid:durableId="1573005167">
    <w:abstractNumId w:val="18"/>
  </w:num>
  <w:num w:numId="16" w16cid:durableId="408699874">
    <w:abstractNumId w:val="19"/>
  </w:num>
  <w:num w:numId="17" w16cid:durableId="1569418770">
    <w:abstractNumId w:val="3"/>
  </w:num>
  <w:num w:numId="18" w16cid:durableId="705176722">
    <w:abstractNumId w:val="1"/>
  </w:num>
  <w:num w:numId="19" w16cid:durableId="1926569401">
    <w:abstractNumId w:val="9"/>
  </w:num>
  <w:num w:numId="20" w16cid:durableId="1979457665">
    <w:abstractNumId w:val="11"/>
  </w:num>
  <w:num w:numId="21" w16cid:durableId="2038313566">
    <w:abstractNumId w:val="8"/>
  </w:num>
  <w:num w:numId="22" w16cid:durableId="129744317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997201">
    <w:abstractNumId w:val="25"/>
  </w:num>
  <w:num w:numId="24" w16cid:durableId="1499148787">
    <w:abstractNumId w:val="27"/>
  </w:num>
  <w:num w:numId="25" w16cid:durableId="1517033596">
    <w:abstractNumId w:val="5"/>
  </w:num>
  <w:num w:numId="26" w16cid:durableId="1156729589">
    <w:abstractNumId w:val="13"/>
  </w:num>
  <w:num w:numId="27" w16cid:durableId="666792215">
    <w:abstractNumId w:val="15"/>
  </w:num>
  <w:num w:numId="28" w16cid:durableId="765926457">
    <w:abstractNumId w:val="27"/>
  </w:num>
  <w:num w:numId="29" w16cid:durableId="244845216">
    <w:abstractNumId w:val="16"/>
  </w:num>
  <w:num w:numId="30" w16cid:durableId="549347016">
    <w:abstractNumId w:val="7"/>
  </w:num>
  <w:num w:numId="31" w16cid:durableId="608514447">
    <w:abstractNumId w:val="27"/>
  </w:num>
  <w:num w:numId="32" w16cid:durableId="1331520374">
    <w:abstractNumId w:val="17"/>
  </w:num>
  <w:num w:numId="33" w16cid:durableId="318273948">
    <w:abstractNumId w:val="24"/>
  </w:num>
  <w:num w:numId="34" w16cid:durableId="34158739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59ffav2s2wpfefs265fz5eed9td5w00092&quot;&gt;PEMBRO SCCHN&lt;record-ids&gt;&lt;item&gt;26&lt;/item&gt;&lt;item&gt;27&lt;/item&gt;&lt;item&gt;28&lt;/item&gt;&lt;item&gt;30&lt;/item&gt;&lt;item&gt;31&lt;/item&gt;&lt;item&gt;32&lt;/item&gt;&lt;item&gt;33&lt;/item&gt;&lt;item&gt;34&lt;/item&gt;&lt;item&gt;35&lt;/item&gt;&lt;item&gt;36&lt;/item&gt;&lt;item&gt;37&lt;/item&gt;&lt;item&gt;38&lt;/item&gt;&lt;item&gt;39&lt;/item&gt;&lt;item&gt;40&lt;/item&gt;&lt;item&gt;41&lt;/item&gt;&lt;item&gt;42&lt;/item&gt;&lt;item&gt;44&lt;/item&gt;&lt;item&gt;45&lt;/item&gt;&lt;item&gt;46&lt;/item&gt;&lt;item&gt;47&lt;/item&gt;&lt;item&gt;48&lt;/item&gt;&lt;item&gt;49&lt;/item&gt;&lt;item&gt;50&lt;/item&gt;&lt;item&gt;54&lt;/item&gt;&lt;item&gt;55&lt;/item&gt;&lt;/record-ids&gt;&lt;/item&gt;&lt;/Libraries&gt;"/>
    <w:docVar w:name="EN.UseJSCitationFormat" w:val="False"/>
  </w:docVars>
  <w:rsids>
    <w:rsidRoot w:val="00E65E79"/>
    <w:rsid w:val="00000207"/>
    <w:rsid w:val="000004B1"/>
    <w:rsid w:val="00000525"/>
    <w:rsid w:val="00000790"/>
    <w:rsid w:val="00000A89"/>
    <w:rsid w:val="0000110B"/>
    <w:rsid w:val="00001365"/>
    <w:rsid w:val="00001562"/>
    <w:rsid w:val="000027CA"/>
    <w:rsid w:val="00002ADA"/>
    <w:rsid w:val="00003499"/>
    <w:rsid w:val="000039B7"/>
    <w:rsid w:val="00003A0C"/>
    <w:rsid w:val="00004907"/>
    <w:rsid w:val="00004F7D"/>
    <w:rsid w:val="00005278"/>
    <w:rsid w:val="000056B9"/>
    <w:rsid w:val="00005888"/>
    <w:rsid w:val="00005938"/>
    <w:rsid w:val="0000635F"/>
    <w:rsid w:val="0000639A"/>
    <w:rsid w:val="00006619"/>
    <w:rsid w:val="00006975"/>
    <w:rsid w:val="00007175"/>
    <w:rsid w:val="00007B64"/>
    <w:rsid w:val="00007D31"/>
    <w:rsid w:val="00007FC2"/>
    <w:rsid w:val="0001048D"/>
    <w:rsid w:val="000117E8"/>
    <w:rsid w:val="00011808"/>
    <w:rsid w:val="00011BDD"/>
    <w:rsid w:val="00013247"/>
    <w:rsid w:val="000137EA"/>
    <w:rsid w:val="000139FB"/>
    <w:rsid w:val="00013C02"/>
    <w:rsid w:val="000140B6"/>
    <w:rsid w:val="000149AB"/>
    <w:rsid w:val="00014BD2"/>
    <w:rsid w:val="0001571D"/>
    <w:rsid w:val="00015886"/>
    <w:rsid w:val="00015FE7"/>
    <w:rsid w:val="000161AE"/>
    <w:rsid w:val="000162EF"/>
    <w:rsid w:val="00016549"/>
    <w:rsid w:val="000175AE"/>
    <w:rsid w:val="00017720"/>
    <w:rsid w:val="000201D3"/>
    <w:rsid w:val="000206A5"/>
    <w:rsid w:val="000206B5"/>
    <w:rsid w:val="000207C9"/>
    <w:rsid w:val="00020826"/>
    <w:rsid w:val="00020EC6"/>
    <w:rsid w:val="00021AC8"/>
    <w:rsid w:val="00021FE8"/>
    <w:rsid w:val="00022129"/>
    <w:rsid w:val="0002225F"/>
    <w:rsid w:val="00022279"/>
    <w:rsid w:val="00022461"/>
    <w:rsid w:val="000226DB"/>
    <w:rsid w:val="00022FDF"/>
    <w:rsid w:val="00023763"/>
    <w:rsid w:val="00023BA2"/>
    <w:rsid w:val="00023C30"/>
    <w:rsid w:val="00024944"/>
    <w:rsid w:val="00024EB5"/>
    <w:rsid w:val="000250EC"/>
    <w:rsid w:val="000252CA"/>
    <w:rsid w:val="000256C5"/>
    <w:rsid w:val="00025CEA"/>
    <w:rsid w:val="00025DC4"/>
    <w:rsid w:val="0002655A"/>
    <w:rsid w:val="000274B8"/>
    <w:rsid w:val="000276A6"/>
    <w:rsid w:val="000279FD"/>
    <w:rsid w:val="00027AA3"/>
    <w:rsid w:val="00027EEE"/>
    <w:rsid w:val="000308B5"/>
    <w:rsid w:val="00031B94"/>
    <w:rsid w:val="000322DB"/>
    <w:rsid w:val="00032D12"/>
    <w:rsid w:val="00032FDD"/>
    <w:rsid w:val="00033279"/>
    <w:rsid w:val="00033863"/>
    <w:rsid w:val="000339F6"/>
    <w:rsid w:val="00033E78"/>
    <w:rsid w:val="000341AC"/>
    <w:rsid w:val="000341DD"/>
    <w:rsid w:val="000345FF"/>
    <w:rsid w:val="00034F02"/>
    <w:rsid w:val="00035471"/>
    <w:rsid w:val="00035DC0"/>
    <w:rsid w:val="0003614E"/>
    <w:rsid w:val="00036829"/>
    <w:rsid w:val="00037404"/>
    <w:rsid w:val="00040895"/>
    <w:rsid w:val="000410A0"/>
    <w:rsid w:val="00041401"/>
    <w:rsid w:val="00041832"/>
    <w:rsid w:val="00041DAD"/>
    <w:rsid w:val="00041E91"/>
    <w:rsid w:val="0004280E"/>
    <w:rsid w:val="00042E6F"/>
    <w:rsid w:val="00043032"/>
    <w:rsid w:val="000435EE"/>
    <w:rsid w:val="00043BC4"/>
    <w:rsid w:val="00043C37"/>
    <w:rsid w:val="0004449F"/>
    <w:rsid w:val="00044868"/>
    <w:rsid w:val="00045017"/>
    <w:rsid w:val="00045A2B"/>
    <w:rsid w:val="00046126"/>
    <w:rsid w:val="000468BB"/>
    <w:rsid w:val="0004698F"/>
    <w:rsid w:val="00046D64"/>
    <w:rsid w:val="00047BE1"/>
    <w:rsid w:val="000507FD"/>
    <w:rsid w:val="000508C2"/>
    <w:rsid w:val="000511E4"/>
    <w:rsid w:val="0005152E"/>
    <w:rsid w:val="000515CD"/>
    <w:rsid w:val="000519DA"/>
    <w:rsid w:val="00051FC7"/>
    <w:rsid w:val="00052040"/>
    <w:rsid w:val="00052F97"/>
    <w:rsid w:val="0005309A"/>
    <w:rsid w:val="000536D4"/>
    <w:rsid w:val="000539D0"/>
    <w:rsid w:val="00053C8C"/>
    <w:rsid w:val="00053D18"/>
    <w:rsid w:val="000541EA"/>
    <w:rsid w:val="00054332"/>
    <w:rsid w:val="000545E1"/>
    <w:rsid w:val="00054621"/>
    <w:rsid w:val="000546D7"/>
    <w:rsid w:val="0005472A"/>
    <w:rsid w:val="00054A8D"/>
    <w:rsid w:val="00054D2D"/>
    <w:rsid w:val="00056D23"/>
    <w:rsid w:val="00056ECF"/>
    <w:rsid w:val="00057B49"/>
    <w:rsid w:val="00057F91"/>
    <w:rsid w:val="000604DF"/>
    <w:rsid w:val="0006075E"/>
    <w:rsid w:val="0006128F"/>
    <w:rsid w:val="0006144B"/>
    <w:rsid w:val="000615D5"/>
    <w:rsid w:val="00062324"/>
    <w:rsid w:val="00062CDC"/>
    <w:rsid w:val="00062DA2"/>
    <w:rsid w:val="0006328E"/>
    <w:rsid w:val="00063CA6"/>
    <w:rsid w:val="000644E9"/>
    <w:rsid w:val="00064BD4"/>
    <w:rsid w:val="000653B5"/>
    <w:rsid w:val="00066360"/>
    <w:rsid w:val="00066AF8"/>
    <w:rsid w:val="00066CBF"/>
    <w:rsid w:val="00067534"/>
    <w:rsid w:val="00067ABC"/>
    <w:rsid w:val="00067B9D"/>
    <w:rsid w:val="00070225"/>
    <w:rsid w:val="0007041D"/>
    <w:rsid w:val="0007065C"/>
    <w:rsid w:val="00071248"/>
    <w:rsid w:val="00071FE6"/>
    <w:rsid w:val="000720B9"/>
    <w:rsid w:val="00073195"/>
    <w:rsid w:val="00073206"/>
    <w:rsid w:val="000737F7"/>
    <w:rsid w:val="00073C9C"/>
    <w:rsid w:val="00073E64"/>
    <w:rsid w:val="00074261"/>
    <w:rsid w:val="00074A22"/>
    <w:rsid w:val="00074D08"/>
    <w:rsid w:val="000750E2"/>
    <w:rsid w:val="000754A9"/>
    <w:rsid w:val="00075740"/>
    <w:rsid w:val="00075D45"/>
    <w:rsid w:val="0007672F"/>
    <w:rsid w:val="00076B54"/>
    <w:rsid w:val="0007716B"/>
    <w:rsid w:val="000773DF"/>
    <w:rsid w:val="000774F0"/>
    <w:rsid w:val="000779F1"/>
    <w:rsid w:val="00080245"/>
    <w:rsid w:val="00080864"/>
    <w:rsid w:val="00080909"/>
    <w:rsid w:val="00080D4D"/>
    <w:rsid w:val="000812CA"/>
    <w:rsid w:val="0008181A"/>
    <w:rsid w:val="00081E63"/>
    <w:rsid w:val="00081FF8"/>
    <w:rsid w:val="0008258D"/>
    <w:rsid w:val="000826DB"/>
    <w:rsid w:val="0008300C"/>
    <w:rsid w:val="00083BA8"/>
    <w:rsid w:val="00083E99"/>
    <w:rsid w:val="000842C2"/>
    <w:rsid w:val="00084BA4"/>
    <w:rsid w:val="00084FA8"/>
    <w:rsid w:val="000852D9"/>
    <w:rsid w:val="0008547D"/>
    <w:rsid w:val="000856C5"/>
    <w:rsid w:val="00085C31"/>
    <w:rsid w:val="00085FBA"/>
    <w:rsid w:val="00085FE1"/>
    <w:rsid w:val="00086B28"/>
    <w:rsid w:val="000870B8"/>
    <w:rsid w:val="000902D9"/>
    <w:rsid w:val="00090C7E"/>
    <w:rsid w:val="000910CC"/>
    <w:rsid w:val="000911AC"/>
    <w:rsid w:val="00092600"/>
    <w:rsid w:val="0009262B"/>
    <w:rsid w:val="00093166"/>
    <w:rsid w:val="00093310"/>
    <w:rsid w:val="00093A99"/>
    <w:rsid w:val="000942F1"/>
    <w:rsid w:val="0009445C"/>
    <w:rsid w:val="00095200"/>
    <w:rsid w:val="00095C15"/>
    <w:rsid w:val="00095FE5"/>
    <w:rsid w:val="00096090"/>
    <w:rsid w:val="00096284"/>
    <w:rsid w:val="00096337"/>
    <w:rsid w:val="0009666A"/>
    <w:rsid w:val="00097528"/>
    <w:rsid w:val="00097543"/>
    <w:rsid w:val="000A0C83"/>
    <w:rsid w:val="000A12F9"/>
    <w:rsid w:val="000A1A57"/>
    <w:rsid w:val="000A1BC0"/>
    <w:rsid w:val="000A2AA8"/>
    <w:rsid w:val="000A2B8B"/>
    <w:rsid w:val="000A2F9E"/>
    <w:rsid w:val="000A3932"/>
    <w:rsid w:val="000A3AB7"/>
    <w:rsid w:val="000A3D2A"/>
    <w:rsid w:val="000A3E47"/>
    <w:rsid w:val="000A3FE1"/>
    <w:rsid w:val="000A4534"/>
    <w:rsid w:val="000A4FAC"/>
    <w:rsid w:val="000A509F"/>
    <w:rsid w:val="000A522B"/>
    <w:rsid w:val="000A56C3"/>
    <w:rsid w:val="000A5FBC"/>
    <w:rsid w:val="000A6039"/>
    <w:rsid w:val="000A707F"/>
    <w:rsid w:val="000A739B"/>
    <w:rsid w:val="000A7453"/>
    <w:rsid w:val="000A7A10"/>
    <w:rsid w:val="000A7B53"/>
    <w:rsid w:val="000A7D08"/>
    <w:rsid w:val="000B0121"/>
    <w:rsid w:val="000B0238"/>
    <w:rsid w:val="000B0670"/>
    <w:rsid w:val="000B08E1"/>
    <w:rsid w:val="000B0A07"/>
    <w:rsid w:val="000B0E75"/>
    <w:rsid w:val="000B10D9"/>
    <w:rsid w:val="000B1533"/>
    <w:rsid w:val="000B16E7"/>
    <w:rsid w:val="000B26EC"/>
    <w:rsid w:val="000B2A67"/>
    <w:rsid w:val="000B2AA8"/>
    <w:rsid w:val="000B2C3E"/>
    <w:rsid w:val="000B2DCB"/>
    <w:rsid w:val="000B4341"/>
    <w:rsid w:val="000B440D"/>
    <w:rsid w:val="000B45AC"/>
    <w:rsid w:val="000B5CE0"/>
    <w:rsid w:val="000B5CF6"/>
    <w:rsid w:val="000B5EDA"/>
    <w:rsid w:val="000B6CAC"/>
    <w:rsid w:val="000B7612"/>
    <w:rsid w:val="000B78AE"/>
    <w:rsid w:val="000C0115"/>
    <w:rsid w:val="000C064D"/>
    <w:rsid w:val="000C073A"/>
    <w:rsid w:val="000C0BA2"/>
    <w:rsid w:val="000C0BD3"/>
    <w:rsid w:val="000C158B"/>
    <w:rsid w:val="000C15AA"/>
    <w:rsid w:val="000C195E"/>
    <w:rsid w:val="000C1C7C"/>
    <w:rsid w:val="000C1F97"/>
    <w:rsid w:val="000C2019"/>
    <w:rsid w:val="000C272A"/>
    <w:rsid w:val="000C28C1"/>
    <w:rsid w:val="000C35AB"/>
    <w:rsid w:val="000C38FE"/>
    <w:rsid w:val="000C3953"/>
    <w:rsid w:val="000C3DF9"/>
    <w:rsid w:val="000C3DFA"/>
    <w:rsid w:val="000C4026"/>
    <w:rsid w:val="000C40D6"/>
    <w:rsid w:val="000C443D"/>
    <w:rsid w:val="000C4CF2"/>
    <w:rsid w:val="000C59C3"/>
    <w:rsid w:val="000C5B78"/>
    <w:rsid w:val="000C5B86"/>
    <w:rsid w:val="000C613E"/>
    <w:rsid w:val="000C6508"/>
    <w:rsid w:val="000C6713"/>
    <w:rsid w:val="000C7812"/>
    <w:rsid w:val="000D03C7"/>
    <w:rsid w:val="000D03E0"/>
    <w:rsid w:val="000D0776"/>
    <w:rsid w:val="000D0A2F"/>
    <w:rsid w:val="000D146B"/>
    <w:rsid w:val="000D1748"/>
    <w:rsid w:val="000D1BFC"/>
    <w:rsid w:val="000D1D5D"/>
    <w:rsid w:val="000D281A"/>
    <w:rsid w:val="000D2848"/>
    <w:rsid w:val="000D326A"/>
    <w:rsid w:val="000D3BA2"/>
    <w:rsid w:val="000D412F"/>
    <w:rsid w:val="000D459C"/>
    <w:rsid w:val="000D4837"/>
    <w:rsid w:val="000D4A57"/>
    <w:rsid w:val="000D507E"/>
    <w:rsid w:val="000D51FB"/>
    <w:rsid w:val="000D75B6"/>
    <w:rsid w:val="000E0640"/>
    <w:rsid w:val="000E0EAD"/>
    <w:rsid w:val="000E102F"/>
    <w:rsid w:val="000E135D"/>
    <w:rsid w:val="000E16D9"/>
    <w:rsid w:val="000E2849"/>
    <w:rsid w:val="000E2991"/>
    <w:rsid w:val="000E2C1D"/>
    <w:rsid w:val="000E3680"/>
    <w:rsid w:val="000E3760"/>
    <w:rsid w:val="000E39CA"/>
    <w:rsid w:val="000E4166"/>
    <w:rsid w:val="000E4A32"/>
    <w:rsid w:val="000E63FC"/>
    <w:rsid w:val="000E7016"/>
    <w:rsid w:val="000E7D3D"/>
    <w:rsid w:val="000F00BA"/>
    <w:rsid w:val="000F0BEA"/>
    <w:rsid w:val="000F0F34"/>
    <w:rsid w:val="000F1112"/>
    <w:rsid w:val="000F1C8C"/>
    <w:rsid w:val="000F22F9"/>
    <w:rsid w:val="000F2474"/>
    <w:rsid w:val="000F3103"/>
    <w:rsid w:val="000F316A"/>
    <w:rsid w:val="000F32C4"/>
    <w:rsid w:val="000F3A28"/>
    <w:rsid w:val="000F3C74"/>
    <w:rsid w:val="000F4A21"/>
    <w:rsid w:val="000F4BB8"/>
    <w:rsid w:val="000F4E72"/>
    <w:rsid w:val="000F4FA9"/>
    <w:rsid w:val="000F53FB"/>
    <w:rsid w:val="000F58D9"/>
    <w:rsid w:val="000F5B9D"/>
    <w:rsid w:val="000F5DA0"/>
    <w:rsid w:val="000F607A"/>
    <w:rsid w:val="000F61FE"/>
    <w:rsid w:val="000F623F"/>
    <w:rsid w:val="000F662F"/>
    <w:rsid w:val="000F6B03"/>
    <w:rsid w:val="000F7127"/>
    <w:rsid w:val="000F789D"/>
    <w:rsid w:val="000F7B54"/>
    <w:rsid w:val="000F7D11"/>
    <w:rsid w:val="001000B3"/>
    <w:rsid w:val="0010057B"/>
    <w:rsid w:val="00100EE8"/>
    <w:rsid w:val="00100F8A"/>
    <w:rsid w:val="0010207C"/>
    <w:rsid w:val="00102CD0"/>
    <w:rsid w:val="001039F5"/>
    <w:rsid w:val="00104234"/>
    <w:rsid w:val="0010452E"/>
    <w:rsid w:val="00104D42"/>
    <w:rsid w:val="0010556E"/>
    <w:rsid w:val="00105AE2"/>
    <w:rsid w:val="001060C6"/>
    <w:rsid w:val="0010646E"/>
    <w:rsid w:val="00106AEF"/>
    <w:rsid w:val="00106B80"/>
    <w:rsid w:val="00106D70"/>
    <w:rsid w:val="001073C1"/>
    <w:rsid w:val="0011032E"/>
    <w:rsid w:val="001103A8"/>
    <w:rsid w:val="0011086A"/>
    <w:rsid w:val="00111623"/>
    <w:rsid w:val="00111FA4"/>
    <w:rsid w:val="001120B8"/>
    <w:rsid w:val="001120D0"/>
    <w:rsid w:val="0011331C"/>
    <w:rsid w:val="0011348B"/>
    <w:rsid w:val="00114002"/>
    <w:rsid w:val="001142AF"/>
    <w:rsid w:val="001151C0"/>
    <w:rsid w:val="00115870"/>
    <w:rsid w:val="00115982"/>
    <w:rsid w:val="00115FC8"/>
    <w:rsid w:val="001160A6"/>
    <w:rsid w:val="001166E2"/>
    <w:rsid w:val="00116C53"/>
    <w:rsid w:val="00116D0B"/>
    <w:rsid w:val="00117789"/>
    <w:rsid w:val="00117BFB"/>
    <w:rsid w:val="00120167"/>
    <w:rsid w:val="0012059B"/>
    <w:rsid w:val="00120E3B"/>
    <w:rsid w:val="00121799"/>
    <w:rsid w:val="001217E7"/>
    <w:rsid w:val="001219FE"/>
    <w:rsid w:val="00121AAF"/>
    <w:rsid w:val="001222FC"/>
    <w:rsid w:val="00122B6E"/>
    <w:rsid w:val="00122C6D"/>
    <w:rsid w:val="0012351A"/>
    <w:rsid w:val="00123902"/>
    <w:rsid w:val="00123A3F"/>
    <w:rsid w:val="00124897"/>
    <w:rsid w:val="001249CD"/>
    <w:rsid w:val="00124A51"/>
    <w:rsid w:val="00124F48"/>
    <w:rsid w:val="00126338"/>
    <w:rsid w:val="00126621"/>
    <w:rsid w:val="00126B1D"/>
    <w:rsid w:val="00126CE7"/>
    <w:rsid w:val="001274CD"/>
    <w:rsid w:val="00127703"/>
    <w:rsid w:val="00127814"/>
    <w:rsid w:val="001301E9"/>
    <w:rsid w:val="0013081F"/>
    <w:rsid w:val="00130970"/>
    <w:rsid w:val="00130A7B"/>
    <w:rsid w:val="00130BA3"/>
    <w:rsid w:val="001314BE"/>
    <w:rsid w:val="00131A4B"/>
    <w:rsid w:val="00131ABA"/>
    <w:rsid w:val="00131BCF"/>
    <w:rsid w:val="00131D82"/>
    <w:rsid w:val="00131F00"/>
    <w:rsid w:val="001320E5"/>
    <w:rsid w:val="00132B22"/>
    <w:rsid w:val="00132FD4"/>
    <w:rsid w:val="00133C11"/>
    <w:rsid w:val="00133D36"/>
    <w:rsid w:val="001349EB"/>
    <w:rsid w:val="00134B7A"/>
    <w:rsid w:val="001350A1"/>
    <w:rsid w:val="0013633C"/>
    <w:rsid w:val="00136883"/>
    <w:rsid w:val="001369C6"/>
    <w:rsid w:val="00136D25"/>
    <w:rsid w:val="00136F0D"/>
    <w:rsid w:val="00136FC4"/>
    <w:rsid w:val="00137645"/>
    <w:rsid w:val="00137650"/>
    <w:rsid w:val="00137C58"/>
    <w:rsid w:val="0014015A"/>
    <w:rsid w:val="0014015F"/>
    <w:rsid w:val="00140A82"/>
    <w:rsid w:val="00140AC7"/>
    <w:rsid w:val="00140CF7"/>
    <w:rsid w:val="00140E99"/>
    <w:rsid w:val="00141341"/>
    <w:rsid w:val="0014206C"/>
    <w:rsid w:val="00142CAD"/>
    <w:rsid w:val="00142CB6"/>
    <w:rsid w:val="001433B9"/>
    <w:rsid w:val="00143F67"/>
    <w:rsid w:val="001445FF"/>
    <w:rsid w:val="00144DC6"/>
    <w:rsid w:val="00145234"/>
    <w:rsid w:val="00145291"/>
    <w:rsid w:val="00145540"/>
    <w:rsid w:val="001456B0"/>
    <w:rsid w:val="001462CE"/>
    <w:rsid w:val="00146434"/>
    <w:rsid w:val="0014710D"/>
    <w:rsid w:val="001471CE"/>
    <w:rsid w:val="001477AE"/>
    <w:rsid w:val="00147CCD"/>
    <w:rsid w:val="00151D3A"/>
    <w:rsid w:val="001527C2"/>
    <w:rsid w:val="00152B64"/>
    <w:rsid w:val="001538FA"/>
    <w:rsid w:val="00153C93"/>
    <w:rsid w:val="00153D9F"/>
    <w:rsid w:val="001547AB"/>
    <w:rsid w:val="00155B7D"/>
    <w:rsid w:val="00156038"/>
    <w:rsid w:val="00156A76"/>
    <w:rsid w:val="00156F0C"/>
    <w:rsid w:val="00156F8F"/>
    <w:rsid w:val="00157130"/>
    <w:rsid w:val="0015714F"/>
    <w:rsid w:val="0015754C"/>
    <w:rsid w:val="001576A3"/>
    <w:rsid w:val="001576B1"/>
    <w:rsid w:val="0016047B"/>
    <w:rsid w:val="00160933"/>
    <w:rsid w:val="00160A4C"/>
    <w:rsid w:val="00162913"/>
    <w:rsid w:val="00162EA9"/>
    <w:rsid w:val="0016394B"/>
    <w:rsid w:val="00163EFF"/>
    <w:rsid w:val="00163F66"/>
    <w:rsid w:val="00164759"/>
    <w:rsid w:val="0016478E"/>
    <w:rsid w:val="00164BC3"/>
    <w:rsid w:val="001651D6"/>
    <w:rsid w:val="00165313"/>
    <w:rsid w:val="00165C9C"/>
    <w:rsid w:val="00165EC4"/>
    <w:rsid w:val="001661FB"/>
    <w:rsid w:val="001666D6"/>
    <w:rsid w:val="00166C9E"/>
    <w:rsid w:val="00166F02"/>
    <w:rsid w:val="001671A0"/>
    <w:rsid w:val="0016744F"/>
    <w:rsid w:val="0016767F"/>
    <w:rsid w:val="00167803"/>
    <w:rsid w:val="00170926"/>
    <w:rsid w:val="00170F21"/>
    <w:rsid w:val="001715E6"/>
    <w:rsid w:val="00171ADA"/>
    <w:rsid w:val="0017258C"/>
    <w:rsid w:val="00173122"/>
    <w:rsid w:val="001731AF"/>
    <w:rsid w:val="00173565"/>
    <w:rsid w:val="00173892"/>
    <w:rsid w:val="00173B07"/>
    <w:rsid w:val="00173DAE"/>
    <w:rsid w:val="00174009"/>
    <w:rsid w:val="001741D1"/>
    <w:rsid w:val="00174B69"/>
    <w:rsid w:val="001751FA"/>
    <w:rsid w:val="00175648"/>
    <w:rsid w:val="001758D2"/>
    <w:rsid w:val="00175D0D"/>
    <w:rsid w:val="00175E36"/>
    <w:rsid w:val="00176599"/>
    <w:rsid w:val="0017730D"/>
    <w:rsid w:val="00177965"/>
    <w:rsid w:val="0018036D"/>
    <w:rsid w:val="00180A7F"/>
    <w:rsid w:val="00180BFB"/>
    <w:rsid w:val="00181643"/>
    <w:rsid w:val="001819D2"/>
    <w:rsid w:val="00181C10"/>
    <w:rsid w:val="00181CA0"/>
    <w:rsid w:val="00181D9C"/>
    <w:rsid w:val="00181F23"/>
    <w:rsid w:val="00181FDD"/>
    <w:rsid w:val="00182E4F"/>
    <w:rsid w:val="001837FF"/>
    <w:rsid w:val="00183C19"/>
    <w:rsid w:val="0018467E"/>
    <w:rsid w:val="00184B0E"/>
    <w:rsid w:val="00184BC2"/>
    <w:rsid w:val="001857F4"/>
    <w:rsid w:val="00186143"/>
    <w:rsid w:val="001861FA"/>
    <w:rsid w:val="001865D1"/>
    <w:rsid w:val="00186D5E"/>
    <w:rsid w:val="0018752F"/>
    <w:rsid w:val="001877E7"/>
    <w:rsid w:val="0019095A"/>
    <w:rsid w:val="0019098B"/>
    <w:rsid w:val="00190CFC"/>
    <w:rsid w:val="0019147B"/>
    <w:rsid w:val="0019242B"/>
    <w:rsid w:val="001933F2"/>
    <w:rsid w:val="00193838"/>
    <w:rsid w:val="001939C7"/>
    <w:rsid w:val="00193D3C"/>
    <w:rsid w:val="00193D70"/>
    <w:rsid w:val="00194AD8"/>
    <w:rsid w:val="00194E0A"/>
    <w:rsid w:val="00195222"/>
    <w:rsid w:val="00195452"/>
    <w:rsid w:val="00196923"/>
    <w:rsid w:val="001975D8"/>
    <w:rsid w:val="001A1722"/>
    <w:rsid w:val="001A178E"/>
    <w:rsid w:val="001A19B9"/>
    <w:rsid w:val="001A1CF1"/>
    <w:rsid w:val="001A24BB"/>
    <w:rsid w:val="001A2A3B"/>
    <w:rsid w:val="001A2C90"/>
    <w:rsid w:val="001A2D56"/>
    <w:rsid w:val="001A2E2F"/>
    <w:rsid w:val="001A2FFF"/>
    <w:rsid w:val="001A35A2"/>
    <w:rsid w:val="001A43FA"/>
    <w:rsid w:val="001A47C5"/>
    <w:rsid w:val="001A494E"/>
    <w:rsid w:val="001A4F4A"/>
    <w:rsid w:val="001A59FB"/>
    <w:rsid w:val="001A5E49"/>
    <w:rsid w:val="001A5E9E"/>
    <w:rsid w:val="001A6354"/>
    <w:rsid w:val="001A6366"/>
    <w:rsid w:val="001A65C0"/>
    <w:rsid w:val="001A6DAB"/>
    <w:rsid w:val="001A6F24"/>
    <w:rsid w:val="001A6F72"/>
    <w:rsid w:val="001A7368"/>
    <w:rsid w:val="001A74AF"/>
    <w:rsid w:val="001A770F"/>
    <w:rsid w:val="001A7AE8"/>
    <w:rsid w:val="001B0399"/>
    <w:rsid w:val="001B0980"/>
    <w:rsid w:val="001B119D"/>
    <w:rsid w:val="001B204E"/>
    <w:rsid w:val="001B2372"/>
    <w:rsid w:val="001B3443"/>
    <w:rsid w:val="001B344B"/>
    <w:rsid w:val="001B36CE"/>
    <w:rsid w:val="001B3D20"/>
    <w:rsid w:val="001B4040"/>
    <w:rsid w:val="001B4053"/>
    <w:rsid w:val="001B4537"/>
    <w:rsid w:val="001B4D20"/>
    <w:rsid w:val="001B517C"/>
    <w:rsid w:val="001B5B6E"/>
    <w:rsid w:val="001B6876"/>
    <w:rsid w:val="001B6ED6"/>
    <w:rsid w:val="001B7142"/>
    <w:rsid w:val="001B743F"/>
    <w:rsid w:val="001B79AD"/>
    <w:rsid w:val="001B79D8"/>
    <w:rsid w:val="001B7B75"/>
    <w:rsid w:val="001B7BD3"/>
    <w:rsid w:val="001B7E22"/>
    <w:rsid w:val="001B7F84"/>
    <w:rsid w:val="001C0320"/>
    <w:rsid w:val="001C0A31"/>
    <w:rsid w:val="001C1477"/>
    <w:rsid w:val="001C1892"/>
    <w:rsid w:val="001C1E3F"/>
    <w:rsid w:val="001C28A3"/>
    <w:rsid w:val="001C2A9B"/>
    <w:rsid w:val="001C3884"/>
    <w:rsid w:val="001C3DD6"/>
    <w:rsid w:val="001C4299"/>
    <w:rsid w:val="001C47D7"/>
    <w:rsid w:val="001C4874"/>
    <w:rsid w:val="001C52C7"/>
    <w:rsid w:val="001C5F94"/>
    <w:rsid w:val="001C684B"/>
    <w:rsid w:val="001C6B0D"/>
    <w:rsid w:val="001C6E66"/>
    <w:rsid w:val="001C6FFA"/>
    <w:rsid w:val="001D09B0"/>
    <w:rsid w:val="001D0D30"/>
    <w:rsid w:val="001D1100"/>
    <w:rsid w:val="001D1391"/>
    <w:rsid w:val="001D1414"/>
    <w:rsid w:val="001D1BFF"/>
    <w:rsid w:val="001D23A5"/>
    <w:rsid w:val="001D25D7"/>
    <w:rsid w:val="001D2780"/>
    <w:rsid w:val="001D27B7"/>
    <w:rsid w:val="001D2B24"/>
    <w:rsid w:val="001D3182"/>
    <w:rsid w:val="001D3427"/>
    <w:rsid w:val="001D480B"/>
    <w:rsid w:val="001D4943"/>
    <w:rsid w:val="001D50B2"/>
    <w:rsid w:val="001D597A"/>
    <w:rsid w:val="001D60A9"/>
    <w:rsid w:val="001D60B1"/>
    <w:rsid w:val="001D6523"/>
    <w:rsid w:val="001D6963"/>
    <w:rsid w:val="001D71F4"/>
    <w:rsid w:val="001D7420"/>
    <w:rsid w:val="001D7598"/>
    <w:rsid w:val="001D7645"/>
    <w:rsid w:val="001E0D8F"/>
    <w:rsid w:val="001E0EAC"/>
    <w:rsid w:val="001E1954"/>
    <w:rsid w:val="001E1E86"/>
    <w:rsid w:val="001E238E"/>
    <w:rsid w:val="001E2483"/>
    <w:rsid w:val="001E2B1E"/>
    <w:rsid w:val="001E2CFF"/>
    <w:rsid w:val="001E2F24"/>
    <w:rsid w:val="001E30D4"/>
    <w:rsid w:val="001E34DF"/>
    <w:rsid w:val="001E359E"/>
    <w:rsid w:val="001E3730"/>
    <w:rsid w:val="001E3789"/>
    <w:rsid w:val="001E38F5"/>
    <w:rsid w:val="001E3D06"/>
    <w:rsid w:val="001E4BFF"/>
    <w:rsid w:val="001E52EB"/>
    <w:rsid w:val="001E5A6A"/>
    <w:rsid w:val="001E61D2"/>
    <w:rsid w:val="001E6DEB"/>
    <w:rsid w:val="001E6E9F"/>
    <w:rsid w:val="001E70BC"/>
    <w:rsid w:val="001E740C"/>
    <w:rsid w:val="001E7B96"/>
    <w:rsid w:val="001E7DCA"/>
    <w:rsid w:val="001F0D46"/>
    <w:rsid w:val="001F1089"/>
    <w:rsid w:val="001F1235"/>
    <w:rsid w:val="001F1CB3"/>
    <w:rsid w:val="001F2009"/>
    <w:rsid w:val="001F209B"/>
    <w:rsid w:val="001F2BAD"/>
    <w:rsid w:val="001F2CA9"/>
    <w:rsid w:val="001F32A6"/>
    <w:rsid w:val="001F33C0"/>
    <w:rsid w:val="001F38B5"/>
    <w:rsid w:val="001F3C8F"/>
    <w:rsid w:val="001F4081"/>
    <w:rsid w:val="001F4364"/>
    <w:rsid w:val="001F4AD3"/>
    <w:rsid w:val="001F4FE0"/>
    <w:rsid w:val="001F5000"/>
    <w:rsid w:val="001F51C7"/>
    <w:rsid w:val="001F5E10"/>
    <w:rsid w:val="001F5E1F"/>
    <w:rsid w:val="001F685C"/>
    <w:rsid w:val="001F68D0"/>
    <w:rsid w:val="001F6F11"/>
    <w:rsid w:val="001F7361"/>
    <w:rsid w:val="001F779A"/>
    <w:rsid w:val="001F78EC"/>
    <w:rsid w:val="002009AE"/>
    <w:rsid w:val="002011B0"/>
    <w:rsid w:val="00201376"/>
    <w:rsid w:val="0020198D"/>
    <w:rsid w:val="0020233F"/>
    <w:rsid w:val="00202460"/>
    <w:rsid w:val="00202A88"/>
    <w:rsid w:val="00203181"/>
    <w:rsid w:val="00203783"/>
    <w:rsid w:val="0020385F"/>
    <w:rsid w:val="00203AE5"/>
    <w:rsid w:val="0020408D"/>
    <w:rsid w:val="002044C9"/>
    <w:rsid w:val="0020451B"/>
    <w:rsid w:val="00205E23"/>
    <w:rsid w:val="0020638C"/>
    <w:rsid w:val="002068A0"/>
    <w:rsid w:val="00206948"/>
    <w:rsid w:val="00206955"/>
    <w:rsid w:val="00207021"/>
    <w:rsid w:val="00207064"/>
    <w:rsid w:val="0020732F"/>
    <w:rsid w:val="0020767B"/>
    <w:rsid w:val="00207B24"/>
    <w:rsid w:val="00207D00"/>
    <w:rsid w:val="002105C1"/>
    <w:rsid w:val="0021064A"/>
    <w:rsid w:val="00210F6B"/>
    <w:rsid w:val="002116FD"/>
    <w:rsid w:val="0021177B"/>
    <w:rsid w:val="00211E27"/>
    <w:rsid w:val="0021230A"/>
    <w:rsid w:val="002124CF"/>
    <w:rsid w:val="00212844"/>
    <w:rsid w:val="00212AC9"/>
    <w:rsid w:val="00212C23"/>
    <w:rsid w:val="00213589"/>
    <w:rsid w:val="00213EF5"/>
    <w:rsid w:val="00214002"/>
    <w:rsid w:val="00214A01"/>
    <w:rsid w:val="00214AF7"/>
    <w:rsid w:val="00214EFA"/>
    <w:rsid w:val="00215084"/>
    <w:rsid w:val="00215945"/>
    <w:rsid w:val="00216BF5"/>
    <w:rsid w:val="0021735A"/>
    <w:rsid w:val="0021739F"/>
    <w:rsid w:val="002178AE"/>
    <w:rsid w:val="0022019B"/>
    <w:rsid w:val="0022045F"/>
    <w:rsid w:val="00220844"/>
    <w:rsid w:val="00220AAC"/>
    <w:rsid w:val="00221915"/>
    <w:rsid w:val="00221A97"/>
    <w:rsid w:val="00221F20"/>
    <w:rsid w:val="00222B92"/>
    <w:rsid w:val="002231DB"/>
    <w:rsid w:val="00223588"/>
    <w:rsid w:val="002236E9"/>
    <w:rsid w:val="00223B49"/>
    <w:rsid w:val="00223D5A"/>
    <w:rsid w:val="00223FF5"/>
    <w:rsid w:val="00224DD4"/>
    <w:rsid w:val="00225BCE"/>
    <w:rsid w:val="002263F6"/>
    <w:rsid w:val="00226576"/>
    <w:rsid w:val="00226AFA"/>
    <w:rsid w:val="002272E2"/>
    <w:rsid w:val="002278A0"/>
    <w:rsid w:val="002309CC"/>
    <w:rsid w:val="00230F4B"/>
    <w:rsid w:val="002311D2"/>
    <w:rsid w:val="00231891"/>
    <w:rsid w:val="00231BA9"/>
    <w:rsid w:val="00231D50"/>
    <w:rsid w:val="0023209F"/>
    <w:rsid w:val="00232385"/>
    <w:rsid w:val="002337CE"/>
    <w:rsid w:val="00233C01"/>
    <w:rsid w:val="00233EDF"/>
    <w:rsid w:val="002340AE"/>
    <w:rsid w:val="0023413C"/>
    <w:rsid w:val="00234453"/>
    <w:rsid w:val="002346F0"/>
    <w:rsid w:val="00234CFE"/>
    <w:rsid w:val="00235863"/>
    <w:rsid w:val="0023629D"/>
    <w:rsid w:val="00236306"/>
    <w:rsid w:val="002369CD"/>
    <w:rsid w:val="00237078"/>
    <w:rsid w:val="00237255"/>
    <w:rsid w:val="00240275"/>
    <w:rsid w:val="00240EBD"/>
    <w:rsid w:val="002424AF"/>
    <w:rsid w:val="00242C88"/>
    <w:rsid w:val="00242FA6"/>
    <w:rsid w:val="00243526"/>
    <w:rsid w:val="002439DC"/>
    <w:rsid w:val="00243E90"/>
    <w:rsid w:val="002441D2"/>
    <w:rsid w:val="0024469B"/>
    <w:rsid w:val="00244DC1"/>
    <w:rsid w:val="00244DC8"/>
    <w:rsid w:val="00245717"/>
    <w:rsid w:val="002458BA"/>
    <w:rsid w:val="00245CE9"/>
    <w:rsid w:val="0024636C"/>
    <w:rsid w:val="002464A9"/>
    <w:rsid w:val="0024675E"/>
    <w:rsid w:val="0024680C"/>
    <w:rsid w:val="00246923"/>
    <w:rsid w:val="00246EAC"/>
    <w:rsid w:val="002477BB"/>
    <w:rsid w:val="00247925"/>
    <w:rsid w:val="00250DCD"/>
    <w:rsid w:val="00251006"/>
    <w:rsid w:val="002524D5"/>
    <w:rsid w:val="00252B03"/>
    <w:rsid w:val="00253B1D"/>
    <w:rsid w:val="00253C35"/>
    <w:rsid w:val="0025478E"/>
    <w:rsid w:val="00254D9D"/>
    <w:rsid w:val="00254DCF"/>
    <w:rsid w:val="0025534B"/>
    <w:rsid w:val="00255517"/>
    <w:rsid w:val="00255BB7"/>
    <w:rsid w:val="00256028"/>
    <w:rsid w:val="00256BA5"/>
    <w:rsid w:val="0025716A"/>
    <w:rsid w:val="00257541"/>
    <w:rsid w:val="00257A39"/>
    <w:rsid w:val="00257AC4"/>
    <w:rsid w:val="00257BBE"/>
    <w:rsid w:val="00260C7A"/>
    <w:rsid w:val="00260D16"/>
    <w:rsid w:val="00261390"/>
    <w:rsid w:val="0026148F"/>
    <w:rsid w:val="00261AF6"/>
    <w:rsid w:val="00261B63"/>
    <w:rsid w:val="00261EEF"/>
    <w:rsid w:val="002621AB"/>
    <w:rsid w:val="00262A1A"/>
    <w:rsid w:val="00262A87"/>
    <w:rsid w:val="00262E3F"/>
    <w:rsid w:val="00262EB2"/>
    <w:rsid w:val="00264D26"/>
    <w:rsid w:val="002658CA"/>
    <w:rsid w:val="002659C5"/>
    <w:rsid w:val="002667E4"/>
    <w:rsid w:val="00266AEC"/>
    <w:rsid w:val="00266E3D"/>
    <w:rsid w:val="00267642"/>
    <w:rsid w:val="00267AEA"/>
    <w:rsid w:val="00267E79"/>
    <w:rsid w:val="002700E6"/>
    <w:rsid w:val="0027049B"/>
    <w:rsid w:val="002714E9"/>
    <w:rsid w:val="00271B64"/>
    <w:rsid w:val="0027294B"/>
    <w:rsid w:val="00272958"/>
    <w:rsid w:val="00272AB3"/>
    <w:rsid w:val="00273347"/>
    <w:rsid w:val="00273A9E"/>
    <w:rsid w:val="00273B5D"/>
    <w:rsid w:val="00273EB4"/>
    <w:rsid w:val="0027442B"/>
    <w:rsid w:val="00274682"/>
    <w:rsid w:val="002746D3"/>
    <w:rsid w:val="00274960"/>
    <w:rsid w:val="00274B08"/>
    <w:rsid w:val="00275158"/>
    <w:rsid w:val="00275C5A"/>
    <w:rsid w:val="0027611B"/>
    <w:rsid w:val="00276C38"/>
    <w:rsid w:val="00277481"/>
    <w:rsid w:val="002777C0"/>
    <w:rsid w:val="00277B51"/>
    <w:rsid w:val="00277EED"/>
    <w:rsid w:val="00277F4B"/>
    <w:rsid w:val="00280089"/>
    <w:rsid w:val="00281014"/>
    <w:rsid w:val="0028152F"/>
    <w:rsid w:val="0028195F"/>
    <w:rsid w:val="0028295C"/>
    <w:rsid w:val="00282DF2"/>
    <w:rsid w:val="00283A25"/>
    <w:rsid w:val="0028458C"/>
    <w:rsid w:val="00284D92"/>
    <w:rsid w:val="002850BA"/>
    <w:rsid w:val="00285BCE"/>
    <w:rsid w:val="00285D7B"/>
    <w:rsid w:val="0028665D"/>
    <w:rsid w:val="00286FBB"/>
    <w:rsid w:val="002876CE"/>
    <w:rsid w:val="0028779D"/>
    <w:rsid w:val="00287954"/>
    <w:rsid w:val="0029020C"/>
    <w:rsid w:val="00290314"/>
    <w:rsid w:val="00290348"/>
    <w:rsid w:val="00290602"/>
    <w:rsid w:val="00291408"/>
    <w:rsid w:val="00291FB6"/>
    <w:rsid w:val="0029212D"/>
    <w:rsid w:val="00292630"/>
    <w:rsid w:val="0029275B"/>
    <w:rsid w:val="0029292D"/>
    <w:rsid w:val="00292A93"/>
    <w:rsid w:val="00292D3B"/>
    <w:rsid w:val="0029319C"/>
    <w:rsid w:val="00293378"/>
    <w:rsid w:val="00293E7D"/>
    <w:rsid w:val="00294474"/>
    <w:rsid w:val="002944F3"/>
    <w:rsid w:val="00294943"/>
    <w:rsid w:val="002951CF"/>
    <w:rsid w:val="00295B83"/>
    <w:rsid w:val="00296A78"/>
    <w:rsid w:val="002972C0"/>
    <w:rsid w:val="00297FEC"/>
    <w:rsid w:val="002A0BDA"/>
    <w:rsid w:val="002A14AB"/>
    <w:rsid w:val="002A175D"/>
    <w:rsid w:val="002A1C26"/>
    <w:rsid w:val="002A1E0C"/>
    <w:rsid w:val="002A2ADE"/>
    <w:rsid w:val="002A2EE9"/>
    <w:rsid w:val="002A2F50"/>
    <w:rsid w:val="002A33D0"/>
    <w:rsid w:val="002A3405"/>
    <w:rsid w:val="002A353A"/>
    <w:rsid w:val="002A474B"/>
    <w:rsid w:val="002A4BD0"/>
    <w:rsid w:val="002A5344"/>
    <w:rsid w:val="002A5417"/>
    <w:rsid w:val="002A5476"/>
    <w:rsid w:val="002A7488"/>
    <w:rsid w:val="002A7943"/>
    <w:rsid w:val="002A7DAC"/>
    <w:rsid w:val="002B00E8"/>
    <w:rsid w:val="002B05A1"/>
    <w:rsid w:val="002B09A4"/>
    <w:rsid w:val="002B16F0"/>
    <w:rsid w:val="002B17F6"/>
    <w:rsid w:val="002B1C1F"/>
    <w:rsid w:val="002B2977"/>
    <w:rsid w:val="002B2E24"/>
    <w:rsid w:val="002B3C53"/>
    <w:rsid w:val="002B3FCD"/>
    <w:rsid w:val="002B432F"/>
    <w:rsid w:val="002B5462"/>
    <w:rsid w:val="002B56B8"/>
    <w:rsid w:val="002B56C6"/>
    <w:rsid w:val="002B5CF9"/>
    <w:rsid w:val="002B6070"/>
    <w:rsid w:val="002B62B3"/>
    <w:rsid w:val="002B6396"/>
    <w:rsid w:val="002B65B9"/>
    <w:rsid w:val="002B6754"/>
    <w:rsid w:val="002B6C38"/>
    <w:rsid w:val="002B6CCE"/>
    <w:rsid w:val="002B7B94"/>
    <w:rsid w:val="002C00D2"/>
    <w:rsid w:val="002C0619"/>
    <w:rsid w:val="002C1387"/>
    <w:rsid w:val="002C173B"/>
    <w:rsid w:val="002C1785"/>
    <w:rsid w:val="002C1C89"/>
    <w:rsid w:val="002C1F6A"/>
    <w:rsid w:val="002C1F95"/>
    <w:rsid w:val="002C2114"/>
    <w:rsid w:val="002C2510"/>
    <w:rsid w:val="002C2775"/>
    <w:rsid w:val="002C27C1"/>
    <w:rsid w:val="002C2B91"/>
    <w:rsid w:val="002C2C75"/>
    <w:rsid w:val="002C36E3"/>
    <w:rsid w:val="002C3901"/>
    <w:rsid w:val="002C4471"/>
    <w:rsid w:val="002C4793"/>
    <w:rsid w:val="002C4B46"/>
    <w:rsid w:val="002C5082"/>
    <w:rsid w:val="002C5099"/>
    <w:rsid w:val="002C5889"/>
    <w:rsid w:val="002C71CE"/>
    <w:rsid w:val="002C79A8"/>
    <w:rsid w:val="002C7F27"/>
    <w:rsid w:val="002D0108"/>
    <w:rsid w:val="002D08F8"/>
    <w:rsid w:val="002D0A3D"/>
    <w:rsid w:val="002D0C11"/>
    <w:rsid w:val="002D0F81"/>
    <w:rsid w:val="002D15F2"/>
    <w:rsid w:val="002D176F"/>
    <w:rsid w:val="002D20C0"/>
    <w:rsid w:val="002D2555"/>
    <w:rsid w:val="002D26E2"/>
    <w:rsid w:val="002D29EF"/>
    <w:rsid w:val="002D332A"/>
    <w:rsid w:val="002D3A0D"/>
    <w:rsid w:val="002D5002"/>
    <w:rsid w:val="002D52C2"/>
    <w:rsid w:val="002D564A"/>
    <w:rsid w:val="002D577C"/>
    <w:rsid w:val="002D608E"/>
    <w:rsid w:val="002D62E2"/>
    <w:rsid w:val="002D6348"/>
    <w:rsid w:val="002D6761"/>
    <w:rsid w:val="002D7832"/>
    <w:rsid w:val="002D7A26"/>
    <w:rsid w:val="002E0AEF"/>
    <w:rsid w:val="002E0B9E"/>
    <w:rsid w:val="002E0F61"/>
    <w:rsid w:val="002E1071"/>
    <w:rsid w:val="002E15B9"/>
    <w:rsid w:val="002E2158"/>
    <w:rsid w:val="002E2326"/>
    <w:rsid w:val="002E270C"/>
    <w:rsid w:val="002E3A38"/>
    <w:rsid w:val="002E46BC"/>
    <w:rsid w:val="002E477C"/>
    <w:rsid w:val="002E47EF"/>
    <w:rsid w:val="002E4947"/>
    <w:rsid w:val="002E4F02"/>
    <w:rsid w:val="002E6163"/>
    <w:rsid w:val="002E618A"/>
    <w:rsid w:val="002E70A6"/>
    <w:rsid w:val="002E759B"/>
    <w:rsid w:val="002E75DE"/>
    <w:rsid w:val="002E7722"/>
    <w:rsid w:val="002E7B9E"/>
    <w:rsid w:val="002E7CDA"/>
    <w:rsid w:val="002F06C2"/>
    <w:rsid w:val="002F07BA"/>
    <w:rsid w:val="002F0A07"/>
    <w:rsid w:val="002F0DA9"/>
    <w:rsid w:val="002F1014"/>
    <w:rsid w:val="002F15F1"/>
    <w:rsid w:val="002F1E35"/>
    <w:rsid w:val="002F1E3B"/>
    <w:rsid w:val="002F21CC"/>
    <w:rsid w:val="002F2845"/>
    <w:rsid w:val="002F2EE0"/>
    <w:rsid w:val="002F33D2"/>
    <w:rsid w:val="002F390D"/>
    <w:rsid w:val="002F3B5B"/>
    <w:rsid w:val="002F3F53"/>
    <w:rsid w:val="002F41E0"/>
    <w:rsid w:val="002F5A7A"/>
    <w:rsid w:val="002F5E31"/>
    <w:rsid w:val="002F60D8"/>
    <w:rsid w:val="002F643C"/>
    <w:rsid w:val="002F70AC"/>
    <w:rsid w:val="002F71C0"/>
    <w:rsid w:val="002F74F1"/>
    <w:rsid w:val="0030050B"/>
    <w:rsid w:val="00300572"/>
    <w:rsid w:val="00300CFC"/>
    <w:rsid w:val="00300E0A"/>
    <w:rsid w:val="00301017"/>
    <w:rsid w:val="003011E1"/>
    <w:rsid w:val="003011E9"/>
    <w:rsid w:val="00301460"/>
    <w:rsid w:val="0030155F"/>
    <w:rsid w:val="003031CB"/>
    <w:rsid w:val="00303AB6"/>
    <w:rsid w:val="00303F4F"/>
    <w:rsid w:val="003047B8"/>
    <w:rsid w:val="00304CDC"/>
    <w:rsid w:val="00305528"/>
    <w:rsid w:val="0030587B"/>
    <w:rsid w:val="00306036"/>
    <w:rsid w:val="003067E2"/>
    <w:rsid w:val="00306D98"/>
    <w:rsid w:val="00306E2F"/>
    <w:rsid w:val="003071B4"/>
    <w:rsid w:val="0030786C"/>
    <w:rsid w:val="003101F6"/>
    <w:rsid w:val="0031031A"/>
    <w:rsid w:val="00310328"/>
    <w:rsid w:val="00310981"/>
    <w:rsid w:val="00311B69"/>
    <w:rsid w:val="00311D9B"/>
    <w:rsid w:val="00312165"/>
    <w:rsid w:val="003124D9"/>
    <w:rsid w:val="00312515"/>
    <w:rsid w:val="00312594"/>
    <w:rsid w:val="00312BC7"/>
    <w:rsid w:val="0031309A"/>
    <w:rsid w:val="003132C8"/>
    <w:rsid w:val="00313D02"/>
    <w:rsid w:val="00314248"/>
    <w:rsid w:val="00314414"/>
    <w:rsid w:val="003145D2"/>
    <w:rsid w:val="0031478B"/>
    <w:rsid w:val="003148A5"/>
    <w:rsid w:val="00314B82"/>
    <w:rsid w:val="00314CDF"/>
    <w:rsid w:val="00314EAA"/>
    <w:rsid w:val="00315498"/>
    <w:rsid w:val="00316474"/>
    <w:rsid w:val="00316918"/>
    <w:rsid w:val="00316AB9"/>
    <w:rsid w:val="00317218"/>
    <w:rsid w:val="00320E4A"/>
    <w:rsid w:val="00322107"/>
    <w:rsid w:val="00322355"/>
    <w:rsid w:val="003223B4"/>
    <w:rsid w:val="0032270A"/>
    <w:rsid w:val="00322846"/>
    <w:rsid w:val="00322CE5"/>
    <w:rsid w:val="0032373E"/>
    <w:rsid w:val="00324F17"/>
    <w:rsid w:val="003253B4"/>
    <w:rsid w:val="00325D3F"/>
    <w:rsid w:val="0032623F"/>
    <w:rsid w:val="00326784"/>
    <w:rsid w:val="00326DA7"/>
    <w:rsid w:val="003270E4"/>
    <w:rsid w:val="003277F7"/>
    <w:rsid w:val="00327B9A"/>
    <w:rsid w:val="003303F8"/>
    <w:rsid w:val="00330676"/>
    <w:rsid w:val="00330DAA"/>
    <w:rsid w:val="00330F5C"/>
    <w:rsid w:val="00331839"/>
    <w:rsid w:val="00331AB2"/>
    <w:rsid w:val="00331BA7"/>
    <w:rsid w:val="00331CD4"/>
    <w:rsid w:val="0033265B"/>
    <w:rsid w:val="003328C2"/>
    <w:rsid w:val="00333965"/>
    <w:rsid w:val="00333A7C"/>
    <w:rsid w:val="00333FD9"/>
    <w:rsid w:val="0033500F"/>
    <w:rsid w:val="0033503E"/>
    <w:rsid w:val="0033516C"/>
    <w:rsid w:val="003353B9"/>
    <w:rsid w:val="0033587C"/>
    <w:rsid w:val="003366C9"/>
    <w:rsid w:val="00336D1B"/>
    <w:rsid w:val="00336ECD"/>
    <w:rsid w:val="00336F6F"/>
    <w:rsid w:val="003371B0"/>
    <w:rsid w:val="00337317"/>
    <w:rsid w:val="00337336"/>
    <w:rsid w:val="0034083D"/>
    <w:rsid w:val="00340DF1"/>
    <w:rsid w:val="00341B5A"/>
    <w:rsid w:val="00342316"/>
    <w:rsid w:val="0034290B"/>
    <w:rsid w:val="00342B4B"/>
    <w:rsid w:val="00342D5A"/>
    <w:rsid w:val="00342FB3"/>
    <w:rsid w:val="0034339C"/>
    <w:rsid w:val="00344587"/>
    <w:rsid w:val="003447BA"/>
    <w:rsid w:val="003448EC"/>
    <w:rsid w:val="00344C00"/>
    <w:rsid w:val="003456A3"/>
    <w:rsid w:val="00345745"/>
    <w:rsid w:val="00345908"/>
    <w:rsid w:val="00345E79"/>
    <w:rsid w:val="003461E3"/>
    <w:rsid w:val="0034703E"/>
    <w:rsid w:val="00347259"/>
    <w:rsid w:val="00350B16"/>
    <w:rsid w:val="00350BDE"/>
    <w:rsid w:val="00351403"/>
    <w:rsid w:val="003517F9"/>
    <w:rsid w:val="003519E4"/>
    <w:rsid w:val="00351BA9"/>
    <w:rsid w:val="00351BFE"/>
    <w:rsid w:val="003521E0"/>
    <w:rsid w:val="00352BC0"/>
    <w:rsid w:val="00352C3B"/>
    <w:rsid w:val="003533B4"/>
    <w:rsid w:val="00353CDE"/>
    <w:rsid w:val="00354E18"/>
    <w:rsid w:val="00354F64"/>
    <w:rsid w:val="0035573E"/>
    <w:rsid w:val="00355979"/>
    <w:rsid w:val="00355CF8"/>
    <w:rsid w:val="0035620E"/>
    <w:rsid w:val="003563E9"/>
    <w:rsid w:val="003568FE"/>
    <w:rsid w:val="0035744C"/>
    <w:rsid w:val="003575BE"/>
    <w:rsid w:val="003577DD"/>
    <w:rsid w:val="00357A0A"/>
    <w:rsid w:val="00357C16"/>
    <w:rsid w:val="00357D47"/>
    <w:rsid w:val="00360345"/>
    <w:rsid w:val="00360AFA"/>
    <w:rsid w:val="003611E5"/>
    <w:rsid w:val="00361A05"/>
    <w:rsid w:val="0036227C"/>
    <w:rsid w:val="003624C4"/>
    <w:rsid w:val="00362523"/>
    <w:rsid w:val="00363314"/>
    <w:rsid w:val="003634F7"/>
    <w:rsid w:val="003635E5"/>
    <w:rsid w:val="00363A48"/>
    <w:rsid w:val="00363B00"/>
    <w:rsid w:val="0036425A"/>
    <w:rsid w:val="003654AC"/>
    <w:rsid w:val="0036620A"/>
    <w:rsid w:val="00366D93"/>
    <w:rsid w:val="00366F60"/>
    <w:rsid w:val="0036733F"/>
    <w:rsid w:val="003674F2"/>
    <w:rsid w:val="003675CC"/>
    <w:rsid w:val="00370278"/>
    <w:rsid w:val="003703BA"/>
    <w:rsid w:val="00370D06"/>
    <w:rsid w:val="003710A1"/>
    <w:rsid w:val="003710CF"/>
    <w:rsid w:val="003711BD"/>
    <w:rsid w:val="003715E6"/>
    <w:rsid w:val="003718E0"/>
    <w:rsid w:val="003719DE"/>
    <w:rsid w:val="00371EB4"/>
    <w:rsid w:val="0037267B"/>
    <w:rsid w:val="00372933"/>
    <w:rsid w:val="00372CEC"/>
    <w:rsid w:val="0037358A"/>
    <w:rsid w:val="003750F6"/>
    <w:rsid w:val="00375779"/>
    <w:rsid w:val="003760FC"/>
    <w:rsid w:val="00376676"/>
    <w:rsid w:val="0037718E"/>
    <w:rsid w:val="003803C4"/>
    <w:rsid w:val="0038100D"/>
    <w:rsid w:val="00381218"/>
    <w:rsid w:val="00381A13"/>
    <w:rsid w:val="003823AD"/>
    <w:rsid w:val="0038365C"/>
    <w:rsid w:val="0038369B"/>
    <w:rsid w:val="00383B78"/>
    <w:rsid w:val="0038531E"/>
    <w:rsid w:val="0038574B"/>
    <w:rsid w:val="00385A9D"/>
    <w:rsid w:val="00385C0A"/>
    <w:rsid w:val="00385E4B"/>
    <w:rsid w:val="00385EDB"/>
    <w:rsid w:val="003863A5"/>
    <w:rsid w:val="00387121"/>
    <w:rsid w:val="00387CAA"/>
    <w:rsid w:val="003902B1"/>
    <w:rsid w:val="0039044C"/>
    <w:rsid w:val="00390604"/>
    <w:rsid w:val="0039063E"/>
    <w:rsid w:val="003906A9"/>
    <w:rsid w:val="0039077D"/>
    <w:rsid w:val="00391033"/>
    <w:rsid w:val="0039179C"/>
    <w:rsid w:val="00391CE7"/>
    <w:rsid w:val="00391E89"/>
    <w:rsid w:val="00391EF5"/>
    <w:rsid w:val="00391F0F"/>
    <w:rsid w:val="003920AE"/>
    <w:rsid w:val="00392C4A"/>
    <w:rsid w:val="003932E3"/>
    <w:rsid w:val="00393369"/>
    <w:rsid w:val="00393736"/>
    <w:rsid w:val="00393B2B"/>
    <w:rsid w:val="00394673"/>
    <w:rsid w:val="003946CF"/>
    <w:rsid w:val="0039489D"/>
    <w:rsid w:val="0039541E"/>
    <w:rsid w:val="003965EA"/>
    <w:rsid w:val="003966FC"/>
    <w:rsid w:val="00396896"/>
    <w:rsid w:val="00396AB0"/>
    <w:rsid w:val="00396AB7"/>
    <w:rsid w:val="00396B01"/>
    <w:rsid w:val="00396FD0"/>
    <w:rsid w:val="00397179"/>
    <w:rsid w:val="00397946"/>
    <w:rsid w:val="00397C82"/>
    <w:rsid w:val="003A143B"/>
    <w:rsid w:val="003A1642"/>
    <w:rsid w:val="003A172D"/>
    <w:rsid w:val="003A1A55"/>
    <w:rsid w:val="003A1A7A"/>
    <w:rsid w:val="003A2149"/>
    <w:rsid w:val="003A2392"/>
    <w:rsid w:val="003A23D5"/>
    <w:rsid w:val="003A247E"/>
    <w:rsid w:val="003A2668"/>
    <w:rsid w:val="003A2831"/>
    <w:rsid w:val="003A2D21"/>
    <w:rsid w:val="003A339F"/>
    <w:rsid w:val="003A3523"/>
    <w:rsid w:val="003A39B1"/>
    <w:rsid w:val="003A3CB6"/>
    <w:rsid w:val="003A3D56"/>
    <w:rsid w:val="003A3ED1"/>
    <w:rsid w:val="003A410D"/>
    <w:rsid w:val="003A44DB"/>
    <w:rsid w:val="003A480A"/>
    <w:rsid w:val="003A4C14"/>
    <w:rsid w:val="003A4E8A"/>
    <w:rsid w:val="003A5848"/>
    <w:rsid w:val="003A64D5"/>
    <w:rsid w:val="003A79AB"/>
    <w:rsid w:val="003B0873"/>
    <w:rsid w:val="003B1393"/>
    <w:rsid w:val="003B36FD"/>
    <w:rsid w:val="003B38B8"/>
    <w:rsid w:val="003B3971"/>
    <w:rsid w:val="003B3FCB"/>
    <w:rsid w:val="003B4012"/>
    <w:rsid w:val="003B4EE3"/>
    <w:rsid w:val="003B4FEA"/>
    <w:rsid w:val="003B51E6"/>
    <w:rsid w:val="003B55D1"/>
    <w:rsid w:val="003B5B61"/>
    <w:rsid w:val="003B5F2D"/>
    <w:rsid w:val="003B67D3"/>
    <w:rsid w:val="003B743D"/>
    <w:rsid w:val="003C080A"/>
    <w:rsid w:val="003C087E"/>
    <w:rsid w:val="003C1654"/>
    <w:rsid w:val="003C2DEA"/>
    <w:rsid w:val="003C34BA"/>
    <w:rsid w:val="003C3608"/>
    <w:rsid w:val="003C39DD"/>
    <w:rsid w:val="003C424E"/>
    <w:rsid w:val="003C52B1"/>
    <w:rsid w:val="003C5542"/>
    <w:rsid w:val="003C5B23"/>
    <w:rsid w:val="003C7C15"/>
    <w:rsid w:val="003C7D19"/>
    <w:rsid w:val="003C7D2F"/>
    <w:rsid w:val="003C7E37"/>
    <w:rsid w:val="003D00B5"/>
    <w:rsid w:val="003D0C5A"/>
    <w:rsid w:val="003D0DC4"/>
    <w:rsid w:val="003D0E23"/>
    <w:rsid w:val="003D142F"/>
    <w:rsid w:val="003D1448"/>
    <w:rsid w:val="003D1828"/>
    <w:rsid w:val="003D182E"/>
    <w:rsid w:val="003D190F"/>
    <w:rsid w:val="003D1D70"/>
    <w:rsid w:val="003D1DE4"/>
    <w:rsid w:val="003D1E9A"/>
    <w:rsid w:val="003D23EE"/>
    <w:rsid w:val="003D2422"/>
    <w:rsid w:val="003D2942"/>
    <w:rsid w:val="003D2B79"/>
    <w:rsid w:val="003D31AD"/>
    <w:rsid w:val="003D3902"/>
    <w:rsid w:val="003D39A1"/>
    <w:rsid w:val="003D3C97"/>
    <w:rsid w:val="003D3D8E"/>
    <w:rsid w:val="003D3FBF"/>
    <w:rsid w:val="003D48E0"/>
    <w:rsid w:val="003D4A30"/>
    <w:rsid w:val="003D52F1"/>
    <w:rsid w:val="003D646D"/>
    <w:rsid w:val="003D677F"/>
    <w:rsid w:val="003D6DCA"/>
    <w:rsid w:val="003D7026"/>
    <w:rsid w:val="003D7059"/>
    <w:rsid w:val="003D71A6"/>
    <w:rsid w:val="003D7452"/>
    <w:rsid w:val="003D7808"/>
    <w:rsid w:val="003D79BB"/>
    <w:rsid w:val="003D7BE8"/>
    <w:rsid w:val="003D7C98"/>
    <w:rsid w:val="003D7D9D"/>
    <w:rsid w:val="003E0057"/>
    <w:rsid w:val="003E0408"/>
    <w:rsid w:val="003E0543"/>
    <w:rsid w:val="003E168C"/>
    <w:rsid w:val="003E17C3"/>
    <w:rsid w:val="003E1C2E"/>
    <w:rsid w:val="003E1D98"/>
    <w:rsid w:val="003E1F59"/>
    <w:rsid w:val="003E2686"/>
    <w:rsid w:val="003E2ACE"/>
    <w:rsid w:val="003E2F7F"/>
    <w:rsid w:val="003E3F14"/>
    <w:rsid w:val="003E4BE4"/>
    <w:rsid w:val="003E4EAB"/>
    <w:rsid w:val="003E50E2"/>
    <w:rsid w:val="003E526A"/>
    <w:rsid w:val="003E549A"/>
    <w:rsid w:val="003E5603"/>
    <w:rsid w:val="003E6134"/>
    <w:rsid w:val="003E6423"/>
    <w:rsid w:val="003E65C5"/>
    <w:rsid w:val="003E6A3B"/>
    <w:rsid w:val="003E6E22"/>
    <w:rsid w:val="003E749E"/>
    <w:rsid w:val="003E78A5"/>
    <w:rsid w:val="003F0117"/>
    <w:rsid w:val="003F0A17"/>
    <w:rsid w:val="003F1053"/>
    <w:rsid w:val="003F123B"/>
    <w:rsid w:val="003F2536"/>
    <w:rsid w:val="003F2DE7"/>
    <w:rsid w:val="003F331A"/>
    <w:rsid w:val="003F3745"/>
    <w:rsid w:val="003F4156"/>
    <w:rsid w:val="003F45B1"/>
    <w:rsid w:val="003F474E"/>
    <w:rsid w:val="003F516F"/>
    <w:rsid w:val="003F5654"/>
    <w:rsid w:val="003F5728"/>
    <w:rsid w:val="003F5ADF"/>
    <w:rsid w:val="003F63CC"/>
    <w:rsid w:val="003F64EE"/>
    <w:rsid w:val="003F712C"/>
    <w:rsid w:val="003F7ACE"/>
    <w:rsid w:val="00400440"/>
    <w:rsid w:val="004009A0"/>
    <w:rsid w:val="00400A76"/>
    <w:rsid w:val="00400B29"/>
    <w:rsid w:val="00400EAF"/>
    <w:rsid w:val="00401345"/>
    <w:rsid w:val="004013A7"/>
    <w:rsid w:val="00401675"/>
    <w:rsid w:val="00401847"/>
    <w:rsid w:val="00401C7F"/>
    <w:rsid w:val="004024FA"/>
    <w:rsid w:val="00402637"/>
    <w:rsid w:val="00402812"/>
    <w:rsid w:val="00403487"/>
    <w:rsid w:val="004036C8"/>
    <w:rsid w:val="00403CB3"/>
    <w:rsid w:val="00404B17"/>
    <w:rsid w:val="0040504B"/>
    <w:rsid w:val="004059F4"/>
    <w:rsid w:val="004060A6"/>
    <w:rsid w:val="004060AD"/>
    <w:rsid w:val="00406F5B"/>
    <w:rsid w:val="0040713D"/>
    <w:rsid w:val="004079CA"/>
    <w:rsid w:val="00407FE5"/>
    <w:rsid w:val="004101B0"/>
    <w:rsid w:val="00410326"/>
    <w:rsid w:val="00410708"/>
    <w:rsid w:val="00410EC7"/>
    <w:rsid w:val="0041169D"/>
    <w:rsid w:val="00411866"/>
    <w:rsid w:val="00411AB2"/>
    <w:rsid w:val="00411B39"/>
    <w:rsid w:val="00411C58"/>
    <w:rsid w:val="004123AF"/>
    <w:rsid w:val="004127A7"/>
    <w:rsid w:val="0041317C"/>
    <w:rsid w:val="00413187"/>
    <w:rsid w:val="0041330B"/>
    <w:rsid w:val="0041335A"/>
    <w:rsid w:val="004138B8"/>
    <w:rsid w:val="00413A1E"/>
    <w:rsid w:val="00413DB8"/>
    <w:rsid w:val="0041407D"/>
    <w:rsid w:val="00414476"/>
    <w:rsid w:val="0041497D"/>
    <w:rsid w:val="00414C2E"/>
    <w:rsid w:val="00414DDC"/>
    <w:rsid w:val="00415114"/>
    <w:rsid w:val="004151CF"/>
    <w:rsid w:val="00415D49"/>
    <w:rsid w:val="00416364"/>
    <w:rsid w:val="00416B0B"/>
    <w:rsid w:val="00417057"/>
    <w:rsid w:val="00417297"/>
    <w:rsid w:val="00417592"/>
    <w:rsid w:val="0042025D"/>
    <w:rsid w:val="0042047F"/>
    <w:rsid w:val="00420AA6"/>
    <w:rsid w:val="00420AAD"/>
    <w:rsid w:val="00420B9F"/>
    <w:rsid w:val="004213F2"/>
    <w:rsid w:val="0042160B"/>
    <w:rsid w:val="0042192C"/>
    <w:rsid w:val="00421D37"/>
    <w:rsid w:val="00421E31"/>
    <w:rsid w:val="00421F3C"/>
    <w:rsid w:val="00422260"/>
    <w:rsid w:val="00422A47"/>
    <w:rsid w:val="00422C34"/>
    <w:rsid w:val="004232BB"/>
    <w:rsid w:val="00423555"/>
    <w:rsid w:val="00423ED5"/>
    <w:rsid w:val="0042413F"/>
    <w:rsid w:val="00424572"/>
    <w:rsid w:val="00424F21"/>
    <w:rsid w:val="00425507"/>
    <w:rsid w:val="00425790"/>
    <w:rsid w:val="00425A2B"/>
    <w:rsid w:val="00425C6E"/>
    <w:rsid w:val="00425D41"/>
    <w:rsid w:val="004268CF"/>
    <w:rsid w:val="004268D2"/>
    <w:rsid w:val="00426BEC"/>
    <w:rsid w:val="00427281"/>
    <w:rsid w:val="00427648"/>
    <w:rsid w:val="00430124"/>
    <w:rsid w:val="0043039F"/>
    <w:rsid w:val="00430442"/>
    <w:rsid w:val="004311BD"/>
    <w:rsid w:val="004319F8"/>
    <w:rsid w:val="00431E55"/>
    <w:rsid w:val="004321F6"/>
    <w:rsid w:val="0043285F"/>
    <w:rsid w:val="00433044"/>
    <w:rsid w:val="0043349C"/>
    <w:rsid w:val="004334EE"/>
    <w:rsid w:val="00433764"/>
    <w:rsid w:val="00433B5D"/>
    <w:rsid w:val="00434088"/>
    <w:rsid w:val="004359E3"/>
    <w:rsid w:val="00435D79"/>
    <w:rsid w:val="0043617F"/>
    <w:rsid w:val="00436455"/>
    <w:rsid w:val="00436AEE"/>
    <w:rsid w:val="00436BFB"/>
    <w:rsid w:val="0043712B"/>
    <w:rsid w:val="004375B9"/>
    <w:rsid w:val="00437CF7"/>
    <w:rsid w:val="00437F25"/>
    <w:rsid w:val="00437F83"/>
    <w:rsid w:val="004400C7"/>
    <w:rsid w:val="00440A2E"/>
    <w:rsid w:val="00441039"/>
    <w:rsid w:val="004410C6"/>
    <w:rsid w:val="00441656"/>
    <w:rsid w:val="004428D0"/>
    <w:rsid w:val="004429FF"/>
    <w:rsid w:val="00442EC3"/>
    <w:rsid w:val="00443385"/>
    <w:rsid w:val="00443CF5"/>
    <w:rsid w:val="00444185"/>
    <w:rsid w:val="004443A7"/>
    <w:rsid w:val="0044442C"/>
    <w:rsid w:val="00444435"/>
    <w:rsid w:val="00444496"/>
    <w:rsid w:val="00444784"/>
    <w:rsid w:val="00444B7F"/>
    <w:rsid w:val="00444D83"/>
    <w:rsid w:val="00444DF1"/>
    <w:rsid w:val="004454B2"/>
    <w:rsid w:val="0044584E"/>
    <w:rsid w:val="00445941"/>
    <w:rsid w:val="0044609C"/>
    <w:rsid w:val="004464EB"/>
    <w:rsid w:val="00446615"/>
    <w:rsid w:val="00447928"/>
    <w:rsid w:val="00447D17"/>
    <w:rsid w:val="00447D26"/>
    <w:rsid w:val="00447DFC"/>
    <w:rsid w:val="004506F3"/>
    <w:rsid w:val="00450F44"/>
    <w:rsid w:val="004516D0"/>
    <w:rsid w:val="004518D4"/>
    <w:rsid w:val="00451DA8"/>
    <w:rsid w:val="00455D45"/>
    <w:rsid w:val="00455ED7"/>
    <w:rsid w:val="0045608D"/>
    <w:rsid w:val="004576F8"/>
    <w:rsid w:val="00460236"/>
    <w:rsid w:val="004609AA"/>
    <w:rsid w:val="0046141F"/>
    <w:rsid w:val="004614F2"/>
    <w:rsid w:val="00461518"/>
    <w:rsid w:val="00462567"/>
    <w:rsid w:val="00462CA2"/>
    <w:rsid w:val="00463340"/>
    <w:rsid w:val="00463F1F"/>
    <w:rsid w:val="00464595"/>
    <w:rsid w:val="004654D7"/>
    <w:rsid w:val="004658B5"/>
    <w:rsid w:val="0046592A"/>
    <w:rsid w:val="0046696B"/>
    <w:rsid w:val="00471D61"/>
    <w:rsid w:val="00471E92"/>
    <w:rsid w:val="00471EA5"/>
    <w:rsid w:val="004722DD"/>
    <w:rsid w:val="004726BA"/>
    <w:rsid w:val="00472A79"/>
    <w:rsid w:val="00473F19"/>
    <w:rsid w:val="00474196"/>
    <w:rsid w:val="00474892"/>
    <w:rsid w:val="00474C63"/>
    <w:rsid w:val="00474F5B"/>
    <w:rsid w:val="00475E22"/>
    <w:rsid w:val="0047611C"/>
    <w:rsid w:val="00477630"/>
    <w:rsid w:val="00477885"/>
    <w:rsid w:val="004778F3"/>
    <w:rsid w:val="00477A50"/>
    <w:rsid w:val="0048088E"/>
    <w:rsid w:val="004808D8"/>
    <w:rsid w:val="004809B7"/>
    <w:rsid w:val="00480F2B"/>
    <w:rsid w:val="00482720"/>
    <w:rsid w:val="00482FD0"/>
    <w:rsid w:val="0048343D"/>
    <w:rsid w:val="004835E7"/>
    <w:rsid w:val="00483CC3"/>
    <w:rsid w:val="00484386"/>
    <w:rsid w:val="004843A0"/>
    <w:rsid w:val="00484833"/>
    <w:rsid w:val="00484850"/>
    <w:rsid w:val="004849FF"/>
    <w:rsid w:val="004859E1"/>
    <w:rsid w:val="00485D0C"/>
    <w:rsid w:val="00486095"/>
    <w:rsid w:val="004866BC"/>
    <w:rsid w:val="004867B4"/>
    <w:rsid w:val="004867E2"/>
    <w:rsid w:val="00487201"/>
    <w:rsid w:val="00487335"/>
    <w:rsid w:val="004873E7"/>
    <w:rsid w:val="00487644"/>
    <w:rsid w:val="00487D4B"/>
    <w:rsid w:val="00487E1F"/>
    <w:rsid w:val="00487EC7"/>
    <w:rsid w:val="00487F80"/>
    <w:rsid w:val="00490AE8"/>
    <w:rsid w:val="00490B17"/>
    <w:rsid w:val="00490E32"/>
    <w:rsid w:val="00491B3A"/>
    <w:rsid w:val="00491C07"/>
    <w:rsid w:val="00491D4C"/>
    <w:rsid w:val="00492CFD"/>
    <w:rsid w:val="00492DCC"/>
    <w:rsid w:val="00492F83"/>
    <w:rsid w:val="00493201"/>
    <w:rsid w:val="004935F8"/>
    <w:rsid w:val="00493FEB"/>
    <w:rsid w:val="00494207"/>
    <w:rsid w:val="004946B4"/>
    <w:rsid w:val="004947B7"/>
    <w:rsid w:val="0049484D"/>
    <w:rsid w:val="00494DD5"/>
    <w:rsid w:val="00494F9D"/>
    <w:rsid w:val="00495604"/>
    <w:rsid w:val="004962D2"/>
    <w:rsid w:val="004962E7"/>
    <w:rsid w:val="00496908"/>
    <w:rsid w:val="00496D65"/>
    <w:rsid w:val="00496E25"/>
    <w:rsid w:val="004970D3"/>
    <w:rsid w:val="004972D9"/>
    <w:rsid w:val="0049789C"/>
    <w:rsid w:val="00497DA6"/>
    <w:rsid w:val="004A09A2"/>
    <w:rsid w:val="004A0DA1"/>
    <w:rsid w:val="004A13D6"/>
    <w:rsid w:val="004A174D"/>
    <w:rsid w:val="004A1A6C"/>
    <w:rsid w:val="004A1A7D"/>
    <w:rsid w:val="004A2D7B"/>
    <w:rsid w:val="004A38B0"/>
    <w:rsid w:val="004A3B2A"/>
    <w:rsid w:val="004A43DF"/>
    <w:rsid w:val="004A51A0"/>
    <w:rsid w:val="004A52E9"/>
    <w:rsid w:val="004A5403"/>
    <w:rsid w:val="004A574E"/>
    <w:rsid w:val="004A6040"/>
    <w:rsid w:val="004A6597"/>
    <w:rsid w:val="004A67DF"/>
    <w:rsid w:val="004A6DB7"/>
    <w:rsid w:val="004A6F8F"/>
    <w:rsid w:val="004A7848"/>
    <w:rsid w:val="004A793B"/>
    <w:rsid w:val="004A7CB1"/>
    <w:rsid w:val="004B02EC"/>
    <w:rsid w:val="004B0CFC"/>
    <w:rsid w:val="004B1CB4"/>
    <w:rsid w:val="004B29C6"/>
    <w:rsid w:val="004B2DF6"/>
    <w:rsid w:val="004B2F18"/>
    <w:rsid w:val="004B35CD"/>
    <w:rsid w:val="004B3868"/>
    <w:rsid w:val="004B3DDB"/>
    <w:rsid w:val="004B44FD"/>
    <w:rsid w:val="004B4608"/>
    <w:rsid w:val="004B5366"/>
    <w:rsid w:val="004B5640"/>
    <w:rsid w:val="004B5686"/>
    <w:rsid w:val="004B5BCA"/>
    <w:rsid w:val="004B5CFC"/>
    <w:rsid w:val="004B649C"/>
    <w:rsid w:val="004B6B2E"/>
    <w:rsid w:val="004B6DB4"/>
    <w:rsid w:val="004B6DFC"/>
    <w:rsid w:val="004B6F79"/>
    <w:rsid w:val="004B708C"/>
    <w:rsid w:val="004B774D"/>
    <w:rsid w:val="004C0192"/>
    <w:rsid w:val="004C0797"/>
    <w:rsid w:val="004C14B2"/>
    <w:rsid w:val="004C163C"/>
    <w:rsid w:val="004C1885"/>
    <w:rsid w:val="004C18AD"/>
    <w:rsid w:val="004C23C7"/>
    <w:rsid w:val="004C2868"/>
    <w:rsid w:val="004C2AC2"/>
    <w:rsid w:val="004C2CC7"/>
    <w:rsid w:val="004C374F"/>
    <w:rsid w:val="004C3B02"/>
    <w:rsid w:val="004C423E"/>
    <w:rsid w:val="004C42F7"/>
    <w:rsid w:val="004C441A"/>
    <w:rsid w:val="004C4469"/>
    <w:rsid w:val="004C44DA"/>
    <w:rsid w:val="004C4A04"/>
    <w:rsid w:val="004C4AED"/>
    <w:rsid w:val="004C53B9"/>
    <w:rsid w:val="004C5913"/>
    <w:rsid w:val="004C5CF1"/>
    <w:rsid w:val="004C69E1"/>
    <w:rsid w:val="004C6FBF"/>
    <w:rsid w:val="004C7225"/>
    <w:rsid w:val="004C7581"/>
    <w:rsid w:val="004D00BA"/>
    <w:rsid w:val="004D0103"/>
    <w:rsid w:val="004D0207"/>
    <w:rsid w:val="004D0BB3"/>
    <w:rsid w:val="004D0C4C"/>
    <w:rsid w:val="004D0CEA"/>
    <w:rsid w:val="004D0E63"/>
    <w:rsid w:val="004D0FC4"/>
    <w:rsid w:val="004D1AED"/>
    <w:rsid w:val="004D24FA"/>
    <w:rsid w:val="004D27B3"/>
    <w:rsid w:val="004D2879"/>
    <w:rsid w:val="004D2C2D"/>
    <w:rsid w:val="004D2D12"/>
    <w:rsid w:val="004D3F6C"/>
    <w:rsid w:val="004D4AF0"/>
    <w:rsid w:val="004D57A3"/>
    <w:rsid w:val="004D5926"/>
    <w:rsid w:val="004D5B79"/>
    <w:rsid w:val="004D614E"/>
    <w:rsid w:val="004D6154"/>
    <w:rsid w:val="004D6887"/>
    <w:rsid w:val="004D69B5"/>
    <w:rsid w:val="004D6FB8"/>
    <w:rsid w:val="004D7107"/>
    <w:rsid w:val="004D7227"/>
    <w:rsid w:val="004D76BB"/>
    <w:rsid w:val="004D7B5E"/>
    <w:rsid w:val="004E0E7F"/>
    <w:rsid w:val="004E0EB8"/>
    <w:rsid w:val="004E16F2"/>
    <w:rsid w:val="004E18E9"/>
    <w:rsid w:val="004E1A1F"/>
    <w:rsid w:val="004E2774"/>
    <w:rsid w:val="004E2ADC"/>
    <w:rsid w:val="004E3604"/>
    <w:rsid w:val="004E36CF"/>
    <w:rsid w:val="004E3D96"/>
    <w:rsid w:val="004E3FF1"/>
    <w:rsid w:val="004E41DC"/>
    <w:rsid w:val="004E43B2"/>
    <w:rsid w:val="004E44D7"/>
    <w:rsid w:val="004E4BF3"/>
    <w:rsid w:val="004E5628"/>
    <w:rsid w:val="004E584B"/>
    <w:rsid w:val="004E5CED"/>
    <w:rsid w:val="004E5F9B"/>
    <w:rsid w:val="004E6338"/>
    <w:rsid w:val="004E6CC3"/>
    <w:rsid w:val="004E71BD"/>
    <w:rsid w:val="004E7E89"/>
    <w:rsid w:val="004F0529"/>
    <w:rsid w:val="004F0D73"/>
    <w:rsid w:val="004F1D02"/>
    <w:rsid w:val="004F2679"/>
    <w:rsid w:val="004F2989"/>
    <w:rsid w:val="004F2F21"/>
    <w:rsid w:val="004F3DE5"/>
    <w:rsid w:val="004F4003"/>
    <w:rsid w:val="004F41C8"/>
    <w:rsid w:val="004F5451"/>
    <w:rsid w:val="004F6913"/>
    <w:rsid w:val="004F6AD4"/>
    <w:rsid w:val="004F6DBA"/>
    <w:rsid w:val="004F7865"/>
    <w:rsid w:val="004F7F91"/>
    <w:rsid w:val="005001A4"/>
    <w:rsid w:val="00500EA6"/>
    <w:rsid w:val="00500EC6"/>
    <w:rsid w:val="0050174E"/>
    <w:rsid w:val="00501854"/>
    <w:rsid w:val="0050219B"/>
    <w:rsid w:val="00502E6C"/>
    <w:rsid w:val="005033D0"/>
    <w:rsid w:val="00503517"/>
    <w:rsid w:val="005036E0"/>
    <w:rsid w:val="005037BA"/>
    <w:rsid w:val="005039C2"/>
    <w:rsid w:val="00503F17"/>
    <w:rsid w:val="00503F3A"/>
    <w:rsid w:val="0050447D"/>
    <w:rsid w:val="00504538"/>
    <w:rsid w:val="005056A1"/>
    <w:rsid w:val="00505BB4"/>
    <w:rsid w:val="00506168"/>
    <w:rsid w:val="00506350"/>
    <w:rsid w:val="00506928"/>
    <w:rsid w:val="00507077"/>
    <w:rsid w:val="005077EF"/>
    <w:rsid w:val="0051032C"/>
    <w:rsid w:val="005112C5"/>
    <w:rsid w:val="005116F2"/>
    <w:rsid w:val="005117B3"/>
    <w:rsid w:val="00511AD5"/>
    <w:rsid w:val="00511DC7"/>
    <w:rsid w:val="005129C6"/>
    <w:rsid w:val="00513560"/>
    <w:rsid w:val="00513714"/>
    <w:rsid w:val="00513798"/>
    <w:rsid w:val="005139FD"/>
    <w:rsid w:val="005142C5"/>
    <w:rsid w:val="00514433"/>
    <w:rsid w:val="005146F7"/>
    <w:rsid w:val="0051501B"/>
    <w:rsid w:val="005152B5"/>
    <w:rsid w:val="00515886"/>
    <w:rsid w:val="0051592C"/>
    <w:rsid w:val="00515990"/>
    <w:rsid w:val="00515C7B"/>
    <w:rsid w:val="00516469"/>
    <w:rsid w:val="00516BCC"/>
    <w:rsid w:val="005170E5"/>
    <w:rsid w:val="00517555"/>
    <w:rsid w:val="00517F6F"/>
    <w:rsid w:val="00520357"/>
    <w:rsid w:val="00520550"/>
    <w:rsid w:val="0052123C"/>
    <w:rsid w:val="00521319"/>
    <w:rsid w:val="0052222A"/>
    <w:rsid w:val="005222FF"/>
    <w:rsid w:val="00522BC8"/>
    <w:rsid w:val="00523C28"/>
    <w:rsid w:val="0052441D"/>
    <w:rsid w:val="0052512D"/>
    <w:rsid w:val="00525B65"/>
    <w:rsid w:val="0052654E"/>
    <w:rsid w:val="0052683A"/>
    <w:rsid w:val="00526CB1"/>
    <w:rsid w:val="00526F35"/>
    <w:rsid w:val="00527453"/>
    <w:rsid w:val="00530295"/>
    <w:rsid w:val="00530B4A"/>
    <w:rsid w:val="00530D03"/>
    <w:rsid w:val="00531424"/>
    <w:rsid w:val="0053176B"/>
    <w:rsid w:val="00532113"/>
    <w:rsid w:val="0053318E"/>
    <w:rsid w:val="005341B3"/>
    <w:rsid w:val="0053574D"/>
    <w:rsid w:val="00535CEC"/>
    <w:rsid w:val="00535FBD"/>
    <w:rsid w:val="00536910"/>
    <w:rsid w:val="00536F42"/>
    <w:rsid w:val="00537182"/>
    <w:rsid w:val="00537379"/>
    <w:rsid w:val="005374FD"/>
    <w:rsid w:val="00537539"/>
    <w:rsid w:val="00537E73"/>
    <w:rsid w:val="005403CA"/>
    <w:rsid w:val="00541368"/>
    <w:rsid w:val="00541524"/>
    <w:rsid w:val="00541BED"/>
    <w:rsid w:val="00541EDD"/>
    <w:rsid w:val="00541F8E"/>
    <w:rsid w:val="0054268C"/>
    <w:rsid w:val="00542743"/>
    <w:rsid w:val="00542AC9"/>
    <w:rsid w:val="00542C2D"/>
    <w:rsid w:val="00542E27"/>
    <w:rsid w:val="0054302B"/>
    <w:rsid w:val="0054411F"/>
    <w:rsid w:val="0054415C"/>
    <w:rsid w:val="005445BB"/>
    <w:rsid w:val="00544856"/>
    <w:rsid w:val="00544A06"/>
    <w:rsid w:val="005455AB"/>
    <w:rsid w:val="005476E1"/>
    <w:rsid w:val="0054772E"/>
    <w:rsid w:val="005478BD"/>
    <w:rsid w:val="005479E3"/>
    <w:rsid w:val="00547D86"/>
    <w:rsid w:val="005502CD"/>
    <w:rsid w:val="005504CA"/>
    <w:rsid w:val="00551985"/>
    <w:rsid w:val="00551CE2"/>
    <w:rsid w:val="00552BD3"/>
    <w:rsid w:val="00552E59"/>
    <w:rsid w:val="005532A0"/>
    <w:rsid w:val="00553631"/>
    <w:rsid w:val="005543CD"/>
    <w:rsid w:val="00555109"/>
    <w:rsid w:val="005560AD"/>
    <w:rsid w:val="00556628"/>
    <w:rsid w:val="00556B35"/>
    <w:rsid w:val="00556CA1"/>
    <w:rsid w:val="00556F97"/>
    <w:rsid w:val="00557298"/>
    <w:rsid w:val="0055741A"/>
    <w:rsid w:val="005607C8"/>
    <w:rsid w:val="00560858"/>
    <w:rsid w:val="00560FB0"/>
    <w:rsid w:val="005611B7"/>
    <w:rsid w:val="0056129C"/>
    <w:rsid w:val="00561575"/>
    <w:rsid w:val="00561653"/>
    <w:rsid w:val="005618D4"/>
    <w:rsid w:val="0056192C"/>
    <w:rsid w:val="00562050"/>
    <w:rsid w:val="00562ABD"/>
    <w:rsid w:val="0056358C"/>
    <w:rsid w:val="005637D4"/>
    <w:rsid w:val="00563991"/>
    <w:rsid w:val="00564186"/>
    <w:rsid w:val="00564867"/>
    <w:rsid w:val="005654E5"/>
    <w:rsid w:val="005655C7"/>
    <w:rsid w:val="00565B4A"/>
    <w:rsid w:val="00565C79"/>
    <w:rsid w:val="00565DF0"/>
    <w:rsid w:val="00565EF9"/>
    <w:rsid w:val="00565F99"/>
    <w:rsid w:val="005661E7"/>
    <w:rsid w:val="00566330"/>
    <w:rsid w:val="0056696F"/>
    <w:rsid w:val="00567C90"/>
    <w:rsid w:val="00567D61"/>
    <w:rsid w:val="0057074B"/>
    <w:rsid w:val="005710F7"/>
    <w:rsid w:val="00571814"/>
    <w:rsid w:val="00572269"/>
    <w:rsid w:val="005722CD"/>
    <w:rsid w:val="0057244A"/>
    <w:rsid w:val="00572BC0"/>
    <w:rsid w:val="00572F0A"/>
    <w:rsid w:val="00572F26"/>
    <w:rsid w:val="005732B0"/>
    <w:rsid w:val="0057420D"/>
    <w:rsid w:val="005744EE"/>
    <w:rsid w:val="00574A82"/>
    <w:rsid w:val="00574DBB"/>
    <w:rsid w:val="005750C5"/>
    <w:rsid w:val="005752DE"/>
    <w:rsid w:val="0057530F"/>
    <w:rsid w:val="005755F4"/>
    <w:rsid w:val="005756D2"/>
    <w:rsid w:val="00575D60"/>
    <w:rsid w:val="00575D8D"/>
    <w:rsid w:val="00575EE5"/>
    <w:rsid w:val="00575FF3"/>
    <w:rsid w:val="00576021"/>
    <w:rsid w:val="0057674F"/>
    <w:rsid w:val="00576972"/>
    <w:rsid w:val="005769BF"/>
    <w:rsid w:val="00577248"/>
    <w:rsid w:val="005801F0"/>
    <w:rsid w:val="00582B12"/>
    <w:rsid w:val="00582FB1"/>
    <w:rsid w:val="00583699"/>
    <w:rsid w:val="005837DC"/>
    <w:rsid w:val="00583CC2"/>
    <w:rsid w:val="005841F9"/>
    <w:rsid w:val="00584DE9"/>
    <w:rsid w:val="005852C9"/>
    <w:rsid w:val="005854AF"/>
    <w:rsid w:val="00585CDD"/>
    <w:rsid w:val="0058630A"/>
    <w:rsid w:val="00587058"/>
    <w:rsid w:val="0058775F"/>
    <w:rsid w:val="00587E83"/>
    <w:rsid w:val="00591957"/>
    <w:rsid w:val="00591B48"/>
    <w:rsid w:val="005921BF"/>
    <w:rsid w:val="00592B64"/>
    <w:rsid w:val="005938D1"/>
    <w:rsid w:val="00593C0D"/>
    <w:rsid w:val="00593E32"/>
    <w:rsid w:val="00593EEA"/>
    <w:rsid w:val="00594BD9"/>
    <w:rsid w:val="005963D5"/>
    <w:rsid w:val="00596603"/>
    <w:rsid w:val="00596870"/>
    <w:rsid w:val="0059782A"/>
    <w:rsid w:val="00597A09"/>
    <w:rsid w:val="00597B73"/>
    <w:rsid w:val="00597BF9"/>
    <w:rsid w:val="005A0A28"/>
    <w:rsid w:val="005A0C11"/>
    <w:rsid w:val="005A1776"/>
    <w:rsid w:val="005A17D0"/>
    <w:rsid w:val="005A185E"/>
    <w:rsid w:val="005A2216"/>
    <w:rsid w:val="005A23DC"/>
    <w:rsid w:val="005A309A"/>
    <w:rsid w:val="005A36E3"/>
    <w:rsid w:val="005A3702"/>
    <w:rsid w:val="005A373D"/>
    <w:rsid w:val="005A392C"/>
    <w:rsid w:val="005A436C"/>
    <w:rsid w:val="005A465E"/>
    <w:rsid w:val="005A4C05"/>
    <w:rsid w:val="005A608C"/>
    <w:rsid w:val="005A635F"/>
    <w:rsid w:val="005B0309"/>
    <w:rsid w:val="005B04F2"/>
    <w:rsid w:val="005B0941"/>
    <w:rsid w:val="005B0B58"/>
    <w:rsid w:val="005B0F04"/>
    <w:rsid w:val="005B1794"/>
    <w:rsid w:val="005B212C"/>
    <w:rsid w:val="005B2B10"/>
    <w:rsid w:val="005B3352"/>
    <w:rsid w:val="005B3C55"/>
    <w:rsid w:val="005B409E"/>
    <w:rsid w:val="005B4224"/>
    <w:rsid w:val="005B43FE"/>
    <w:rsid w:val="005B48B5"/>
    <w:rsid w:val="005B4E53"/>
    <w:rsid w:val="005B4F7A"/>
    <w:rsid w:val="005B529E"/>
    <w:rsid w:val="005B553B"/>
    <w:rsid w:val="005B5857"/>
    <w:rsid w:val="005B5A75"/>
    <w:rsid w:val="005B600D"/>
    <w:rsid w:val="005B640B"/>
    <w:rsid w:val="005B648A"/>
    <w:rsid w:val="005B6A39"/>
    <w:rsid w:val="005B6C0D"/>
    <w:rsid w:val="005B7305"/>
    <w:rsid w:val="005B74A3"/>
    <w:rsid w:val="005B783F"/>
    <w:rsid w:val="005B7997"/>
    <w:rsid w:val="005B7C57"/>
    <w:rsid w:val="005B7D6B"/>
    <w:rsid w:val="005B7EF5"/>
    <w:rsid w:val="005C0D72"/>
    <w:rsid w:val="005C0DA5"/>
    <w:rsid w:val="005C0E64"/>
    <w:rsid w:val="005C13A4"/>
    <w:rsid w:val="005C19C4"/>
    <w:rsid w:val="005C1B83"/>
    <w:rsid w:val="005C1DCD"/>
    <w:rsid w:val="005C2470"/>
    <w:rsid w:val="005C25FF"/>
    <w:rsid w:val="005C2B0C"/>
    <w:rsid w:val="005C2B49"/>
    <w:rsid w:val="005C2D55"/>
    <w:rsid w:val="005C346B"/>
    <w:rsid w:val="005C3CE0"/>
    <w:rsid w:val="005C4721"/>
    <w:rsid w:val="005C4A89"/>
    <w:rsid w:val="005C4C1E"/>
    <w:rsid w:val="005C5ABC"/>
    <w:rsid w:val="005C71B5"/>
    <w:rsid w:val="005C7953"/>
    <w:rsid w:val="005C7DF7"/>
    <w:rsid w:val="005C7EB7"/>
    <w:rsid w:val="005D044D"/>
    <w:rsid w:val="005D08AE"/>
    <w:rsid w:val="005D0ABD"/>
    <w:rsid w:val="005D11A1"/>
    <w:rsid w:val="005D1296"/>
    <w:rsid w:val="005D18AD"/>
    <w:rsid w:val="005D1E1F"/>
    <w:rsid w:val="005D263D"/>
    <w:rsid w:val="005D26B4"/>
    <w:rsid w:val="005D2B48"/>
    <w:rsid w:val="005D3484"/>
    <w:rsid w:val="005D54B9"/>
    <w:rsid w:val="005D5E77"/>
    <w:rsid w:val="005D64ED"/>
    <w:rsid w:val="005D6ECF"/>
    <w:rsid w:val="005D7394"/>
    <w:rsid w:val="005E0540"/>
    <w:rsid w:val="005E0584"/>
    <w:rsid w:val="005E15BE"/>
    <w:rsid w:val="005E1995"/>
    <w:rsid w:val="005E1A1D"/>
    <w:rsid w:val="005E2463"/>
    <w:rsid w:val="005E29AD"/>
    <w:rsid w:val="005E2DFB"/>
    <w:rsid w:val="005E37AA"/>
    <w:rsid w:val="005E395B"/>
    <w:rsid w:val="005E4754"/>
    <w:rsid w:val="005E509D"/>
    <w:rsid w:val="005E51BA"/>
    <w:rsid w:val="005E643B"/>
    <w:rsid w:val="005E6666"/>
    <w:rsid w:val="005E6BD5"/>
    <w:rsid w:val="005E6CBC"/>
    <w:rsid w:val="005E72FF"/>
    <w:rsid w:val="005E7379"/>
    <w:rsid w:val="005E73C0"/>
    <w:rsid w:val="005E7796"/>
    <w:rsid w:val="005E7DDC"/>
    <w:rsid w:val="005F0105"/>
    <w:rsid w:val="005F0166"/>
    <w:rsid w:val="005F06F7"/>
    <w:rsid w:val="005F07ED"/>
    <w:rsid w:val="005F0906"/>
    <w:rsid w:val="005F1717"/>
    <w:rsid w:val="005F2706"/>
    <w:rsid w:val="005F2778"/>
    <w:rsid w:val="005F2D8A"/>
    <w:rsid w:val="005F30C1"/>
    <w:rsid w:val="005F3329"/>
    <w:rsid w:val="005F3434"/>
    <w:rsid w:val="005F3809"/>
    <w:rsid w:val="005F3EE0"/>
    <w:rsid w:val="005F49F2"/>
    <w:rsid w:val="005F53E4"/>
    <w:rsid w:val="005F5A87"/>
    <w:rsid w:val="005F610A"/>
    <w:rsid w:val="005F6A8F"/>
    <w:rsid w:val="005F6BB7"/>
    <w:rsid w:val="005F7588"/>
    <w:rsid w:val="005F7A3D"/>
    <w:rsid w:val="005F7CC7"/>
    <w:rsid w:val="00602539"/>
    <w:rsid w:val="006028D3"/>
    <w:rsid w:val="00602B04"/>
    <w:rsid w:val="00602D7D"/>
    <w:rsid w:val="00603DB9"/>
    <w:rsid w:val="00605011"/>
    <w:rsid w:val="00605A8C"/>
    <w:rsid w:val="00605B29"/>
    <w:rsid w:val="00605D71"/>
    <w:rsid w:val="006062E7"/>
    <w:rsid w:val="006065C9"/>
    <w:rsid w:val="00606F94"/>
    <w:rsid w:val="00606FBA"/>
    <w:rsid w:val="00607669"/>
    <w:rsid w:val="006076F4"/>
    <w:rsid w:val="00607767"/>
    <w:rsid w:val="00607AFD"/>
    <w:rsid w:val="00607E3A"/>
    <w:rsid w:val="00610665"/>
    <w:rsid w:val="006111AA"/>
    <w:rsid w:val="00611B12"/>
    <w:rsid w:val="00611D09"/>
    <w:rsid w:val="00611E07"/>
    <w:rsid w:val="00612155"/>
    <w:rsid w:val="00612B75"/>
    <w:rsid w:val="00612F97"/>
    <w:rsid w:val="006132C9"/>
    <w:rsid w:val="00613355"/>
    <w:rsid w:val="0061345D"/>
    <w:rsid w:val="006135C5"/>
    <w:rsid w:val="00613F7B"/>
    <w:rsid w:val="0061428C"/>
    <w:rsid w:val="00614372"/>
    <w:rsid w:val="006148CD"/>
    <w:rsid w:val="00614C9F"/>
    <w:rsid w:val="00614F66"/>
    <w:rsid w:val="0061549B"/>
    <w:rsid w:val="0061622F"/>
    <w:rsid w:val="00616802"/>
    <w:rsid w:val="00616925"/>
    <w:rsid w:val="00616A85"/>
    <w:rsid w:val="00616E6B"/>
    <w:rsid w:val="00617818"/>
    <w:rsid w:val="006178FD"/>
    <w:rsid w:val="00617E12"/>
    <w:rsid w:val="00620B90"/>
    <w:rsid w:val="00620C25"/>
    <w:rsid w:val="00620DDE"/>
    <w:rsid w:val="00620E9D"/>
    <w:rsid w:val="006211FB"/>
    <w:rsid w:val="00621477"/>
    <w:rsid w:val="00621ADA"/>
    <w:rsid w:val="0062297D"/>
    <w:rsid w:val="00623384"/>
    <w:rsid w:val="00623987"/>
    <w:rsid w:val="00623D3E"/>
    <w:rsid w:val="00623F7B"/>
    <w:rsid w:val="006243DC"/>
    <w:rsid w:val="00624BD4"/>
    <w:rsid w:val="00625054"/>
    <w:rsid w:val="006259BF"/>
    <w:rsid w:val="00626089"/>
    <w:rsid w:val="006265AB"/>
    <w:rsid w:val="00626B8F"/>
    <w:rsid w:val="00626F8D"/>
    <w:rsid w:val="00627070"/>
    <w:rsid w:val="0063060D"/>
    <w:rsid w:val="0063158F"/>
    <w:rsid w:val="006315C5"/>
    <w:rsid w:val="00631C9F"/>
    <w:rsid w:val="00631D6B"/>
    <w:rsid w:val="00632183"/>
    <w:rsid w:val="006330A1"/>
    <w:rsid w:val="00633627"/>
    <w:rsid w:val="00633C27"/>
    <w:rsid w:val="00633F96"/>
    <w:rsid w:val="0063479F"/>
    <w:rsid w:val="00634A01"/>
    <w:rsid w:val="006352DA"/>
    <w:rsid w:val="0063533F"/>
    <w:rsid w:val="006353F0"/>
    <w:rsid w:val="006357B5"/>
    <w:rsid w:val="00635A68"/>
    <w:rsid w:val="0063643D"/>
    <w:rsid w:val="006364A1"/>
    <w:rsid w:val="0063678E"/>
    <w:rsid w:val="006367CD"/>
    <w:rsid w:val="00637381"/>
    <w:rsid w:val="0063743F"/>
    <w:rsid w:val="0063792A"/>
    <w:rsid w:val="00637AF6"/>
    <w:rsid w:val="00637BFD"/>
    <w:rsid w:val="00637C5C"/>
    <w:rsid w:val="00637C9B"/>
    <w:rsid w:val="00641C4E"/>
    <w:rsid w:val="00641F47"/>
    <w:rsid w:val="00641FB3"/>
    <w:rsid w:val="0064224A"/>
    <w:rsid w:val="006424D2"/>
    <w:rsid w:val="00642598"/>
    <w:rsid w:val="0064434C"/>
    <w:rsid w:val="00644CAD"/>
    <w:rsid w:val="006471CC"/>
    <w:rsid w:val="006472FE"/>
    <w:rsid w:val="00647460"/>
    <w:rsid w:val="00647A29"/>
    <w:rsid w:val="00647C1D"/>
    <w:rsid w:val="00647DAA"/>
    <w:rsid w:val="0065022F"/>
    <w:rsid w:val="0065079F"/>
    <w:rsid w:val="00650995"/>
    <w:rsid w:val="006511AD"/>
    <w:rsid w:val="006516A9"/>
    <w:rsid w:val="00651AD8"/>
    <w:rsid w:val="0065293B"/>
    <w:rsid w:val="00652A28"/>
    <w:rsid w:val="0065379F"/>
    <w:rsid w:val="006543C2"/>
    <w:rsid w:val="006546EE"/>
    <w:rsid w:val="006558A0"/>
    <w:rsid w:val="00655D91"/>
    <w:rsid w:val="00655DDC"/>
    <w:rsid w:val="00656188"/>
    <w:rsid w:val="00656D87"/>
    <w:rsid w:val="006570C8"/>
    <w:rsid w:val="0065715A"/>
    <w:rsid w:val="0065718D"/>
    <w:rsid w:val="00657231"/>
    <w:rsid w:val="00657D33"/>
    <w:rsid w:val="00660485"/>
    <w:rsid w:val="006610F1"/>
    <w:rsid w:val="0066125E"/>
    <w:rsid w:val="00661862"/>
    <w:rsid w:val="00661C6B"/>
    <w:rsid w:val="00661E9D"/>
    <w:rsid w:val="006622CB"/>
    <w:rsid w:val="00662617"/>
    <w:rsid w:val="00662882"/>
    <w:rsid w:val="00662D3E"/>
    <w:rsid w:val="006630C9"/>
    <w:rsid w:val="00663137"/>
    <w:rsid w:val="006642B5"/>
    <w:rsid w:val="00666160"/>
    <w:rsid w:val="00666419"/>
    <w:rsid w:val="00667BE3"/>
    <w:rsid w:val="00667E9B"/>
    <w:rsid w:val="00671004"/>
    <w:rsid w:val="00672265"/>
    <w:rsid w:val="00672646"/>
    <w:rsid w:val="0067373C"/>
    <w:rsid w:val="0067398B"/>
    <w:rsid w:val="00674E42"/>
    <w:rsid w:val="00674E7A"/>
    <w:rsid w:val="00675AB5"/>
    <w:rsid w:val="00675EBE"/>
    <w:rsid w:val="0067612E"/>
    <w:rsid w:val="00676563"/>
    <w:rsid w:val="00676736"/>
    <w:rsid w:val="00676B5A"/>
    <w:rsid w:val="00677261"/>
    <w:rsid w:val="00677406"/>
    <w:rsid w:val="0068041F"/>
    <w:rsid w:val="00680E97"/>
    <w:rsid w:val="006813F8"/>
    <w:rsid w:val="00681824"/>
    <w:rsid w:val="00681AC9"/>
    <w:rsid w:val="00682112"/>
    <w:rsid w:val="00682433"/>
    <w:rsid w:val="00682BA6"/>
    <w:rsid w:val="00683800"/>
    <w:rsid w:val="00683D7A"/>
    <w:rsid w:val="00685311"/>
    <w:rsid w:val="006858CD"/>
    <w:rsid w:val="00686957"/>
    <w:rsid w:val="00686B1B"/>
    <w:rsid w:val="00686D1C"/>
    <w:rsid w:val="00686F40"/>
    <w:rsid w:val="006872BA"/>
    <w:rsid w:val="00690795"/>
    <w:rsid w:val="00690CD4"/>
    <w:rsid w:val="00691648"/>
    <w:rsid w:val="006917D7"/>
    <w:rsid w:val="006921DB"/>
    <w:rsid w:val="006924C1"/>
    <w:rsid w:val="006924E2"/>
    <w:rsid w:val="00692705"/>
    <w:rsid w:val="00693CDE"/>
    <w:rsid w:val="00693F25"/>
    <w:rsid w:val="0069434C"/>
    <w:rsid w:val="0069475F"/>
    <w:rsid w:val="00694A1B"/>
    <w:rsid w:val="00694F44"/>
    <w:rsid w:val="006959F6"/>
    <w:rsid w:val="00695C79"/>
    <w:rsid w:val="00695DDF"/>
    <w:rsid w:val="006968AB"/>
    <w:rsid w:val="00696C19"/>
    <w:rsid w:val="00696E90"/>
    <w:rsid w:val="00696EF9"/>
    <w:rsid w:val="00696F51"/>
    <w:rsid w:val="006970EE"/>
    <w:rsid w:val="00697998"/>
    <w:rsid w:val="006979A5"/>
    <w:rsid w:val="00697E1A"/>
    <w:rsid w:val="006A016F"/>
    <w:rsid w:val="006A0219"/>
    <w:rsid w:val="006A052D"/>
    <w:rsid w:val="006A0577"/>
    <w:rsid w:val="006A0586"/>
    <w:rsid w:val="006A0A60"/>
    <w:rsid w:val="006A0BE6"/>
    <w:rsid w:val="006A0DF7"/>
    <w:rsid w:val="006A0FB4"/>
    <w:rsid w:val="006A0FB7"/>
    <w:rsid w:val="006A107B"/>
    <w:rsid w:val="006A1BBA"/>
    <w:rsid w:val="006A1D59"/>
    <w:rsid w:val="006A1FED"/>
    <w:rsid w:val="006A232D"/>
    <w:rsid w:val="006A300E"/>
    <w:rsid w:val="006A3B9F"/>
    <w:rsid w:val="006A4321"/>
    <w:rsid w:val="006A43D9"/>
    <w:rsid w:val="006A44C4"/>
    <w:rsid w:val="006A4AEC"/>
    <w:rsid w:val="006A4DEC"/>
    <w:rsid w:val="006A5C2B"/>
    <w:rsid w:val="006A67F2"/>
    <w:rsid w:val="006A69DE"/>
    <w:rsid w:val="006A6AD4"/>
    <w:rsid w:val="006A6B99"/>
    <w:rsid w:val="006A71EF"/>
    <w:rsid w:val="006A7E5F"/>
    <w:rsid w:val="006A7EAB"/>
    <w:rsid w:val="006B023C"/>
    <w:rsid w:val="006B0427"/>
    <w:rsid w:val="006B1A8F"/>
    <w:rsid w:val="006B1ECE"/>
    <w:rsid w:val="006B261B"/>
    <w:rsid w:val="006B280B"/>
    <w:rsid w:val="006B2A9C"/>
    <w:rsid w:val="006B2C90"/>
    <w:rsid w:val="006B35E6"/>
    <w:rsid w:val="006B3825"/>
    <w:rsid w:val="006B437E"/>
    <w:rsid w:val="006B465A"/>
    <w:rsid w:val="006B4A95"/>
    <w:rsid w:val="006B6DD0"/>
    <w:rsid w:val="006B7144"/>
    <w:rsid w:val="006B7546"/>
    <w:rsid w:val="006B78A1"/>
    <w:rsid w:val="006B7989"/>
    <w:rsid w:val="006B7CA1"/>
    <w:rsid w:val="006B7F3F"/>
    <w:rsid w:val="006C0399"/>
    <w:rsid w:val="006C09D8"/>
    <w:rsid w:val="006C114D"/>
    <w:rsid w:val="006C11B3"/>
    <w:rsid w:val="006C1357"/>
    <w:rsid w:val="006C1A58"/>
    <w:rsid w:val="006C212F"/>
    <w:rsid w:val="006C26C6"/>
    <w:rsid w:val="006C2861"/>
    <w:rsid w:val="006C2A8E"/>
    <w:rsid w:val="006C2CEE"/>
    <w:rsid w:val="006C2CFB"/>
    <w:rsid w:val="006C2F90"/>
    <w:rsid w:val="006C3255"/>
    <w:rsid w:val="006C33B0"/>
    <w:rsid w:val="006C3F26"/>
    <w:rsid w:val="006C4627"/>
    <w:rsid w:val="006C48F2"/>
    <w:rsid w:val="006C4917"/>
    <w:rsid w:val="006C4A72"/>
    <w:rsid w:val="006C4B15"/>
    <w:rsid w:val="006C4F90"/>
    <w:rsid w:val="006C6305"/>
    <w:rsid w:val="006C7852"/>
    <w:rsid w:val="006C7C0B"/>
    <w:rsid w:val="006C7CAF"/>
    <w:rsid w:val="006D05FD"/>
    <w:rsid w:val="006D0629"/>
    <w:rsid w:val="006D068B"/>
    <w:rsid w:val="006D0D17"/>
    <w:rsid w:val="006D18A9"/>
    <w:rsid w:val="006D1DA5"/>
    <w:rsid w:val="006D1F82"/>
    <w:rsid w:val="006D2024"/>
    <w:rsid w:val="006D3AB5"/>
    <w:rsid w:val="006D3C7D"/>
    <w:rsid w:val="006D4047"/>
    <w:rsid w:val="006D4515"/>
    <w:rsid w:val="006D4659"/>
    <w:rsid w:val="006D4B5C"/>
    <w:rsid w:val="006D5BD1"/>
    <w:rsid w:val="006D5D5F"/>
    <w:rsid w:val="006D5E22"/>
    <w:rsid w:val="006D68FB"/>
    <w:rsid w:val="006D6B85"/>
    <w:rsid w:val="006D71FE"/>
    <w:rsid w:val="006D76F5"/>
    <w:rsid w:val="006D7702"/>
    <w:rsid w:val="006E00C4"/>
    <w:rsid w:val="006E012B"/>
    <w:rsid w:val="006E076A"/>
    <w:rsid w:val="006E0972"/>
    <w:rsid w:val="006E0D3E"/>
    <w:rsid w:val="006E1BB9"/>
    <w:rsid w:val="006E25E8"/>
    <w:rsid w:val="006E2847"/>
    <w:rsid w:val="006E2868"/>
    <w:rsid w:val="006E2B72"/>
    <w:rsid w:val="006E33C9"/>
    <w:rsid w:val="006E44E1"/>
    <w:rsid w:val="006E4EBA"/>
    <w:rsid w:val="006E50CE"/>
    <w:rsid w:val="006E55FD"/>
    <w:rsid w:val="006E5F21"/>
    <w:rsid w:val="006E69DB"/>
    <w:rsid w:val="006E6F43"/>
    <w:rsid w:val="006E707B"/>
    <w:rsid w:val="006E7106"/>
    <w:rsid w:val="006E74CE"/>
    <w:rsid w:val="006E76C4"/>
    <w:rsid w:val="006E789C"/>
    <w:rsid w:val="006F031C"/>
    <w:rsid w:val="006F0A63"/>
    <w:rsid w:val="006F0B9F"/>
    <w:rsid w:val="006F19B2"/>
    <w:rsid w:val="006F1D81"/>
    <w:rsid w:val="006F267C"/>
    <w:rsid w:val="006F306C"/>
    <w:rsid w:val="006F4F69"/>
    <w:rsid w:val="006F5291"/>
    <w:rsid w:val="006F5E85"/>
    <w:rsid w:val="006F5E95"/>
    <w:rsid w:val="006F63A5"/>
    <w:rsid w:val="006F6B1B"/>
    <w:rsid w:val="006F7AEF"/>
    <w:rsid w:val="006F7DEB"/>
    <w:rsid w:val="00700156"/>
    <w:rsid w:val="007006DB"/>
    <w:rsid w:val="0070142B"/>
    <w:rsid w:val="007019D3"/>
    <w:rsid w:val="00701DE5"/>
    <w:rsid w:val="0070276E"/>
    <w:rsid w:val="007029BD"/>
    <w:rsid w:val="00702F8F"/>
    <w:rsid w:val="007038CF"/>
    <w:rsid w:val="00703AFA"/>
    <w:rsid w:val="00704567"/>
    <w:rsid w:val="00704A34"/>
    <w:rsid w:val="00706755"/>
    <w:rsid w:val="0070687D"/>
    <w:rsid w:val="00707660"/>
    <w:rsid w:val="00707735"/>
    <w:rsid w:val="007079FC"/>
    <w:rsid w:val="00710360"/>
    <w:rsid w:val="00710750"/>
    <w:rsid w:val="007107F7"/>
    <w:rsid w:val="0071090A"/>
    <w:rsid w:val="00711A36"/>
    <w:rsid w:val="00711D5D"/>
    <w:rsid w:val="00712228"/>
    <w:rsid w:val="007125D3"/>
    <w:rsid w:val="007125F4"/>
    <w:rsid w:val="0071267B"/>
    <w:rsid w:val="00712AC7"/>
    <w:rsid w:val="00713491"/>
    <w:rsid w:val="00713749"/>
    <w:rsid w:val="00713BCC"/>
    <w:rsid w:val="00714837"/>
    <w:rsid w:val="00714C26"/>
    <w:rsid w:val="00714F65"/>
    <w:rsid w:val="0071529C"/>
    <w:rsid w:val="0071562C"/>
    <w:rsid w:val="0071684D"/>
    <w:rsid w:val="00716C16"/>
    <w:rsid w:val="007170DA"/>
    <w:rsid w:val="007172AD"/>
    <w:rsid w:val="00717546"/>
    <w:rsid w:val="0071784B"/>
    <w:rsid w:val="00720801"/>
    <w:rsid w:val="0072134B"/>
    <w:rsid w:val="00722565"/>
    <w:rsid w:val="00722B1B"/>
    <w:rsid w:val="00722C19"/>
    <w:rsid w:val="00723149"/>
    <w:rsid w:val="00723644"/>
    <w:rsid w:val="0072374A"/>
    <w:rsid w:val="00723D13"/>
    <w:rsid w:val="0072416F"/>
    <w:rsid w:val="0072476F"/>
    <w:rsid w:val="00724AB7"/>
    <w:rsid w:val="00724FE1"/>
    <w:rsid w:val="00725154"/>
    <w:rsid w:val="0072541E"/>
    <w:rsid w:val="007257FC"/>
    <w:rsid w:val="00725AC8"/>
    <w:rsid w:val="00725C9D"/>
    <w:rsid w:val="00725FEF"/>
    <w:rsid w:val="0072617D"/>
    <w:rsid w:val="0072624C"/>
    <w:rsid w:val="0072635A"/>
    <w:rsid w:val="00726874"/>
    <w:rsid w:val="00727720"/>
    <w:rsid w:val="007277D6"/>
    <w:rsid w:val="00727C94"/>
    <w:rsid w:val="00730327"/>
    <w:rsid w:val="00730C16"/>
    <w:rsid w:val="00731681"/>
    <w:rsid w:val="0073170E"/>
    <w:rsid w:val="00731A5D"/>
    <w:rsid w:val="00731B0A"/>
    <w:rsid w:val="00731EAE"/>
    <w:rsid w:val="00731ECE"/>
    <w:rsid w:val="007329BE"/>
    <w:rsid w:val="00732A29"/>
    <w:rsid w:val="00733073"/>
    <w:rsid w:val="00733217"/>
    <w:rsid w:val="00733282"/>
    <w:rsid w:val="00733450"/>
    <w:rsid w:val="00733869"/>
    <w:rsid w:val="00733B57"/>
    <w:rsid w:val="007347F1"/>
    <w:rsid w:val="00734A8A"/>
    <w:rsid w:val="00735033"/>
    <w:rsid w:val="00735328"/>
    <w:rsid w:val="007358DC"/>
    <w:rsid w:val="00735992"/>
    <w:rsid w:val="00736224"/>
    <w:rsid w:val="0073685B"/>
    <w:rsid w:val="00737719"/>
    <w:rsid w:val="00737FB2"/>
    <w:rsid w:val="007404EF"/>
    <w:rsid w:val="007408A9"/>
    <w:rsid w:val="0074184B"/>
    <w:rsid w:val="0074193C"/>
    <w:rsid w:val="00741A8B"/>
    <w:rsid w:val="00741B24"/>
    <w:rsid w:val="00742EA0"/>
    <w:rsid w:val="0074314B"/>
    <w:rsid w:val="007449BF"/>
    <w:rsid w:val="007450BA"/>
    <w:rsid w:val="00746345"/>
    <w:rsid w:val="007463FE"/>
    <w:rsid w:val="00746BC0"/>
    <w:rsid w:val="00747FE9"/>
    <w:rsid w:val="00750926"/>
    <w:rsid w:val="00750999"/>
    <w:rsid w:val="007510B4"/>
    <w:rsid w:val="00752142"/>
    <w:rsid w:val="007523F9"/>
    <w:rsid w:val="00752BFF"/>
    <w:rsid w:val="00753179"/>
    <w:rsid w:val="0075357E"/>
    <w:rsid w:val="00753B29"/>
    <w:rsid w:val="00753CED"/>
    <w:rsid w:val="00753EEA"/>
    <w:rsid w:val="00753F1D"/>
    <w:rsid w:val="00754027"/>
    <w:rsid w:val="00756180"/>
    <w:rsid w:val="007563DD"/>
    <w:rsid w:val="00756CDA"/>
    <w:rsid w:val="007573E8"/>
    <w:rsid w:val="00757B5D"/>
    <w:rsid w:val="007603C9"/>
    <w:rsid w:val="007607B9"/>
    <w:rsid w:val="00760C4E"/>
    <w:rsid w:val="00760CBA"/>
    <w:rsid w:val="00760F9E"/>
    <w:rsid w:val="0076113F"/>
    <w:rsid w:val="00761510"/>
    <w:rsid w:val="00761651"/>
    <w:rsid w:val="007616E6"/>
    <w:rsid w:val="00761D76"/>
    <w:rsid w:val="00761FCA"/>
    <w:rsid w:val="00762287"/>
    <w:rsid w:val="007627BE"/>
    <w:rsid w:val="00762C3B"/>
    <w:rsid w:val="00763784"/>
    <w:rsid w:val="00763831"/>
    <w:rsid w:val="00763C3A"/>
    <w:rsid w:val="00763E2A"/>
    <w:rsid w:val="00763FD2"/>
    <w:rsid w:val="0076439B"/>
    <w:rsid w:val="0076445E"/>
    <w:rsid w:val="007644FE"/>
    <w:rsid w:val="007649FA"/>
    <w:rsid w:val="00764F03"/>
    <w:rsid w:val="00765059"/>
    <w:rsid w:val="00765553"/>
    <w:rsid w:val="00765B1A"/>
    <w:rsid w:val="00765DC1"/>
    <w:rsid w:val="00766AD5"/>
    <w:rsid w:val="00766C0D"/>
    <w:rsid w:val="00766DCD"/>
    <w:rsid w:val="00767577"/>
    <w:rsid w:val="007675B4"/>
    <w:rsid w:val="0076796F"/>
    <w:rsid w:val="00767B92"/>
    <w:rsid w:val="00767BB7"/>
    <w:rsid w:val="00767CAF"/>
    <w:rsid w:val="00770F41"/>
    <w:rsid w:val="00771E0D"/>
    <w:rsid w:val="00771F11"/>
    <w:rsid w:val="00771FB1"/>
    <w:rsid w:val="00772147"/>
    <w:rsid w:val="007728F4"/>
    <w:rsid w:val="00772E93"/>
    <w:rsid w:val="007737C1"/>
    <w:rsid w:val="0077381A"/>
    <w:rsid w:val="00773F33"/>
    <w:rsid w:val="00774887"/>
    <w:rsid w:val="00774D3D"/>
    <w:rsid w:val="00774D89"/>
    <w:rsid w:val="007752F6"/>
    <w:rsid w:val="00775594"/>
    <w:rsid w:val="007768C6"/>
    <w:rsid w:val="00776A29"/>
    <w:rsid w:val="00777335"/>
    <w:rsid w:val="00777C46"/>
    <w:rsid w:val="00780F15"/>
    <w:rsid w:val="00781030"/>
    <w:rsid w:val="0078133A"/>
    <w:rsid w:val="00782066"/>
    <w:rsid w:val="007820E2"/>
    <w:rsid w:val="007821EB"/>
    <w:rsid w:val="00782269"/>
    <w:rsid w:val="0078310E"/>
    <w:rsid w:val="00783E96"/>
    <w:rsid w:val="007843F2"/>
    <w:rsid w:val="007844E9"/>
    <w:rsid w:val="007846FA"/>
    <w:rsid w:val="00785468"/>
    <w:rsid w:val="007858BA"/>
    <w:rsid w:val="00785A9F"/>
    <w:rsid w:val="00786880"/>
    <w:rsid w:val="00786A40"/>
    <w:rsid w:val="00790CDD"/>
    <w:rsid w:val="007925DF"/>
    <w:rsid w:val="00792755"/>
    <w:rsid w:val="00792CB8"/>
    <w:rsid w:val="00792D04"/>
    <w:rsid w:val="00793668"/>
    <w:rsid w:val="007939F0"/>
    <w:rsid w:val="00794292"/>
    <w:rsid w:val="00794CE9"/>
    <w:rsid w:val="0079511A"/>
    <w:rsid w:val="0079513A"/>
    <w:rsid w:val="00795149"/>
    <w:rsid w:val="0079583F"/>
    <w:rsid w:val="007959E5"/>
    <w:rsid w:val="00795F2D"/>
    <w:rsid w:val="007962F9"/>
    <w:rsid w:val="00797F5E"/>
    <w:rsid w:val="007A0423"/>
    <w:rsid w:val="007A0783"/>
    <w:rsid w:val="007A0890"/>
    <w:rsid w:val="007A08AA"/>
    <w:rsid w:val="007A0929"/>
    <w:rsid w:val="007A0A12"/>
    <w:rsid w:val="007A126F"/>
    <w:rsid w:val="007A132D"/>
    <w:rsid w:val="007A1345"/>
    <w:rsid w:val="007A16D4"/>
    <w:rsid w:val="007A1AE2"/>
    <w:rsid w:val="007A1D8C"/>
    <w:rsid w:val="007A2617"/>
    <w:rsid w:val="007A2DDB"/>
    <w:rsid w:val="007A350C"/>
    <w:rsid w:val="007A35D4"/>
    <w:rsid w:val="007A3F38"/>
    <w:rsid w:val="007A44BE"/>
    <w:rsid w:val="007A4BED"/>
    <w:rsid w:val="007A53D9"/>
    <w:rsid w:val="007A55AA"/>
    <w:rsid w:val="007A63BA"/>
    <w:rsid w:val="007A655D"/>
    <w:rsid w:val="007A69C2"/>
    <w:rsid w:val="007A6D23"/>
    <w:rsid w:val="007A70BA"/>
    <w:rsid w:val="007A7E6A"/>
    <w:rsid w:val="007B0D68"/>
    <w:rsid w:val="007B1384"/>
    <w:rsid w:val="007B1734"/>
    <w:rsid w:val="007B1A16"/>
    <w:rsid w:val="007B20DF"/>
    <w:rsid w:val="007B2391"/>
    <w:rsid w:val="007B24FD"/>
    <w:rsid w:val="007B251D"/>
    <w:rsid w:val="007B27E9"/>
    <w:rsid w:val="007B334D"/>
    <w:rsid w:val="007B3533"/>
    <w:rsid w:val="007B39E4"/>
    <w:rsid w:val="007B3B12"/>
    <w:rsid w:val="007B4CB1"/>
    <w:rsid w:val="007B4F58"/>
    <w:rsid w:val="007B51DA"/>
    <w:rsid w:val="007B528D"/>
    <w:rsid w:val="007B545C"/>
    <w:rsid w:val="007B590D"/>
    <w:rsid w:val="007B5DCD"/>
    <w:rsid w:val="007B60B0"/>
    <w:rsid w:val="007B61AB"/>
    <w:rsid w:val="007B63CA"/>
    <w:rsid w:val="007B665F"/>
    <w:rsid w:val="007B6B91"/>
    <w:rsid w:val="007B7019"/>
    <w:rsid w:val="007B77D1"/>
    <w:rsid w:val="007C07C7"/>
    <w:rsid w:val="007C0CF5"/>
    <w:rsid w:val="007C16FE"/>
    <w:rsid w:val="007C1CD9"/>
    <w:rsid w:val="007C32EF"/>
    <w:rsid w:val="007C361D"/>
    <w:rsid w:val="007C4335"/>
    <w:rsid w:val="007C4B84"/>
    <w:rsid w:val="007C4BEA"/>
    <w:rsid w:val="007C4BF6"/>
    <w:rsid w:val="007C5BD5"/>
    <w:rsid w:val="007C5E0F"/>
    <w:rsid w:val="007C6E87"/>
    <w:rsid w:val="007C70FF"/>
    <w:rsid w:val="007C7C25"/>
    <w:rsid w:val="007D004F"/>
    <w:rsid w:val="007D035F"/>
    <w:rsid w:val="007D06B2"/>
    <w:rsid w:val="007D0B38"/>
    <w:rsid w:val="007D1195"/>
    <w:rsid w:val="007D149C"/>
    <w:rsid w:val="007D1C15"/>
    <w:rsid w:val="007D4584"/>
    <w:rsid w:val="007D51B9"/>
    <w:rsid w:val="007D5440"/>
    <w:rsid w:val="007D58D0"/>
    <w:rsid w:val="007D58F5"/>
    <w:rsid w:val="007D649B"/>
    <w:rsid w:val="007D69EB"/>
    <w:rsid w:val="007D75DC"/>
    <w:rsid w:val="007E0187"/>
    <w:rsid w:val="007E0313"/>
    <w:rsid w:val="007E128F"/>
    <w:rsid w:val="007E1E2E"/>
    <w:rsid w:val="007E21D0"/>
    <w:rsid w:val="007E2BB7"/>
    <w:rsid w:val="007E43C3"/>
    <w:rsid w:val="007E456B"/>
    <w:rsid w:val="007E458B"/>
    <w:rsid w:val="007E48D6"/>
    <w:rsid w:val="007E53B5"/>
    <w:rsid w:val="007E5B1F"/>
    <w:rsid w:val="007E7F46"/>
    <w:rsid w:val="007E7F8D"/>
    <w:rsid w:val="007F010F"/>
    <w:rsid w:val="007F0157"/>
    <w:rsid w:val="007F050E"/>
    <w:rsid w:val="007F0A35"/>
    <w:rsid w:val="007F1017"/>
    <w:rsid w:val="007F16C7"/>
    <w:rsid w:val="007F421B"/>
    <w:rsid w:val="007F425A"/>
    <w:rsid w:val="007F4A3F"/>
    <w:rsid w:val="007F4A61"/>
    <w:rsid w:val="007F5255"/>
    <w:rsid w:val="007F53B3"/>
    <w:rsid w:val="007F56CC"/>
    <w:rsid w:val="007F595B"/>
    <w:rsid w:val="007F5992"/>
    <w:rsid w:val="007F5C89"/>
    <w:rsid w:val="007F5DDD"/>
    <w:rsid w:val="007F61C2"/>
    <w:rsid w:val="007F636A"/>
    <w:rsid w:val="007F64BF"/>
    <w:rsid w:val="007F719E"/>
    <w:rsid w:val="007F7F73"/>
    <w:rsid w:val="008003EA"/>
    <w:rsid w:val="008005AB"/>
    <w:rsid w:val="00800F88"/>
    <w:rsid w:val="008012C6"/>
    <w:rsid w:val="008024C0"/>
    <w:rsid w:val="008026CE"/>
    <w:rsid w:val="00802CBB"/>
    <w:rsid w:val="00803483"/>
    <w:rsid w:val="008035CD"/>
    <w:rsid w:val="00803773"/>
    <w:rsid w:val="00803AA9"/>
    <w:rsid w:val="008044D1"/>
    <w:rsid w:val="00804E95"/>
    <w:rsid w:val="00805142"/>
    <w:rsid w:val="0080566B"/>
    <w:rsid w:val="00805FCE"/>
    <w:rsid w:val="00806DB7"/>
    <w:rsid w:val="00806F22"/>
    <w:rsid w:val="0080731B"/>
    <w:rsid w:val="00807356"/>
    <w:rsid w:val="00807861"/>
    <w:rsid w:val="00807A8B"/>
    <w:rsid w:val="00810041"/>
    <w:rsid w:val="0081045B"/>
    <w:rsid w:val="00810846"/>
    <w:rsid w:val="00810F2A"/>
    <w:rsid w:val="00810F7D"/>
    <w:rsid w:val="00811177"/>
    <w:rsid w:val="00811383"/>
    <w:rsid w:val="00811AB5"/>
    <w:rsid w:val="00812149"/>
    <w:rsid w:val="00812368"/>
    <w:rsid w:val="00812C89"/>
    <w:rsid w:val="00812CAC"/>
    <w:rsid w:val="00812CDD"/>
    <w:rsid w:val="00813152"/>
    <w:rsid w:val="00813C15"/>
    <w:rsid w:val="00813E96"/>
    <w:rsid w:val="0081496A"/>
    <w:rsid w:val="00815571"/>
    <w:rsid w:val="00815A98"/>
    <w:rsid w:val="008160D0"/>
    <w:rsid w:val="00816361"/>
    <w:rsid w:val="008166EF"/>
    <w:rsid w:val="00816FEF"/>
    <w:rsid w:val="0081733E"/>
    <w:rsid w:val="0081750D"/>
    <w:rsid w:val="00817D91"/>
    <w:rsid w:val="00820A8C"/>
    <w:rsid w:val="008215C7"/>
    <w:rsid w:val="008215FB"/>
    <w:rsid w:val="008217FE"/>
    <w:rsid w:val="008219EA"/>
    <w:rsid w:val="00821A1E"/>
    <w:rsid w:val="00821B9F"/>
    <w:rsid w:val="00821E5A"/>
    <w:rsid w:val="008220CC"/>
    <w:rsid w:val="00823174"/>
    <w:rsid w:val="0082416B"/>
    <w:rsid w:val="00824353"/>
    <w:rsid w:val="008248E8"/>
    <w:rsid w:val="00824C31"/>
    <w:rsid w:val="00824CF0"/>
    <w:rsid w:val="00825751"/>
    <w:rsid w:val="008261D9"/>
    <w:rsid w:val="008264EB"/>
    <w:rsid w:val="008268CE"/>
    <w:rsid w:val="00826E51"/>
    <w:rsid w:val="008271CC"/>
    <w:rsid w:val="00827836"/>
    <w:rsid w:val="00827C23"/>
    <w:rsid w:val="008317ED"/>
    <w:rsid w:val="00832798"/>
    <w:rsid w:val="0083299B"/>
    <w:rsid w:val="00832C71"/>
    <w:rsid w:val="00833A6B"/>
    <w:rsid w:val="00833B05"/>
    <w:rsid w:val="00833F14"/>
    <w:rsid w:val="00835720"/>
    <w:rsid w:val="00835A65"/>
    <w:rsid w:val="008362B4"/>
    <w:rsid w:val="008363AF"/>
    <w:rsid w:val="00836944"/>
    <w:rsid w:val="00837DC8"/>
    <w:rsid w:val="008400EE"/>
    <w:rsid w:val="00840388"/>
    <w:rsid w:val="0084087D"/>
    <w:rsid w:val="00840A5D"/>
    <w:rsid w:val="00840CA2"/>
    <w:rsid w:val="008410AD"/>
    <w:rsid w:val="008415DC"/>
    <w:rsid w:val="00842736"/>
    <w:rsid w:val="00843380"/>
    <w:rsid w:val="008436CB"/>
    <w:rsid w:val="0084374F"/>
    <w:rsid w:val="0084429F"/>
    <w:rsid w:val="00844A22"/>
    <w:rsid w:val="008450C5"/>
    <w:rsid w:val="008451D4"/>
    <w:rsid w:val="008455DB"/>
    <w:rsid w:val="00845650"/>
    <w:rsid w:val="0084597C"/>
    <w:rsid w:val="00845B01"/>
    <w:rsid w:val="008468E9"/>
    <w:rsid w:val="00846DB0"/>
    <w:rsid w:val="00847703"/>
    <w:rsid w:val="00847DF5"/>
    <w:rsid w:val="00847F59"/>
    <w:rsid w:val="00850C42"/>
    <w:rsid w:val="00850C8B"/>
    <w:rsid w:val="00850FDF"/>
    <w:rsid w:val="00851149"/>
    <w:rsid w:val="0085123B"/>
    <w:rsid w:val="00851928"/>
    <w:rsid w:val="008521F0"/>
    <w:rsid w:val="00852242"/>
    <w:rsid w:val="008522CD"/>
    <w:rsid w:val="0085264E"/>
    <w:rsid w:val="00852C2D"/>
    <w:rsid w:val="0085309D"/>
    <w:rsid w:val="00853EB1"/>
    <w:rsid w:val="008549D7"/>
    <w:rsid w:val="00854CF4"/>
    <w:rsid w:val="00854EA2"/>
    <w:rsid w:val="00855659"/>
    <w:rsid w:val="008556CC"/>
    <w:rsid w:val="008557C5"/>
    <w:rsid w:val="008565E6"/>
    <w:rsid w:val="008566C6"/>
    <w:rsid w:val="00856897"/>
    <w:rsid w:val="00856E9A"/>
    <w:rsid w:val="00856EFB"/>
    <w:rsid w:val="00857904"/>
    <w:rsid w:val="00857996"/>
    <w:rsid w:val="00857D12"/>
    <w:rsid w:val="0086048C"/>
    <w:rsid w:val="008606FC"/>
    <w:rsid w:val="0086075D"/>
    <w:rsid w:val="00860C3F"/>
    <w:rsid w:val="00861DE2"/>
    <w:rsid w:val="00861EBC"/>
    <w:rsid w:val="008620EB"/>
    <w:rsid w:val="00862502"/>
    <w:rsid w:val="00862CA2"/>
    <w:rsid w:val="00862CC1"/>
    <w:rsid w:val="008632CA"/>
    <w:rsid w:val="00863747"/>
    <w:rsid w:val="00863E23"/>
    <w:rsid w:val="00864008"/>
    <w:rsid w:val="00864272"/>
    <w:rsid w:val="008642A7"/>
    <w:rsid w:val="00865604"/>
    <w:rsid w:val="008660D4"/>
    <w:rsid w:val="0086617A"/>
    <w:rsid w:val="00867078"/>
    <w:rsid w:val="00867F24"/>
    <w:rsid w:val="00870EF9"/>
    <w:rsid w:val="00871F2A"/>
    <w:rsid w:val="00871FA9"/>
    <w:rsid w:val="0087200A"/>
    <w:rsid w:val="00872227"/>
    <w:rsid w:val="008726D4"/>
    <w:rsid w:val="0087282E"/>
    <w:rsid w:val="008728E9"/>
    <w:rsid w:val="00874A7B"/>
    <w:rsid w:val="00874BE4"/>
    <w:rsid w:val="00877868"/>
    <w:rsid w:val="00877993"/>
    <w:rsid w:val="0088050B"/>
    <w:rsid w:val="00880E11"/>
    <w:rsid w:val="00880F6C"/>
    <w:rsid w:val="00882071"/>
    <w:rsid w:val="00882874"/>
    <w:rsid w:val="008829FF"/>
    <w:rsid w:val="00882E3C"/>
    <w:rsid w:val="0088308A"/>
    <w:rsid w:val="00883787"/>
    <w:rsid w:val="00883B57"/>
    <w:rsid w:val="00884B5C"/>
    <w:rsid w:val="008853E1"/>
    <w:rsid w:val="008855E4"/>
    <w:rsid w:val="00886CD2"/>
    <w:rsid w:val="00886DD4"/>
    <w:rsid w:val="00887402"/>
    <w:rsid w:val="0088778B"/>
    <w:rsid w:val="00887C8C"/>
    <w:rsid w:val="00887CDC"/>
    <w:rsid w:val="008903B3"/>
    <w:rsid w:val="00890818"/>
    <w:rsid w:val="00890C35"/>
    <w:rsid w:val="00890E7A"/>
    <w:rsid w:val="00890EC7"/>
    <w:rsid w:val="00891347"/>
    <w:rsid w:val="00891370"/>
    <w:rsid w:val="00891CA1"/>
    <w:rsid w:val="00891E6F"/>
    <w:rsid w:val="0089227C"/>
    <w:rsid w:val="0089246D"/>
    <w:rsid w:val="0089275D"/>
    <w:rsid w:val="00892A36"/>
    <w:rsid w:val="00892C5C"/>
    <w:rsid w:val="00893239"/>
    <w:rsid w:val="008934B0"/>
    <w:rsid w:val="0089420E"/>
    <w:rsid w:val="00894489"/>
    <w:rsid w:val="00894BE7"/>
    <w:rsid w:val="00894CD6"/>
    <w:rsid w:val="00894E90"/>
    <w:rsid w:val="00895106"/>
    <w:rsid w:val="00895188"/>
    <w:rsid w:val="00895968"/>
    <w:rsid w:val="00895D14"/>
    <w:rsid w:val="00895FD0"/>
    <w:rsid w:val="008963A5"/>
    <w:rsid w:val="0089685D"/>
    <w:rsid w:val="00896CF0"/>
    <w:rsid w:val="00896D5D"/>
    <w:rsid w:val="008978FD"/>
    <w:rsid w:val="008A0772"/>
    <w:rsid w:val="008A15F2"/>
    <w:rsid w:val="008A2112"/>
    <w:rsid w:val="008A3057"/>
    <w:rsid w:val="008A3158"/>
    <w:rsid w:val="008A3363"/>
    <w:rsid w:val="008A3371"/>
    <w:rsid w:val="008A3C0C"/>
    <w:rsid w:val="008A3C3E"/>
    <w:rsid w:val="008A4368"/>
    <w:rsid w:val="008A466B"/>
    <w:rsid w:val="008A507C"/>
    <w:rsid w:val="008A5089"/>
    <w:rsid w:val="008A5DEC"/>
    <w:rsid w:val="008A7112"/>
    <w:rsid w:val="008A7651"/>
    <w:rsid w:val="008A79DE"/>
    <w:rsid w:val="008B059A"/>
    <w:rsid w:val="008B0B9D"/>
    <w:rsid w:val="008B1157"/>
    <w:rsid w:val="008B11A6"/>
    <w:rsid w:val="008B1757"/>
    <w:rsid w:val="008B1C33"/>
    <w:rsid w:val="008B251F"/>
    <w:rsid w:val="008B263A"/>
    <w:rsid w:val="008B27D8"/>
    <w:rsid w:val="008B2F24"/>
    <w:rsid w:val="008B3E06"/>
    <w:rsid w:val="008B41E9"/>
    <w:rsid w:val="008B4274"/>
    <w:rsid w:val="008B4B6F"/>
    <w:rsid w:val="008B5F99"/>
    <w:rsid w:val="008B65A2"/>
    <w:rsid w:val="008B6997"/>
    <w:rsid w:val="008B6E18"/>
    <w:rsid w:val="008B7226"/>
    <w:rsid w:val="008B7976"/>
    <w:rsid w:val="008B7992"/>
    <w:rsid w:val="008B7D7E"/>
    <w:rsid w:val="008C1C4B"/>
    <w:rsid w:val="008C24FB"/>
    <w:rsid w:val="008C2A79"/>
    <w:rsid w:val="008C2F6A"/>
    <w:rsid w:val="008C3750"/>
    <w:rsid w:val="008C42F3"/>
    <w:rsid w:val="008C4688"/>
    <w:rsid w:val="008C5610"/>
    <w:rsid w:val="008C5739"/>
    <w:rsid w:val="008C5917"/>
    <w:rsid w:val="008C616A"/>
    <w:rsid w:val="008C68E5"/>
    <w:rsid w:val="008C6FEF"/>
    <w:rsid w:val="008C7282"/>
    <w:rsid w:val="008C7457"/>
    <w:rsid w:val="008C758A"/>
    <w:rsid w:val="008C7804"/>
    <w:rsid w:val="008C7ECB"/>
    <w:rsid w:val="008D02EB"/>
    <w:rsid w:val="008D0350"/>
    <w:rsid w:val="008D04C8"/>
    <w:rsid w:val="008D06B4"/>
    <w:rsid w:val="008D159D"/>
    <w:rsid w:val="008D1729"/>
    <w:rsid w:val="008D2D06"/>
    <w:rsid w:val="008D30B9"/>
    <w:rsid w:val="008D3B86"/>
    <w:rsid w:val="008D436C"/>
    <w:rsid w:val="008D43FD"/>
    <w:rsid w:val="008D4755"/>
    <w:rsid w:val="008D4C3D"/>
    <w:rsid w:val="008D5BCA"/>
    <w:rsid w:val="008D6917"/>
    <w:rsid w:val="008D743C"/>
    <w:rsid w:val="008D7E7E"/>
    <w:rsid w:val="008E0411"/>
    <w:rsid w:val="008E0BA3"/>
    <w:rsid w:val="008E0C96"/>
    <w:rsid w:val="008E0D3C"/>
    <w:rsid w:val="008E15CB"/>
    <w:rsid w:val="008E177A"/>
    <w:rsid w:val="008E1B9E"/>
    <w:rsid w:val="008E1D06"/>
    <w:rsid w:val="008E28D2"/>
    <w:rsid w:val="008E2EB8"/>
    <w:rsid w:val="008E34DC"/>
    <w:rsid w:val="008E4171"/>
    <w:rsid w:val="008E444F"/>
    <w:rsid w:val="008E55AB"/>
    <w:rsid w:val="008E57AE"/>
    <w:rsid w:val="008E5989"/>
    <w:rsid w:val="008E5AD0"/>
    <w:rsid w:val="008E5F3E"/>
    <w:rsid w:val="008E6231"/>
    <w:rsid w:val="008E75F7"/>
    <w:rsid w:val="008F120A"/>
    <w:rsid w:val="008F1EA5"/>
    <w:rsid w:val="008F2366"/>
    <w:rsid w:val="008F27E0"/>
    <w:rsid w:val="008F2A04"/>
    <w:rsid w:val="008F357C"/>
    <w:rsid w:val="008F3876"/>
    <w:rsid w:val="008F4526"/>
    <w:rsid w:val="008F48EB"/>
    <w:rsid w:val="008F4D57"/>
    <w:rsid w:val="008F4F0B"/>
    <w:rsid w:val="008F5144"/>
    <w:rsid w:val="008F5520"/>
    <w:rsid w:val="008F649E"/>
    <w:rsid w:val="008F64ED"/>
    <w:rsid w:val="008F72E7"/>
    <w:rsid w:val="008F790B"/>
    <w:rsid w:val="008F7BD9"/>
    <w:rsid w:val="009008D9"/>
    <w:rsid w:val="00900E7F"/>
    <w:rsid w:val="00901FA8"/>
    <w:rsid w:val="0090250E"/>
    <w:rsid w:val="00902672"/>
    <w:rsid w:val="0090326F"/>
    <w:rsid w:val="009034F3"/>
    <w:rsid w:val="009037E2"/>
    <w:rsid w:val="00903CAB"/>
    <w:rsid w:val="00903E49"/>
    <w:rsid w:val="009041B1"/>
    <w:rsid w:val="00904475"/>
    <w:rsid w:val="009046C4"/>
    <w:rsid w:val="009046EA"/>
    <w:rsid w:val="00904BA9"/>
    <w:rsid w:val="00904C7C"/>
    <w:rsid w:val="00904F24"/>
    <w:rsid w:val="00905E90"/>
    <w:rsid w:val="009062A5"/>
    <w:rsid w:val="009063AD"/>
    <w:rsid w:val="00907699"/>
    <w:rsid w:val="009100CD"/>
    <w:rsid w:val="0091043B"/>
    <w:rsid w:val="009109C1"/>
    <w:rsid w:val="00910FA7"/>
    <w:rsid w:val="00911272"/>
    <w:rsid w:val="00911339"/>
    <w:rsid w:val="0091177B"/>
    <w:rsid w:val="00911823"/>
    <w:rsid w:val="00912752"/>
    <w:rsid w:val="00912C53"/>
    <w:rsid w:val="009135D6"/>
    <w:rsid w:val="00914C77"/>
    <w:rsid w:val="00915574"/>
    <w:rsid w:val="00915626"/>
    <w:rsid w:val="009164C9"/>
    <w:rsid w:val="00916509"/>
    <w:rsid w:val="00917AD3"/>
    <w:rsid w:val="00920491"/>
    <w:rsid w:val="00920497"/>
    <w:rsid w:val="0092141E"/>
    <w:rsid w:val="0092187B"/>
    <w:rsid w:val="0092198F"/>
    <w:rsid w:val="00921ACB"/>
    <w:rsid w:val="00922514"/>
    <w:rsid w:val="00922F1D"/>
    <w:rsid w:val="00923561"/>
    <w:rsid w:val="009235AA"/>
    <w:rsid w:val="0092369B"/>
    <w:rsid w:val="0092472E"/>
    <w:rsid w:val="00924831"/>
    <w:rsid w:val="00924A08"/>
    <w:rsid w:val="00924DC4"/>
    <w:rsid w:val="00925037"/>
    <w:rsid w:val="00925A84"/>
    <w:rsid w:val="00925C94"/>
    <w:rsid w:val="009263A5"/>
    <w:rsid w:val="00926991"/>
    <w:rsid w:val="00926C86"/>
    <w:rsid w:val="00927186"/>
    <w:rsid w:val="0092720E"/>
    <w:rsid w:val="0092725B"/>
    <w:rsid w:val="00927864"/>
    <w:rsid w:val="00927C3B"/>
    <w:rsid w:val="00927F19"/>
    <w:rsid w:val="00930010"/>
    <w:rsid w:val="00931819"/>
    <w:rsid w:val="00931CAC"/>
    <w:rsid w:val="00931E4B"/>
    <w:rsid w:val="0093209E"/>
    <w:rsid w:val="0093338E"/>
    <w:rsid w:val="0093424D"/>
    <w:rsid w:val="00934292"/>
    <w:rsid w:val="00934988"/>
    <w:rsid w:val="00934ACD"/>
    <w:rsid w:val="00934FD3"/>
    <w:rsid w:val="009354DA"/>
    <w:rsid w:val="009366A8"/>
    <w:rsid w:val="009366B1"/>
    <w:rsid w:val="00936AF9"/>
    <w:rsid w:val="00937089"/>
    <w:rsid w:val="0093724D"/>
    <w:rsid w:val="00937443"/>
    <w:rsid w:val="00937DA0"/>
    <w:rsid w:val="00937DA8"/>
    <w:rsid w:val="00940C9D"/>
    <w:rsid w:val="00940DB6"/>
    <w:rsid w:val="00941192"/>
    <w:rsid w:val="00941466"/>
    <w:rsid w:val="0094159E"/>
    <w:rsid w:val="00941BAD"/>
    <w:rsid w:val="009422D9"/>
    <w:rsid w:val="00942794"/>
    <w:rsid w:val="00942908"/>
    <w:rsid w:val="00942E14"/>
    <w:rsid w:val="009430CC"/>
    <w:rsid w:val="00943136"/>
    <w:rsid w:val="009436AF"/>
    <w:rsid w:val="009438B6"/>
    <w:rsid w:val="0094433C"/>
    <w:rsid w:val="00944554"/>
    <w:rsid w:val="00944651"/>
    <w:rsid w:val="00944737"/>
    <w:rsid w:val="00944BEE"/>
    <w:rsid w:val="00944D43"/>
    <w:rsid w:val="00944F8A"/>
    <w:rsid w:val="00945180"/>
    <w:rsid w:val="009452A9"/>
    <w:rsid w:val="009454EB"/>
    <w:rsid w:val="00945B20"/>
    <w:rsid w:val="00945C6C"/>
    <w:rsid w:val="00945FE0"/>
    <w:rsid w:val="009461B4"/>
    <w:rsid w:val="00946240"/>
    <w:rsid w:val="0094708D"/>
    <w:rsid w:val="00947380"/>
    <w:rsid w:val="009477F0"/>
    <w:rsid w:val="00947A2E"/>
    <w:rsid w:val="00947E0B"/>
    <w:rsid w:val="00950D05"/>
    <w:rsid w:val="009510A2"/>
    <w:rsid w:val="009527E3"/>
    <w:rsid w:val="00952A2E"/>
    <w:rsid w:val="00952FD9"/>
    <w:rsid w:val="00953006"/>
    <w:rsid w:val="00953257"/>
    <w:rsid w:val="00953330"/>
    <w:rsid w:val="00953352"/>
    <w:rsid w:val="00954199"/>
    <w:rsid w:val="0095474C"/>
    <w:rsid w:val="00954CD5"/>
    <w:rsid w:val="009572C8"/>
    <w:rsid w:val="00957A46"/>
    <w:rsid w:val="00957D92"/>
    <w:rsid w:val="00960E7F"/>
    <w:rsid w:val="00961C5E"/>
    <w:rsid w:val="00962A0A"/>
    <w:rsid w:val="00962CB9"/>
    <w:rsid w:val="0096301C"/>
    <w:rsid w:val="00964312"/>
    <w:rsid w:val="00965B8A"/>
    <w:rsid w:val="00965F4A"/>
    <w:rsid w:val="00966038"/>
    <w:rsid w:val="00966611"/>
    <w:rsid w:val="00966C0C"/>
    <w:rsid w:val="00966CF1"/>
    <w:rsid w:val="009676C4"/>
    <w:rsid w:val="00967C80"/>
    <w:rsid w:val="00967C8B"/>
    <w:rsid w:val="00967F64"/>
    <w:rsid w:val="0097071F"/>
    <w:rsid w:val="0097081C"/>
    <w:rsid w:val="009709BC"/>
    <w:rsid w:val="00970B47"/>
    <w:rsid w:val="009717AC"/>
    <w:rsid w:val="00971CA0"/>
    <w:rsid w:val="0097201C"/>
    <w:rsid w:val="00972E86"/>
    <w:rsid w:val="00972F9F"/>
    <w:rsid w:val="009733A7"/>
    <w:rsid w:val="00974DBB"/>
    <w:rsid w:val="009751C1"/>
    <w:rsid w:val="00975783"/>
    <w:rsid w:val="00976762"/>
    <w:rsid w:val="00976C2F"/>
    <w:rsid w:val="0097714F"/>
    <w:rsid w:val="009772EF"/>
    <w:rsid w:val="00977C63"/>
    <w:rsid w:val="00980360"/>
    <w:rsid w:val="009808EE"/>
    <w:rsid w:val="00980CCB"/>
    <w:rsid w:val="00980D0D"/>
    <w:rsid w:val="009811F1"/>
    <w:rsid w:val="0098262F"/>
    <w:rsid w:val="00983069"/>
    <w:rsid w:val="00983634"/>
    <w:rsid w:val="00983931"/>
    <w:rsid w:val="00983B89"/>
    <w:rsid w:val="00983E57"/>
    <w:rsid w:val="0098488C"/>
    <w:rsid w:val="00985DE2"/>
    <w:rsid w:val="00986488"/>
    <w:rsid w:val="009865C7"/>
    <w:rsid w:val="0098675D"/>
    <w:rsid w:val="009879A1"/>
    <w:rsid w:val="00987AEF"/>
    <w:rsid w:val="00987BA4"/>
    <w:rsid w:val="009914E4"/>
    <w:rsid w:val="009914E8"/>
    <w:rsid w:val="009925DB"/>
    <w:rsid w:val="009926E0"/>
    <w:rsid w:val="009939A9"/>
    <w:rsid w:val="00993B8F"/>
    <w:rsid w:val="00993C28"/>
    <w:rsid w:val="0099451E"/>
    <w:rsid w:val="00994949"/>
    <w:rsid w:val="00994F91"/>
    <w:rsid w:val="0099525C"/>
    <w:rsid w:val="00995B4B"/>
    <w:rsid w:val="009962A5"/>
    <w:rsid w:val="00996B1A"/>
    <w:rsid w:val="00997257"/>
    <w:rsid w:val="0099771E"/>
    <w:rsid w:val="009A0122"/>
    <w:rsid w:val="009A029F"/>
    <w:rsid w:val="009A087A"/>
    <w:rsid w:val="009A0AB2"/>
    <w:rsid w:val="009A0F3F"/>
    <w:rsid w:val="009A1822"/>
    <w:rsid w:val="009A18F6"/>
    <w:rsid w:val="009A1A1C"/>
    <w:rsid w:val="009A1B26"/>
    <w:rsid w:val="009A2307"/>
    <w:rsid w:val="009A2DCC"/>
    <w:rsid w:val="009A32A5"/>
    <w:rsid w:val="009A3BE1"/>
    <w:rsid w:val="009A458B"/>
    <w:rsid w:val="009A5ABC"/>
    <w:rsid w:val="009A5D09"/>
    <w:rsid w:val="009A6AB8"/>
    <w:rsid w:val="009A7108"/>
    <w:rsid w:val="009A7F10"/>
    <w:rsid w:val="009A7FAE"/>
    <w:rsid w:val="009B0619"/>
    <w:rsid w:val="009B0DD2"/>
    <w:rsid w:val="009B10C9"/>
    <w:rsid w:val="009B2215"/>
    <w:rsid w:val="009B24DC"/>
    <w:rsid w:val="009B29C4"/>
    <w:rsid w:val="009B34DF"/>
    <w:rsid w:val="009B39DF"/>
    <w:rsid w:val="009B3E26"/>
    <w:rsid w:val="009B41F7"/>
    <w:rsid w:val="009B5011"/>
    <w:rsid w:val="009B6359"/>
    <w:rsid w:val="009B6C08"/>
    <w:rsid w:val="009B749D"/>
    <w:rsid w:val="009B78D0"/>
    <w:rsid w:val="009B7AA8"/>
    <w:rsid w:val="009B7E9C"/>
    <w:rsid w:val="009C110B"/>
    <w:rsid w:val="009C1271"/>
    <w:rsid w:val="009C1632"/>
    <w:rsid w:val="009C182B"/>
    <w:rsid w:val="009C22E0"/>
    <w:rsid w:val="009C29FF"/>
    <w:rsid w:val="009C2CA7"/>
    <w:rsid w:val="009C328C"/>
    <w:rsid w:val="009C3706"/>
    <w:rsid w:val="009C3A3A"/>
    <w:rsid w:val="009C426B"/>
    <w:rsid w:val="009C4531"/>
    <w:rsid w:val="009C62CD"/>
    <w:rsid w:val="009C6CEA"/>
    <w:rsid w:val="009C731F"/>
    <w:rsid w:val="009C7B85"/>
    <w:rsid w:val="009D0254"/>
    <w:rsid w:val="009D05E0"/>
    <w:rsid w:val="009D0900"/>
    <w:rsid w:val="009D1A64"/>
    <w:rsid w:val="009D1ACE"/>
    <w:rsid w:val="009D1D3B"/>
    <w:rsid w:val="009D3FA0"/>
    <w:rsid w:val="009D418C"/>
    <w:rsid w:val="009D43A0"/>
    <w:rsid w:val="009D5605"/>
    <w:rsid w:val="009D5825"/>
    <w:rsid w:val="009D5B91"/>
    <w:rsid w:val="009D5C57"/>
    <w:rsid w:val="009D5DDC"/>
    <w:rsid w:val="009D64EC"/>
    <w:rsid w:val="009D65AF"/>
    <w:rsid w:val="009D6A12"/>
    <w:rsid w:val="009D792E"/>
    <w:rsid w:val="009D7BA8"/>
    <w:rsid w:val="009E0246"/>
    <w:rsid w:val="009E02FE"/>
    <w:rsid w:val="009E051C"/>
    <w:rsid w:val="009E0DFE"/>
    <w:rsid w:val="009E0E56"/>
    <w:rsid w:val="009E11A5"/>
    <w:rsid w:val="009E123A"/>
    <w:rsid w:val="009E1947"/>
    <w:rsid w:val="009E2489"/>
    <w:rsid w:val="009E2494"/>
    <w:rsid w:val="009E274A"/>
    <w:rsid w:val="009E2BE5"/>
    <w:rsid w:val="009E31F6"/>
    <w:rsid w:val="009E3782"/>
    <w:rsid w:val="009E404A"/>
    <w:rsid w:val="009E4C07"/>
    <w:rsid w:val="009E6B40"/>
    <w:rsid w:val="009E6D77"/>
    <w:rsid w:val="009E6E53"/>
    <w:rsid w:val="009E7021"/>
    <w:rsid w:val="009E74DB"/>
    <w:rsid w:val="009E777F"/>
    <w:rsid w:val="009E7948"/>
    <w:rsid w:val="009E7CCC"/>
    <w:rsid w:val="009E7CF7"/>
    <w:rsid w:val="009F00C0"/>
    <w:rsid w:val="009F0CBB"/>
    <w:rsid w:val="009F1088"/>
    <w:rsid w:val="009F1E0E"/>
    <w:rsid w:val="009F1E12"/>
    <w:rsid w:val="009F260A"/>
    <w:rsid w:val="009F4068"/>
    <w:rsid w:val="009F40A5"/>
    <w:rsid w:val="009F4E3C"/>
    <w:rsid w:val="009F507B"/>
    <w:rsid w:val="009F6120"/>
    <w:rsid w:val="009F64C9"/>
    <w:rsid w:val="009F67D2"/>
    <w:rsid w:val="009F6AE6"/>
    <w:rsid w:val="009F7115"/>
    <w:rsid w:val="009F77B8"/>
    <w:rsid w:val="00A0030B"/>
    <w:rsid w:val="00A00484"/>
    <w:rsid w:val="00A004A4"/>
    <w:rsid w:val="00A00D76"/>
    <w:rsid w:val="00A01184"/>
    <w:rsid w:val="00A013C6"/>
    <w:rsid w:val="00A01449"/>
    <w:rsid w:val="00A01AE4"/>
    <w:rsid w:val="00A02834"/>
    <w:rsid w:val="00A037C2"/>
    <w:rsid w:val="00A03D43"/>
    <w:rsid w:val="00A03DF8"/>
    <w:rsid w:val="00A04380"/>
    <w:rsid w:val="00A04786"/>
    <w:rsid w:val="00A04D1A"/>
    <w:rsid w:val="00A04F2F"/>
    <w:rsid w:val="00A05379"/>
    <w:rsid w:val="00A05472"/>
    <w:rsid w:val="00A05785"/>
    <w:rsid w:val="00A05810"/>
    <w:rsid w:val="00A05C32"/>
    <w:rsid w:val="00A05DA8"/>
    <w:rsid w:val="00A05E71"/>
    <w:rsid w:val="00A0653F"/>
    <w:rsid w:val="00A06758"/>
    <w:rsid w:val="00A07A18"/>
    <w:rsid w:val="00A07FFB"/>
    <w:rsid w:val="00A10056"/>
    <w:rsid w:val="00A104CC"/>
    <w:rsid w:val="00A10822"/>
    <w:rsid w:val="00A11429"/>
    <w:rsid w:val="00A11CD0"/>
    <w:rsid w:val="00A11E41"/>
    <w:rsid w:val="00A123BF"/>
    <w:rsid w:val="00A125C8"/>
    <w:rsid w:val="00A12A49"/>
    <w:rsid w:val="00A13948"/>
    <w:rsid w:val="00A13BC9"/>
    <w:rsid w:val="00A14B3E"/>
    <w:rsid w:val="00A1503D"/>
    <w:rsid w:val="00A1555B"/>
    <w:rsid w:val="00A155C5"/>
    <w:rsid w:val="00A15672"/>
    <w:rsid w:val="00A159B5"/>
    <w:rsid w:val="00A16674"/>
    <w:rsid w:val="00A16AD8"/>
    <w:rsid w:val="00A16EF5"/>
    <w:rsid w:val="00A17F92"/>
    <w:rsid w:val="00A2021E"/>
    <w:rsid w:val="00A203A4"/>
    <w:rsid w:val="00A211D1"/>
    <w:rsid w:val="00A21C95"/>
    <w:rsid w:val="00A21CF3"/>
    <w:rsid w:val="00A21F38"/>
    <w:rsid w:val="00A2264A"/>
    <w:rsid w:val="00A22901"/>
    <w:rsid w:val="00A23504"/>
    <w:rsid w:val="00A23E41"/>
    <w:rsid w:val="00A242F8"/>
    <w:rsid w:val="00A24813"/>
    <w:rsid w:val="00A24998"/>
    <w:rsid w:val="00A24DB9"/>
    <w:rsid w:val="00A25666"/>
    <w:rsid w:val="00A259FF"/>
    <w:rsid w:val="00A25A14"/>
    <w:rsid w:val="00A26F18"/>
    <w:rsid w:val="00A27AEC"/>
    <w:rsid w:val="00A31611"/>
    <w:rsid w:val="00A31B99"/>
    <w:rsid w:val="00A320DB"/>
    <w:rsid w:val="00A32911"/>
    <w:rsid w:val="00A343AF"/>
    <w:rsid w:val="00A34800"/>
    <w:rsid w:val="00A348B5"/>
    <w:rsid w:val="00A34EED"/>
    <w:rsid w:val="00A352CD"/>
    <w:rsid w:val="00A3561D"/>
    <w:rsid w:val="00A35806"/>
    <w:rsid w:val="00A3583D"/>
    <w:rsid w:val="00A35D16"/>
    <w:rsid w:val="00A35DE4"/>
    <w:rsid w:val="00A35E29"/>
    <w:rsid w:val="00A367A8"/>
    <w:rsid w:val="00A36B8F"/>
    <w:rsid w:val="00A36DF7"/>
    <w:rsid w:val="00A37097"/>
    <w:rsid w:val="00A370CE"/>
    <w:rsid w:val="00A37444"/>
    <w:rsid w:val="00A3751F"/>
    <w:rsid w:val="00A37B93"/>
    <w:rsid w:val="00A37BCD"/>
    <w:rsid w:val="00A40371"/>
    <w:rsid w:val="00A40D71"/>
    <w:rsid w:val="00A413C6"/>
    <w:rsid w:val="00A41689"/>
    <w:rsid w:val="00A41D8B"/>
    <w:rsid w:val="00A41F55"/>
    <w:rsid w:val="00A41F80"/>
    <w:rsid w:val="00A42592"/>
    <w:rsid w:val="00A425DA"/>
    <w:rsid w:val="00A42834"/>
    <w:rsid w:val="00A432C5"/>
    <w:rsid w:val="00A43981"/>
    <w:rsid w:val="00A43C59"/>
    <w:rsid w:val="00A43EA9"/>
    <w:rsid w:val="00A44123"/>
    <w:rsid w:val="00A44D3F"/>
    <w:rsid w:val="00A4545B"/>
    <w:rsid w:val="00A45B68"/>
    <w:rsid w:val="00A462DF"/>
    <w:rsid w:val="00A4677B"/>
    <w:rsid w:val="00A467C8"/>
    <w:rsid w:val="00A46CB8"/>
    <w:rsid w:val="00A47078"/>
    <w:rsid w:val="00A474B2"/>
    <w:rsid w:val="00A502CD"/>
    <w:rsid w:val="00A503AC"/>
    <w:rsid w:val="00A50ECD"/>
    <w:rsid w:val="00A51531"/>
    <w:rsid w:val="00A518F3"/>
    <w:rsid w:val="00A51A6D"/>
    <w:rsid w:val="00A52729"/>
    <w:rsid w:val="00A53538"/>
    <w:rsid w:val="00A53675"/>
    <w:rsid w:val="00A5391F"/>
    <w:rsid w:val="00A53A88"/>
    <w:rsid w:val="00A54061"/>
    <w:rsid w:val="00A54137"/>
    <w:rsid w:val="00A54234"/>
    <w:rsid w:val="00A54C88"/>
    <w:rsid w:val="00A564D7"/>
    <w:rsid w:val="00A56A43"/>
    <w:rsid w:val="00A56B6A"/>
    <w:rsid w:val="00A56B88"/>
    <w:rsid w:val="00A56C71"/>
    <w:rsid w:val="00A57233"/>
    <w:rsid w:val="00A572B2"/>
    <w:rsid w:val="00A57566"/>
    <w:rsid w:val="00A578DC"/>
    <w:rsid w:val="00A578EF"/>
    <w:rsid w:val="00A57D98"/>
    <w:rsid w:val="00A57EFF"/>
    <w:rsid w:val="00A6008D"/>
    <w:rsid w:val="00A6147A"/>
    <w:rsid w:val="00A61CF8"/>
    <w:rsid w:val="00A61E4A"/>
    <w:rsid w:val="00A63002"/>
    <w:rsid w:val="00A6334C"/>
    <w:rsid w:val="00A63660"/>
    <w:rsid w:val="00A636F7"/>
    <w:rsid w:val="00A640E2"/>
    <w:rsid w:val="00A6438A"/>
    <w:rsid w:val="00A64732"/>
    <w:rsid w:val="00A64D65"/>
    <w:rsid w:val="00A64D75"/>
    <w:rsid w:val="00A66652"/>
    <w:rsid w:val="00A6724D"/>
    <w:rsid w:val="00A6725B"/>
    <w:rsid w:val="00A672F2"/>
    <w:rsid w:val="00A67931"/>
    <w:rsid w:val="00A67BDE"/>
    <w:rsid w:val="00A70254"/>
    <w:rsid w:val="00A70605"/>
    <w:rsid w:val="00A70939"/>
    <w:rsid w:val="00A723C1"/>
    <w:rsid w:val="00A72D7B"/>
    <w:rsid w:val="00A73134"/>
    <w:rsid w:val="00A7365A"/>
    <w:rsid w:val="00A739C2"/>
    <w:rsid w:val="00A73BAD"/>
    <w:rsid w:val="00A74ABB"/>
    <w:rsid w:val="00A75863"/>
    <w:rsid w:val="00A76001"/>
    <w:rsid w:val="00A777B2"/>
    <w:rsid w:val="00A77EEC"/>
    <w:rsid w:val="00A77F7C"/>
    <w:rsid w:val="00A810E8"/>
    <w:rsid w:val="00A823D8"/>
    <w:rsid w:val="00A825D4"/>
    <w:rsid w:val="00A828F6"/>
    <w:rsid w:val="00A82A69"/>
    <w:rsid w:val="00A82B73"/>
    <w:rsid w:val="00A82C8F"/>
    <w:rsid w:val="00A831DD"/>
    <w:rsid w:val="00A83370"/>
    <w:rsid w:val="00A83604"/>
    <w:rsid w:val="00A837D0"/>
    <w:rsid w:val="00A837F4"/>
    <w:rsid w:val="00A8385F"/>
    <w:rsid w:val="00A83B38"/>
    <w:rsid w:val="00A83BFA"/>
    <w:rsid w:val="00A83CC4"/>
    <w:rsid w:val="00A84272"/>
    <w:rsid w:val="00A84663"/>
    <w:rsid w:val="00A84C5A"/>
    <w:rsid w:val="00A84DD1"/>
    <w:rsid w:val="00A85E4D"/>
    <w:rsid w:val="00A863EB"/>
    <w:rsid w:val="00A86638"/>
    <w:rsid w:val="00A86BCD"/>
    <w:rsid w:val="00A86C0D"/>
    <w:rsid w:val="00A86E8B"/>
    <w:rsid w:val="00A87164"/>
    <w:rsid w:val="00A871A9"/>
    <w:rsid w:val="00A87BA6"/>
    <w:rsid w:val="00A9139E"/>
    <w:rsid w:val="00A914F6"/>
    <w:rsid w:val="00A9209F"/>
    <w:rsid w:val="00A927AC"/>
    <w:rsid w:val="00A93072"/>
    <w:rsid w:val="00A93860"/>
    <w:rsid w:val="00A938BD"/>
    <w:rsid w:val="00A93953"/>
    <w:rsid w:val="00A9460F"/>
    <w:rsid w:val="00A94AC3"/>
    <w:rsid w:val="00A9570F"/>
    <w:rsid w:val="00A959D8"/>
    <w:rsid w:val="00A96771"/>
    <w:rsid w:val="00A96C2F"/>
    <w:rsid w:val="00A96D2A"/>
    <w:rsid w:val="00A97374"/>
    <w:rsid w:val="00A97B46"/>
    <w:rsid w:val="00A97D81"/>
    <w:rsid w:val="00AA098B"/>
    <w:rsid w:val="00AA0A49"/>
    <w:rsid w:val="00AA0B46"/>
    <w:rsid w:val="00AA0BFA"/>
    <w:rsid w:val="00AA113D"/>
    <w:rsid w:val="00AA116A"/>
    <w:rsid w:val="00AA1648"/>
    <w:rsid w:val="00AA247E"/>
    <w:rsid w:val="00AA2564"/>
    <w:rsid w:val="00AA2C21"/>
    <w:rsid w:val="00AA2DA2"/>
    <w:rsid w:val="00AA30FC"/>
    <w:rsid w:val="00AA5B19"/>
    <w:rsid w:val="00AA60E9"/>
    <w:rsid w:val="00AA66FB"/>
    <w:rsid w:val="00AA6BD5"/>
    <w:rsid w:val="00AA6BD8"/>
    <w:rsid w:val="00AA6C7D"/>
    <w:rsid w:val="00AA7581"/>
    <w:rsid w:val="00AA7936"/>
    <w:rsid w:val="00AA7FD6"/>
    <w:rsid w:val="00AB0329"/>
    <w:rsid w:val="00AB042A"/>
    <w:rsid w:val="00AB11AD"/>
    <w:rsid w:val="00AB19EF"/>
    <w:rsid w:val="00AB2495"/>
    <w:rsid w:val="00AB26F8"/>
    <w:rsid w:val="00AB26FF"/>
    <w:rsid w:val="00AB2A54"/>
    <w:rsid w:val="00AB2CB0"/>
    <w:rsid w:val="00AB2D34"/>
    <w:rsid w:val="00AB3430"/>
    <w:rsid w:val="00AB348E"/>
    <w:rsid w:val="00AB34BC"/>
    <w:rsid w:val="00AB37B9"/>
    <w:rsid w:val="00AB3DD7"/>
    <w:rsid w:val="00AB4AD1"/>
    <w:rsid w:val="00AB533C"/>
    <w:rsid w:val="00AB5E07"/>
    <w:rsid w:val="00AB626B"/>
    <w:rsid w:val="00AB6CAA"/>
    <w:rsid w:val="00AB6E64"/>
    <w:rsid w:val="00AB7CFA"/>
    <w:rsid w:val="00AC0310"/>
    <w:rsid w:val="00AC04DB"/>
    <w:rsid w:val="00AC06F6"/>
    <w:rsid w:val="00AC0A4F"/>
    <w:rsid w:val="00AC0B8C"/>
    <w:rsid w:val="00AC1E4A"/>
    <w:rsid w:val="00AC245B"/>
    <w:rsid w:val="00AC2705"/>
    <w:rsid w:val="00AC276C"/>
    <w:rsid w:val="00AC2C35"/>
    <w:rsid w:val="00AC3366"/>
    <w:rsid w:val="00AC3A18"/>
    <w:rsid w:val="00AC45C3"/>
    <w:rsid w:val="00AC4D53"/>
    <w:rsid w:val="00AC5B42"/>
    <w:rsid w:val="00AC5B48"/>
    <w:rsid w:val="00AC6190"/>
    <w:rsid w:val="00AC6228"/>
    <w:rsid w:val="00AC6545"/>
    <w:rsid w:val="00AC71D1"/>
    <w:rsid w:val="00AC788D"/>
    <w:rsid w:val="00AD001D"/>
    <w:rsid w:val="00AD046E"/>
    <w:rsid w:val="00AD0C9B"/>
    <w:rsid w:val="00AD1450"/>
    <w:rsid w:val="00AD15E8"/>
    <w:rsid w:val="00AD20DA"/>
    <w:rsid w:val="00AD2F89"/>
    <w:rsid w:val="00AD356D"/>
    <w:rsid w:val="00AD48A4"/>
    <w:rsid w:val="00AD5489"/>
    <w:rsid w:val="00AD5D19"/>
    <w:rsid w:val="00AD5F79"/>
    <w:rsid w:val="00AD6502"/>
    <w:rsid w:val="00AD7530"/>
    <w:rsid w:val="00AD7930"/>
    <w:rsid w:val="00AD7AD3"/>
    <w:rsid w:val="00AE0695"/>
    <w:rsid w:val="00AE0A8D"/>
    <w:rsid w:val="00AE1285"/>
    <w:rsid w:val="00AE1CF5"/>
    <w:rsid w:val="00AE1DF7"/>
    <w:rsid w:val="00AE1F71"/>
    <w:rsid w:val="00AE3444"/>
    <w:rsid w:val="00AE3A1D"/>
    <w:rsid w:val="00AE3B35"/>
    <w:rsid w:val="00AE3E7E"/>
    <w:rsid w:val="00AE4277"/>
    <w:rsid w:val="00AE4428"/>
    <w:rsid w:val="00AE46F8"/>
    <w:rsid w:val="00AE4A06"/>
    <w:rsid w:val="00AE5D79"/>
    <w:rsid w:val="00AE6239"/>
    <w:rsid w:val="00AE7E53"/>
    <w:rsid w:val="00AE7FAB"/>
    <w:rsid w:val="00AF1315"/>
    <w:rsid w:val="00AF19BF"/>
    <w:rsid w:val="00AF1DA7"/>
    <w:rsid w:val="00AF2480"/>
    <w:rsid w:val="00AF27AD"/>
    <w:rsid w:val="00AF2DC3"/>
    <w:rsid w:val="00AF3E5F"/>
    <w:rsid w:val="00AF57BA"/>
    <w:rsid w:val="00AF6056"/>
    <w:rsid w:val="00AF684A"/>
    <w:rsid w:val="00AF6A27"/>
    <w:rsid w:val="00AF71E3"/>
    <w:rsid w:val="00B003D1"/>
    <w:rsid w:val="00B00E75"/>
    <w:rsid w:val="00B0167F"/>
    <w:rsid w:val="00B01731"/>
    <w:rsid w:val="00B022E2"/>
    <w:rsid w:val="00B0285E"/>
    <w:rsid w:val="00B033E5"/>
    <w:rsid w:val="00B03A63"/>
    <w:rsid w:val="00B04030"/>
    <w:rsid w:val="00B0472A"/>
    <w:rsid w:val="00B05DD7"/>
    <w:rsid w:val="00B06B4C"/>
    <w:rsid w:val="00B06B98"/>
    <w:rsid w:val="00B10181"/>
    <w:rsid w:val="00B107C4"/>
    <w:rsid w:val="00B10CE5"/>
    <w:rsid w:val="00B10FE8"/>
    <w:rsid w:val="00B11631"/>
    <w:rsid w:val="00B117EF"/>
    <w:rsid w:val="00B129A4"/>
    <w:rsid w:val="00B13C29"/>
    <w:rsid w:val="00B14BC5"/>
    <w:rsid w:val="00B14EA5"/>
    <w:rsid w:val="00B151DC"/>
    <w:rsid w:val="00B15A76"/>
    <w:rsid w:val="00B15B95"/>
    <w:rsid w:val="00B15CB9"/>
    <w:rsid w:val="00B15F7A"/>
    <w:rsid w:val="00B161A2"/>
    <w:rsid w:val="00B161D0"/>
    <w:rsid w:val="00B16C56"/>
    <w:rsid w:val="00B17200"/>
    <w:rsid w:val="00B201A4"/>
    <w:rsid w:val="00B201D1"/>
    <w:rsid w:val="00B2081F"/>
    <w:rsid w:val="00B21314"/>
    <w:rsid w:val="00B213A6"/>
    <w:rsid w:val="00B21831"/>
    <w:rsid w:val="00B21B5A"/>
    <w:rsid w:val="00B2202A"/>
    <w:rsid w:val="00B235B0"/>
    <w:rsid w:val="00B24693"/>
    <w:rsid w:val="00B2475C"/>
    <w:rsid w:val="00B2489F"/>
    <w:rsid w:val="00B24947"/>
    <w:rsid w:val="00B24A98"/>
    <w:rsid w:val="00B24BF1"/>
    <w:rsid w:val="00B24DF6"/>
    <w:rsid w:val="00B254F5"/>
    <w:rsid w:val="00B256BF"/>
    <w:rsid w:val="00B25EBB"/>
    <w:rsid w:val="00B26536"/>
    <w:rsid w:val="00B2713E"/>
    <w:rsid w:val="00B27A61"/>
    <w:rsid w:val="00B27B90"/>
    <w:rsid w:val="00B30050"/>
    <w:rsid w:val="00B3035F"/>
    <w:rsid w:val="00B30DB2"/>
    <w:rsid w:val="00B31109"/>
    <w:rsid w:val="00B31495"/>
    <w:rsid w:val="00B31735"/>
    <w:rsid w:val="00B31FB3"/>
    <w:rsid w:val="00B32A05"/>
    <w:rsid w:val="00B32A25"/>
    <w:rsid w:val="00B3310A"/>
    <w:rsid w:val="00B34FE2"/>
    <w:rsid w:val="00B35165"/>
    <w:rsid w:val="00B35166"/>
    <w:rsid w:val="00B35274"/>
    <w:rsid w:val="00B357D8"/>
    <w:rsid w:val="00B360F4"/>
    <w:rsid w:val="00B3667B"/>
    <w:rsid w:val="00B36798"/>
    <w:rsid w:val="00B36A00"/>
    <w:rsid w:val="00B370D2"/>
    <w:rsid w:val="00B37429"/>
    <w:rsid w:val="00B3792B"/>
    <w:rsid w:val="00B37BFC"/>
    <w:rsid w:val="00B37E5F"/>
    <w:rsid w:val="00B40358"/>
    <w:rsid w:val="00B40F2D"/>
    <w:rsid w:val="00B415AB"/>
    <w:rsid w:val="00B41614"/>
    <w:rsid w:val="00B41CA2"/>
    <w:rsid w:val="00B41EFA"/>
    <w:rsid w:val="00B42360"/>
    <w:rsid w:val="00B42851"/>
    <w:rsid w:val="00B429A8"/>
    <w:rsid w:val="00B42D94"/>
    <w:rsid w:val="00B42F80"/>
    <w:rsid w:val="00B432BC"/>
    <w:rsid w:val="00B435CB"/>
    <w:rsid w:val="00B436A5"/>
    <w:rsid w:val="00B43D9A"/>
    <w:rsid w:val="00B4533C"/>
    <w:rsid w:val="00B457DE"/>
    <w:rsid w:val="00B45B5C"/>
    <w:rsid w:val="00B45D4A"/>
    <w:rsid w:val="00B45DF3"/>
    <w:rsid w:val="00B465EC"/>
    <w:rsid w:val="00B467B0"/>
    <w:rsid w:val="00B468B2"/>
    <w:rsid w:val="00B46A04"/>
    <w:rsid w:val="00B4714F"/>
    <w:rsid w:val="00B505C8"/>
    <w:rsid w:val="00B50DB8"/>
    <w:rsid w:val="00B51206"/>
    <w:rsid w:val="00B51DDE"/>
    <w:rsid w:val="00B527F2"/>
    <w:rsid w:val="00B52E31"/>
    <w:rsid w:val="00B5320E"/>
    <w:rsid w:val="00B53654"/>
    <w:rsid w:val="00B538FB"/>
    <w:rsid w:val="00B53905"/>
    <w:rsid w:val="00B53946"/>
    <w:rsid w:val="00B53B2E"/>
    <w:rsid w:val="00B53D2A"/>
    <w:rsid w:val="00B541F8"/>
    <w:rsid w:val="00B542E3"/>
    <w:rsid w:val="00B546DB"/>
    <w:rsid w:val="00B54AC8"/>
    <w:rsid w:val="00B54B5B"/>
    <w:rsid w:val="00B54E55"/>
    <w:rsid w:val="00B54E6B"/>
    <w:rsid w:val="00B5562E"/>
    <w:rsid w:val="00B55862"/>
    <w:rsid w:val="00B55A16"/>
    <w:rsid w:val="00B55D65"/>
    <w:rsid w:val="00B55E77"/>
    <w:rsid w:val="00B56305"/>
    <w:rsid w:val="00B57000"/>
    <w:rsid w:val="00B570F6"/>
    <w:rsid w:val="00B573C8"/>
    <w:rsid w:val="00B57414"/>
    <w:rsid w:val="00B574F7"/>
    <w:rsid w:val="00B57F58"/>
    <w:rsid w:val="00B604AA"/>
    <w:rsid w:val="00B60939"/>
    <w:rsid w:val="00B60AFD"/>
    <w:rsid w:val="00B60F1B"/>
    <w:rsid w:val="00B61352"/>
    <w:rsid w:val="00B613D5"/>
    <w:rsid w:val="00B61465"/>
    <w:rsid w:val="00B61DBF"/>
    <w:rsid w:val="00B62139"/>
    <w:rsid w:val="00B62715"/>
    <w:rsid w:val="00B63056"/>
    <w:rsid w:val="00B630FF"/>
    <w:rsid w:val="00B631FE"/>
    <w:rsid w:val="00B6436C"/>
    <w:rsid w:val="00B64681"/>
    <w:rsid w:val="00B648B5"/>
    <w:rsid w:val="00B64BF6"/>
    <w:rsid w:val="00B6526E"/>
    <w:rsid w:val="00B65611"/>
    <w:rsid w:val="00B65D69"/>
    <w:rsid w:val="00B65EFF"/>
    <w:rsid w:val="00B6697E"/>
    <w:rsid w:val="00B66B83"/>
    <w:rsid w:val="00B66DA5"/>
    <w:rsid w:val="00B67217"/>
    <w:rsid w:val="00B6734B"/>
    <w:rsid w:val="00B67D86"/>
    <w:rsid w:val="00B701AE"/>
    <w:rsid w:val="00B70462"/>
    <w:rsid w:val="00B70904"/>
    <w:rsid w:val="00B70E8E"/>
    <w:rsid w:val="00B715B8"/>
    <w:rsid w:val="00B71E74"/>
    <w:rsid w:val="00B71E94"/>
    <w:rsid w:val="00B72053"/>
    <w:rsid w:val="00B72CCB"/>
    <w:rsid w:val="00B73215"/>
    <w:rsid w:val="00B73577"/>
    <w:rsid w:val="00B735E6"/>
    <w:rsid w:val="00B7392B"/>
    <w:rsid w:val="00B749B5"/>
    <w:rsid w:val="00B74CAB"/>
    <w:rsid w:val="00B753E0"/>
    <w:rsid w:val="00B7560B"/>
    <w:rsid w:val="00B76C92"/>
    <w:rsid w:val="00B774E6"/>
    <w:rsid w:val="00B77703"/>
    <w:rsid w:val="00B80210"/>
    <w:rsid w:val="00B80EFD"/>
    <w:rsid w:val="00B810DE"/>
    <w:rsid w:val="00B81270"/>
    <w:rsid w:val="00B81312"/>
    <w:rsid w:val="00B818A4"/>
    <w:rsid w:val="00B82A32"/>
    <w:rsid w:val="00B830E8"/>
    <w:rsid w:val="00B83739"/>
    <w:rsid w:val="00B84117"/>
    <w:rsid w:val="00B84DF7"/>
    <w:rsid w:val="00B85230"/>
    <w:rsid w:val="00B85253"/>
    <w:rsid w:val="00B85434"/>
    <w:rsid w:val="00B858F0"/>
    <w:rsid w:val="00B85AA2"/>
    <w:rsid w:val="00B85C57"/>
    <w:rsid w:val="00B86424"/>
    <w:rsid w:val="00B8649C"/>
    <w:rsid w:val="00B8694C"/>
    <w:rsid w:val="00B8695D"/>
    <w:rsid w:val="00B87F0A"/>
    <w:rsid w:val="00B90272"/>
    <w:rsid w:val="00B9135A"/>
    <w:rsid w:val="00B9170F"/>
    <w:rsid w:val="00B917AB"/>
    <w:rsid w:val="00B91AD7"/>
    <w:rsid w:val="00B92D0B"/>
    <w:rsid w:val="00B92E18"/>
    <w:rsid w:val="00B93FDF"/>
    <w:rsid w:val="00B94945"/>
    <w:rsid w:val="00B94DD6"/>
    <w:rsid w:val="00B95000"/>
    <w:rsid w:val="00B951E8"/>
    <w:rsid w:val="00B959F8"/>
    <w:rsid w:val="00B95CD6"/>
    <w:rsid w:val="00B96EC1"/>
    <w:rsid w:val="00B96FD5"/>
    <w:rsid w:val="00B97259"/>
    <w:rsid w:val="00B97A8C"/>
    <w:rsid w:val="00BA0A63"/>
    <w:rsid w:val="00BA11EA"/>
    <w:rsid w:val="00BA1469"/>
    <w:rsid w:val="00BA1F1C"/>
    <w:rsid w:val="00BA206E"/>
    <w:rsid w:val="00BA250B"/>
    <w:rsid w:val="00BA27CF"/>
    <w:rsid w:val="00BA2820"/>
    <w:rsid w:val="00BA2C5B"/>
    <w:rsid w:val="00BA3085"/>
    <w:rsid w:val="00BA322D"/>
    <w:rsid w:val="00BA3920"/>
    <w:rsid w:val="00BA3B3C"/>
    <w:rsid w:val="00BA45F8"/>
    <w:rsid w:val="00BA4C98"/>
    <w:rsid w:val="00BA53B9"/>
    <w:rsid w:val="00BA5DFB"/>
    <w:rsid w:val="00BA611C"/>
    <w:rsid w:val="00BA63FA"/>
    <w:rsid w:val="00BA6678"/>
    <w:rsid w:val="00BB00B3"/>
    <w:rsid w:val="00BB05B8"/>
    <w:rsid w:val="00BB0BDD"/>
    <w:rsid w:val="00BB10A3"/>
    <w:rsid w:val="00BB15BC"/>
    <w:rsid w:val="00BB176C"/>
    <w:rsid w:val="00BB2816"/>
    <w:rsid w:val="00BB2A4D"/>
    <w:rsid w:val="00BB2A73"/>
    <w:rsid w:val="00BB30F0"/>
    <w:rsid w:val="00BB3254"/>
    <w:rsid w:val="00BB37B3"/>
    <w:rsid w:val="00BB3991"/>
    <w:rsid w:val="00BB3A45"/>
    <w:rsid w:val="00BB3AB5"/>
    <w:rsid w:val="00BB4ACC"/>
    <w:rsid w:val="00BB644D"/>
    <w:rsid w:val="00BB678F"/>
    <w:rsid w:val="00BB6C94"/>
    <w:rsid w:val="00BB703E"/>
    <w:rsid w:val="00BB732D"/>
    <w:rsid w:val="00BB7405"/>
    <w:rsid w:val="00BB7A1A"/>
    <w:rsid w:val="00BB7DDD"/>
    <w:rsid w:val="00BC009F"/>
    <w:rsid w:val="00BC00B4"/>
    <w:rsid w:val="00BC0764"/>
    <w:rsid w:val="00BC0C87"/>
    <w:rsid w:val="00BC0FB4"/>
    <w:rsid w:val="00BC18E6"/>
    <w:rsid w:val="00BC257A"/>
    <w:rsid w:val="00BC2EBD"/>
    <w:rsid w:val="00BC3325"/>
    <w:rsid w:val="00BC3631"/>
    <w:rsid w:val="00BC38FE"/>
    <w:rsid w:val="00BC39F9"/>
    <w:rsid w:val="00BC3B0F"/>
    <w:rsid w:val="00BC3C9C"/>
    <w:rsid w:val="00BC453B"/>
    <w:rsid w:val="00BC459B"/>
    <w:rsid w:val="00BC545D"/>
    <w:rsid w:val="00BC54F0"/>
    <w:rsid w:val="00BC591F"/>
    <w:rsid w:val="00BC5A65"/>
    <w:rsid w:val="00BC5F9C"/>
    <w:rsid w:val="00BC6367"/>
    <w:rsid w:val="00BC63DC"/>
    <w:rsid w:val="00BC6B9C"/>
    <w:rsid w:val="00BC6E72"/>
    <w:rsid w:val="00BC6E83"/>
    <w:rsid w:val="00BC74A2"/>
    <w:rsid w:val="00BC79AB"/>
    <w:rsid w:val="00BC7C04"/>
    <w:rsid w:val="00BC7D6D"/>
    <w:rsid w:val="00BC7F2A"/>
    <w:rsid w:val="00BD06B5"/>
    <w:rsid w:val="00BD08AC"/>
    <w:rsid w:val="00BD0D9C"/>
    <w:rsid w:val="00BD0E48"/>
    <w:rsid w:val="00BD1210"/>
    <w:rsid w:val="00BD2108"/>
    <w:rsid w:val="00BD2262"/>
    <w:rsid w:val="00BD249A"/>
    <w:rsid w:val="00BD2721"/>
    <w:rsid w:val="00BD37AD"/>
    <w:rsid w:val="00BD481B"/>
    <w:rsid w:val="00BD585B"/>
    <w:rsid w:val="00BD5BA1"/>
    <w:rsid w:val="00BD68A3"/>
    <w:rsid w:val="00BD6938"/>
    <w:rsid w:val="00BD6B40"/>
    <w:rsid w:val="00BD6CF3"/>
    <w:rsid w:val="00BD6F0D"/>
    <w:rsid w:val="00BD7189"/>
    <w:rsid w:val="00BD74BE"/>
    <w:rsid w:val="00BD7898"/>
    <w:rsid w:val="00BD7F72"/>
    <w:rsid w:val="00BE0467"/>
    <w:rsid w:val="00BE0891"/>
    <w:rsid w:val="00BE0ECA"/>
    <w:rsid w:val="00BE1200"/>
    <w:rsid w:val="00BE1BEE"/>
    <w:rsid w:val="00BE2085"/>
    <w:rsid w:val="00BE2180"/>
    <w:rsid w:val="00BE21F2"/>
    <w:rsid w:val="00BE2F7E"/>
    <w:rsid w:val="00BE3B78"/>
    <w:rsid w:val="00BE3ED9"/>
    <w:rsid w:val="00BE4275"/>
    <w:rsid w:val="00BE4D0B"/>
    <w:rsid w:val="00BE4D4B"/>
    <w:rsid w:val="00BE5C9E"/>
    <w:rsid w:val="00BE5FAD"/>
    <w:rsid w:val="00BE6523"/>
    <w:rsid w:val="00BE6954"/>
    <w:rsid w:val="00BE6A08"/>
    <w:rsid w:val="00BE7466"/>
    <w:rsid w:val="00BE7547"/>
    <w:rsid w:val="00BE7FD1"/>
    <w:rsid w:val="00BF0233"/>
    <w:rsid w:val="00BF06AE"/>
    <w:rsid w:val="00BF0F95"/>
    <w:rsid w:val="00BF10C5"/>
    <w:rsid w:val="00BF2433"/>
    <w:rsid w:val="00BF2E6E"/>
    <w:rsid w:val="00BF343B"/>
    <w:rsid w:val="00BF40F1"/>
    <w:rsid w:val="00BF420A"/>
    <w:rsid w:val="00BF4BF1"/>
    <w:rsid w:val="00BF4D45"/>
    <w:rsid w:val="00BF4F75"/>
    <w:rsid w:val="00BF53A7"/>
    <w:rsid w:val="00BF61C9"/>
    <w:rsid w:val="00BF66E8"/>
    <w:rsid w:val="00BF6C94"/>
    <w:rsid w:val="00BF7496"/>
    <w:rsid w:val="00BF7753"/>
    <w:rsid w:val="00BF77E0"/>
    <w:rsid w:val="00C00424"/>
    <w:rsid w:val="00C00BB0"/>
    <w:rsid w:val="00C00DEE"/>
    <w:rsid w:val="00C00E3A"/>
    <w:rsid w:val="00C00F56"/>
    <w:rsid w:val="00C02958"/>
    <w:rsid w:val="00C02AC1"/>
    <w:rsid w:val="00C04238"/>
    <w:rsid w:val="00C0434A"/>
    <w:rsid w:val="00C04AC4"/>
    <w:rsid w:val="00C04CEF"/>
    <w:rsid w:val="00C0552E"/>
    <w:rsid w:val="00C05BCE"/>
    <w:rsid w:val="00C061EF"/>
    <w:rsid w:val="00C07122"/>
    <w:rsid w:val="00C074A8"/>
    <w:rsid w:val="00C07C11"/>
    <w:rsid w:val="00C101C0"/>
    <w:rsid w:val="00C10605"/>
    <w:rsid w:val="00C10D74"/>
    <w:rsid w:val="00C1173B"/>
    <w:rsid w:val="00C1179F"/>
    <w:rsid w:val="00C11858"/>
    <w:rsid w:val="00C12681"/>
    <w:rsid w:val="00C127B9"/>
    <w:rsid w:val="00C128FA"/>
    <w:rsid w:val="00C12C14"/>
    <w:rsid w:val="00C13C30"/>
    <w:rsid w:val="00C14350"/>
    <w:rsid w:val="00C14513"/>
    <w:rsid w:val="00C145CA"/>
    <w:rsid w:val="00C150DB"/>
    <w:rsid w:val="00C15133"/>
    <w:rsid w:val="00C151AC"/>
    <w:rsid w:val="00C15F04"/>
    <w:rsid w:val="00C1616F"/>
    <w:rsid w:val="00C16175"/>
    <w:rsid w:val="00C16A11"/>
    <w:rsid w:val="00C16AB1"/>
    <w:rsid w:val="00C16AEB"/>
    <w:rsid w:val="00C1727C"/>
    <w:rsid w:val="00C179B3"/>
    <w:rsid w:val="00C17B76"/>
    <w:rsid w:val="00C17E3F"/>
    <w:rsid w:val="00C200AA"/>
    <w:rsid w:val="00C20EB2"/>
    <w:rsid w:val="00C20FE9"/>
    <w:rsid w:val="00C21655"/>
    <w:rsid w:val="00C21E2B"/>
    <w:rsid w:val="00C22F54"/>
    <w:rsid w:val="00C23248"/>
    <w:rsid w:val="00C23395"/>
    <w:rsid w:val="00C237ED"/>
    <w:rsid w:val="00C24632"/>
    <w:rsid w:val="00C24694"/>
    <w:rsid w:val="00C24A50"/>
    <w:rsid w:val="00C251D2"/>
    <w:rsid w:val="00C25418"/>
    <w:rsid w:val="00C258B4"/>
    <w:rsid w:val="00C25D9C"/>
    <w:rsid w:val="00C25DE2"/>
    <w:rsid w:val="00C261DF"/>
    <w:rsid w:val="00C26D61"/>
    <w:rsid w:val="00C2778B"/>
    <w:rsid w:val="00C277E8"/>
    <w:rsid w:val="00C3025F"/>
    <w:rsid w:val="00C30647"/>
    <w:rsid w:val="00C31098"/>
    <w:rsid w:val="00C311E5"/>
    <w:rsid w:val="00C312D7"/>
    <w:rsid w:val="00C31404"/>
    <w:rsid w:val="00C31649"/>
    <w:rsid w:val="00C31678"/>
    <w:rsid w:val="00C31715"/>
    <w:rsid w:val="00C31DA3"/>
    <w:rsid w:val="00C326E5"/>
    <w:rsid w:val="00C32920"/>
    <w:rsid w:val="00C332A0"/>
    <w:rsid w:val="00C33A05"/>
    <w:rsid w:val="00C33BB2"/>
    <w:rsid w:val="00C3434C"/>
    <w:rsid w:val="00C34EF0"/>
    <w:rsid w:val="00C352D9"/>
    <w:rsid w:val="00C3591D"/>
    <w:rsid w:val="00C362DE"/>
    <w:rsid w:val="00C365D6"/>
    <w:rsid w:val="00C36E73"/>
    <w:rsid w:val="00C377AB"/>
    <w:rsid w:val="00C40385"/>
    <w:rsid w:val="00C409C4"/>
    <w:rsid w:val="00C412C0"/>
    <w:rsid w:val="00C41768"/>
    <w:rsid w:val="00C419A5"/>
    <w:rsid w:val="00C41B28"/>
    <w:rsid w:val="00C420A6"/>
    <w:rsid w:val="00C42752"/>
    <w:rsid w:val="00C4294D"/>
    <w:rsid w:val="00C429FC"/>
    <w:rsid w:val="00C436D3"/>
    <w:rsid w:val="00C443C4"/>
    <w:rsid w:val="00C44867"/>
    <w:rsid w:val="00C44A41"/>
    <w:rsid w:val="00C4562E"/>
    <w:rsid w:val="00C462A9"/>
    <w:rsid w:val="00C464DC"/>
    <w:rsid w:val="00C470EF"/>
    <w:rsid w:val="00C475AA"/>
    <w:rsid w:val="00C50B89"/>
    <w:rsid w:val="00C50CD5"/>
    <w:rsid w:val="00C512FF"/>
    <w:rsid w:val="00C51F73"/>
    <w:rsid w:val="00C525A3"/>
    <w:rsid w:val="00C527C7"/>
    <w:rsid w:val="00C527E6"/>
    <w:rsid w:val="00C52C54"/>
    <w:rsid w:val="00C52F4D"/>
    <w:rsid w:val="00C53716"/>
    <w:rsid w:val="00C538FE"/>
    <w:rsid w:val="00C53C98"/>
    <w:rsid w:val="00C53FB9"/>
    <w:rsid w:val="00C54684"/>
    <w:rsid w:val="00C546DD"/>
    <w:rsid w:val="00C54CD3"/>
    <w:rsid w:val="00C554CB"/>
    <w:rsid w:val="00C55B9D"/>
    <w:rsid w:val="00C5650B"/>
    <w:rsid w:val="00C56744"/>
    <w:rsid w:val="00C56B50"/>
    <w:rsid w:val="00C56FCF"/>
    <w:rsid w:val="00C57064"/>
    <w:rsid w:val="00C572A9"/>
    <w:rsid w:val="00C572F6"/>
    <w:rsid w:val="00C57B6C"/>
    <w:rsid w:val="00C60BDA"/>
    <w:rsid w:val="00C61544"/>
    <w:rsid w:val="00C6155D"/>
    <w:rsid w:val="00C6170F"/>
    <w:rsid w:val="00C61A59"/>
    <w:rsid w:val="00C61AF6"/>
    <w:rsid w:val="00C6227C"/>
    <w:rsid w:val="00C628A6"/>
    <w:rsid w:val="00C63C71"/>
    <w:rsid w:val="00C64344"/>
    <w:rsid w:val="00C64EFA"/>
    <w:rsid w:val="00C65108"/>
    <w:rsid w:val="00C6522A"/>
    <w:rsid w:val="00C65576"/>
    <w:rsid w:val="00C66165"/>
    <w:rsid w:val="00C67031"/>
    <w:rsid w:val="00C67E20"/>
    <w:rsid w:val="00C7060A"/>
    <w:rsid w:val="00C707D7"/>
    <w:rsid w:val="00C70B0E"/>
    <w:rsid w:val="00C7145F"/>
    <w:rsid w:val="00C7151A"/>
    <w:rsid w:val="00C717E3"/>
    <w:rsid w:val="00C71A44"/>
    <w:rsid w:val="00C71F60"/>
    <w:rsid w:val="00C72241"/>
    <w:rsid w:val="00C72F5E"/>
    <w:rsid w:val="00C7347C"/>
    <w:rsid w:val="00C73A38"/>
    <w:rsid w:val="00C73C76"/>
    <w:rsid w:val="00C73F7B"/>
    <w:rsid w:val="00C74E11"/>
    <w:rsid w:val="00C74F95"/>
    <w:rsid w:val="00C750C8"/>
    <w:rsid w:val="00C7560F"/>
    <w:rsid w:val="00C756B2"/>
    <w:rsid w:val="00C76CFD"/>
    <w:rsid w:val="00C77063"/>
    <w:rsid w:val="00C77481"/>
    <w:rsid w:val="00C7762A"/>
    <w:rsid w:val="00C80133"/>
    <w:rsid w:val="00C80A0E"/>
    <w:rsid w:val="00C81669"/>
    <w:rsid w:val="00C81774"/>
    <w:rsid w:val="00C81C00"/>
    <w:rsid w:val="00C8213F"/>
    <w:rsid w:val="00C8303F"/>
    <w:rsid w:val="00C8356A"/>
    <w:rsid w:val="00C83B1B"/>
    <w:rsid w:val="00C83C5E"/>
    <w:rsid w:val="00C844B9"/>
    <w:rsid w:val="00C84821"/>
    <w:rsid w:val="00C84C80"/>
    <w:rsid w:val="00C85154"/>
    <w:rsid w:val="00C85253"/>
    <w:rsid w:val="00C854F6"/>
    <w:rsid w:val="00C857AC"/>
    <w:rsid w:val="00C85A70"/>
    <w:rsid w:val="00C87218"/>
    <w:rsid w:val="00C874E3"/>
    <w:rsid w:val="00C8797A"/>
    <w:rsid w:val="00C87E71"/>
    <w:rsid w:val="00C900B8"/>
    <w:rsid w:val="00C90197"/>
    <w:rsid w:val="00C903CE"/>
    <w:rsid w:val="00C90587"/>
    <w:rsid w:val="00C9066B"/>
    <w:rsid w:val="00C9069D"/>
    <w:rsid w:val="00C90C71"/>
    <w:rsid w:val="00C90ECC"/>
    <w:rsid w:val="00C91164"/>
    <w:rsid w:val="00C91C7F"/>
    <w:rsid w:val="00C91DCD"/>
    <w:rsid w:val="00C91F51"/>
    <w:rsid w:val="00C91FD1"/>
    <w:rsid w:val="00C9241A"/>
    <w:rsid w:val="00C930CC"/>
    <w:rsid w:val="00C931CF"/>
    <w:rsid w:val="00C938CF"/>
    <w:rsid w:val="00C94053"/>
    <w:rsid w:val="00C942BD"/>
    <w:rsid w:val="00C9567F"/>
    <w:rsid w:val="00C9573B"/>
    <w:rsid w:val="00C9584B"/>
    <w:rsid w:val="00C959D6"/>
    <w:rsid w:val="00C96248"/>
    <w:rsid w:val="00C9624D"/>
    <w:rsid w:val="00C967E7"/>
    <w:rsid w:val="00C969DA"/>
    <w:rsid w:val="00C96FA7"/>
    <w:rsid w:val="00CA0081"/>
    <w:rsid w:val="00CA0243"/>
    <w:rsid w:val="00CA0348"/>
    <w:rsid w:val="00CA1B06"/>
    <w:rsid w:val="00CA2C77"/>
    <w:rsid w:val="00CA3989"/>
    <w:rsid w:val="00CA3DE8"/>
    <w:rsid w:val="00CA444F"/>
    <w:rsid w:val="00CA4A45"/>
    <w:rsid w:val="00CA5245"/>
    <w:rsid w:val="00CA5586"/>
    <w:rsid w:val="00CA5C29"/>
    <w:rsid w:val="00CA5EF9"/>
    <w:rsid w:val="00CA6577"/>
    <w:rsid w:val="00CA6607"/>
    <w:rsid w:val="00CA6E01"/>
    <w:rsid w:val="00CA71EB"/>
    <w:rsid w:val="00CA71F4"/>
    <w:rsid w:val="00CA7B09"/>
    <w:rsid w:val="00CB1191"/>
    <w:rsid w:val="00CB12A5"/>
    <w:rsid w:val="00CB1CAC"/>
    <w:rsid w:val="00CB24C4"/>
    <w:rsid w:val="00CB2C4E"/>
    <w:rsid w:val="00CB2F2A"/>
    <w:rsid w:val="00CB350A"/>
    <w:rsid w:val="00CB37A3"/>
    <w:rsid w:val="00CB399E"/>
    <w:rsid w:val="00CB4243"/>
    <w:rsid w:val="00CB4481"/>
    <w:rsid w:val="00CB53B1"/>
    <w:rsid w:val="00CB562B"/>
    <w:rsid w:val="00CB5A5A"/>
    <w:rsid w:val="00CB5B1A"/>
    <w:rsid w:val="00CB5F70"/>
    <w:rsid w:val="00CB5FD6"/>
    <w:rsid w:val="00CB6B22"/>
    <w:rsid w:val="00CB7468"/>
    <w:rsid w:val="00CB7C05"/>
    <w:rsid w:val="00CB7DB3"/>
    <w:rsid w:val="00CB7F5F"/>
    <w:rsid w:val="00CC0E1F"/>
    <w:rsid w:val="00CC159E"/>
    <w:rsid w:val="00CC1B39"/>
    <w:rsid w:val="00CC1BFA"/>
    <w:rsid w:val="00CC1ECF"/>
    <w:rsid w:val="00CC1F88"/>
    <w:rsid w:val="00CC2E9F"/>
    <w:rsid w:val="00CC35EA"/>
    <w:rsid w:val="00CC3848"/>
    <w:rsid w:val="00CC3AC1"/>
    <w:rsid w:val="00CC3EE1"/>
    <w:rsid w:val="00CC48DD"/>
    <w:rsid w:val="00CC4977"/>
    <w:rsid w:val="00CC4C63"/>
    <w:rsid w:val="00CC4F47"/>
    <w:rsid w:val="00CC5DB7"/>
    <w:rsid w:val="00CC6CB9"/>
    <w:rsid w:val="00CC6CF1"/>
    <w:rsid w:val="00CC6D5E"/>
    <w:rsid w:val="00CC6F29"/>
    <w:rsid w:val="00CC6FEC"/>
    <w:rsid w:val="00CC775A"/>
    <w:rsid w:val="00CC7A04"/>
    <w:rsid w:val="00CC7E52"/>
    <w:rsid w:val="00CD0200"/>
    <w:rsid w:val="00CD3A41"/>
    <w:rsid w:val="00CD3B3F"/>
    <w:rsid w:val="00CD3F77"/>
    <w:rsid w:val="00CD483C"/>
    <w:rsid w:val="00CD54D1"/>
    <w:rsid w:val="00CD61F5"/>
    <w:rsid w:val="00CD6351"/>
    <w:rsid w:val="00CD6470"/>
    <w:rsid w:val="00CD6ADC"/>
    <w:rsid w:val="00CD6F5E"/>
    <w:rsid w:val="00CD717A"/>
    <w:rsid w:val="00CD7193"/>
    <w:rsid w:val="00CD72BB"/>
    <w:rsid w:val="00CD72D9"/>
    <w:rsid w:val="00CD7717"/>
    <w:rsid w:val="00CD7CA2"/>
    <w:rsid w:val="00CE0FCF"/>
    <w:rsid w:val="00CE1645"/>
    <w:rsid w:val="00CE2B58"/>
    <w:rsid w:val="00CE30CE"/>
    <w:rsid w:val="00CE3616"/>
    <w:rsid w:val="00CE38C8"/>
    <w:rsid w:val="00CE3933"/>
    <w:rsid w:val="00CE41E2"/>
    <w:rsid w:val="00CE521D"/>
    <w:rsid w:val="00CE524F"/>
    <w:rsid w:val="00CE58CC"/>
    <w:rsid w:val="00CE6274"/>
    <w:rsid w:val="00CE659A"/>
    <w:rsid w:val="00CE6A76"/>
    <w:rsid w:val="00CE6A78"/>
    <w:rsid w:val="00CE6B11"/>
    <w:rsid w:val="00CE77B6"/>
    <w:rsid w:val="00CE7E94"/>
    <w:rsid w:val="00CF0A41"/>
    <w:rsid w:val="00CF0D2D"/>
    <w:rsid w:val="00CF1054"/>
    <w:rsid w:val="00CF14B0"/>
    <w:rsid w:val="00CF1720"/>
    <w:rsid w:val="00CF2B8D"/>
    <w:rsid w:val="00CF34DE"/>
    <w:rsid w:val="00CF3657"/>
    <w:rsid w:val="00CF3A1B"/>
    <w:rsid w:val="00CF3BFC"/>
    <w:rsid w:val="00CF3F2B"/>
    <w:rsid w:val="00CF431A"/>
    <w:rsid w:val="00CF456B"/>
    <w:rsid w:val="00CF5A22"/>
    <w:rsid w:val="00CF6A4E"/>
    <w:rsid w:val="00CF737B"/>
    <w:rsid w:val="00CF755E"/>
    <w:rsid w:val="00CF76F7"/>
    <w:rsid w:val="00CF789E"/>
    <w:rsid w:val="00D001DD"/>
    <w:rsid w:val="00D00914"/>
    <w:rsid w:val="00D00DB8"/>
    <w:rsid w:val="00D014AF"/>
    <w:rsid w:val="00D0223A"/>
    <w:rsid w:val="00D02418"/>
    <w:rsid w:val="00D0262E"/>
    <w:rsid w:val="00D03679"/>
    <w:rsid w:val="00D0414F"/>
    <w:rsid w:val="00D041CF"/>
    <w:rsid w:val="00D046BB"/>
    <w:rsid w:val="00D05280"/>
    <w:rsid w:val="00D05462"/>
    <w:rsid w:val="00D05C99"/>
    <w:rsid w:val="00D05E3D"/>
    <w:rsid w:val="00D06139"/>
    <w:rsid w:val="00D067C8"/>
    <w:rsid w:val="00D06C89"/>
    <w:rsid w:val="00D06F9C"/>
    <w:rsid w:val="00D0701B"/>
    <w:rsid w:val="00D10B69"/>
    <w:rsid w:val="00D110BD"/>
    <w:rsid w:val="00D12469"/>
    <w:rsid w:val="00D12DE2"/>
    <w:rsid w:val="00D12F91"/>
    <w:rsid w:val="00D1336A"/>
    <w:rsid w:val="00D134B7"/>
    <w:rsid w:val="00D13675"/>
    <w:rsid w:val="00D141E1"/>
    <w:rsid w:val="00D15314"/>
    <w:rsid w:val="00D15861"/>
    <w:rsid w:val="00D15985"/>
    <w:rsid w:val="00D15B48"/>
    <w:rsid w:val="00D15C22"/>
    <w:rsid w:val="00D167A4"/>
    <w:rsid w:val="00D169E1"/>
    <w:rsid w:val="00D16A7B"/>
    <w:rsid w:val="00D1713F"/>
    <w:rsid w:val="00D17D6C"/>
    <w:rsid w:val="00D202EF"/>
    <w:rsid w:val="00D20643"/>
    <w:rsid w:val="00D207B1"/>
    <w:rsid w:val="00D21494"/>
    <w:rsid w:val="00D21555"/>
    <w:rsid w:val="00D2155B"/>
    <w:rsid w:val="00D21B18"/>
    <w:rsid w:val="00D22027"/>
    <w:rsid w:val="00D22E2D"/>
    <w:rsid w:val="00D238CA"/>
    <w:rsid w:val="00D23D11"/>
    <w:rsid w:val="00D244B6"/>
    <w:rsid w:val="00D246CC"/>
    <w:rsid w:val="00D24B8C"/>
    <w:rsid w:val="00D24DF9"/>
    <w:rsid w:val="00D24F86"/>
    <w:rsid w:val="00D25C1D"/>
    <w:rsid w:val="00D25E48"/>
    <w:rsid w:val="00D26006"/>
    <w:rsid w:val="00D26B7F"/>
    <w:rsid w:val="00D2750E"/>
    <w:rsid w:val="00D2754D"/>
    <w:rsid w:val="00D27976"/>
    <w:rsid w:val="00D27B27"/>
    <w:rsid w:val="00D30D5B"/>
    <w:rsid w:val="00D31381"/>
    <w:rsid w:val="00D31760"/>
    <w:rsid w:val="00D32236"/>
    <w:rsid w:val="00D32B19"/>
    <w:rsid w:val="00D32C44"/>
    <w:rsid w:val="00D32D8E"/>
    <w:rsid w:val="00D3395E"/>
    <w:rsid w:val="00D33A46"/>
    <w:rsid w:val="00D33BE9"/>
    <w:rsid w:val="00D33E45"/>
    <w:rsid w:val="00D33F93"/>
    <w:rsid w:val="00D340B9"/>
    <w:rsid w:val="00D347CF"/>
    <w:rsid w:val="00D348D9"/>
    <w:rsid w:val="00D34995"/>
    <w:rsid w:val="00D34B2A"/>
    <w:rsid w:val="00D34D1F"/>
    <w:rsid w:val="00D34EDF"/>
    <w:rsid w:val="00D357FF"/>
    <w:rsid w:val="00D35947"/>
    <w:rsid w:val="00D35AAA"/>
    <w:rsid w:val="00D35CC7"/>
    <w:rsid w:val="00D37009"/>
    <w:rsid w:val="00D3760E"/>
    <w:rsid w:val="00D40D00"/>
    <w:rsid w:val="00D414E0"/>
    <w:rsid w:val="00D41639"/>
    <w:rsid w:val="00D4163A"/>
    <w:rsid w:val="00D41A2D"/>
    <w:rsid w:val="00D41CA7"/>
    <w:rsid w:val="00D424C7"/>
    <w:rsid w:val="00D42535"/>
    <w:rsid w:val="00D42629"/>
    <w:rsid w:val="00D428A3"/>
    <w:rsid w:val="00D42CF0"/>
    <w:rsid w:val="00D42F77"/>
    <w:rsid w:val="00D43B2A"/>
    <w:rsid w:val="00D43CF1"/>
    <w:rsid w:val="00D43D83"/>
    <w:rsid w:val="00D44800"/>
    <w:rsid w:val="00D44B9A"/>
    <w:rsid w:val="00D459D4"/>
    <w:rsid w:val="00D45DC5"/>
    <w:rsid w:val="00D463A2"/>
    <w:rsid w:val="00D4653B"/>
    <w:rsid w:val="00D466E0"/>
    <w:rsid w:val="00D47575"/>
    <w:rsid w:val="00D47D73"/>
    <w:rsid w:val="00D50084"/>
    <w:rsid w:val="00D501A2"/>
    <w:rsid w:val="00D5054A"/>
    <w:rsid w:val="00D513C1"/>
    <w:rsid w:val="00D514E2"/>
    <w:rsid w:val="00D5243B"/>
    <w:rsid w:val="00D533EC"/>
    <w:rsid w:val="00D541A2"/>
    <w:rsid w:val="00D54389"/>
    <w:rsid w:val="00D546C0"/>
    <w:rsid w:val="00D54F05"/>
    <w:rsid w:val="00D55095"/>
    <w:rsid w:val="00D55F11"/>
    <w:rsid w:val="00D56A95"/>
    <w:rsid w:val="00D57481"/>
    <w:rsid w:val="00D6076E"/>
    <w:rsid w:val="00D60DC9"/>
    <w:rsid w:val="00D61038"/>
    <w:rsid w:val="00D61954"/>
    <w:rsid w:val="00D623B1"/>
    <w:rsid w:val="00D62CAD"/>
    <w:rsid w:val="00D6312C"/>
    <w:rsid w:val="00D63303"/>
    <w:rsid w:val="00D63843"/>
    <w:rsid w:val="00D63DE0"/>
    <w:rsid w:val="00D64EB4"/>
    <w:rsid w:val="00D65715"/>
    <w:rsid w:val="00D67A21"/>
    <w:rsid w:val="00D70640"/>
    <w:rsid w:val="00D70B49"/>
    <w:rsid w:val="00D70F16"/>
    <w:rsid w:val="00D71725"/>
    <w:rsid w:val="00D724D8"/>
    <w:rsid w:val="00D72617"/>
    <w:rsid w:val="00D7266F"/>
    <w:rsid w:val="00D72929"/>
    <w:rsid w:val="00D72D74"/>
    <w:rsid w:val="00D72F57"/>
    <w:rsid w:val="00D738D1"/>
    <w:rsid w:val="00D73AF5"/>
    <w:rsid w:val="00D741A4"/>
    <w:rsid w:val="00D74203"/>
    <w:rsid w:val="00D7424E"/>
    <w:rsid w:val="00D74862"/>
    <w:rsid w:val="00D75D5D"/>
    <w:rsid w:val="00D763A9"/>
    <w:rsid w:val="00D76640"/>
    <w:rsid w:val="00D76A44"/>
    <w:rsid w:val="00D76CB0"/>
    <w:rsid w:val="00D77EB3"/>
    <w:rsid w:val="00D803CB"/>
    <w:rsid w:val="00D8044A"/>
    <w:rsid w:val="00D815EF"/>
    <w:rsid w:val="00D81630"/>
    <w:rsid w:val="00D81949"/>
    <w:rsid w:val="00D81C2D"/>
    <w:rsid w:val="00D81F26"/>
    <w:rsid w:val="00D822E2"/>
    <w:rsid w:val="00D829A6"/>
    <w:rsid w:val="00D82F92"/>
    <w:rsid w:val="00D83605"/>
    <w:rsid w:val="00D8361B"/>
    <w:rsid w:val="00D83762"/>
    <w:rsid w:val="00D839B8"/>
    <w:rsid w:val="00D84043"/>
    <w:rsid w:val="00D843F2"/>
    <w:rsid w:val="00D847E7"/>
    <w:rsid w:val="00D84A59"/>
    <w:rsid w:val="00D84F87"/>
    <w:rsid w:val="00D85C69"/>
    <w:rsid w:val="00D85F69"/>
    <w:rsid w:val="00D85FC4"/>
    <w:rsid w:val="00D86231"/>
    <w:rsid w:val="00D86693"/>
    <w:rsid w:val="00D86871"/>
    <w:rsid w:val="00D872B2"/>
    <w:rsid w:val="00D8787D"/>
    <w:rsid w:val="00D8792A"/>
    <w:rsid w:val="00D87948"/>
    <w:rsid w:val="00D87CF1"/>
    <w:rsid w:val="00D9061E"/>
    <w:rsid w:val="00D912AB"/>
    <w:rsid w:val="00D91923"/>
    <w:rsid w:val="00D92B38"/>
    <w:rsid w:val="00D92D8A"/>
    <w:rsid w:val="00D92D9D"/>
    <w:rsid w:val="00D9372E"/>
    <w:rsid w:val="00D93753"/>
    <w:rsid w:val="00D93A82"/>
    <w:rsid w:val="00D953BB"/>
    <w:rsid w:val="00D95B0F"/>
    <w:rsid w:val="00D95D9E"/>
    <w:rsid w:val="00D962EB"/>
    <w:rsid w:val="00D96A7C"/>
    <w:rsid w:val="00D96B5C"/>
    <w:rsid w:val="00D96FCE"/>
    <w:rsid w:val="00D97C5E"/>
    <w:rsid w:val="00DA02DA"/>
    <w:rsid w:val="00DA09AC"/>
    <w:rsid w:val="00DA0A6A"/>
    <w:rsid w:val="00DA0B0F"/>
    <w:rsid w:val="00DA0ED2"/>
    <w:rsid w:val="00DA1045"/>
    <w:rsid w:val="00DA2B12"/>
    <w:rsid w:val="00DA3077"/>
    <w:rsid w:val="00DA3167"/>
    <w:rsid w:val="00DA4CC7"/>
    <w:rsid w:val="00DA4DC3"/>
    <w:rsid w:val="00DA567F"/>
    <w:rsid w:val="00DA5C56"/>
    <w:rsid w:val="00DA703E"/>
    <w:rsid w:val="00DA7206"/>
    <w:rsid w:val="00DA77A5"/>
    <w:rsid w:val="00DA77D3"/>
    <w:rsid w:val="00DA7DA2"/>
    <w:rsid w:val="00DB00D7"/>
    <w:rsid w:val="00DB0856"/>
    <w:rsid w:val="00DB0E36"/>
    <w:rsid w:val="00DB128C"/>
    <w:rsid w:val="00DB140C"/>
    <w:rsid w:val="00DB1520"/>
    <w:rsid w:val="00DB2127"/>
    <w:rsid w:val="00DB2316"/>
    <w:rsid w:val="00DB2402"/>
    <w:rsid w:val="00DB2574"/>
    <w:rsid w:val="00DB2723"/>
    <w:rsid w:val="00DB2C1F"/>
    <w:rsid w:val="00DB36EC"/>
    <w:rsid w:val="00DB3CCD"/>
    <w:rsid w:val="00DB3DBF"/>
    <w:rsid w:val="00DB4141"/>
    <w:rsid w:val="00DB419F"/>
    <w:rsid w:val="00DB43E1"/>
    <w:rsid w:val="00DB484F"/>
    <w:rsid w:val="00DB4896"/>
    <w:rsid w:val="00DB506F"/>
    <w:rsid w:val="00DB51E9"/>
    <w:rsid w:val="00DB5702"/>
    <w:rsid w:val="00DB58D1"/>
    <w:rsid w:val="00DB5B0D"/>
    <w:rsid w:val="00DB715F"/>
    <w:rsid w:val="00DB7723"/>
    <w:rsid w:val="00DB798A"/>
    <w:rsid w:val="00DB7FA2"/>
    <w:rsid w:val="00DC04C1"/>
    <w:rsid w:val="00DC04F6"/>
    <w:rsid w:val="00DC0690"/>
    <w:rsid w:val="00DC117D"/>
    <w:rsid w:val="00DC1890"/>
    <w:rsid w:val="00DC1D65"/>
    <w:rsid w:val="00DC22F0"/>
    <w:rsid w:val="00DC3C57"/>
    <w:rsid w:val="00DC3C91"/>
    <w:rsid w:val="00DC5501"/>
    <w:rsid w:val="00DC5892"/>
    <w:rsid w:val="00DC591C"/>
    <w:rsid w:val="00DC59F0"/>
    <w:rsid w:val="00DC5D60"/>
    <w:rsid w:val="00DC5DE4"/>
    <w:rsid w:val="00DC5EAB"/>
    <w:rsid w:val="00DC7154"/>
    <w:rsid w:val="00DC7B5A"/>
    <w:rsid w:val="00DC7E8A"/>
    <w:rsid w:val="00DD0BE3"/>
    <w:rsid w:val="00DD0C72"/>
    <w:rsid w:val="00DD0F78"/>
    <w:rsid w:val="00DD168B"/>
    <w:rsid w:val="00DD2121"/>
    <w:rsid w:val="00DD273C"/>
    <w:rsid w:val="00DD2749"/>
    <w:rsid w:val="00DD28D5"/>
    <w:rsid w:val="00DD28E6"/>
    <w:rsid w:val="00DD2D06"/>
    <w:rsid w:val="00DD3F28"/>
    <w:rsid w:val="00DD4446"/>
    <w:rsid w:val="00DD4537"/>
    <w:rsid w:val="00DD4827"/>
    <w:rsid w:val="00DD4CCD"/>
    <w:rsid w:val="00DD4E15"/>
    <w:rsid w:val="00DD638C"/>
    <w:rsid w:val="00DD65DE"/>
    <w:rsid w:val="00DD6663"/>
    <w:rsid w:val="00DD768B"/>
    <w:rsid w:val="00DD7916"/>
    <w:rsid w:val="00DD7B34"/>
    <w:rsid w:val="00DE00B5"/>
    <w:rsid w:val="00DE0189"/>
    <w:rsid w:val="00DE12C3"/>
    <w:rsid w:val="00DE12F5"/>
    <w:rsid w:val="00DE1BA6"/>
    <w:rsid w:val="00DE2263"/>
    <w:rsid w:val="00DE2304"/>
    <w:rsid w:val="00DE2847"/>
    <w:rsid w:val="00DE3138"/>
    <w:rsid w:val="00DE3729"/>
    <w:rsid w:val="00DE37F8"/>
    <w:rsid w:val="00DE4178"/>
    <w:rsid w:val="00DE4273"/>
    <w:rsid w:val="00DE49A7"/>
    <w:rsid w:val="00DE4DDD"/>
    <w:rsid w:val="00DE4FCB"/>
    <w:rsid w:val="00DE5D07"/>
    <w:rsid w:val="00DE64F5"/>
    <w:rsid w:val="00DE6CD6"/>
    <w:rsid w:val="00DE6D61"/>
    <w:rsid w:val="00DE7219"/>
    <w:rsid w:val="00DE72A7"/>
    <w:rsid w:val="00DE7832"/>
    <w:rsid w:val="00DE7872"/>
    <w:rsid w:val="00DE78BC"/>
    <w:rsid w:val="00DE7B3C"/>
    <w:rsid w:val="00DE7D45"/>
    <w:rsid w:val="00DF0008"/>
    <w:rsid w:val="00DF0962"/>
    <w:rsid w:val="00DF120E"/>
    <w:rsid w:val="00DF144A"/>
    <w:rsid w:val="00DF18FC"/>
    <w:rsid w:val="00DF2576"/>
    <w:rsid w:val="00DF29AE"/>
    <w:rsid w:val="00DF2CAE"/>
    <w:rsid w:val="00DF2EEC"/>
    <w:rsid w:val="00DF3555"/>
    <w:rsid w:val="00DF4382"/>
    <w:rsid w:val="00DF4E6C"/>
    <w:rsid w:val="00DF4F66"/>
    <w:rsid w:val="00DF55DE"/>
    <w:rsid w:val="00DF5ADC"/>
    <w:rsid w:val="00DF5D2B"/>
    <w:rsid w:val="00DF5E1F"/>
    <w:rsid w:val="00DF6341"/>
    <w:rsid w:val="00DF72E5"/>
    <w:rsid w:val="00DF7790"/>
    <w:rsid w:val="00DF7938"/>
    <w:rsid w:val="00E00179"/>
    <w:rsid w:val="00E00365"/>
    <w:rsid w:val="00E00591"/>
    <w:rsid w:val="00E00A07"/>
    <w:rsid w:val="00E00D0E"/>
    <w:rsid w:val="00E00E8E"/>
    <w:rsid w:val="00E021C2"/>
    <w:rsid w:val="00E033C7"/>
    <w:rsid w:val="00E04254"/>
    <w:rsid w:val="00E04FF0"/>
    <w:rsid w:val="00E05630"/>
    <w:rsid w:val="00E060FC"/>
    <w:rsid w:val="00E06109"/>
    <w:rsid w:val="00E066C6"/>
    <w:rsid w:val="00E06B92"/>
    <w:rsid w:val="00E06DBB"/>
    <w:rsid w:val="00E071BF"/>
    <w:rsid w:val="00E10149"/>
    <w:rsid w:val="00E10233"/>
    <w:rsid w:val="00E10298"/>
    <w:rsid w:val="00E1105F"/>
    <w:rsid w:val="00E11340"/>
    <w:rsid w:val="00E1193C"/>
    <w:rsid w:val="00E1197A"/>
    <w:rsid w:val="00E122A1"/>
    <w:rsid w:val="00E13A9B"/>
    <w:rsid w:val="00E13E14"/>
    <w:rsid w:val="00E14900"/>
    <w:rsid w:val="00E15DF2"/>
    <w:rsid w:val="00E16372"/>
    <w:rsid w:val="00E163AB"/>
    <w:rsid w:val="00E16A2B"/>
    <w:rsid w:val="00E16AD8"/>
    <w:rsid w:val="00E16F6D"/>
    <w:rsid w:val="00E1716C"/>
    <w:rsid w:val="00E172C6"/>
    <w:rsid w:val="00E1779F"/>
    <w:rsid w:val="00E177DF"/>
    <w:rsid w:val="00E17FFA"/>
    <w:rsid w:val="00E20867"/>
    <w:rsid w:val="00E20983"/>
    <w:rsid w:val="00E20B56"/>
    <w:rsid w:val="00E20E4D"/>
    <w:rsid w:val="00E20ED6"/>
    <w:rsid w:val="00E21358"/>
    <w:rsid w:val="00E216AB"/>
    <w:rsid w:val="00E22431"/>
    <w:rsid w:val="00E2249B"/>
    <w:rsid w:val="00E228A6"/>
    <w:rsid w:val="00E22A0D"/>
    <w:rsid w:val="00E241C6"/>
    <w:rsid w:val="00E244F6"/>
    <w:rsid w:val="00E245D9"/>
    <w:rsid w:val="00E24F65"/>
    <w:rsid w:val="00E24F80"/>
    <w:rsid w:val="00E25012"/>
    <w:rsid w:val="00E250C3"/>
    <w:rsid w:val="00E258DB"/>
    <w:rsid w:val="00E25C50"/>
    <w:rsid w:val="00E266A7"/>
    <w:rsid w:val="00E2685D"/>
    <w:rsid w:val="00E26C42"/>
    <w:rsid w:val="00E2771E"/>
    <w:rsid w:val="00E27E0A"/>
    <w:rsid w:val="00E30D92"/>
    <w:rsid w:val="00E31020"/>
    <w:rsid w:val="00E3105F"/>
    <w:rsid w:val="00E311EF"/>
    <w:rsid w:val="00E316AF"/>
    <w:rsid w:val="00E31AD2"/>
    <w:rsid w:val="00E32180"/>
    <w:rsid w:val="00E32618"/>
    <w:rsid w:val="00E32765"/>
    <w:rsid w:val="00E32A08"/>
    <w:rsid w:val="00E32B44"/>
    <w:rsid w:val="00E34462"/>
    <w:rsid w:val="00E34948"/>
    <w:rsid w:val="00E35293"/>
    <w:rsid w:val="00E35F4A"/>
    <w:rsid w:val="00E367C4"/>
    <w:rsid w:val="00E36AB0"/>
    <w:rsid w:val="00E36BDB"/>
    <w:rsid w:val="00E370BC"/>
    <w:rsid w:val="00E37569"/>
    <w:rsid w:val="00E37FEB"/>
    <w:rsid w:val="00E401B2"/>
    <w:rsid w:val="00E40334"/>
    <w:rsid w:val="00E41DA5"/>
    <w:rsid w:val="00E41E30"/>
    <w:rsid w:val="00E42981"/>
    <w:rsid w:val="00E42F73"/>
    <w:rsid w:val="00E4389C"/>
    <w:rsid w:val="00E43A7D"/>
    <w:rsid w:val="00E43A96"/>
    <w:rsid w:val="00E43D70"/>
    <w:rsid w:val="00E44999"/>
    <w:rsid w:val="00E44B61"/>
    <w:rsid w:val="00E44CBC"/>
    <w:rsid w:val="00E44E46"/>
    <w:rsid w:val="00E45224"/>
    <w:rsid w:val="00E456B2"/>
    <w:rsid w:val="00E457E0"/>
    <w:rsid w:val="00E459AA"/>
    <w:rsid w:val="00E460EE"/>
    <w:rsid w:val="00E462F8"/>
    <w:rsid w:val="00E466F3"/>
    <w:rsid w:val="00E467F8"/>
    <w:rsid w:val="00E47A46"/>
    <w:rsid w:val="00E47B2C"/>
    <w:rsid w:val="00E47EB9"/>
    <w:rsid w:val="00E47F01"/>
    <w:rsid w:val="00E5019D"/>
    <w:rsid w:val="00E50E7F"/>
    <w:rsid w:val="00E50F09"/>
    <w:rsid w:val="00E5126C"/>
    <w:rsid w:val="00E5151E"/>
    <w:rsid w:val="00E51560"/>
    <w:rsid w:val="00E51821"/>
    <w:rsid w:val="00E51C88"/>
    <w:rsid w:val="00E5275E"/>
    <w:rsid w:val="00E52CCA"/>
    <w:rsid w:val="00E53FC8"/>
    <w:rsid w:val="00E54347"/>
    <w:rsid w:val="00E54364"/>
    <w:rsid w:val="00E54368"/>
    <w:rsid w:val="00E54C74"/>
    <w:rsid w:val="00E5506D"/>
    <w:rsid w:val="00E55190"/>
    <w:rsid w:val="00E55424"/>
    <w:rsid w:val="00E554F9"/>
    <w:rsid w:val="00E55915"/>
    <w:rsid w:val="00E55BB5"/>
    <w:rsid w:val="00E5659E"/>
    <w:rsid w:val="00E56F61"/>
    <w:rsid w:val="00E573A3"/>
    <w:rsid w:val="00E57E6A"/>
    <w:rsid w:val="00E60062"/>
    <w:rsid w:val="00E60BA6"/>
    <w:rsid w:val="00E60C47"/>
    <w:rsid w:val="00E611DF"/>
    <w:rsid w:val="00E62BDC"/>
    <w:rsid w:val="00E62D67"/>
    <w:rsid w:val="00E62DDE"/>
    <w:rsid w:val="00E634F5"/>
    <w:rsid w:val="00E646E0"/>
    <w:rsid w:val="00E64CF7"/>
    <w:rsid w:val="00E6534F"/>
    <w:rsid w:val="00E65E79"/>
    <w:rsid w:val="00E66009"/>
    <w:rsid w:val="00E66528"/>
    <w:rsid w:val="00E66BA2"/>
    <w:rsid w:val="00E66BA9"/>
    <w:rsid w:val="00E67416"/>
    <w:rsid w:val="00E67BCE"/>
    <w:rsid w:val="00E67D6C"/>
    <w:rsid w:val="00E70F0F"/>
    <w:rsid w:val="00E716ED"/>
    <w:rsid w:val="00E717CB"/>
    <w:rsid w:val="00E718B6"/>
    <w:rsid w:val="00E71B5F"/>
    <w:rsid w:val="00E723BA"/>
    <w:rsid w:val="00E72928"/>
    <w:rsid w:val="00E72BA2"/>
    <w:rsid w:val="00E72C90"/>
    <w:rsid w:val="00E72E54"/>
    <w:rsid w:val="00E73581"/>
    <w:rsid w:val="00E736D2"/>
    <w:rsid w:val="00E74791"/>
    <w:rsid w:val="00E7485D"/>
    <w:rsid w:val="00E74DF8"/>
    <w:rsid w:val="00E751B7"/>
    <w:rsid w:val="00E7565E"/>
    <w:rsid w:val="00E76050"/>
    <w:rsid w:val="00E763A7"/>
    <w:rsid w:val="00E76C33"/>
    <w:rsid w:val="00E81C11"/>
    <w:rsid w:val="00E81C1C"/>
    <w:rsid w:val="00E81DBB"/>
    <w:rsid w:val="00E81DBF"/>
    <w:rsid w:val="00E8245F"/>
    <w:rsid w:val="00E830F6"/>
    <w:rsid w:val="00E833F7"/>
    <w:rsid w:val="00E834C4"/>
    <w:rsid w:val="00E83531"/>
    <w:rsid w:val="00E83836"/>
    <w:rsid w:val="00E83BDF"/>
    <w:rsid w:val="00E840A6"/>
    <w:rsid w:val="00E84B9E"/>
    <w:rsid w:val="00E8526F"/>
    <w:rsid w:val="00E854E7"/>
    <w:rsid w:val="00E85D64"/>
    <w:rsid w:val="00E85E17"/>
    <w:rsid w:val="00E85EE1"/>
    <w:rsid w:val="00E85F8E"/>
    <w:rsid w:val="00E86521"/>
    <w:rsid w:val="00E86FCC"/>
    <w:rsid w:val="00E874F0"/>
    <w:rsid w:val="00E87A1D"/>
    <w:rsid w:val="00E9094A"/>
    <w:rsid w:val="00E90C8D"/>
    <w:rsid w:val="00E90E62"/>
    <w:rsid w:val="00E91D35"/>
    <w:rsid w:val="00E926A5"/>
    <w:rsid w:val="00E93409"/>
    <w:rsid w:val="00E93539"/>
    <w:rsid w:val="00E9374F"/>
    <w:rsid w:val="00E93754"/>
    <w:rsid w:val="00E937B1"/>
    <w:rsid w:val="00E93A38"/>
    <w:rsid w:val="00E93BAA"/>
    <w:rsid w:val="00E94729"/>
    <w:rsid w:val="00E95888"/>
    <w:rsid w:val="00E962CC"/>
    <w:rsid w:val="00E964B3"/>
    <w:rsid w:val="00E96EAF"/>
    <w:rsid w:val="00EA0D02"/>
    <w:rsid w:val="00EA0D06"/>
    <w:rsid w:val="00EA0DA0"/>
    <w:rsid w:val="00EA0E32"/>
    <w:rsid w:val="00EA11B3"/>
    <w:rsid w:val="00EA1258"/>
    <w:rsid w:val="00EA1587"/>
    <w:rsid w:val="00EA17C3"/>
    <w:rsid w:val="00EA1B34"/>
    <w:rsid w:val="00EA29F6"/>
    <w:rsid w:val="00EA2CAA"/>
    <w:rsid w:val="00EA36FA"/>
    <w:rsid w:val="00EA3864"/>
    <w:rsid w:val="00EA3BF1"/>
    <w:rsid w:val="00EA460D"/>
    <w:rsid w:val="00EA6811"/>
    <w:rsid w:val="00EA6C01"/>
    <w:rsid w:val="00EA77F1"/>
    <w:rsid w:val="00EA7F1C"/>
    <w:rsid w:val="00EB0B32"/>
    <w:rsid w:val="00EB1277"/>
    <w:rsid w:val="00EB1348"/>
    <w:rsid w:val="00EB14BE"/>
    <w:rsid w:val="00EB15B6"/>
    <w:rsid w:val="00EB16F3"/>
    <w:rsid w:val="00EB1B3E"/>
    <w:rsid w:val="00EB3221"/>
    <w:rsid w:val="00EB3BDB"/>
    <w:rsid w:val="00EB3D06"/>
    <w:rsid w:val="00EB477E"/>
    <w:rsid w:val="00EB4916"/>
    <w:rsid w:val="00EB521A"/>
    <w:rsid w:val="00EB55E6"/>
    <w:rsid w:val="00EB59E9"/>
    <w:rsid w:val="00EB59FF"/>
    <w:rsid w:val="00EB5CBF"/>
    <w:rsid w:val="00EB6AED"/>
    <w:rsid w:val="00EB730E"/>
    <w:rsid w:val="00EB7941"/>
    <w:rsid w:val="00EB7DF1"/>
    <w:rsid w:val="00EC00C9"/>
    <w:rsid w:val="00EC0DD9"/>
    <w:rsid w:val="00EC2391"/>
    <w:rsid w:val="00EC2649"/>
    <w:rsid w:val="00EC292C"/>
    <w:rsid w:val="00EC29B2"/>
    <w:rsid w:val="00EC315F"/>
    <w:rsid w:val="00EC31ED"/>
    <w:rsid w:val="00EC3793"/>
    <w:rsid w:val="00EC46A1"/>
    <w:rsid w:val="00EC4A4D"/>
    <w:rsid w:val="00EC4B3A"/>
    <w:rsid w:val="00EC4FBA"/>
    <w:rsid w:val="00EC5836"/>
    <w:rsid w:val="00EC586C"/>
    <w:rsid w:val="00EC58A6"/>
    <w:rsid w:val="00EC688C"/>
    <w:rsid w:val="00EC6A81"/>
    <w:rsid w:val="00EC7078"/>
    <w:rsid w:val="00EC7C43"/>
    <w:rsid w:val="00ED0875"/>
    <w:rsid w:val="00ED0CBB"/>
    <w:rsid w:val="00ED12E3"/>
    <w:rsid w:val="00ED1D96"/>
    <w:rsid w:val="00ED2A7F"/>
    <w:rsid w:val="00ED2DDC"/>
    <w:rsid w:val="00ED3037"/>
    <w:rsid w:val="00ED3274"/>
    <w:rsid w:val="00ED33AC"/>
    <w:rsid w:val="00ED4A9F"/>
    <w:rsid w:val="00ED4B04"/>
    <w:rsid w:val="00ED531A"/>
    <w:rsid w:val="00ED57EA"/>
    <w:rsid w:val="00ED5BD4"/>
    <w:rsid w:val="00ED5F83"/>
    <w:rsid w:val="00ED6638"/>
    <w:rsid w:val="00ED6C30"/>
    <w:rsid w:val="00ED727B"/>
    <w:rsid w:val="00ED7BC8"/>
    <w:rsid w:val="00ED7BF8"/>
    <w:rsid w:val="00EE0072"/>
    <w:rsid w:val="00EE07D3"/>
    <w:rsid w:val="00EE07EE"/>
    <w:rsid w:val="00EE0B69"/>
    <w:rsid w:val="00EE1996"/>
    <w:rsid w:val="00EE1B73"/>
    <w:rsid w:val="00EE1B94"/>
    <w:rsid w:val="00EE1C01"/>
    <w:rsid w:val="00EE22AF"/>
    <w:rsid w:val="00EE2A9C"/>
    <w:rsid w:val="00EE3078"/>
    <w:rsid w:val="00EE4B37"/>
    <w:rsid w:val="00EE53EC"/>
    <w:rsid w:val="00EE57A0"/>
    <w:rsid w:val="00EE5CF3"/>
    <w:rsid w:val="00EE6181"/>
    <w:rsid w:val="00EE7053"/>
    <w:rsid w:val="00EE71CE"/>
    <w:rsid w:val="00EE72E9"/>
    <w:rsid w:val="00EE7434"/>
    <w:rsid w:val="00EF0171"/>
    <w:rsid w:val="00EF0379"/>
    <w:rsid w:val="00EF09CC"/>
    <w:rsid w:val="00EF1B25"/>
    <w:rsid w:val="00EF1BB0"/>
    <w:rsid w:val="00EF1DA0"/>
    <w:rsid w:val="00EF21B9"/>
    <w:rsid w:val="00EF220C"/>
    <w:rsid w:val="00EF22DC"/>
    <w:rsid w:val="00EF352F"/>
    <w:rsid w:val="00EF3D37"/>
    <w:rsid w:val="00EF4747"/>
    <w:rsid w:val="00EF4A60"/>
    <w:rsid w:val="00EF4B8A"/>
    <w:rsid w:val="00EF4BF8"/>
    <w:rsid w:val="00EF502B"/>
    <w:rsid w:val="00EF518F"/>
    <w:rsid w:val="00EF5A94"/>
    <w:rsid w:val="00EF6ADD"/>
    <w:rsid w:val="00EF6B1A"/>
    <w:rsid w:val="00EF6BEA"/>
    <w:rsid w:val="00EF78F8"/>
    <w:rsid w:val="00EF7A71"/>
    <w:rsid w:val="00EF7E4E"/>
    <w:rsid w:val="00F004EA"/>
    <w:rsid w:val="00F00DFB"/>
    <w:rsid w:val="00F01064"/>
    <w:rsid w:val="00F01326"/>
    <w:rsid w:val="00F01A53"/>
    <w:rsid w:val="00F02253"/>
    <w:rsid w:val="00F02B77"/>
    <w:rsid w:val="00F03943"/>
    <w:rsid w:val="00F03C2E"/>
    <w:rsid w:val="00F04A66"/>
    <w:rsid w:val="00F04B4B"/>
    <w:rsid w:val="00F04F73"/>
    <w:rsid w:val="00F0516C"/>
    <w:rsid w:val="00F0575C"/>
    <w:rsid w:val="00F05D46"/>
    <w:rsid w:val="00F06523"/>
    <w:rsid w:val="00F067A2"/>
    <w:rsid w:val="00F06CEF"/>
    <w:rsid w:val="00F06DFE"/>
    <w:rsid w:val="00F0760C"/>
    <w:rsid w:val="00F07B9E"/>
    <w:rsid w:val="00F07BFD"/>
    <w:rsid w:val="00F10834"/>
    <w:rsid w:val="00F1090D"/>
    <w:rsid w:val="00F10F4D"/>
    <w:rsid w:val="00F1116F"/>
    <w:rsid w:val="00F11331"/>
    <w:rsid w:val="00F1142A"/>
    <w:rsid w:val="00F1254D"/>
    <w:rsid w:val="00F1263A"/>
    <w:rsid w:val="00F12C32"/>
    <w:rsid w:val="00F12CD5"/>
    <w:rsid w:val="00F139C5"/>
    <w:rsid w:val="00F13B77"/>
    <w:rsid w:val="00F142FB"/>
    <w:rsid w:val="00F144E8"/>
    <w:rsid w:val="00F14BE1"/>
    <w:rsid w:val="00F15718"/>
    <w:rsid w:val="00F15B77"/>
    <w:rsid w:val="00F16243"/>
    <w:rsid w:val="00F162E6"/>
    <w:rsid w:val="00F164E9"/>
    <w:rsid w:val="00F16707"/>
    <w:rsid w:val="00F17321"/>
    <w:rsid w:val="00F1744B"/>
    <w:rsid w:val="00F17761"/>
    <w:rsid w:val="00F17DDC"/>
    <w:rsid w:val="00F204BC"/>
    <w:rsid w:val="00F2081F"/>
    <w:rsid w:val="00F2098A"/>
    <w:rsid w:val="00F20BDB"/>
    <w:rsid w:val="00F20C2F"/>
    <w:rsid w:val="00F20D61"/>
    <w:rsid w:val="00F21236"/>
    <w:rsid w:val="00F21837"/>
    <w:rsid w:val="00F21ACF"/>
    <w:rsid w:val="00F221D9"/>
    <w:rsid w:val="00F22A92"/>
    <w:rsid w:val="00F22D58"/>
    <w:rsid w:val="00F23094"/>
    <w:rsid w:val="00F23339"/>
    <w:rsid w:val="00F239DF"/>
    <w:rsid w:val="00F23BD9"/>
    <w:rsid w:val="00F23CD2"/>
    <w:rsid w:val="00F24837"/>
    <w:rsid w:val="00F252D3"/>
    <w:rsid w:val="00F25380"/>
    <w:rsid w:val="00F2575F"/>
    <w:rsid w:val="00F25931"/>
    <w:rsid w:val="00F25D36"/>
    <w:rsid w:val="00F2601A"/>
    <w:rsid w:val="00F26196"/>
    <w:rsid w:val="00F27565"/>
    <w:rsid w:val="00F30231"/>
    <w:rsid w:val="00F3056A"/>
    <w:rsid w:val="00F30C23"/>
    <w:rsid w:val="00F30DA1"/>
    <w:rsid w:val="00F310D4"/>
    <w:rsid w:val="00F318F1"/>
    <w:rsid w:val="00F31C18"/>
    <w:rsid w:val="00F31CA3"/>
    <w:rsid w:val="00F31D5A"/>
    <w:rsid w:val="00F33865"/>
    <w:rsid w:val="00F33975"/>
    <w:rsid w:val="00F33A39"/>
    <w:rsid w:val="00F33A8D"/>
    <w:rsid w:val="00F33DE9"/>
    <w:rsid w:val="00F35B4F"/>
    <w:rsid w:val="00F35E6D"/>
    <w:rsid w:val="00F3619A"/>
    <w:rsid w:val="00F364DC"/>
    <w:rsid w:val="00F36984"/>
    <w:rsid w:val="00F36C92"/>
    <w:rsid w:val="00F374AC"/>
    <w:rsid w:val="00F37580"/>
    <w:rsid w:val="00F3771A"/>
    <w:rsid w:val="00F408AF"/>
    <w:rsid w:val="00F40AAA"/>
    <w:rsid w:val="00F40B2A"/>
    <w:rsid w:val="00F40BA7"/>
    <w:rsid w:val="00F40F9D"/>
    <w:rsid w:val="00F41992"/>
    <w:rsid w:val="00F41ACD"/>
    <w:rsid w:val="00F41CDA"/>
    <w:rsid w:val="00F41D3B"/>
    <w:rsid w:val="00F42466"/>
    <w:rsid w:val="00F428E2"/>
    <w:rsid w:val="00F4314F"/>
    <w:rsid w:val="00F433D0"/>
    <w:rsid w:val="00F43A01"/>
    <w:rsid w:val="00F43CE3"/>
    <w:rsid w:val="00F4407D"/>
    <w:rsid w:val="00F44876"/>
    <w:rsid w:val="00F44950"/>
    <w:rsid w:val="00F44C10"/>
    <w:rsid w:val="00F44F83"/>
    <w:rsid w:val="00F451A8"/>
    <w:rsid w:val="00F45B73"/>
    <w:rsid w:val="00F45F6A"/>
    <w:rsid w:val="00F468D5"/>
    <w:rsid w:val="00F46CB6"/>
    <w:rsid w:val="00F46D09"/>
    <w:rsid w:val="00F472CC"/>
    <w:rsid w:val="00F4756D"/>
    <w:rsid w:val="00F47DE8"/>
    <w:rsid w:val="00F50255"/>
    <w:rsid w:val="00F50F76"/>
    <w:rsid w:val="00F515B1"/>
    <w:rsid w:val="00F518CD"/>
    <w:rsid w:val="00F51A94"/>
    <w:rsid w:val="00F51CC6"/>
    <w:rsid w:val="00F522BE"/>
    <w:rsid w:val="00F5238A"/>
    <w:rsid w:val="00F525C8"/>
    <w:rsid w:val="00F5300E"/>
    <w:rsid w:val="00F53702"/>
    <w:rsid w:val="00F53B96"/>
    <w:rsid w:val="00F53F63"/>
    <w:rsid w:val="00F542C1"/>
    <w:rsid w:val="00F550E3"/>
    <w:rsid w:val="00F55232"/>
    <w:rsid w:val="00F55A1F"/>
    <w:rsid w:val="00F55E73"/>
    <w:rsid w:val="00F55EDA"/>
    <w:rsid w:val="00F560AF"/>
    <w:rsid w:val="00F56A32"/>
    <w:rsid w:val="00F56C64"/>
    <w:rsid w:val="00F56C80"/>
    <w:rsid w:val="00F60092"/>
    <w:rsid w:val="00F613C7"/>
    <w:rsid w:val="00F61A9C"/>
    <w:rsid w:val="00F61C18"/>
    <w:rsid w:val="00F6271E"/>
    <w:rsid w:val="00F633E8"/>
    <w:rsid w:val="00F63EEB"/>
    <w:rsid w:val="00F6503F"/>
    <w:rsid w:val="00F6520F"/>
    <w:rsid w:val="00F652C9"/>
    <w:rsid w:val="00F654A0"/>
    <w:rsid w:val="00F65863"/>
    <w:rsid w:val="00F65F4B"/>
    <w:rsid w:val="00F66FEF"/>
    <w:rsid w:val="00F67A69"/>
    <w:rsid w:val="00F67E2C"/>
    <w:rsid w:val="00F702BB"/>
    <w:rsid w:val="00F703B7"/>
    <w:rsid w:val="00F708B0"/>
    <w:rsid w:val="00F70BFF"/>
    <w:rsid w:val="00F70C9D"/>
    <w:rsid w:val="00F71DFE"/>
    <w:rsid w:val="00F71EB6"/>
    <w:rsid w:val="00F72657"/>
    <w:rsid w:val="00F73AEF"/>
    <w:rsid w:val="00F73E08"/>
    <w:rsid w:val="00F745D7"/>
    <w:rsid w:val="00F748DA"/>
    <w:rsid w:val="00F74CD9"/>
    <w:rsid w:val="00F74D17"/>
    <w:rsid w:val="00F74DD0"/>
    <w:rsid w:val="00F74FDC"/>
    <w:rsid w:val="00F75E1B"/>
    <w:rsid w:val="00F76C21"/>
    <w:rsid w:val="00F76C8B"/>
    <w:rsid w:val="00F7736C"/>
    <w:rsid w:val="00F77765"/>
    <w:rsid w:val="00F77AC6"/>
    <w:rsid w:val="00F77B6F"/>
    <w:rsid w:val="00F77E2E"/>
    <w:rsid w:val="00F80A7B"/>
    <w:rsid w:val="00F80E5D"/>
    <w:rsid w:val="00F810D4"/>
    <w:rsid w:val="00F81422"/>
    <w:rsid w:val="00F81AFB"/>
    <w:rsid w:val="00F81D92"/>
    <w:rsid w:val="00F81E78"/>
    <w:rsid w:val="00F8291A"/>
    <w:rsid w:val="00F82A0D"/>
    <w:rsid w:val="00F83234"/>
    <w:rsid w:val="00F83377"/>
    <w:rsid w:val="00F83472"/>
    <w:rsid w:val="00F83916"/>
    <w:rsid w:val="00F83BCD"/>
    <w:rsid w:val="00F8408F"/>
    <w:rsid w:val="00F84A54"/>
    <w:rsid w:val="00F851CE"/>
    <w:rsid w:val="00F871CC"/>
    <w:rsid w:val="00F873F4"/>
    <w:rsid w:val="00F90662"/>
    <w:rsid w:val="00F91219"/>
    <w:rsid w:val="00F92444"/>
    <w:rsid w:val="00F92767"/>
    <w:rsid w:val="00F92C02"/>
    <w:rsid w:val="00F93733"/>
    <w:rsid w:val="00F9393E"/>
    <w:rsid w:val="00F93B5E"/>
    <w:rsid w:val="00F94246"/>
    <w:rsid w:val="00F94894"/>
    <w:rsid w:val="00F961D4"/>
    <w:rsid w:val="00F9638D"/>
    <w:rsid w:val="00F96C0B"/>
    <w:rsid w:val="00F96DD7"/>
    <w:rsid w:val="00F96FD0"/>
    <w:rsid w:val="00F9723B"/>
    <w:rsid w:val="00F972E6"/>
    <w:rsid w:val="00F97898"/>
    <w:rsid w:val="00F9794A"/>
    <w:rsid w:val="00F97A78"/>
    <w:rsid w:val="00F97D21"/>
    <w:rsid w:val="00F97DB9"/>
    <w:rsid w:val="00FA0467"/>
    <w:rsid w:val="00FA0693"/>
    <w:rsid w:val="00FA0711"/>
    <w:rsid w:val="00FA0B20"/>
    <w:rsid w:val="00FA1184"/>
    <w:rsid w:val="00FA1276"/>
    <w:rsid w:val="00FA1EAC"/>
    <w:rsid w:val="00FA24E7"/>
    <w:rsid w:val="00FA2C5A"/>
    <w:rsid w:val="00FA2C74"/>
    <w:rsid w:val="00FA5EE6"/>
    <w:rsid w:val="00FA6721"/>
    <w:rsid w:val="00FA748D"/>
    <w:rsid w:val="00FA7956"/>
    <w:rsid w:val="00FB04A6"/>
    <w:rsid w:val="00FB0824"/>
    <w:rsid w:val="00FB10F1"/>
    <w:rsid w:val="00FB11D0"/>
    <w:rsid w:val="00FB2545"/>
    <w:rsid w:val="00FB2B7B"/>
    <w:rsid w:val="00FB2FCB"/>
    <w:rsid w:val="00FB334F"/>
    <w:rsid w:val="00FB3C0C"/>
    <w:rsid w:val="00FB3F93"/>
    <w:rsid w:val="00FB3FDD"/>
    <w:rsid w:val="00FB42ED"/>
    <w:rsid w:val="00FB4C9C"/>
    <w:rsid w:val="00FB541B"/>
    <w:rsid w:val="00FB54BC"/>
    <w:rsid w:val="00FB5864"/>
    <w:rsid w:val="00FB7075"/>
    <w:rsid w:val="00FB7259"/>
    <w:rsid w:val="00FB7C55"/>
    <w:rsid w:val="00FC03B9"/>
    <w:rsid w:val="00FC06A5"/>
    <w:rsid w:val="00FC102B"/>
    <w:rsid w:val="00FC1074"/>
    <w:rsid w:val="00FC1532"/>
    <w:rsid w:val="00FC1884"/>
    <w:rsid w:val="00FC2475"/>
    <w:rsid w:val="00FC2493"/>
    <w:rsid w:val="00FC2821"/>
    <w:rsid w:val="00FC371D"/>
    <w:rsid w:val="00FC381F"/>
    <w:rsid w:val="00FC388C"/>
    <w:rsid w:val="00FC4011"/>
    <w:rsid w:val="00FC531C"/>
    <w:rsid w:val="00FC56A5"/>
    <w:rsid w:val="00FC57F0"/>
    <w:rsid w:val="00FC5F0B"/>
    <w:rsid w:val="00FC617A"/>
    <w:rsid w:val="00FC6229"/>
    <w:rsid w:val="00FC69D8"/>
    <w:rsid w:val="00FD015F"/>
    <w:rsid w:val="00FD05D5"/>
    <w:rsid w:val="00FD06B1"/>
    <w:rsid w:val="00FD16E0"/>
    <w:rsid w:val="00FD1C32"/>
    <w:rsid w:val="00FD1E7E"/>
    <w:rsid w:val="00FD1FDE"/>
    <w:rsid w:val="00FD2100"/>
    <w:rsid w:val="00FD26C1"/>
    <w:rsid w:val="00FD332C"/>
    <w:rsid w:val="00FD3661"/>
    <w:rsid w:val="00FD3958"/>
    <w:rsid w:val="00FD403A"/>
    <w:rsid w:val="00FD4165"/>
    <w:rsid w:val="00FD436C"/>
    <w:rsid w:val="00FD446D"/>
    <w:rsid w:val="00FD496B"/>
    <w:rsid w:val="00FD4F2C"/>
    <w:rsid w:val="00FD4F39"/>
    <w:rsid w:val="00FD5977"/>
    <w:rsid w:val="00FD5F5C"/>
    <w:rsid w:val="00FD634C"/>
    <w:rsid w:val="00FD6394"/>
    <w:rsid w:val="00FD6B79"/>
    <w:rsid w:val="00FD744A"/>
    <w:rsid w:val="00FD77B8"/>
    <w:rsid w:val="00FD7846"/>
    <w:rsid w:val="00FD78FD"/>
    <w:rsid w:val="00FE0217"/>
    <w:rsid w:val="00FE0DDA"/>
    <w:rsid w:val="00FE0E6C"/>
    <w:rsid w:val="00FE14C1"/>
    <w:rsid w:val="00FE1CDC"/>
    <w:rsid w:val="00FE23B5"/>
    <w:rsid w:val="00FE28DF"/>
    <w:rsid w:val="00FE310B"/>
    <w:rsid w:val="00FE388F"/>
    <w:rsid w:val="00FE42EE"/>
    <w:rsid w:val="00FE5508"/>
    <w:rsid w:val="00FE649C"/>
    <w:rsid w:val="00FE6711"/>
    <w:rsid w:val="00FE70C3"/>
    <w:rsid w:val="00FE7453"/>
    <w:rsid w:val="00FF022D"/>
    <w:rsid w:val="00FF1572"/>
    <w:rsid w:val="00FF1A8B"/>
    <w:rsid w:val="00FF1DA3"/>
    <w:rsid w:val="00FF1EC0"/>
    <w:rsid w:val="00FF236D"/>
    <w:rsid w:val="00FF2A80"/>
    <w:rsid w:val="00FF2AD9"/>
    <w:rsid w:val="00FF3531"/>
    <w:rsid w:val="00FF359F"/>
    <w:rsid w:val="00FF3DCF"/>
    <w:rsid w:val="00FF43C1"/>
    <w:rsid w:val="00FF461A"/>
    <w:rsid w:val="00FF491B"/>
    <w:rsid w:val="00FF492C"/>
    <w:rsid w:val="00FF497A"/>
    <w:rsid w:val="00FF4A21"/>
    <w:rsid w:val="00FF5AA3"/>
    <w:rsid w:val="00FF5AD8"/>
    <w:rsid w:val="00FF5F99"/>
    <w:rsid w:val="00FF62CE"/>
    <w:rsid w:val="00FF69A3"/>
    <w:rsid w:val="00FF77DD"/>
    <w:rsid w:val="00FF7A52"/>
    <w:rsid w:val="00FF7E14"/>
    <w:rsid w:val="00FF7E1F"/>
    <w:rsid w:val="1581D4CD"/>
    <w:rsid w:val="23628EC8"/>
    <w:rsid w:val="42FF6AD2"/>
    <w:rsid w:val="5A5A107D"/>
    <w:rsid w:val="75E3628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49FA"/>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12,-"/>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12 Char,- Char"/>
    <w:link w:val="Caption"/>
    <w:qFormat/>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Bullet 1,Bullets,Odstavec se seznamem1"/>
    <w:link w:val="ListParagraphChar"/>
    <w:uiPriority w:val="34"/>
    <w:qFormat/>
    <w:rsid w:val="00A4545B"/>
    <w:pPr>
      <w:numPr>
        <w:numId w:val="6"/>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A4545B"/>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MSD Table Grid,Dossier table,Section 3- footnotes,Header Table,NICE instructions,Source table_,HealthConsult,new style,PBAC table,Lash Style Table,HTAtableplain,PHE Table Grid"/>
    <w:basedOn w:val="TableNormal"/>
    <w:uiPriority w:val="59"/>
    <w:qFormat/>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qFormat/>
    <w:rsid w:val="005C4A89"/>
    <w:pPr>
      <w:jc w:val="left"/>
    </w:pPr>
    <w:rPr>
      <w:rFonts w:ascii="Arial Narrow" w:hAnsi="Arial Narrow" w:cs="Times New Roman"/>
      <w:snapToGrid w:val="0"/>
      <w:sz w:val="20"/>
    </w:rPr>
  </w:style>
  <w:style w:type="character" w:customStyle="1" w:styleId="TabletextChar">
    <w:name w:val="Table text Char"/>
    <w:link w:val="Tabletext"/>
    <w:rsid w:val="005C4A89"/>
    <w:rPr>
      <w:rFonts w:ascii="Arial Narrow" w:hAnsi="Arial Narrow"/>
      <w:snapToGrid w:val="0"/>
      <w:szCs w:val="24"/>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E66009"/>
    <w:pPr>
      <w:tabs>
        <w:tab w:val="left" w:pos="440"/>
        <w:tab w:val="right" w:leader="dot" w:pos="9016"/>
      </w:tabs>
      <w:spacing w:before="12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31"/>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31"/>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autoRedefine/>
    <w:qFormat/>
    <w:rsid w:val="00401847"/>
    <w:pPr>
      <w:keepNext/>
      <w:spacing w:before="120" w:after="120"/>
    </w:pPr>
    <w:rPr>
      <w:rFonts w:asciiTheme="minorHAnsi" w:eastAsiaTheme="majorEastAsia" w:hAnsiTheme="minorHAnsi" w:cstheme="majorBidi"/>
      <w:color w:val="000000" w:themeColor="text1"/>
      <w:spacing w:val="5"/>
      <w:kern w:val="28"/>
      <w:szCs w:val="36"/>
      <w:lang w:eastAsia="en-US"/>
    </w:rPr>
  </w:style>
  <w:style w:type="character" w:customStyle="1" w:styleId="4-SubsectionHeadingChar">
    <w:name w:val="4-Subsection Heading Char"/>
    <w:basedOn w:val="Heading2Char"/>
    <w:link w:val="4-SubsectionHeading"/>
    <w:rsid w:val="00401847"/>
    <w:rPr>
      <w:rFonts w:asciiTheme="minorHAnsi" w:eastAsiaTheme="majorEastAsia" w:hAnsiTheme="minorHAnsi" w:cstheme="majorBidi"/>
      <w:b/>
      <w:i/>
      <w:snapToGrid/>
      <w:color w:val="000000" w:themeColor="text1"/>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link w:val="ListBulletChar"/>
    <w:unhideWhenUsed/>
    <w:rsid w:val="00EE1996"/>
    <w:pPr>
      <w:numPr>
        <w:numId w:val="3"/>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677261"/>
    <w:pPr>
      <w:keepLines/>
      <w:contextualSpacing/>
    </w:pPr>
    <w:rPr>
      <w:rFonts w:ascii="Arial Narrow" w:hAnsi="Arial Narrow"/>
      <w:i/>
      <w:iCs/>
      <w:snapToGrid w:val="0"/>
      <w:sz w:val="18"/>
      <w:szCs w:val="22"/>
    </w:rPr>
  </w:style>
  <w:style w:type="character" w:customStyle="1" w:styleId="TableFigureFooterChar">
    <w:name w:val="Table/Figure Footer Char"/>
    <w:link w:val="TableFigureFooter"/>
    <w:rsid w:val="00677261"/>
    <w:rPr>
      <w:rFonts w:ascii="Arial Narrow" w:hAnsi="Arial Narrow" w:cs="Arial"/>
      <w:i/>
      <w:iCs/>
      <w:snapToGrid w:val="0"/>
      <w:sz w:val="18"/>
      <w:szCs w:val="22"/>
    </w:rPr>
  </w:style>
  <w:style w:type="character" w:styleId="UnresolvedMention">
    <w:name w:val="Unresolved Mention"/>
    <w:basedOn w:val="DefaultParagraphFont"/>
    <w:uiPriority w:val="99"/>
    <w:semiHidden/>
    <w:unhideWhenUsed/>
    <w:rsid w:val="00B97A8C"/>
    <w:rPr>
      <w:color w:val="605E5C"/>
      <w:shd w:val="clear" w:color="auto" w:fill="E1DFDD"/>
    </w:rPr>
  </w:style>
  <w:style w:type="paragraph" w:customStyle="1" w:styleId="Source">
    <w:name w:val="Source"/>
    <w:basedOn w:val="Normal"/>
    <w:uiPriority w:val="35"/>
    <w:qFormat/>
    <w:rsid w:val="00967C80"/>
    <w:pPr>
      <w:tabs>
        <w:tab w:val="left" w:pos="284"/>
      </w:tabs>
      <w:spacing w:before="60" w:after="240" w:line="360" w:lineRule="auto"/>
      <w:contextualSpacing/>
      <w:jc w:val="left"/>
    </w:pPr>
    <w:rPr>
      <w:rFonts w:ascii="Arial" w:eastAsiaTheme="minorHAnsi" w:hAnsi="Arial" w:cstheme="minorBidi"/>
      <w:sz w:val="18"/>
      <w:szCs w:val="20"/>
      <w:lang w:eastAsia="en-US"/>
    </w:rPr>
  </w:style>
  <w:style w:type="paragraph" w:styleId="FootnoteText">
    <w:name w:val="footnote text"/>
    <w:basedOn w:val="Normal"/>
    <w:link w:val="FootnoteTextChar"/>
    <w:unhideWhenUsed/>
    <w:rsid w:val="002B3C53"/>
    <w:pPr>
      <w:jc w:val="left"/>
    </w:pPr>
    <w:rPr>
      <w:rFonts w:asciiTheme="minorHAnsi" w:eastAsiaTheme="minorHAnsi" w:hAnsiTheme="minorHAnsi" w:cstheme="minorBidi"/>
      <w:sz w:val="18"/>
      <w:szCs w:val="20"/>
      <w:lang w:eastAsia="en-US"/>
    </w:rPr>
  </w:style>
  <w:style w:type="character" w:customStyle="1" w:styleId="FootnoteTextChar">
    <w:name w:val="Footnote Text Char"/>
    <w:basedOn w:val="DefaultParagraphFont"/>
    <w:link w:val="FootnoteText"/>
    <w:rsid w:val="002B3C53"/>
    <w:rPr>
      <w:rFonts w:asciiTheme="minorHAnsi" w:eastAsiaTheme="minorHAnsi" w:hAnsiTheme="minorHAnsi" w:cstheme="minorBidi"/>
      <w:sz w:val="18"/>
      <w:lang w:eastAsia="en-US"/>
    </w:rPr>
  </w:style>
  <w:style w:type="character" w:styleId="FootnoteReference">
    <w:name w:val="footnote reference"/>
    <w:basedOn w:val="DefaultParagraphFont"/>
    <w:unhideWhenUsed/>
    <w:rsid w:val="002B3C53"/>
    <w:rPr>
      <w:vertAlign w:val="superscript"/>
    </w:rPr>
  </w:style>
  <w:style w:type="paragraph" w:customStyle="1" w:styleId="paragraph">
    <w:name w:val="paragraph"/>
    <w:basedOn w:val="Normal"/>
    <w:rsid w:val="00F43CE3"/>
    <w:pPr>
      <w:spacing w:before="100" w:beforeAutospacing="1" w:after="100" w:afterAutospacing="1"/>
      <w:jc w:val="left"/>
    </w:pPr>
    <w:rPr>
      <w:rFonts w:ascii="Times New Roman" w:hAnsi="Times New Roman" w:cs="Times New Roman"/>
    </w:rPr>
  </w:style>
  <w:style w:type="character" w:customStyle="1" w:styleId="eop">
    <w:name w:val="eop"/>
    <w:basedOn w:val="DefaultParagraphFont"/>
    <w:rsid w:val="00F43CE3"/>
  </w:style>
  <w:style w:type="table" w:styleId="ColourfulGridAccent5">
    <w:name w:val="Colorful Grid Accent 5"/>
    <w:basedOn w:val="TableNormal"/>
    <w:uiPriority w:val="73"/>
    <w:rsid w:val="0078310E"/>
    <w:rPr>
      <w:rFonts w:ascii="Arial" w:eastAsiaTheme="minorHAnsi" w:hAnsi="Arial" w:cstheme="minorBidi"/>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customStyle="1" w:styleId="TableText1">
    <w:name w:val="Table Text 1"/>
    <w:basedOn w:val="Normal"/>
    <w:qFormat/>
    <w:rsid w:val="006E0D3E"/>
    <w:pPr>
      <w:spacing w:after="240"/>
      <w:jc w:val="left"/>
    </w:pPr>
    <w:rPr>
      <w:rFonts w:ascii="Arial Narrow" w:eastAsiaTheme="minorHAnsi" w:hAnsi="Arial Narrow" w:cstheme="minorBidi"/>
      <w:sz w:val="20"/>
      <w:szCs w:val="20"/>
      <w:lang w:eastAsia="en-US"/>
    </w:rPr>
  </w:style>
  <w:style w:type="character" w:customStyle="1" w:styleId="ListBulletChar">
    <w:name w:val="List Bullet Char"/>
    <w:basedOn w:val="DefaultParagraphFont"/>
    <w:link w:val="ListBullet"/>
    <w:rsid w:val="00733869"/>
    <w:rPr>
      <w:rFonts w:ascii="Calibri" w:hAnsi="Calibri" w:cs="Arial"/>
      <w:sz w:val="24"/>
      <w:szCs w:val="24"/>
    </w:rPr>
  </w:style>
  <w:style w:type="table" w:customStyle="1" w:styleId="PBACtable1">
    <w:name w:val="PBAC table1"/>
    <w:basedOn w:val="TableNormal"/>
    <w:next w:val="TableGrid"/>
    <w:uiPriority w:val="39"/>
    <w:rsid w:val="00174B69"/>
    <w:pPr>
      <w:spacing w:after="120" w:line="360" w:lineRule="auto"/>
      <w:ind w:right="57"/>
    </w:pPr>
    <w:rPr>
      <w:rFonts w:ascii="Arial" w:eastAsiaTheme="minorHAnsi" w:hAnsi="Arial" w:cstheme="minorBidi"/>
      <w:lang w:eastAsia="en-US"/>
    </w:rPr>
    <w:tblPr>
      <w:tblBorders>
        <w:bottom w:val="single" w:sz="12" w:space="0" w:color="4BACC6" w:themeColor="accent5"/>
        <w:insideH w:val="single" w:sz="4" w:space="0" w:color="4BACC6" w:themeColor="accent5"/>
      </w:tblBorders>
      <w:tblCellMar>
        <w:left w:w="57" w:type="dxa"/>
        <w:right w:w="57" w:type="dxa"/>
      </w:tblCellMar>
    </w:tblPr>
    <w:tblStylePr w:type="firstRow">
      <w:pPr>
        <w:wordWrap/>
        <w:spacing w:line="276" w:lineRule="auto"/>
      </w:pPr>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tblPr/>
      <w:tcPr>
        <w:tcBorders>
          <w:top w:val="nil"/>
          <w:left w:val="nil"/>
          <w:bottom w:val="single" w:sz="12" w:space="0" w:color="4BACC6" w:themeColor="accent5"/>
          <w:right w:val="nil"/>
          <w:insideH w:val="nil"/>
          <w:insideV w:val="nil"/>
          <w:tl2br w:val="nil"/>
          <w:tr2bl w:val="nil"/>
        </w:tcBorders>
      </w:tcPr>
    </w:tblStylePr>
    <w:tblStylePr w:type="firstCol">
      <w:rPr>
        <w:b/>
      </w:rPr>
    </w:tblStylePr>
  </w:style>
  <w:style w:type="paragraph" w:customStyle="1" w:styleId="Heading3NoNumbers">
    <w:name w:val="Heading 3 No Numbers"/>
    <w:basedOn w:val="Heading3"/>
    <w:next w:val="Normal"/>
    <w:uiPriority w:val="9"/>
    <w:qFormat/>
    <w:rsid w:val="007B590D"/>
    <w:pPr>
      <w:keepNext/>
      <w:spacing w:before="120" w:after="120" w:line="360" w:lineRule="auto"/>
      <w:jc w:val="left"/>
    </w:pPr>
    <w:rPr>
      <w:rFonts w:asciiTheme="majorHAnsi" w:eastAsiaTheme="majorEastAsia" w:hAnsiTheme="majorHAnsi" w:cstheme="majorBidi"/>
      <w:b/>
      <w:bCs/>
      <w:szCs w:val="20"/>
      <w:u w:val="none"/>
      <w:lang w:eastAsia="en-US"/>
    </w:rPr>
  </w:style>
  <w:style w:type="table" w:customStyle="1" w:styleId="MSDTableGrid2">
    <w:name w:val="MSD Table Grid2"/>
    <w:basedOn w:val="TableNormal"/>
    <w:next w:val="TableGrid"/>
    <w:uiPriority w:val="59"/>
    <w:rsid w:val="008D2D06"/>
    <w:pPr>
      <w:spacing w:after="120" w:line="360" w:lineRule="auto"/>
      <w:ind w:right="57"/>
    </w:pPr>
    <w:rPr>
      <w:rFonts w:ascii="Arial" w:eastAsiaTheme="minorHAnsi" w:hAnsi="Arial" w:cstheme="minorBidi"/>
      <w:lang w:eastAsia="en-US"/>
    </w:rPr>
    <w:tblPr>
      <w:tblBorders>
        <w:bottom w:val="single" w:sz="12" w:space="0" w:color="004540"/>
        <w:insideH w:val="single" w:sz="4" w:space="0" w:color="004540"/>
      </w:tblBorders>
      <w:tblCellMar>
        <w:left w:w="57" w:type="dxa"/>
        <w:right w:w="57" w:type="dxa"/>
      </w:tblCellMar>
    </w:tblPr>
    <w:tblStylePr w:type="firstRow">
      <w:pPr>
        <w:wordWrap/>
        <w:spacing w:line="276" w:lineRule="auto"/>
      </w:pPr>
      <w:rPr>
        <w:b/>
      </w:rPr>
      <w:tblPr/>
      <w:tcPr>
        <w:tcBorders>
          <w:top w:val="single" w:sz="12" w:space="0" w:color="004540"/>
          <w:left w:val="nil"/>
          <w:bottom w:val="single" w:sz="12" w:space="0" w:color="004540"/>
          <w:right w:val="nil"/>
          <w:insideH w:val="nil"/>
          <w:insideV w:val="nil"/>
          <w:tl2br w:val="nil"/>
          <w:tr2bl w:val="nil"/>
        </w:tcBorders>
      </w:tcPr>
    </w:tblStylePr>
    <w:tblStylePr w:type="lastRow">
      <w:tblPr/>
      <w:tcPr>
        <w:tcBorders>
          <w:top w:val="nil"/>
          <w:left w:val="nil"/>
          <w:bottom w:val="single" w:sz="12" w:space="0" w:color="004540"/>
          <w:right w:val="nil"/>
          <w:insideH w:val="nil"/>
          <w:insideV w:val="nil"/>
          <w:tl2br w:val="nil"/>
          <w:tr2bl w:val="nil"/>
        </w:tcBorders>
      </w:tcPr>
    </w:tblStylePr>
    <w:tblStylePr w:type="firstCol">
      <w:rPr>
        <w:b/>
      </w:rPr>
    </w:tblStylePr>
  </w:style>
  <w:style w:type="numbering" w:customStyle="1" w:styleId="Lists">
    <w:name w:val="Lists"/>
    <w:uiPriority w:val="99"/>
    <w:rsid w:val="00883B57"/>
  </w:style>
  <w:style w:type="paragraph" w:customStyle="1" w:styleId="EndNoteBibliographyTitle">
    <w:name w:val="EndNote Bibliography Title"/>
    <w:basedOn w:val="Normal"/>
    <w:link w:val="EndNoteBibliographyTitleChar"/>
    <w:rsid w:val="001C684B"/>
    <w:pPr>
      <w:jc w:val="center"/>
    </w:pPr>
    <w:rPr>
      <w:rFonts w:cs="Calibri"/>
      <w:noProof/>
    </w:rPr>
  </w:style>
  <w:style w:type="character" w:customStyle="1" w:styleId="EndNoteBibliographyTitleChar">
    <w:name w:val="EndNote Bibliography Title Char"/>
    <w:basedOn w:val="ListBulletChar"/>
    <w:link w:val="EndNoteBibliographyTitle"/>
    <w:rsid w:val="001C684B"/>
    <w:rPr>
      <w:rFonts w:ascii="Calibri" w:hAnsi="Calibri" w:cs="Calibri"/>
      <w:noProof/>
      <w:sz w:val="24"/>
      <w:szCs w:val="24"/>
    </w:rPr>
  </w:style>
  <w:style w:type="paragraph" w:customStyle="1" w:styleId="EndNoteBibliography">
    <w:name w:val="EndNote Bibliography"/>
    <w:basedOn w:val="Normal"/>
    <w:link w:val="EndNoteBibliographyChar"/>
    <w:rsid w:val="001C684B"/>
    <w:rPr>
      <w:rFonts w:cs="Calibri"/>
      <w:noProof/>
    </w:rPr>
  </w:style>
  <w:style w:type="character" w:customStyle="1" w:styleId="EndNoteBibliographyChar">
    <w:name w:val="EndNote Bibliography Char"/>
    <w:basedOn w:val="ListBulletChar"/>
    <w:link w:val="EndNoteBibliography"/>
    <w:rsid w:val="001C684B"/>
    <w:rPr>
      <w:rFonts w:ascii="Calibri" w:hAnsi="Calibri" w:cs="Calibri"/>
      <w:noProof/>
      <w:sz w:val="24"/>
      <w:szCs w:val="24"/>
    </w:rPr>
  </w:style>
  <w:style w:type="paragraph" w:customStyle="1" w:styleId="TableHeading0">
    <w:name w:val="Table Heading"/>
    <w:basedOn w:val="Normal"/>
    <w:link w:val="TableHeadingChar"/>
    <w:qFormat/>
    <w:rsid w:val="005F3809"/>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basedOn w:val="DefaultParagraphFont"/>
    <w:link w:val="TableHeading0"/>
    <w:locked/>
    <w:rsid w:val="005F3809"/>
    <w:rPr>
      <w:rFonts w:ascii="Arial Narrow" w:eastAsiaTheme="minorHAnsi" w:hAnsi="Arial Narrow" w:cstheme="minorBidi"/>
      <w:b/>
      <w:szCs w:val="22"/>
      <w:lang w:eastAsia="en-US"/>
    </w:rPr>
  </w:style>
  <w:style w:type="paragraph" w:styleId="EndnoteText">
    <w:name w:val="endnote text"/>
    <w:basedOn w:val="Normal"/>
    <w:link w:val="EndnoteTextChar"/>
    <w:semiHidden/>
    <w:unhideWhenUsed/>
    <w:rsid w:val="002C3901"/>
    <w:rPr>
      <w:sz w:val="20"/>
      <w:szCs w:val="20"/>
    </w:rPr>
  </w:style>
  <w:style w:type="character" w:customStyle="1" w:styleId="EndnoteTextChar">
    <w:name w:val="Endnote Text Char"/>
    <w:basedOn w:val="DefaultParagraphFont"/>
    <w:link w:val="EndnoteText"/>
    <w:semiHidden/>
    <w:rsid w:val="002C3901"/>
    <w:rPr>
      <w:rFonts w:ascii="Calibri" w:hAnsi="Calibri" w:cs="Arial"/>
    </w:rPr>
  </w:style>
  <w:style w:type="character" w:styleId="EndnoteReference">
    <w:name w:val="endnote reference"/>
    <w:basedOn w:val="DefaultParagraphFont"/>
    <w:semiHidden/>
    <w:unhideWhenUsed/>
    <w:rsid w:val="002C3901"/>
    <w:rPr>
      <w:vertAlign w:val="superscript"/>
    </w:rPr>
  </w:style>
  <w:style w:type="character" w:styleId="Strong">
    <w:name w:val="Strong"/>
    <w:basedOn w:val="DefaultParagraphFont"/>
    <w:uiPriority w:val="22"/>
    <w:qFormat/>
    <w:rsid w:val="00474F5B"/>
    <w:rPr>
      <w:b/>
      <w:bCs/>
    </w:rPr>
  </w:style>
  <w:style w:type="character" w:customStyle="1" w:styleId="cf01">
    <w:name w:val="cf01"/>
    <w:basedOn w:val="DefaultParagraphFont"/>
    <w:rsid w:val="00D70B49"/>
    <w:rPr>
      <w:rFonts w:ascii="Segoe UI" w:hAnsi="Segoe UI" w:cs="Segoe UI" w:hint="default"/>
      <w:sz w:val="18"/>
      <w:szCs w:val="18"/>
    </w:rPr>
  </w:style>
  <w:style w:type="character" w:styleId="Mention">
    <w:name w:val="Mention"/>
    <w:basedOn w:val="DefaultParagraphFont"/>
    <w:uiPriority w:val="99"/>
    <w:unhideWhenUsed/>
    <w:rsid w:val="004E3604"/>
    <w:rPr>
      <w:color w:val="2B579A"/>
      <w:shd w:val="clear" w:color="auto" w:fill="E1DFDD"/>
    </w:rPr>
  </w:style>
  <w:style w:type="paragraph" w:customStyle="1" w:styleId="Numberbullet2">
    <w:name w:val="Number bullet 2"/>
    <w:basedOn w:val="ListBullet2"/>
    <w:qFormat/>
    <w:rsid w:val="003D2942"/>
    <w:pPr>
      <w:numPr>
        <w:ilvl w:val="1"/>
        <w:numId w:val="34"/>
      </w:numPr>
      <w:spacing w:before="120" w:after="180" w:line="240" w:lineRule="atLeast"/>
      <w:ind w:left="0" w:firstLine="0"/>
      <w:contextualSpacing w:val="0"/>
      <w:jc w:val="left"/>
    </w:pPr>
    <w:rPr>
      <w:rFonts w:ascii="Cambria" w:eastAsia="Cambria" w:hAnsi="Cambria" w:cs="Times New Roman"/>
      <w:sz w:val="22"/>
      <w:szCs w:val="22"/>
      <w:lang w:eastAsia="en-US"/>
    </w:rPr>
  </w:style>
  <w:style w:type="paragraph" w:customStyle="1" w:styleId="Numberbullet3">
    <w:name w:val="Number bullet 3"/>
    <w:basedOn w:val="ListBullet3"/>
    <w:qFormat/>
    <w:rsid w:val="003D2942"/>
    <w:pPr>
      <w:numPr>
        <w:ilvl w:val="2"/>
        <w:numId w:val="34"/>
      </w:numPr>
      <w:spacing w:before="120" w:after="180" w:line="240" w:lineRule="atLeast"/>
      <w:ind w:left="0" w:firstLine="0"/>
      <w:contextualSpacing w:val="0"/>
      <w:jc w:val="left"/>
    </w:pPr>
    <w:rPr>
      <w:rFonts w:ascii="Cambria" w:eastAsia="Cambria" w:hAnsi="Cambria" w:cs="Times New Roman"/>
      <w:sz w:val="22"/>
      <w:szCs w:val="22"/>
      <w:lang w:eastAsia="en-US"/>
    </w:rPr>
  </w:style>
  <w:style w:type="numbering" w:customStyle="1" w:styleId="NumberBullet">
    <w:name w:val="NumberBullet"/>
    <w:uiPriority w:val="99"/>
    <w:locked/>
    <w:rsid w:val="003D2942"/>
    <w:pPr>
      <w:numPr>
        <w:numId w:val="34"/>
      </w:numPr>
    </w:pPr>
  </w:style>
  <w:style w:type="paragraph" w:customStyle="1" w:styleId="COMH1numbered">
    <w:name w:val="COM H1 numbered"/>
    <w:next w:val="Normal"/>
    <w:link w:val="COMH1numberedChar"/>
    <w:qFormat/>
    <w:rsid w:val="003D2942"/>
    <w:pPr>
      <w:keepNext/>
      <w:numPr>
        <w:numId w:val="34"/>
      </w:numPr>
      <w:spacing w:before="240" w:after="120"/>
      <w:ind w:left="0" w:firstLine="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3D2942"/>
    <w:rPr>
      <w:rFonts w:asciiTheme="minorHAnsi" w:hAnsiTheme="minorHAnsi" w:cs="Arial"/>
      <w:b/>
      <w:snapToGrid w:val="0"/>
      <w:sz w:val="32"/>
      <w:szCs w:val="32"/>
    </w:rPr>
  </w:style>
  <w:style w:type="paragraph" w:styleId="ListBullet2">
    <w:name w:val="List Bullet 2"/>
    <w:basedOn w:val="Normal"/>
    <w:semiHidden/>
    <w:unhideWhenUsed/>
    <w:rsid w:val="003D2942"/>
    <w:pPr>
      <w:contextualSpacing/>
    </w:pPr>
  </w:style>
  <w:style w:type="paragraph" w:styleId="ListBullet3">
    <w:name w:val="List Bullet 3"/>
    <w:basedOn w:val="Normal"/>
    <w:semiHidden/>
    <w:unhideWhenUsed/>
    <w:rsid w:val="003D2942"/>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47661378">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87536391">
      <w:bodyDiv w:val="1"/>
      <w:marLeft w:val="0"/>
      <w:marRight w:val="0"/>
      <w:marTop w:val="0"/>
      <w:marBottom w:val="0"/>
      <w:divBdr>
        <w:top w:val="none" w:sz="0" w:space="0" w:color="auto"/>
        <w:left w:val="none" w:sz="0" w:space="0" w:color="auto"/>
        <w:bottom w:val="none" w:sz="0" w:space="0" w:color="auto"/>
        <w:right w:val="none" w:sz="0" w:space="0" w:color="auto"/>
      </w:divBdr>
    </w:div>
    <w:div w:id="409423720">
      <w:bodyDiv w:val="1"/>
      <w:marLeft w:val="0"/>
      <w:marRight w:val="0"/>
      <w:marTop w:val="0"/>
      <w:marBottom w:val="0"/>
      <w:divBdr>
        <w:top w:val="none" w:sz="0" w:space="0" w:color="auto"/>
        <w:left w:val="none" w:sz="0" w:space="0" w:color="auto"/>
        <w:bottom w:val="none" w:sz="0" w:space="0" w:color="auto"/>
        <w:right w:val="none" w:sz="0" w:space="0" w:color="auto"/>
      </w:divBdr>
    </w:div>
    <w:div w:id="530458938">
      <w:bodyDiv w:val="1"/>
      <w:marLeft w:val="0"/>
      <w:marRight w:val="0"/>
      <w:marTop w:val="0"/>
      <w:marBottom w:val="0"/>
      <w:divBdr>
        <w:top w:val="none" w:sz="0" w:space="0" w:color="auto"/>
        <w:left w:val="none" w:sz="0" w:space="0" w:color="auto"/>
        <w:bottom w:val="none" w:sz="0" w:space="0" w:color="auto"/>
        <w:right w:val="none" w:sz="0" w:space="0" w:color="auto"/>
      </w:divBdr>
    </w:div>
    <w:div w:id="670984562">
      <w:bodyDiv w:val="1"/>
      <w:marLeft w:val="0"/>
      <w:marRight w:val="0"/>
      <w:marTop w:val="0"/>
      <w:marBottom w:val="0"/>
      <w:divBdr>
        <w:top w:val="none" w:sz="0" w:space="0" w:color="auto"/>
        <w:left w:val="none" w:sz="0" w:space="0" w:color="auto"/>
        <w:bottom w:val="none" w:sz="0" w:space="0" w:color="auto"/>
        <w:right w:val="none" w:sz="0" w:space="0" w:color="auto"/>
      </w:divBdr>
    </w:div>
    <w:div w:id="747339482">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098332361">
      <w:bodyDiv w:val="1"/>
      <w:marLeft w:val="0"/>
      <w:marRight w:val="0"/>
      <w:marTop w:val="0"/>
      <w:marBottom w:val="0"/>
      <w:divBdr>
        <w:top w:val="none" w:sz="0" w:space="0" w:color="auto"/>
        <w:left w:val="none" w:sz="0" w:space="0" w:color="auto"/>
        <w:bottom w:val="none" w:sz="0" w:space="0" w:color="auto"/>
        <w:right w:val="none" w:sz="0" w:space="0" w:color="auto"/>
      </w:divBdr>
    </w:div>
    <w:div w:id="1139224442">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11379461">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05235135">
      <w:bodyDiv w:val="1"/>
      <w:marLeft w:val="0"/>
      <w:marRight w:val="0"/>
      <w:marTop w:val="0"/>
      <w:marBottom w:val="0"/>
      <w:divBdr>
        <w:top w:val="none" w:sz="0" w:space="0" w:color="auto"/>
        <w:left w:val="none" w:sz="0" w:space="0" w:color="auto"/>
        <w:bottom w:val="none" w:sz="0" w:space="0" w:color="auto"/>
        <w:right w:val="none" w:sz="0" w:space="0" w:color="auto"/>
      </w:divBdr>
    </w:div>
    <w:div w:id="1600605761">
      <w:bodyDiv w:val="1"/>
      <w:marLeft w:val="0"/>
      <w:marRight w:val="0"/>
      <w:marTop w:val="0"/>
      <w:marBottom w:val="0"/>
      <w:divBdr>
        <w:top w:val="none" w:sz="0" w:space="0" w:color="auto"/>
        <w:left w:val="none" w:sz="0" w:space="0" w:color="auto"/>
        <w:bottom w:val="none" w:sz="0" w:space="0" w:color="auto"/>
        <w:right w:val="none" w:sz="0" w:space="0" w:color="auto"/>
      </w:divBdr>
    </w:div>
    <w:div w:id="1813012636">
      <w:bodyDiv w:val="1"/>
      <w:marLeft w:val="0"/>
      <w:marRight w:val="0"/>
      <w:marTop w:val="0"/>
      <w:marBottom w:val="0"/>
      <w:divBdr>
        <w:top w:val="none" w:sz="0" w:space="0" w:color="auto"/>
        <w:left w:val="none" w:sz="0" w:space="0" w:color="auto"/>
        <w:bottom w:val="none" w:sz="0" w:space="0" w:color="auto"/>
        <w:right w:val="none" w:sz="0" w:space="0" w:color="auto"/>
      </w:divBdr>
      <w:divsChild>
        <w:div w:id="627203091">
          <w:marLeft w:val="360"/>
          <w:marRight w:val="0"/>
          <w:marTop w:val="0"/>
          <w:marBottom w:val="0"/>
          <w:divBdr>
            <w:top w:val="none" w:sz="0" w:space="0" w:color="auto"/>
            <w:left w:val="none" w:sz="0" w:space="0" w:color="auto"/>
            <w:bottom w:val="none" w:sz="0" w:space="0" w:color="auto"/>
            <w:right w:val="none" w:sz="0" w:space="0" w:color="auto"/>
          </w:divBdr>
        </w:div>
        <w:div w:id="822158946">
          <w:marLeft w:val="1080"/>
          <w:marRight w:val="0"/>
          <w:marTop w:val="0"/>
          <w:marBottom w:val="0"/>
          <w:divBdr>
            <w:top w:val="none" w:sz="0" w:space="0" w:color="auto"/>
            <w:left w:val="none" w:sz="0" w:space="0" w:color="auto"/>
            <w:bottom w:val="none" w:sz="0" w:space="0" w:color="auto"/>
            <w:right w:val="none" w:sz="0" w:space="0" w:color="auto"/>
          </w:divBdr>
        </w:div>
        <w:div w:id="884369921">
          <w:marLeft w:val="1080"/>
          <w:marRight w:val="0"/>
          <w:marTop w:val="0"/>
          <w:marBottom w:val="0"/>
          <w:divBdr>
            <w:top w:val="none" w:sz="0" w:space="0" w:color="auto"/>
            <w:left w:val="none" w:sz="0" w:space="0" w:color="auto"/>
            <w:bottom w:val="none" w:sz="0" w:space="0" w:color="auto"/>
            <w:right w:val="none" w:sz="0" w:space="0" w:color="auto"/>
          </w:divBdr>
        </w:div>
        <w:div w:id="1029184809">
          <w:marLeft w:val="1080"/>
          <w:marRight w:val="0"/>
          <w:marTop w:val="0"/>
          <w:marBottom w:val="0"/>
          <w:divBdr>
            <w:top w:val="none" w:sz="0" w:space="0" w:color="auto"/>
            <w:left w:val="none" w:sz="0" w:space="0" w:color="auto"/>
            <w:bottom w:val="none" w:sz="0" w:space="0" w:color="auto"/>
            <w:right w:val="none" w:sz="0" w:space="0" w:color="auto"/>
          </w:divBdr>
        </w:div>
        <w:div w:id="1923947297">
          <w:marLeft w:val="1080"/>
          <w:marRight w:val="0"/>
          <w:marTop w:val="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46756432">
      <w:bodyDiv w:val="1"/>
      <w:marLeft w:val="0"/>
      <w:marRight w:val="0"/>
      <w:marTop w:val="0"/>
      <w:marBottom w:val="0"/>
      <w:divBdr>
        <w:top w:val="none" w:sz="0" w:space="0" w:color="auto"/>
        <w:left w:val="none" w:sz="0" w:space="0" w:color="auto"/>
        <w:bottom w:val="none" w:sz="0" w:space="0" w:color="auto"/>
        <w:right w:val="none" w:sz="0" w:space="0" w:color="auto"/>
      </w:divBdr>
      <w:divsChild>
        <w:div w:id="347685729">
          <w:marLeft w:val="360"/>
          <w:marRight w:val="0"/>
          <w:marTop w:val="200"/>
          <w:marBottom w:val="0"/>
          <w:divBdr>
            <w:top w:val="none" w:sz="0" w:space="0" w:color="auto"/>
            <w:left w:val="none" w:sz="0" w:space="0" w:color="auto"/>
            <w:bottom w:val="none" w:sz="0" w:space="0" w:color="auto"/>
            <w:right w:val="none" w:sz="0" w:space="0" w:color="auto"/>
          </w:divBdr>
        </w:div>
      </w:divsChild>
    </w:div>
    <w:div w:id="2107578944">
      <w:bodyDiv w:val="1"/>
      <w:marLeft w:val="0"/>
      <w:marRight w:val="0"/>
      <w:marTop w:val="0"/>
      <w:marBottom w:val="0"/>
      <w:divBdr>
        <w:top w:val="none" w:sz="0" w:space="0" w:color="auto"/>
        <w:left w:val="none" w:sz="0" w:space="0" w:color="auto"/>
        <w:bottom w:val="none" w:sz="0" w:space="0" w:color="auto"/>
        <w:right w:val="none" w:sz="0" w:space="0" w:color="auto"/>
      </w:divBdr>
      <w:divsChild>
        <w:div w:id="50104490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linicaltrials.gov/study/NCT06102395" TargetMode="External"/><Relationship Id="rId2" Type="http://schemas.openxmlformats.org/officeDocument/2006/relationships/hyperlink" Target="https://www.eviq.org.au/medical-oncology/head-and-neck" TargetMode="External"/><Relationship Id="rId1" Type="http://schemas.openxmlformats.org/officeDocument/2006/relationships/hyperlink" Target="https://www.aihw.gov.au/reports/cancer/cancer-data-in-australia/contents/summary-dashboard" TargetMode="External"/><Relationship Id="rId5" Type="http://schemas.openxmlformats.org/officeDocument/2006/relationships/hyperlink" Target="https://www.eviq.org.au/medical-oncology/head-and-neck" TargetMode="External"/><Relationship Id="rId4" Type="http://schemas.openxmlformats.org/officeDocument/2006/relationships/hyperlink" Target="https://clinicaltrials.gov/study/NCT034806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C1034-08DD-4057-85FA-5F74DFA63D29}">
  <ds:schemaRefs>
    <ds:schemaRef ds:uri="http://schemas.microsoft.com/sharepoint/v3/contenttype/forms"/>
  </ds:schemaRefs>
</ds:datastoreItem>
</file>

<file path=customXml/itemProps2.xml><?xml version="1.0" encoding="utf-8"?>
<ds:datastoreItem xmlns:ds="http://schemas.openxmlformats.org/officeDocument/2006/customXml" ds:itemID="{65FB72F8-34CA-4626-9C71-EEBC34C9A3B7}">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4.xml><?xml version="1.0" encoding="utf-8"?>
<ds:datastoreItem xmlns:ds="http://schemas.openxmlformats.org/officeDocument/2006/customXml" ds:itemID="{3ACA835A-A8D1-40EA-9D5A-E8C7DBCDB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46</Pages>
  <Words>17898</Words>
  <Characters>102024</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119683</CharactersWithSpaces>
  <SharedDoc>false</SharedDoc>
  <HLinks>
    <vt:vector size="30" baseType="variant">
      <vt:variant>
        <vt:i4>3604588</vt:i4>
      </vt:variant>
      <vt:variant>
        <vt:i4>12</vt:i4>
      </vt:variant>
      <vt:variant>
        <vt:i4>0</vt:i4>
      </vt:variant>
      <vt:variant>
        <vt:i4>5</vt:i4>
      </vt:variant>
      <vt:variant>
        <vt:lpwstr>https://www.eviq.org.au/medical-oncology/head-and-neck</vt:lpwstr>
      </vt:variant>
      <vt:variant>
        <vt:lpwstr/>
      </vt:variant>
      <vt:variant>
        <vt:i4>458754</vt:i4>
      </vt:variant>
      <vt:variant>
        <vt:i4>9</vt:i4>
      </vt:variant>
      <vt:variant>
        <vt:i4>0</vt:i4>
      </vt:variant>
      <vt:variant>
        <vt:i4>5</vt:i4>
      </vt:variant>
      <vt:variant>
        <vt:lpwstr>https://clinicaltrials.gov/study/NCT03480672</vt:lpwstr>
      </vt:variant>
      <vt:variant>
        <vt:lpwstr/>
      </vt:variant>
      <vt:variant>
        <vt:i4>524299</vt:i4>
      </vt:variant>
      <vt:variant>
        <vt:i4>6</vt:i4>
      </vt:variant>
      <vt:variant>
        <vt:i4>0</vt:i4>
      </vt:variant>
      <vt:variant>
        <vt:i4>5</vt:i4>
      </vt:variant>
      <vt:variant>
        <vt:lpwstr>https://clinicaltrials.gov/study/NCT06102395</vt:lpwstr>
      </vt:variant>
      <vt:variant>
        <vt:lpwstr/>
      </vt:variant>
      <vt:variant>
        <vt:i4>3604588</vt:i4>
      </vt:variant>
      <vt:variant>
        <vt:i4>3</vt:i4>
      </vt:variant>
      <vt:variant>
        <vt:i4>0</vt:i4>
      </vt:variant>
      <vt:variant>
        <vt:i4>5</vt:i4>
      </vt:variant>
      <vt:variant>
        <vt:lpwstr>https://www.eviq.org.au/medical-oncology/head-and-neck</vt:lpwstr>
      </vt:variant>
      <vt:variant>
        <vt:lpwstr/>
      </vt:variant>
      <vt:variant>
        <vt:i4>8323129</vt:i4>
      </vt:variant>
      <vt:variant>
        <vt:i4>0</vt:i4>
      </vt:variant>
      <vt:variant>
        <vt:i4>0</vt:i4>
      </vt:variant>
      <vt:variant>
        <vt:i4>5</vt:i4>
      </vt:variant>
      <vt:variant>
        <vt:lpwstr>https://www.aihw.gov.au/reports/cancer/cancer-data-in-australia/contents/summary-dashboard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2026-02-16T22:40:00Z</dcterms:created>
  <dcterms:modified xsi:type="dcterms:W3CDTF">2026-03-04T00:59:00Z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694b6485,1a1b17da,6fe458e0</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12bbd136,107e228e,28e6f6be</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SiteId">
    <vt:lpwstr>34a3929c-73cf-4954-abfe-147dc3517892</vt:lpwstr>
  </property>
  <property fmtid="{D5CDD505-2E9C-101B-9397-08002B2CF9AE}" pid="9" name="MSIP_Label_7cd3e8b9-ffed-43a8-b7f4-cc2fa0382d36_Removed">
    <vt:lpwstr>False</vt:lpwstr>
  </property>
  <property fmtid="{D5CDD505-2E9C-101B-9397-08002B2CF9AE}" pid="10" name="MSIP_Label_7cd3e8b9-ffed-43a8-b7f4-cc2fa0382d36_ActionId">
    <vt:lpwstr>a9a5e20a-49b7-43f4-8570-79cd42441e0e</vt:lpwstr>
  </property>
  <property fmtid="{D5CDD505-2E9C-101B-9397-08002B2CF9AE}" pid="11" name="MediaServiceImageTags">
    <vt:lpwstr/>
  </property>
  <property fmtid="{D5CDD505-2E9C-101B-9397-08002B2CF9AE}" pid="12" name="ContentTypeId">
    <vt:lpwstr>0x0101007FED174C5281F747A8037A05221D6DBD</vt:lpwstr>
  </property>
  <property fmtid="{D5CDD505-2E9C-101B-9397-08002B2CF9AE}" pid="13" name="MSIP_Label_7cd3e8b9-ffed-43a8-b7f4-cc2fa0382d36_Name">
    <vt:lpwstr>O</vt:lpwstr>
  </property>
  <property fmtid="{D5CDD505-2E9C-101B-9397-08002B2CF9AE}" pid="14" name="MSIP_Label_7cd3e8b9-ffed-43a8-b7f4-cc2fa0382d36_Extended_MSFT_Method">
    <vt:lpwstr>Standard</vt:lpwstr>
  </property>
  <property fmtid="{D5CDD505-2E9C-101B-9397-08002B2CF9AE}" pid="15" name="MSIP_Label_7cd3e8b9-ffed-43a8-b7f4-cc2fa0382d36_Enabled">
    <vt:lpwstr>true</vt:lpwstr>
  </property>
  <property fmtid="{D5CDD505-2E9C-101B-9397-08002B2CF9AE}" pid="16" name="MSIP_Label_7cd3e8b9-ffed-43a8-b7f4-cc2fa0382d36_SetDate">
    <vt:lpwstr>2026-02-18T09:56:18Z</vt:lpwstr>
  </property>
  <property fmtid="{D5CDD505-2E9C-101B-9397-08002B2CF9AE}" pid="17" name="docLang">
    <vt:lpwstr>en</vt:lpwstr>
  </property>
  <property fmtid="{D5CDD505-2E9C-101B-9397-08002B2CF9AE}" pid="18" name="MSIP_Label_7cd3e8b9-ffed-43a8-b7f4-cc2fa0382d36_Method">
    <vt:lpwstr>Privileged</vt:lpwstr>
  </property>
  <property fmtid="{D5CDD505-2E9C-101B-9397-08002B2CF9AE}" pid="19" name="MSIP_Label_7cd3e8b9-ffed-43a8-b7f4-cc2fa0382d36_ContentBits">
    <vt:lpwstr>3</vt:lpwstr>
  </property>
  <property fmtid="{D5CDD505-2E9C-101B-9397-08002B2CF9AE}" pid="20" name="MSIP_Label_7cd3e8b9-ffed-43a8-b7f4-cc2fa0382d36_Tag">
    <vt:lpwstr>10, 0, 1, 1</vt:lpwstr>
  </property>
</Properties>
</file>