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93F6" w14:textId="15D8979F" w:rsidR="0034145B" w:rsidRPr="00E20031" w:rsidRDefault="009E44B1" w:rsidP="0034145B">
      <w:pPr>
        <w:pStyle w:val="1-MainHeading"/>
      </w:pPr>
      <w:bookmarkStart w:id="0" w:name="_Toc202884164"/>
      <w:bookmarkStart w:id="1" w:name="_Toc208920183"/>
      <w:r>
        <w:t>5</w:t>
      </w:r>
      <w:r w:rsidR="0034145B" w:rsidRPr="00E20031">
        <w:t>.</w:t>
      </w:r>
      <w:r>
        <w:t>08</w:t>
      </w:r>
      <w:r w:rsidR="0034145B" w:rsidRPr="00E20031">
        <w:tab/>
        <w:t>P</w:t>
      </w:r>
      <w:r w:rsidR="00D52910">
        <w:t>EGECETACOPLAN</w:t>
      </w:r>
      <w:r w:rsidR="0034145B" w:rsidRPr="00E20031">
        <w:t>,</w:t>
      </w:r>
      <w:r w:rsidR="0034145B" w:rsidRPr="00E20031">
        <w:br/>
        <w:t>Solution for intravitreal injection</w:t>
      </w:r>
      <w:r w:rsidR="0034145B" w:rsidRPr="00E20031">
        <w:br/>
        <w:t>15 mg in 0.1 mL (150 mg per mL),</w:t>
      </w:r>
      <w:r w:rsidR="0034145B" w:rsidRPr="00E20031">
        <w:br/>
        <w:t>Syfovre</w:t>
      </w:r>
      <w:r w:rsidR="0034145B" w:rsidRPr="00E20031">
        <w:rPr>
          <w:vertAlign w:val="superscript"/>
        </w:rPr>
        <w:t>®</w:t>
      </w:r>
      <w:r w:rsidR="0034145B" w:rsidRPr="00E20031">
        <w:t>,</w:t>
      </w:r>
      <w:r w:rsidR="0034145B" w:rsidRPr="00E20031">
        <w:br/>
        <w:t>APELLIS AUSTRALIA PTY LTD.</w:t>
      </w:r>
      <w:bookmarkEnd w:id="0"/>
      <w:bookmarkEnd w:id="1"/>
    </w:p>
    <w:p w14:paraId="789358D6" w14:textId="77777777" w:rsidR="008D461D" w:rsidRPr="00E20031" w:rsidRDefault="008D461D" w:rsidP="008D461D">
      <w:pPr>
        <w:pStyle w:val="2-SectionHeading"/>
      </w:pPr>
      <w:bookmarkStart w:id="2" w:name="_Toc202884166"/>
      <w:bookmarkStart w:id="3" w:name="_Toc206430827"/>
      <w:bookmarkStart w:id="4" w:name="_Toc208920185"/>
      <w:r w:rsidRPr="00E20031">
        <w:t>Purpose of submission</w:t>
      </w:r>
      <w:bookmarkEnd w:id="2"/>
      <w:bookmarkEnd w:id="3"/>
      <w:bookmarkEnd w:id="4"/>
    </w:p>
    <w:p w14:paraId="47C40812" w14:textId="30160784" w:rsidR="008D461D" w:rsidRPr="00E20031" w:rsidRDefault="008D461D" w:rsidP="008D461D">
      <w:pPr>
        <w:pStyle w:val="3-BodyText"/>
      </w:pPr>
      <w:r w:rsidRPr="00E20031">
        <w:t>The Category 1 submission requested a General Schedule Authority Required listing for pegcetacoplan for the treatment of non</w:t>
      </w:r>
      <w:r w:rsidR="00397B07">
        <w:noBreakHyphen/>
      </w:r>
      <w:r w:rsidRPr="00E20031">
        <w:t>subfoveal geographic atrophy (GA) that is secondary to age</w:t>
      </w:r>
      <w:r w:rsidR="00397B07">
        <w:noBreakHyphen/>
      </w:r>
      <w:r w:rsidRPr="00E20031">
        <w:t>related macular degeneration (AMD).</w:t>
      </w:r>
    </w:p>
    <w:p w14:paraId="46767DF8" w14:textId="79C10D3D" w:rsidR="008D461D" w:rsidRPr="00E20031" w:rsidRDefault="008D461D" w:rsidP="008D461D">
      <w:pPr>
        <w:pStyle w:val="3-BodyText"/>
      </w:pPr>
      <w:r w:rsidRPr="00E20031">
        <w:t xml:space="preserve">Listing </w:t>
      </w:r>
      <w:r w:rsidRPr="00E20031">
        <w:rPr>
          <w:rFonts w:cstheme="minorHAnsi"/>
        </w:rPr>
        <w:t>was requested on the basis of a cost</w:t>
      </w:r>
      <w:r w:rsidR="00397B07">
        <w:rPr>
          <w:rFonts w:cstheme="minorHAnsi"/>
        </w:rPr>
        <w:noBreakHyphen/>
      </w:r>
      <w:r w:rsidRPr="00E20031">
        <w:rPr>
          <w:rFonts w:cstheme="minorHAnsi"/>
        </w:rPr>
        <w:t xml:space="preserve">utility analysis (CUA) versus best supportive care (BSC). The key components of the submission are summarised in </w:t>
      </w:r>
      <w:r w:rsidRPr="00E20031">
        <w:rPr>
          <w:rFonts w:cstheme="minorHAnsi"/>
        </w:rPr>
        <w:fldChar w:fldCharType="begin"/>
      </w:r>
      <w:r w:rsidRPr="00E20031">
        <w:rPr>
          <w:rFonts w:cstheme="minorHAnsi"/>
        </w:rPr>
        <w:instrText xml:space="preserve"> REF _Ref205562262 \h </w:instrText>
      </w:r>
      <w:r w:rsidRPr="00E20031">
        <w:rPr>
          <w:rFonts w:cstheme="minorHAnsi"/>
        </w:rPr>
      </w:r>
      <w:r w:rsidRPr="00E20031">
        <w:rPr>
          <w:rFonts w:cstheme="minorHAnsi"/>
        </w:rPr>
        <w:fldChar w:fldCharType="separate"/>
      </w:r>
      <w:r w:rsidR="00333CFE" w:rsidRPr="00E20031">
        <w:t xml:space="preserve">Table </w:t>
      </w:r>
      <w:r w:rsidR="00333CFE">
        <w:rPr>
          <w:noProof/>
        </w:rPr>
        <w:t>1</w:t>
      </w:r>
      <w:r w:rsidRPr="00E20031">
        <w:rPr>
          <w:rFonts w:cstheme="minorHAnsi"/>
        </w:rPr>
        <w:fldChar w:fldCharType="end"/>
      </w:r>
      <w:r w:rsidRPr="00E20031">
        <w:rPr>
          <w:rFonts w:cstheme="minorHAnsi"/>
        </w:rPr>
        <w:t>.</w:t>
      </w:r>
    </w:p>
    <w:p w14:paraId="4ACB6E5B" w14:textId="666635FC" w:rsidR="008D461D" w:rsidRPr="00E20031" w:rsidRDefault="008D461D" w:rsidP="00BB7242">
      <w:pPr>
        <w:pStyle w:val="TableFigureHeading"/>
        <w:keepLines/>
        <w:rPr>
          <w:rStyle w:val="CommentReference"/>
          <w:b/>
          <w:szCs w:val="24"/>
        </w:rPr>
      </w:pPr>
      <w:bookmarkStart w:id="5" w:name="_Ref205562262"/>
      <w:r w:rsidRPr="00E20031">
        <w:lastRenderedPageBreak/>
        <w:t xml:space="preserve">Table </w:t>
      </w:r>
      <w:r w:rsidR="004C5F7F">
        <w:fldChar w:fldCharType="begin"/>
      </w:r>
      <w:r w:rsidR="004C5F7F">
        <w:instrText xml:space="preserve"> SEQ Table \* ARABIC </w:instrText>
      </w:r>
      <w:r w:rsidR="004C5F7F">
        <w:fldChar w:fldCharType="separate"/>
      </w:r>
      <w:r w:rsidR="00333CFE">
        <w:rPr>
          <w:noProof/>
        </w:rPr>
        <w:t>1</w:t>
      </w:r>
      <w:r w:rsidR="004C5F7F">
        <w:rPr>
          <w:noProof/>
        </w:rPr>
        <w:fldChar w:fldCharType="end"/>
      </w:r>
      <w:bookmarkEnd w:id="5"/>
      <w:r w:rsidRPr="00E20031">
        <w:t>:</w:t>
      </w:r>
      <w:r w:rsidRPr="00E20031">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8D461D" w:rsidRPr="00E20031" w14:paraId="74E8081E" w14:textId="77777777">
        <w:trPr>
          <w:cantSplit/>
          <w:tblHeader/>
        </w:trPr>
        <w:tc>
          <w:tcPr>
            <w:tcW w:w="924" w:type="pct"/>
          </w:tcPr>
          <w:p w14:paraId="79557C09" w14:textId="77777777" w:rsidR="008D461D" w:rsidRPr="00E20031" w:rsidRDefault="008D461D" w:rsidP="00BB7242">
            <w:pPr>
              <w:pStyle w:val="In-tableHeading"/>
              <w:keepNext/>
              <w:keepLines/>
              <w:rPr>
                <w:szCs w:val="20"/>
              </w:rPr>
            </w:pPr>
            <w:r w:rsidRPr="00E20031">
              <w:t>Component</w:t>
            </w:r>
          </w:p>
        </w:tc>
        <w:tc>
          <w:tcPr>
            <w:tcW w:w="4076" w:type="pct"/>
          </w:tcPr>
          <w:p w14:paraId="5F846372" w14:textId="77777777" w:rsidR="008D461D" w:rsidRPr="00E20031" w:rsidRDefault="008D461D" w:rsidP="00BB7242">
            <w:pPr>
              <w:pStyle w:val="In-tableHeading"/>
              <w:keepNext/>
              <w:keepLines/>
            </w:pPr>
            <w:r w:rsidRPr="00E20031">
              <w:t>Description</w:t>
            </w:r>
          </w:p>
        </w:tc>
      </w:tr>
      <w:tr w:rsidR="008D461D" w:rsidRPr="00E20031" w14:paraId="70EDDE42" w14:textId="77777777">
        <w:trPr>
          <w:cantSplit/>
        </w:trPr>
        <w:tc>
          <w:tcPr>
            <w:tcW w:w="924" w:type="pct"/>
          </w:tcPr>
          <w:p w14:paraId="048C62D5" w14:textId="77777777" w:rsidR="008D461D" w:rsidRPr="00E20031" w:rsidRDefault="008D461D" w:rsidP="00BB7242">
            <w:pPr>
              <w:pStyle w:val="TableText0"/>
              <w:rPr>
                <w:b/>
                <w:bCs w:val="0"/>
              </w:rPr>
            </w:pPr>
            <w:r w:rsidRPr="00E20031">
              <w:t>Population</w:t>
            </w:r>
          </w:p>
        </w:tc>
        <w:tc>
          <w:tcPr>
            <w:tcW w:w="4076" w:type="pct"/>
          </w:tcPr>
          <w:p w14:paraId="18B849A4" w14:textId="7B013109" w:rsidR="008D461D" w:rsidRPr="00E20031" w:rsidRDefault="008D461D" w:rsidP="00BB7242">
            <w:pPr>
              <w:pStyle w:val="TableText0"/>
              <w:rPr>
                <w:b/>
                <w:bCs w:val="0"/>
                <w:szCs w:val="20"/>
              </w:rPr>
            </w:pPr>
            <w:r w:rsidRPr="00E20031">
              <w:t>Patients with bilateral GA secondary to AMD, with an intact fovea (non</w:t>
            </w:r>
            <w:r w:rsidR="00397B07">
              <w:noBreakHyphen/>
            </w:r>
            <w:r w:rsidRPr="00E20031">
              <w:t>subfoveal lesion i.e., ≥1 µm from the foveal centre) and central vision threatened by GA lesion growth (GA lesion is ≤750 µm from the foveal centre</w:t>
            </w:r>
            <w:r w:rsidR="00C438DC">
              <w:t>)</w:t>
            </w:r>
            <w:r w:rsidRPr="00E20031">
              <w:t xml:space="preserve"> OR the GA lesions that are located beyond the 750 µm radius from the foveal centre, and where historical imaging indicates lesion progression is toward the foveal centre, and is located within the macula (defined as the 5.5 mm diameter area), and the fellow eye has a subfoveal GA lesion (i.e., a compromised fovea, where the GA lesion involves the foveal centre point)</w:t>
            </w:r>
          </w:p>
        </w:tc>
      </w:tr>
      <w:tr w:rsidR="008D461D" w:rsidRPr="00E20031" w14:paraId="4B3A2917" w14:textId="77777777">
        <w:trPr>
          <w:cantSplit/>
        </w:trPr>
        <w:tc>
          <w:tcPr>
            <w:tcW w:w="924" w:type="pct"/>
          </w:tcPr>
          <w:p w14:paraId="70748754" w14:textId="77777777" w:rsidR="008D461D" w:rsidRPr="00E20031" w:rsidRDefault="008D461D" w:rsidP="00BB7242">
            <w:pPr>
              <w:pStyle w:val="TableText0"/>
              <w:rPr>
                <w:b/>
                <w:bCs w:val="0"/>
              </w:rPr>
            </w:pPr>
            <w:r w:rsidRPr="00E20031">
              <w:t>Intervention</w:t>
            </w:r>
          </w:p>
        </w:tc>
        <w:tc>
          <w:tcPr>
            <w:tcW w:w="4076" w:type="pct"/>
          </w:tcPr>
          <w:p w14:paraId="41789D5F" w14:textId="77777777" w:rsidR="008D461D" w:rsidRPr="00E20031" w:rsidRDefault="008D461D" w:rsidP="00BB7242">
            <w:pPr>
              <w:pStyle w:val="TableText0"/>
              <w:rPr>
                <w:b/>
                <w:bCs w:val="0"/>
              </w:rPr>
            </w:pPr>
            <w:r w:rsidRPr="00E20031">
              <w:t>Pegcetacoplan administered at a dose of 0.1 mL of 150 mg/mL (15 mg) as an intravitreal injection every other month (in the better seeing eye)</w:t>
            </w:r>
          </w:p>
        </w:tc>
      </w:tr>
      <w:tr w:rsidR="008D461D" w:rsidRPr="00E20031" w14:paraId="72BCE2B7" w14:textId="77777777">
        <w:trPr>
          <w:cantSplit/>
        </w:trPr>
        <w:tc>
          <w:tcPr>
            <w:tcW w:w="924" w:type="pct"/>
          </w:tcPr>
          <w:p w14:paraId="1147408F" w14:textId="77777777" w:rsidR="008D461D" w:rsidRPr="00E20031" w:rsidRDefault="008D461D" w:rsidP="00BB7242">
            <w:pPr>
              <w:pStyle w:val="TableText0"/>
              <w:rPr>
                <w:b/>
                <w:bCs w:val="0"/>
              </w:rPr>
            </w:pPr>
            <w:r w:rsidRPr="00E20031">
              <w:t>Comparator</w:t>
            </w:r>
          </w:p>
        </w:tc>
        <w:tc>
          <w:tcPr>
            <w:tcW w:w="4076" w:type="pct"/>
            <w:vAlign w:val="center"/>
          </w:tcPr>
          <w:p w14:paraId="75846252" w14:textId="77777777" w:rsidR="008D461D" w:rsidRPr="00E20031" w:rsidRDefault="008D461D" w:rsidP="00BB7242">
            <w:pPr>
              <w:pStyle w:val="TableText0"/>
              <w:rPr>
                <w:b/>
                <w:bCs w:val="0"/>
              </w:rPr>
            </w:pPr>
            <w:r w:rsidRPr="00E20031">
              <w:t>Best supportive care</w:t>
            </w:r>
          </w:p>
        </w:tc>
      </w:tr>
      <w:tr w:rsidR="008D461D" w:rsidRPr="00E20031" w14:paraId="3C53174B" w14:textId="77777777">
        <w:trPr>
          <w:cantSplit/>
        </w:trPr>
        <w:tc>
          <w:tcPr>
            <w:tcW w:w="924" w:type="pct"/>
          </w:tcPr>
          <w:p w14:paraId="53527B4B" w14:textId="77777777" w:rsidR="008D461D" w:rsidRPr="00E20031" w:rsidRDefault="008D461D" w:rsidP="00BB7242">
            <w:pPr>
              <w:pStyle w:val="TableText0"/>
              <w:rPr>
                <w:b/>
                <w:bCs w:val="0"/>
              </w:rPr>
            </w:pPr>
            <w:r w:rsidRPr="00E20031">
              <w:t>Outcomes</w:t>
            </w:r>
          </w:p>
        </w:tc>
        <w:tc>
          <w:tcPr>
            <w:tcW w:w="4076" w:type="pct"/>
          </w:tcPr>
          <w:p w14:paraId="1E50CCFB" w14:textId="77777777" w:rsidR="008D461D" w:rsidRPr="00E20031" w:rsidRDefault="008D461D" w:rsidP="00BB7242">
            <w:pPr>
              <w:pStyle w:val="TableText0"/>
              <w:rPr>
                <w:b/>
                <w:bCs w:val="0"/>
              </w:rPr>
            </w:pPr>
            <w:r w:rsidRPr="00E20031">
              <w:t xml:space="preserve">Primary endpoint: </w:t>
            </w:r>
          </w:p>
          <w:p w14:paraId="1CD47FC5" w14:textId="77777777" w:rsidR="008D461D" w:rsidRPr="00E20031" w:rsidRDefault="008D461D" w:rsidP="00BB7242">
            <w:pPr>
              <w:pStyle w:val="TableText0"/>
              <w:rPr>
                <w:b/>
                <w:bCs w:val="0"/>
              </w:rPr>
            </w:pPr>
            <w:r w:rsidRPr="00E20031">
              <w:t>Change in the total area of GA lesions in the study eye at 12 months as measured by FAF from baseline compared to sham</w:t>
            </w:r>
          </w:p>
          <w:p w14:paraId="1F366017" w14:textId="77777777" w:rsidR="008D461D" w:rsidRPr="00E20031" w:rsidRDefault="008D461D" w:rsidP="00BB7242">
            <w:pPr>
              <w:pStyle w:val="TableText0"/>
              <w:rPr>
                <w:b/>
                <w:bCs w:val="0"/>
              </w:rPr>
            </w:pPr>
            <w:r w:rsidRPr="00E20031">
              <w:t xml:space="preserve">Key secondary endpoints: </w:t>
            </w:r>
          </w:p>
          <w:p w14:paraId="04111CB0" w14:textId="77777777" w:rsidR="008D461D" w:rsidRPr="00E20031" w:rsidRDefault="008D461D" w:rsidP="00BB7242">
            <w:pPr>
              <w:pStyle w:val="TableText0"/>
              <w:rPr>
                <w:b/>
                <w:bCs w:val="0"/>
              </w:rPr>
            </w:pPr>
            <w:r w:rsidRPr="00E20031">
              <w:t>Change in the total area of GA lesions in the study eye at 24 months as measured by FAF from baseline compared to sham</w:t>
            </w:r>
          </w:p>
          <w:p w14:paraId="1F86469C" w14:textId="77777777" w:rsidR="008D461D" w:rsidRPr="00E20031" w:rsidRDefault="008D461D" w:rsidP="00BB7242">
            <w:pPr>
              <w:pStyle w:val="TableText0"/>
              <w:rPr>
                <w:b/>
                <w:bCs w:val="0"/>
              </w:rPr>
            </w:pPr>
            <w:r w:rsidRPr="00E20031">
              <w:t>Monocular maximum reading speed (study eye) at 24 months, as assessed by the MNREAD or Radner Reading Charts</w:t>
            </w:r>
          </w:p>
          <w:p w14:paraId="7D4F8AC3" w14:textId="149F3068" w:rsidR="008D461D" w:rsidRPr="00E20031" w:rsidRDefault="008D461D" w:rsidP="00BB7242">
            <w:pPr>
              <w:pStyle w:val="TableText0"/>
              <w:rPr>
                <w:b/>
                <w:bCs w:val="0"/>
              </w:rPr>
            </w:pPr>
            <w:r w:rsidRPr="00E20031">
              <w:t>FRI Index score at 24 months (subject</w:t>
            </w:r>
            <w:r w:rsidR="00397B07">
              <w:noBreakHyphen/>
            </w:r>
            <w:r w:rsidRPr="00E20031">
              <w:t>level assessment)</w:t>
            </w:r>
          </w:p>
          <w:p w14:paraId="6F8B4E9A" w14:textId="2FB3DE3C" w:rsidR="008D461D" w:rsidRPr="00E20031" w:rsidRDefault="008D461D" w:rsidP="00BB7242">
            <w:pPr>
              <w:pStyle w:val="TableText0"/>
              <w:rPr>
                <w:b/>
                <w:bCs w:val="0"/>
              </w:rPr>
            </w:pPr>
            <w:r w:rsidRPr="00E20031">
              <w:t>NL</w:t>
            </w:r>
            <w:r w:rsidR="00397B07">
              <w:noBreakHyphen/>
            </w:r>
            <w:r w:rsidRPr="00E20031">
              <w:t>BCVA at 24 months score in the study eye</w:t>
            </w:r>
          </w:p>
          <w:p w14:paraId="4E535C36" w14:textId="77777777" w:rsidR="008D461D" w:rsidRPr="00E20031" w:rsidRDefault="008D461D" w:rsidP="00BB7242">
            <w:pPr>
              <w:pStyle w:val="TableText0"/>
              <w:rPr>
                <w:b/>
                <w:bCs w:val="0"/>
              </w:rPr>
            </w:pPr>
            <w:r w:rsidRPr="00E20031">
              <w:t>Change from baseline in the mean threshold sensitivity of all points measured by mesopic microperimetry (in patients in the OAKS study)</w:t>
            </w:r>
          </w:p>
          <w:p w14:paraId="6F055D9B" w14:textId="77777777" w:rsidR="008D461D" w:rsidRPr="00E20031" w:rsidRDefault="008D461D" w:rsidP="00BB7242">
            <w:pPr>
              <w:pStyle w:val="TableText0"/>
              <w:rPr>
                <w:b/>
                <w:bCs w:val="0"/>
              </w:rPr>
            </w:pPr>
            <w:r w:rsidRPr="00E20031">
              <w:t>Change in the number of scotoma points in the study eye at 24 months measured by mesopic microperimetry (in patients in the OAKS study)</w:t>
            </w:r>
          </w:p>
          <w:p w14:paraId="3BE4E2EB" w14:textId="77777777" w:rsidR="008D461D" w:rsidRPr="00E20031" w:rsidRDefault="008D461D" w:rsidP="00BB7242">
            <w:pPr>
              <w:pStyle w:val="TableText0"/>
              <w:rPr>
                <w:b/>
                <w:bCs w:val="0"/>
              </w:rPr>
            </w:pPr>
            <w:r w:rsidRPr="00E20031">
              <w:t>Conversion of central 4 or 16 points to scotomata at 24 months measured by mesopic microperimetry (in patients in the OAKS study)</w:t>
            </w:r>
          </w:p>
          <w:p w14:paraId="56E22284" w14:textId="0F407D5C" w:rsidR="008D461D" w:rsidRPr="00E20031" w:rsidRDefault="008D461D" w:rsidP="00BB7242">
            <w:pPr>
              <w:pStyle w:val="TableText0"/>
              <w:rPr>
                <w:rFonts w:eastAsia="Times New Roman" w:cs="Arial"/>
                <w:b/>
                <w:bCs w:val="0"/>
                <w:snapToGrid w:val="0"/>
                <w:color w:val="0066FF"/>
                <w:szCs w:val="20"/>
              </w:rPr>
            </w:pPr>
            <w:r w:rsidRPr="00E20031">
              <w:t>Long</w:t>
            </w:r>
            <w:r w:rsidR="00397B07">
              <w:noBreakHyphen/>
            </w:r>
            <w:r w:rsidRPr="00E20031">
              <w:t>term safety and efficacy of pegcetacoplan at month 48 assessed in GALE study</w:t>
            </w:r>
          </w:p>
        </w:tc>
      </w:tr>
      <w:tr w:rsidR="008D461D" w:rsidRPr="00E20031" w14:paraId="1F3AB8FC" w14:textId="77777777">
        <w:trPr>
          <w:cantSplit/>
        </w:trPr>
        <w:tc>
          <w:tcPr>
            <w:tcW w:w="924" w:type="pct"/>
          </w:tcPr>
          <w:p w14:paraId="5AB15CF4" w14:textId="77777777" w:rsidR="008D461D" w:rsidRPr="00E20031" w:rsidRDefault="008D461D" w:rsidP="00BB7242">
            <w:pPr>
              <w:pStyle w:val="TableText0"/>
              <w:rPr>
                <w:b/>
                <w:bCs w:val="0"/>
              </w:rPr>
            </w:pPr>
            <w:r w:rsidRPr="00E20031">
              <w:t>Clinical claim</w:t>
            </w:r>
          </w:p>
        </w:tc>
        <w:tc>
          <w:tcPr>
            <w:tcW w:w="4076" w:type="pct"/>
          </w:tcPr>
          <w:p w14:paraId="6147EC22" w14:textId="77777777" w:rsidR="008D461D" w:rsidRPr="00E20031" w:rsidRDefault="008D461D" w:rsidP="00BB7242">
            <w:pPr>
              <w:pStyle w:val="TableText0"/>
              <w:rPr>
                <w:rFonts w:eastAsia="Times New Roman" w:cs="Arial"/>
                <w:b/>
                <w:bCs w:val="0"/>
                <w:snapToGrid w:val="0"/>
                <w:color w:val="0066FF"/>
                <w:szCs w:val="20"/>
              </w:rPr>
            </w:pPr>
            <w:r w:rsidRPr="00E20031">
              <w:t>Pegcetacoplan significantly slows GA lesion growth and is superior, compared to best supportive care, and has an acceptable safety profile</w:t>
            </w:r>
          </w:p>
        </w:tc>
      </w:tr>
    </w:tbl>
    <w:p w14:paraId="2AD74CDA" w14:textId="77777777" w:rsidR="008D461D" w:rsidRPr="00E20031" w:rsidRDefault="008D461D" w:rsidP="00BB7242">
      <w:pPr>
        <w:pStyle w:val="FooterTableFigure"/>
        <w:keepNext/>
        <w:keepLines/>
      </w:pPr>
      <w:r w:rsidRPr="00E20031">
        <w:t>Source: Table 1, p37 of the submission.</w:t>
      </w:r>
    </w:p>
    <w:p w14:paraId="20AC0E9B" w14:textId="352A0269" w:rsidR="008D461D" w:rsidRPr="00E20031" w:rsidRDefault="008D461D" w:rsidP="00BB7242">
      <w:pPr>
        <w:pStyle w:val="FooterTableFigure"/>
        <w:keepNext/>
        <w:keepLines/>
        <w:rPr>
          <w:szCs w:val="18"/>
        </w:rPr>
      </w:pPr>
      <w:r w:rsidRPr="00E20031">
        <w:rPr>
          <w:szCs w:val="18"/>
        </w:rPr>
        <w:t>AMD = age</w:t>
      </w:r>
      <w:r w:rsidR="00397B07">
        <w:rPr>
          <w:szCs w:val="18"/>
        </w:rPr>
        <w:noBreakHyphen/>
      </w:r>
      <w:r w:rsidRPr="00E20031">
        <w:rPr>
          <w:szCs w:val="18"/>
        </w:rPr>
        <w:t>related macular degeneration; BCVA = best</w:t>
      </w:r>
      <w:r w:rsidR="00397B07">
        <w:rPr>
          <w:szCs w:val="18"/>
        </w:rPr>
        <w:noBreakHyphen/>
      </w:r>
      <w:r w:rsidRPr="00E20031">
        <w:rPr>
          <w:szCs w:val="18"/>
        </w:rPr>
        <w:t>corrected visual acuity; FAF = fundus autofluorescence; FRI = Functional Reading Independence; GA = geographic atrophy; mm = millimetre; MNREAD = Minnesota Low Vision Reading Test; NEI VFQ = National Eye Institute Visual Function Questionnaire; NL</w:t>
      </w:r>
      <w:r w:rsidR="00397B07">
        <w:rPr>
          <w:szCs w:val="18"/>
        </w:rPr>
        <w:noBreakHyphen/>
      </w:r>
      <w:r w:rsidRPr="00E20031">
        <w:rPr>
          <w:szCs w:val="18"/>
        </w:rPr>
        <w:t>BCVA = normal</w:t>
      </w:r>
      <w:r w:rsidR="00397B07">
        <w:rPr>
          <w:szCs w:val="18"/>
        </w:rPr>
        <w:noBreakHyphen/>
      </w:r>
      <w:r w:rsidRPr="00E20031">
        <w:rPr>
          <w:szCs w:val="18"/>
        </w:rPr>
        <w:t>luminance best</w:t>
      </w:r>
      <w:r w:rsidR="00397B07">
        <w:rPr>
          <w:szCs w:val="18"/>
        </w:rPr>
        <w:noBreakHyphen/>
      </w:r>
      <w:r w:rsidRPr="00E20031">
        <w:rPr>
          <w:szCs w:val="18"/>
        </w:rPr>
        <w:t>corrected visual acuity</w:t>
      </w:r>
    </w:p>
    <w:p w14:paraId="03B907C2" w14:textId="77777777" w:rsidR="008D461D" w:rsidRPr="00E20031" w:rsidRDefault="008D461D" w:rsidP="008D461D">
      <w:pPr>
        <w:pStyle w:val="2-SectionHeading"/>
      </w:pPr>
      <w:bookmarkStart w:id="6" w:name="_Toc202884167"/>
      <w:bookmarkStart w:id="7" w:name="_Toc206430828"/>
      <w:bookmarkStart w:id="8" w:name="_Toc208920186"/>
      <w:r w:rsidRPr="00E20031">
        <w:t>Background</w:t>
      </w:r>
      <w:bookmarkEnd w:id="6"/>
      <w:bookmarkEnd w:id="7"/>
      <w:bookmarkEnd w:id="8"/>
    </w:p>
    <w:p w14:paraId="6C6B60D6" w14:textId="77777777" w:rsidR="008D461D" w:rsidRPr="00E20031" w:rsidRDefault="008D461D" w:rsidP="008D461D">
      <w:pPr>
        <w:pStyle w:val="4-SubsectionHeading"/>
      </w:pPr>
      <w:bookmarkStart w:id="9" w:name="_Toc22897638"/>
      <w:bookmarkStart w:id="10" w:name="_Toc202884168"/>
      <w:bookmarkStart w:id="11" w:name="_Toc206430829"/>
      <w:bookmarkStart w:id="12" w:name="_Toc208920187"/>
      <w:r w:rsidRPr="00E20031">
        <w:t>Registration status</w:t>
      </w:r>
      <w:bookmarkEnd w:id="9"/>
      <w:bookmarkEnd w:id="10"/>
      <w:bookmarkEnd w:id="11"/>
      <w:bookmarkEnd w:id="12"/>
    </w:p>
    <w:p w14:paraId="6E6ED6E5" w14:textId="088DA680" w:rsidR="008D461D" w:rsidRPr="00E20031" w:rsidRDefault="008D461D" w:rsidP="008D461D">
      <w:pPr>
        <w:pStyle w:val="3-BodyText"/>
      </w:pPr>
      <w:r w:rsidRPr="00E20031">
        <w:t xml:space="preserve">Pegcetacoplan </w:t>
      </w:r>
      <w:r w:rsidR="003B2907">
        <w:t xml:space="preserve">administered as an </w:t>
      </w:r>
      <w:r w:rsidR="00B92028">
        <w:t xml:space="preserve">intravitreal injection </w:t>
      </w:r>
      <w:r w:rsidRPr="00E20031">
        <w:t>received Therapeutic Goods Administration (TGA) registration on 29 January 2025 for the treatment of adult patients with GA secondary to AMD with an intact fovea and when central vision is threatened by GA lesion growth.</w:t>
      </w:r>
    </w:p>
    <w:p w14:paraId="2D36F16D" w14:textId="591929B3" w:rsidR="008D461D" w:rsidRDefault="008D461D" w:rsidP="008D461D">
      <w:pPr>
        <w:pStyle w:val="3-BodyText"/>
      </w:pPr>
      <w:r w:rsidRPr="00E20031">
        <w:t>Pegcetacoplan administered as a 1,080 mg subcutaneous infusion is currently TGA approved, and PBS listed for the treatment of adult patients with paroxysmal nocturnal haemoglobinuria who have an inadequate response or are intolerant of a C5 inhibitor</w:t>
      </w:r>
      <w:r w:rsidR="00196A6A">
        <w:t>.</w:t>
      </w:r>
    </w:p>
    <w:p w14:paraId="772DE66B" w14:textId="5372E257" w:rsidR="00111E32" w:rsidRDefault="00111E32">
      <w:pPr>
        <w:jc w:val="left"/>
        <w:rPr>
          <w:rFonts w:asciiTheme="minorHAnsi" w:eastAsiaTheme="minorHAnsi" w:hAnsiTheme="minorHAnsi" w:cstheme="minorBidi"/>
          <w:szCs w:val="22"/>
        </w:rPr>
      </w:pPr>
      <w:r>
        <w:br w:type="page"/>
      </w:r>
    </w:p>
    <w:p w14:paraId="40ADBF0D" w14:textId="77777777" w:rsidR="00150A3D" w:rsidRDefault="00150A3D" w:rsidP="00553A6B">
      <w:pPr>
        <w:pStyle w:val="3-BodyText"/>
        <w:numPr>
          <w:ilvl w:val="0"/>
          <w:numId w:val="0"/>
        </w:numPr>
        <w:rPr>
          <w:rFonts w:eastAsiaTheme="majorEastAsia" w:cstheme="majorBidi"/>
          <w:b/>
          <w:i/>
          <w:color w:val="000000" w:themeColor="text1"/>
          <w:spacing w:val="5"/>
          <w:kern w:val="28"/>
          <w:sz w:val="28"/>
          <w:szCs w:val="36"/>
          <w:lang w:eastAsia="en-US"/>
        </w:rPr>
      </w:pPr>
      <w:r w:rsidRPr="00150A3D">
        <w:rPr>
          <w:rFonts w:eastAsiaTheme="majorEastAsia" w:cstheme="majorBidi"/>
          <w:b/>
          <w:i/>
          <w:color w:val="000000" w:themeColor="text1"/>
          <w:spacing w:val="5"/>
          <w:kern w:val="28"/>
          <w:sz w:val="28"/>
          <w:szCs w:val="36"/>
          <w:lang w:eastAsia="en-US"/>
        </w:rPr>
        <w:lastRenderedPageBreak/>
        <w:t>Previous PBAC consideration</w:t>
      </w:r>
    </w:p>
    <w:p w14:paraId="66704F55" w14:textId="1169FAE7" w:rsidR="00150A3D" w:rsidRDefault="00150A3D" w:rsidP="0077583F">
      <w:pPr>
        <w:pStyle w:val="3-BodyText"/>
      </w:pPr>
      <w:r w:rsidRPr="00E20031">
        <w:t xml:space="preserve">This is the second PBAC submission for pegcetacoplan for the treatment of GA. The first submission was lodged for consideration at the March 2024 PBAC meeting but was subsequently withdrawn </w:t>
      </w:r>
      <w:r w:rsidR="00BC51CD">
        <w:t xml:space="preserve">prior to consideration by ESC or the PBAC </w:t>
      </w:r>
      <w:r w:rsidRPr="00E20031">
        <w:t>due to a delay in regulatory approval by the TGA. Pegcetacoplan as a subcutaneous infusion is listed on the PBS for the treatment of paroxysmal nocturnal haemoglobinuria</w:t>
      </w:r>
      <w:r w:rsidR="006F6E04">
        <w:t>.</w:t>
      </w:r>
    </w:p>
    <w:p w14:paraId="6D1050E4" w14:textId="77777777" w:rsidR="006F6E04" w:rsidRPr="00C33D30" w:rsidRDefault="006F6E04" w:rsidP="006F6E04">
      <w:pPr>
        <w:ind w:firstLine="709"/>
        <w:rPr>
          <w:rFonts w:asciiTheme="minorHAnsi" w:hAnsiTheme="minorHAnsi"/>
          <w:i/>
        </w:rPr>
      </w:pPr>
      <w:bookmarkStart w:id="13" w:name="_Hlk76375324"/>
      <w:r w:rsidRPr="00C33D30">
        <w:rPr>
          <w:rFonts w:asciiTheme="minorHAnsi" w:hAnsiTheme="minorHAnsi"/>
          <w:i/>
        </w:rPr>
        <w:t>For more detail on PBAC’s view, see section 7 PBAC outcome.</w:t>
      </w:r>
    </w:p>
    <w:p w14:paraId="23C59FC8" w14:textId="17804947" w:rsidR="008D461D" w:rsidRPr="00E20031" w:rsidRDefault="008D461D" w:rsidP="003F4002">
      <w:pPr>
        <w:pStyle w:val="2-SectionHeading"/>
      </w:pPr>
      <w:bookmarkStart w:id="14" w:name="_Toc107902078"/>
      <w:bookmarkStart w:id="15" w:name="_Toc202884170"/>
      <w:bookmarkStart w:id="16" w:name="_Toc206430830"/>
      <w:bookmarkStart w:id="17" w:name="_Toc208920188"/>
      <w:bookmarkEnd w:id="13"/>
      <w:bookmarkEnd w:id="14"/>
      <w:r w:rsidRPr="00E20031">
        <w:t>Requested listing</w:t>
      </w:r>
      <w:bookmarkEnd w:id="15"/>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971"/>
        <w:gridCol w:w="1780"/>
        <w:gridCol w:w="812"/>
        <w:gridCol w:w="810"/>
        <w:gridCol w:w="812"/>
        <w:gridCol w:w="1832"/>
      </w:tblGrid>
      <w:tr w:rsidR="008D461D" w:rsidRPr="00E20031" w14:paraId="753EC8F3" w14:textId="77777777">
        <w:trPr>
          <w:cantSplit/>
          <w:trHeight w:val="20"/>
        </w:trPr>
        <w:tc>
          <w:tcPr>
            <w:tcW w:w="2972" w:type="dxa"/>
            <w:vAlign w:val="center"/>
          </w:tcPr>
          <w:p w14:paraId="6F8F895B" w14:textId="77777777" w:rsidR="008D461D" w:rsidRPr="00E20031" w:rsidRDefault="008D461D" w:rsidP="00077D48">
            <w:pPr>
              <w:pStyle w:val="In-tableHeading"/>
            </w:pPr>
            <w:bookmarkStart w:id="18" w:name="_Hlk104809055"/>
            <w:r w:rsidRPr="00E20031">
              <w:t>MEDICINAL PRODUCT</w:t>
            </w:r>
          </w:p>
          <w:p w14:paraId="70954FC2" w14:textId="77777777" w:rsidR="008D461D" w:rsidRPr="00E20031" w:rsidRDefault="008D461D" w:rsidP="00077D48">
            <w:pPr>
              <w:pStyle w:val="In-tableHeading"/>
            </w:pPr>
            <w:r w:rsidRPr="00E20031">
              <w:t>medicinal product pack</w:t>
            </w:r>
          </w:p>
        </w:tc>
        <w:tc>
          <w:tcPr>
            <w:tcW w:w="1779" w:type="dxa"/>
            <w:vAlign w:val="center"/>
          </w:tcPr>
          <w:p w14:paraId="2B21AE4E" w14:textId="77777777" w:rsidR="008D461D" w:rsidRPr="00E20031" w:rsidRDefault="008D461D" w:rsidP="00077D48">
            <w:pPr>
              <w:pStyle w:val="In-tableHeading"/>
            </w:pPr>
            <w:r w:rsidRPr="00E20031">
              <w:rPr>
                <w:snapToGrid w:val="0"/>
              </w:rPr>
              <w:t xml:space="preserve">Dispensed Price for Max. Qty </w:t>
            </w:r>
          </w:p>
        </w:tc>
        <w:tc>
          <w:tcPr>
            <w:tcW w:w="812" w:type="dxa"/>
            <w:vAlign w:val="center"/>
          </w:tcPr>
          <w:p w14:paraId="46289E4F" w14:textId="77777777" w:rsidR="008D461D" w:rsidRPr="00E20031" w:rsidRDefault="008D461D" w:rsidP="00077D48">
            <w:pPr>
              <w:pStyle w:val="In-tableHeading"/>
            </w:pPr>
            <w:r w:rsidRPr="00E20031">
              <w:t>Max. qty packs</w:t>
            </w:r>
          </w:p>
        </w:tc>
        <w:tc>
          <w:tcPr>
            <w:tcW w:w="811" w:type="dxa"/>
            <w:vAlign w:val="center"/>
          </w:tcPr>
          <w:p w14:paraId="1F4E0A7A" w14:textId="77777777" w:rsidR="008D461D" w:rsidRPr="00E20031" w:rsidRDefault="008D461D" w:rsidP="00077D48">
            <w:pPr>
              <w:pStyle w:val="In-tableHeading"/>
            </w:pPr>
            <w:r w:rsidRPr="00E20031">
              <w:t>Max. qty units</w:t>
            </w:r>
          </w:p>
        </w:tc>
        <w:tc>
          <w:tcPr>
            <w:tcW w:w="812" w:type="dxa"/>
            <w:vAlign w:val="center"/>
          </w:tcPr>
          <w:p w14:paraId="0FF4B2A1" w14:textId="77777777" w:rsidR="008D461D" w:rsidRPr="00E20031" w:rsidRDefault="008D461D" w:rsidP="00077D48">
            <w:pPr>
              <w:pStyle w:val="In-tableHeading"/>
            </w:pPr>
            <w:r w:rsidRPr="00E20031">
              <w:t>№.of</w:t>
            </w:r>
          </w:p>
          <w:p w14:paraId="397588D4" w14:textId="77777777" w:rsidR="008D461D" w:rsidRPr="00E20031" w:rsidRDefault="008D461D" w:rsidP="00077D48">
            <w:pPr>
              <w:pStyle w:val="In-tableHeading"/>
            </w:pPr>
            <w:r w:rsidRPr="00E20031">
              <w:t>Rpts</w:t>
            </w:r>
          </w:p>
        </w:tc>
        <w:tc>
          <w:tcPr>
            <w:tcW w:w="1831" w:type="dxa"/>
            <w:vAlign w:val="center"/>
          </w:tcPr>
          <w:p w14:paraId="6D0F0BA6" w14:textId="77777777" w:rsidR="008D461D" w:rsidRPr="00E20031" w:rsidRDefault="008D461D" w:rsidP="00077D48">
            <w:pPr>
              <w:pStyle w:val="In-tableHeading"/>
            </w:pPr>
            <w:r w:rsidRPr="00E20031">
              <w:t>Available brands</w:t>
            </w:r>
          </w:p>
        </w:tc>
      </w:tr>
      <w:tr w:rsidR="008D461D" w:rsidRPr="00E20031" w14:paraId="726E42AB" w14:textId="77777777">
        <w:trPr>
          <w:cantSplit/>
          <w:trHeight w:val="20"/>
        </w:trPr>
        <w:tc>
          <w:tcPr>
            <w:tcW w:w="9017" w:type="dxa"/>
            <w:gridSpan w:val="6"/>
            <w:vAlign w:val="center"/>
          </w:tcPr>
          <w:p w14:paraId="04B016FB" w14:textId="77777777" w:rsidR="008D461D" w:rsidRPr="00E20031" w:rsidRDefault="008D461D">
            <w:pPr>
              <w:pStyle w:val="TableText0"/>
              <w:rPr>
                <w:rFonts w:cs="Arial"/>
                <w:b/>
                <w:bCs w:val="0"/>
              </w:rPr>
            </w:pPr>
            <w:r w:rsidRPr="00E20031">
              <w:t>Pegcetacoplan</w:t>
            </w:r>
          </w:p>
        </w:tc>
      </w:tr>
      <w:tr w:rsidR="008D461D" w:rsidRPr="00E20031" w14:paraId="06F00593" w14:textId="77777777">
        <w:trPr>
          <w:cantSplit/>
          <w:trHeight w:val="20"/>
        </w:trPr>
        <w:tc>
          <w:tcPr>
            <w:tcW w:w="2972" w:type="dxa"/>
            <w:vAlign w:val="center"/>
          </w:tcPr>
          <w:p w14:paraId="0B008FC3" w14:textId="77777777" w:rsidR="008D461D" w:rsidRPr="00E20031" w:rsidRDefault="008D461D">
            <w:pPr>
              <w:pStyle w:val="TableText0"/>
              <w:rPr>
                <w:b/>
                <w:bCs w:val="0"/>
                <w:color w:val="0066FF"/>
              </w:rPr>
            </w:pPr>
            <w:r w:rsidRPr="00E20031">
              <w:t>Pegcetacoplan, 15 mg/0.1 mL injection, 0.1 mL vial</w:t>
            </w:r>
          </w:p>
        </w:tc>
        <w:tc>
          <w:tcPr>
            <w:tcW w:w="1779" w:type="dxa"/>
          </w:tcPr>
          <w:p w14:paraId="2F97E636" w14:textId="157D9D5E" w:rsidR="008D461D" w:rsidRPr="00E20031" w:rsidRDefault="008D461D" w:rsidP="009125DA">
            <w:pPr>
              <w:pStyle w:val="TableText0"/>
              <w:jc w:val="center"/>
              <w:rPr>
                <w:b/>
                <w:bCs w:val="0"/>
              </w:rPr>
            </w:pPr>
            <w:r w:rsidRPr="00E20031">
              <w:t>$</w:t>
            </w:r>
            <w:r w:rsidR="00794BDD" w:rsidRPr="00794BDD">
              <w:rPr>
                <w:highlight w:val="black"/>
              </w:rPr>
              <w:t>&amp;&amp;&amp;&amp;</w:t>
            </w:r>
            <w:r w:rsidRPr="00E20031">
              <w:t xml:space="preserve"> published price</w:t>
            </w:r>
          </w:p>
          <w:p w14:paraId="71676C32" w14:textId="2F419EA6" w:rsidR="008D461D" w:rsidRPr="00E20031" w:rsidRDefault="008D461D" w:rsidP="009125DA">
            <w:pPr>
              <w:pStyle w:val="TableText0"/>
              <w:jc w:val="center"/>
              <w:rPr>
                <w:b/>
                <w:bCs w:val="0"/>
              </w:rPr>
            </w:pPr>
            <w:r w:rsidRPr="00E20031">
              <w:t>$</w:t>
            </w:r>
            <w:r w:rsidR="00794BDD" w:rsidRPr="00794BDD">
              <w:rPr>
                <w:highlight w:val="black"/>
              </w:rPr>
              <w:t>&amp;&amp;&amp;&amp;</w:t>
            </w:r>
            <w:r w:rsidRPr="00E20031">
              <w:t xml:space="preserve"> effective price</w:t>
            </w:r>
          </w:p>
        </w:tc>
        <w:tc>
          <w:tcPr>
            <w:tcW w:w="812" w:type="dxa"/>
            <w:vAlign w:val="center"/>
          </w:tcPr>
          <w:p w14:paraId="27AEBE6A" w14:textId="77777777" w:rsidR="008D461D" w:rsidRPr="00E20031" w:rsidRDefault="008D461D">
            <w:pPr>
              <w:pStyle w:val="TableText0"/>
              <w:rPr>
                <w:b/>
                <w:bCs w:val="0"/>
              </w:rPr>
            </w:pPr>
            <w:r w:rsidRPr="00E20031">
              <w:t>1</w:t>
            </w:r>
          </w:p>
        </w:tc>
        <w:tc>
          <w:tcPr>
            <w:tcW w:w="811" w:type="dxa"/>
            <w:vAlign w:val="center"/>
          </w:tcPr>
          <w:p w14:paraId="75CBB2E9" w14:textId="77777777" w:rsidR="008D461D" w:rsidRPr="00E20031" w:rsidRDefault="008D461D">
            <w:pPr>
              <w:pStyle w:val="TableText0"/>
              <w:rPr>
                <w:b/>
                <w:bCs w:val="0"/>
              </w:rPr>
            </w:pPr>
            <w:r w:rsidRPr="00E20031">
              <w:t>1</w:t>
            </w:r>
          </w:p>
        </w:tc>
        <w:tc>
          <w:tcPr>
            <w:tcW w:w="812" w:type="dxa"/>
            <w:vAlign w:val="center"/>
          </w:tcPr>
          <w:p w14:paraId="229B7CA6" w14:textId="77777777" w:rsidR="008D461D" w:rsidRPr="00E20031" w:rsidRDefault="008D461D">
            <w:pPr>
              <w:pStyle w:val="TableText0"/>
              <w:rPr>
                <w:b/>
                <w:bCs w:val="0"/>
              </w:rPr>
            </w:pPr>
            <w:r w:rsidRPr="00E20031">
              <w:t>2</w:t>
            </w:r>
          </w:p>
        </w:tc>
        <w:tc>
          <w:tcPr>
            <w:tcW w:w="1831" w:type="dxa"/>
            <w:vAlign w:val="center"/>
          </w:tcPr>
          <w:p w14:paraId="4209A447" w14:textId="186494CE" w:rsidR="008D461D" w:rsidRPr="00E20031" w:rsidRDefault="00E20031">
            <w:pPr>
              <w:pStyle w:val="TableText0"/>
              <w:rPr>
                <w:b/>
                <w:bCs w:val="0"/>
                <w:color w:val="0066FF"/>
              </w:rPr>
            </w:pPr>
            <w:r>
              <w:t>S</w:t>
            </w:r>
            <w:r w:rsidR="008D461D" w:rsidRPr="00E20031">
              <w:t>yfovre</w:t>
            </w:r>
          </w:p>
        </w:tc>
      </w:tr>
      <w:bookmarkEnd w:id="18"/>
      <w:tr w:rsidR="008D461D" w:rsidRPr="00E20031" w14:paraId="6B836F9F" w14:textId="77777777">
        <w:tblPrEx>
          <w:tblCellMar>
            <w:top w:w="15" w:type="dxa"/>
            <w:bottom w:w="15" w:type="dxa"/>
          </w:tblCellMar>
          <w:tblLook w:val="04A0" w:firstRow="1" w:lastRow="0" w:firstColumn="1" w:lastColumn="0" w:noHBand="0" w:noVBand="1"/>
        </w:tblPrEx>
        <w:trPr>
          <w:cantSplit/>
          <w:trHeight w:val="20"/>
        </w:trPr>
        <w:tc>
          <w:tcPr>
            <w:tcW w:w="5000" w:type="pct"/>
            <w:gridSpan w:val="6"/>
          </w:tcPr>
          <w:p w14:paraId="142BB31F" w14:textId="77777777" w:rsidR="008D461D" w:rsidRPr="00E20031" w:rsidRDefault="008D461D">
            <w:pPr>
              <w:pStyle w:val="TableText0"/>
              <w:keepNext w:val="0"/>
              <w:keepLines w:val="0"/>
              <w:widowControl w:val="0"/>
            </w:pPr>
            <w:r w:rsidRPr="00E20031">
              <w:t>Category / Program: General Schedule</w:t>
            </w:r>
          </w:p>
        </w:tc>
      </w:tr>
      <w:tr w:rsidR="008D461D" w:rsidRPr="00E20031" w14:paraId="2EFBF23D" w14:textId="77777777">
        <w:tblPrEx>
          <w:tblCellMar>
            <w:top w:w="15" w:type="dxa"/>
            <w:bottom w:w="15" w:type="dxa"/>
          </w:tblCellMar>
          <w:tblLook w:val="04A0" w:firstRow="1" w:lastRow="0" w:firstColumn="1" w:lastColumn="0" w:noHBand="0" w:noVBand="1"/>
        </w:tblPrEx>
        <w:trPr>
          <w:cantSplit/>
          <w:trHeight w:val="20"/>
        </w:trPr>
        <w:tc>
          <w:tcPr>
            <w:tcW w:w="5000" w:type="pct"/>
            <w:gridSpan w:val="6"/>
          </w:tcPr>
          <w:p w14:paraId="2C5E0BEB" w14:textId="77777777" w:rsidR="008D461D" w:rsidRPr="00E20031" w:rsidRDefault="008D461D">
            <w:pPr>
              <w:pStyle w:val="TableText0"/>
              <w:keepNext w:val="0"/>
              <w:keepLines w:val="0"/>
              <w:widowControl w:val="0"/>
            </w:pPr>
            <w:r w:rsidRPr="00E20031">
              <w:t xml:space="preserve">Prescriber type: </w:t>
            </w:r>
            <w:r w:rsidRPr="00E20031">
              <w:fldChar w:fldCharType="begin">
                <w:ffData>
                  <w:name w:val="Check1"/>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Dental </w:t>
            </w:r>
            <w:r w:rsidRPr="00E20031">
              <w:fldChar w:fldCharType="begin">
                <w:ffData>
                  <w:name w:val=""/>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 xml:space="preserve">Medical Practitioners </w:t>
            </w:r>
            <w:r w:rsidRPr="00E20031">
              <w:fldChar w:fldCharType="begin">
                <w:ffData>
                  <w:name w:val="Check3"/>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Nurse practitioners </w:t>
            </w:r>
            <w:r w:rsidRPr="00E20031">
              <w:fldChar w:fldCharType="begin">
                <w:ffData>
                  <w:name w:val=""/>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Optometrists </w:t>
            </w:r>
            <w:r w:rsidRPr="00E20031">
              <w:fldChar w:fldCharType="begin">
                <w:ffData>
                  <w:name w:val="Check5"/>
                  <w:enabled/>
                  <w:calcOnExit w:val="0"/>
                  <w:checkBox>
                    <w:sizeAuto/>
                    <w:default w:val="0"/>
                  </w:checkBox>
                </w:ffData>
              </w:fldChar>
            </w:r>
            <w:r w:rsidRPr="00E20031">
              <w:instrText xml:space="preserve"> FORMCHECKBOX </w:instrText>
            </w:r>
            <w:r w:rsidRPr="00E20031">
              <w:fldChar w:fldCharType="separate"/>
            </w:r>
            <w:r w:rsidRPr="00E20031">
              <w:fldChar w:fldCharType="end"/>
            </w:r>
          </w:p>
        </w:tc>
      </w:tr>
      <w:tr w:rsidR="008D461D" w:rsidRPr="00E20031" w14:paraId="29F9B102" w14:textId="77777777">
        <w:tblPrEx>
          <w:tblCellMar>
            <w:top w:w="15" w:type="dxa"/>
            <w:bottom w:w="15" w:type="dxa"/>
          </w:tblCellMar>
          <w:tblLook w:val="04A0" w:firstRow="1" w:lastRow="0" w:firstColumn="1" w:lastColumn="0" w:noHBand="0" w:noVBand="1"/>
        </w:tblPrEx>
        <w:trPr>
          <w:cantSplit/>
          <w:trHeight w:val="20"/>
        </w:trPr>
        <w:tc>
          <w:tcPr>
            <w:tcW w:w="5000" w:type="pct"/>
            <w:gridSpan w:val="6"/>
          </w:tcPr>
          <w:p w14:paraId="1288ED06" w14:textId="5F6BA0C7" w:rsidR="008D461D" w:rsidRPr="00E20031" w:rsidRDefault="008D461D">
            <w:pPr>
              <w:pStyle w:val="TableText0"/>
              <w:keepNext w:val="0"/>
              <w:keepLines w:val="0"/>
              <w:widowControl w:val="0"/>
            </w:pPr>
            <w:r w:rsidRPr="00E20031">
              <w:t>Restriction type:</w:t>
            </w:r>
            <w:r w:rsidRPr="00E20031">
              <w:br/>
            </w:r>
            <w:r w:rsidRPr="00E20031">
              <w:fldChar w:fldCharType="begin">
                <w:ffData>
                  <w:name w:val="Check3"/>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 xml:space="preserve">Authority Required (telephone/online PBS Authorities system) </w:t>
            </w:r>
            <w:r w:rsidRPr="00E20031">
              <w:br/>
            </w:r>
            <w:r w:rsidRPr="00E20031">
              <w:fldChar w:fldCharType="begin">
                <w:ffData>
                  <w:name w:val=""/>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Authority Required (in writing only via post/HPOS upload)</w:t>
            </w:r>
          </w:p>
        </w:tc>
      </w:tr>
      <w:tr w:rsidR="008D461D" w:rsidRPr="00E20031" w14:paraId="3D12C130"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B086B8C" w14:textId="727304DA" w:rsidR="008D461D" w:rsidRPr="00E20031" w:rsidRDefault="008D461D">
            <w:pPr>
              <w:pStyle w:val="TableText0"/>
              <w:keepNext w:val="0"/>
              <w:keepLines w:val="0"/>
              <w:widowControl w:val="0"/>
              <w:rPr>
                <w:b/>
                <w:bCs w:val="0"/>
              </w:rPr>
            </w:pPr>
            <w:r w:rsidRPr="00627A15">
              <w:rPr>
                <w:b/>
                <w:bCs w:val="0"/>
              </w:rPr>
              <w:t>Condition:</w:t>
            </w:r>
            <w:r w:rsidRPr="00E20031">
              <w:t xml:space="preserve"> Geographic Atrophy secondary to age</w:t>
            </w:r>
            <w:r w:rsidR="00397B07">
              <w:noBreakHyphen/>
            </w:r>
            <w:r w:rsidRPr="00E20031">
              <w:t>related macular degeneration</w:t>
            </w:r>
          </w:p>
        </w:tc>
      </w:tr>
      <w:tr w:rsidR="008D461D" w:rsidRPr="00E20031" w14:paraId="33411F9C"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38A1480" w14:textId="0576D0DF" w:rsidR="008D461D" w:rsidRPr="00E20031" w:rsidRDefault="008D461D">
            <w:pPr>
              <w:pStyle w:val="TableText0"/>
              <w:keepNext w:val="0"/>
              <w:keepLines w:val="0"/>
              <w:widowControl w:val="0"/>
              <w:rPr>
                <w:b/>
                <w:bCs w:val="0"/>
              </w:rPr>
            </w:pPr>
            <w:r w:rsidRPr="00627A15">
              <w:rPr>
                <w:b/>
                <w:bCs w:val="0"/>
              </w:rPr>
              <w:t>Indication:</w:t>
            </w:r>
            <w:r w:rsidRPr="00E20031">
              <w:t xml:space="preserve"> Geographic Atrophy secondary to age</w:t>
            </w:r>
            <w:r w:rsidR="00397B07">
              <w:noBreakHyphen/>
            </w:r>
            <w:r w:rsidRPr="00E20031">
              <w:t>related macular degeneration</w:t>
            </w:r>
          </w:p>
        </w:tc>
      </w:tr>
      <w:tr w:rsidR="008D461D" w:rsidRPr="00E20031" w14:paraId="4729C775"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466647C" w14:textId="77777777" w:rsidR="008D461D" w:rsidRPr="00E20031" w:rsidRDefault="008D461D">
            <w:pPr>
              <w:pStyle w:val="TableText0"/>
              <w:keepNext w:val="0"/>
              <w:keepLines w:val="0"/>
              <w:widowControl w:val="0"/>
              <w:rPr>
                <w:b/>
                <w:bCs w:val="0"/>
              </w:rPr>
            </w:pPr>
            <w:r w:rsidRPr="00627A15">
              <w:rPr>
                <w:b/>
                <w:bCs w:val="0"/>
              </w:rPr>
              <w:t>Treatment Phase</w:t>
            </w:r>
            <w:r w:rsidRPr="00E20031">
              <w:t>: Initial</w:t>
            </w:r>
          </w:p>
        </w:tc>
      </w:tr>
      <w:tr w:rsidR="008D461D" w:rsidRPr="00E20031" w14:paraId="27A46370"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8D5A840" w14:textId="77777777" w:rsidR="008D461D" w:rsidRPr="00E20031" w:rsidRDefault="008D461D">
            <w:pPr>
              <w:pStyle w:val="TableText0"/>
              <w:keepNext w:val="0"/>
              <w:keepLines w:val="0"/>
              <w:widowControl w:val="0"/>
              <w:rPr>
                <w:b/>
                <w:bCs w:val="0"/>
              </w:rPr>
            </w:pPr>
            <w:r w:rsidRPr="00E20031">
              <w:rPr>
                <w:b/>
                <w:bCs w:val="0"/>
              </w:rPr>
              <w:t>Clinical criteria:</w:t>
            </w:r>
          </w:p>
        </w:tc>
      </w:tr>
      <w:tr w:rsidR="008D461D" w:rsidRPr="00E20031" w14:paraId="31091088"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8877E66" w14:textId="07A346C3" w:rsidR="008D461D" w:rsidRPr="00E20031" w:rsidRDefault="008D461D">
            <w:pPr>
              <w:pStyle w:val="TableText0"/>
              <w:keepNext w:val="0"/>
              <w:keepLines w:val="0"/>
              <w:widowControl w:val="0"/>
              <w:rPr>
                <w:b/>
                <w:bCs w:val="0"/>
              </w:rPr>
            </w:pPr>
            <w:r w:rsidRPr="00E20031">
              <w:t>Patient must have geographic atrophy (GA) secondary to age</w:t>
            </w:r>
            <w:r w:rsidR="00397B07">
              <w:noBreakHyphen/>
            </w:r>
            <w:r w:rsidRPr="00E20031">
              <w:t>related macular degeneration (AMD)</w:t>
            </w:r>
          </w:p>
        </w:tc>
      </w:tr>
      <w:tr w:rsidR="008D461D" w:rsidRPr="00E20031" w14:paraId="052049D7"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3CC0673" w14:textId="77777777" w:rsidR="008D461D" w:rsidRPr="00E20031" w:rsidRDefault="008D461D">
            <w:pPr>
              <w:pStyle w:val="TableText0"/>
              <w:keepNext w:val="0"/>
              <w:keepLines w:val="0"/>
              <w:widowControl w:val="0"/>
              <w:rPr>
                <w:b/>
                <w:bCs w:val="0"/>
              </w:rPr>
            </w:pPr>
            <w:r w:rsidRPr="00E20031">
              <w:t>AND</w:t>
            </w:r>
          </w:p>
        </w:tc>
      </w:tr>
      <w:tr w:rsidR="008D461D" w:rsidRPr="00E20031" w14:paraId="77CB9EDA"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2BD6B56" w14:textId="77777777" w:rsidR="008D461D" w:rsidRPr="00E20031" w:rsidRDefault="008D461D">
            <w:pPr>
              <w:pStyle w:val="TableText0"/>
              <w:keepNext w:val="0"/>
              <w:keepLines w:val="0"/>
              <w:widowControl w:val="0"/>
              <w:rPr>
                <w:b/>
                <w:bCs w:val="0"/>
                <w:color w:val="0066FF"/>
              </w:rPr>
            </w:pPr>
            <w:r w:rsidRPr="00E20031">
              <w:t>The condition must be diagnosed by optical coherence tomography; OR The condition must be diagnosed by fundus autofluorescence</w:t>
            </w:r>
          </w:p>
        </w:tc>
      </w:tr>
      <w:tr w:rsidR="008D461D" w:rsidRPr="00E20031" w14:paraId="03C5E865"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999FE84" w14:textId="77777777" w:rsidR="008D461D" w:rsidRPr="00E20031" w:rsidRDefault="008D461D">
            <w:pPr>
              <w:pStyle w:val="TableText0"/>
              <w:keepNext w:val="0"/>
              <w:keepLines w:val="0"/>
              <w:widowControl w:val="0"/>
              <w:rPr>
                <w:b/>
                <w:bCs w:val="0"/>
              </w:rPr>
            </w:pPr>
            <w:r w:rsidRPr="00E20031">
              <w:t>AND</w:t>
            </w:r>
          </w:p>
        </w:tc>
      </w:tr>
      <w:tr w:rsidR="008D461D" w:rsidRPr="00E20031" w14:paraId="4200B963"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A712762" w14:textId="78E4E872" w:rsidR="008D461D" w:rsidRPr="00E20031" w:rsidRDefault="008D461D">
            <w:pPr>
              <w:pStyle w:val="TableText0"/>
              <w:keepNext w:val="0"/>
              <w:keepLines w:val="0"/>
              <w:widowControl w:val="0"/>
              <w:rPr>
                <w:b/>
                <w:bCs w:val="0"/>
              </w:rPr>
            </w:pPr>
            <w:r w:rsidRPr="00E20031">
              <w:t>The treated eye has an intact fovea, i.e. non</w:t>
            </w:r>
            <w:r w:rsidR="00397B07">
              <w:noBreakHyphen/>
            </w:r>
            <w:r w:rsidRPr="00E20031">
              <w:t>subfoveal lesions (defined as lesions ≥1 µm from the foveal centre point)</w:t>
            </w:r>
          </w:p>
        </w:tc>
      </w:tr>
      <w:tr w:rsidR="008D461D" w:rsidRPr="00E20031" w14:paraId="710FF361"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0D4DC30" w14:textId="77777777" w:rsidR="008D461D" w:rsidRPr="00E20031" w:rsidRDefault="008D461D">
            <w:pPr>
              <w:pStyle w:val="TableText0"/>
              <w:keepNext w:val="0"/>
              <w:keepLines w:val="0"/>
              <w:widowControl w:val="0"/>
              <w:rPr>
                <w:b/>
                <w:bCs w:val="0"/>
              </w:rPr>
            </w:pPr>
            <w:r w:rsidRPr="00E20031">
              <w:t>AND</w:t>
            </w:r>
          </w:p>
        </w:tc>
      </w:tr>
      <w:tr w:rsidR="008D461D" w:rsidRPr="00E20031" w14:paraId="5F989C74"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BF8B731" w14:textId="77777777" w:rsidR="008D461D" w:rsidRPr="00E20031" w:rsidRDefault="008D461D">
            <w:pPr>
              <w:pStyle w:val="TableText0"/>
              <w:keepNext w:val="0"/>
              <w:keepLines w:val="0"/>
              <w:widowControl w:val="0"/>
              <w:rPr>
                <w:b/>
                <w:bCs w:val="0"/>
              </w:rPr>
            </w:pPr>
            <w:r w:rsidRPr="00E20031">
              <w:t>The treated eye has central vision threatened by GA lesion growth (defined as GA lesions that are either located within a 750 µm radius from the foveal centre; OR the GA lesions that are located beyond the 750 µm radius from the foveal centre, and where historical imaging indicates lesion progression is toward the foveal centre, and is located within the macula (defined as the 5.5 mm diameter area)</w:t>
            </w:r>
          </w:p>
        </w:tc>
      </w:tr>
      <w:tr w:rsidR="008D461D" w:rsidRPr="00E20031" w14:paraId="131BD542"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CB6FD2E" w14:textId="77777777" w:rsidR="008D461D" w:rsidRPr="00E20031" w:rsidRDefault="008D461D">
            <w:pPr>
              <w:pStyle w:val="TableText0"/>
              <w:keepNext w:val="0"/>
              <w:keepLines w:val="0"/>
              <w:widowControl w:val="0"/>
              <w:rPr>
                <w:b/>
                <w:bCs w:val="0"/>
              </w:rPr>
            </w:pPr>
            <w:r w:rsidRPr="00E20031">
              <w:t>AND</w:t>
            </w:r>
          </w:p>
        </w:tc>
      </w:tr>
      <w:tr w:rsidR="008D461D" w:rsidRPr="00E20031" w14:paraId="483C64C2"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DD10F15" w14:textId="6C7D8763" w:rsidR="008D461D" w:rsidRPr="00E20031" w:rsidRDefault="008D461D">
            <w:pPr>
              <w:pStyle w:val="TableText0"/>
              <w:keepNext w:val="0"/>
              <w:keepLines w:val="0"/>
              <w:widowControl w:val="0"/>
              <w:rPr>
                <w:b/>
                <w:bCs w:val="0"/>
              </w:rPr>
            </w:pPr>
            <w:r w:rsidRPr="00E20031">
              <w:t>The other non</w:t>
            </w:r>
            <w:r w:rsidR="00397B07">
              <w:noBreakHyphen/>
            </w:r>
            <w:r w:rsidRPr="00E20031">
              <w:t>treated eye has vision impairment defined as the fovea no longer being intact (subfoveal GA, i.e. a compromised fovea, where the GA lesion involves the foveal centre point)</w:t>
            </w:r>
          </w:p>
        </w:tc>
      </w:tr>
      <w:tr w:rsidR="008D461D" w:rsidRPr="00E20031" w14:paraId="18FF531B"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FF22EEE" w14:textId="77777777" w:rsidR="008D461D" w:rsidRPr="00E20031" w:rsidRDefault="008D461D">
            <w:pPr>
              <w:pStyle w:val="TableText0"/>
              <w:keepNext w:val="0"/>
              <w:keepLines w:val="0"/>
              <w:widowControl w:val="0"/>
              <w:rPr>
                <w:b/>
                <w:bCs w:val="0"/>
              </w:rPr>
            </w:pPr>
            <w:r w:rsidRPr="00E20031">
              <w:t>AND</w:t>
            </w:r>
          </w:p>
        </w:tc>
      </w:tr>
      <w:tr w:rsidR="008D461D" w:rsidRPr="00E20031" w14:paraId="79C21623"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623E2D7" w14:textId="77777777" w:rsidR="008D461D" w:rsidRPr="00E20031" w:rsidRDefault="008D461D">
            <w:pPr>
              <w:pStyle w:val="TableText0"/>
              <w:keepNext w:val="0"/>
              <w:keepLines w:val="0"/>
              <w:widowControl w:val="0"/>
              <w:rPr>
                <w:b/>
                <w:bCs w:val="0"/>
              </w:rPr>
            </w:pPr>
            <w:r w:rsidRPr="00E20031">
              <w:t>The treatment must be as monotherapy</w:t>
            </w:r>
          </w:p>
        </w:tc>
      </w:tr>
      <w:tr w:rsidR="008D461D" w:rsidRPr="00E20031" w14:paraId="733E59C5"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5D83A39" w14:textId="77777777" w:rsidR="008D461D" w:rsidRPr="00E20031" w:rsidRDefault="008D461D">
            <w:pPr>
              <w:pStyle w:val="TableText0"/>
              <w:keepNext w:val="0"/>
              <w:keepLines w:val="0"/>
              <w:widowControl w:val="0"/>
              <w:rPr>
                <w:b/>
                <w:bCs w:val="0"/>
              </w:rPr>
            </w:pPr>
            <w:r w:rsidRPr="00E20031">
              <w:t>AND</w:t>
            </w:r>
          </w:p>
        </w:tc>
      </w:tr>
      <w:tr w:rsidR="008D461D" w:rsidRPr="00E20031" w14:paraId="343A26EF"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A06DC31" w14:textId="25CFDE24" w:rsidR="008D461D" w:rsidRPr="00E20031" w:rsidRDefault="008D461D">
            <w:pPr>
              <w:pStyle w:val="TableText0"/>
              <w:keepNext w:val="0"/>
              <w:keepLines w:val="0"/>
              <w:widowControl w:val="0"/>
              <w:rPr>
                <w:b/>
                <w:bCs w:val="0"/>
              </w:rPr>
            </w:pPr>
            <w:r w:rsidRPr="00E20031">
              <w:t>The treatment must be the sole PBS</w:t>
            </w:r>
            <w:r w:rsidR="00397B07">
              <w:noBreakHyphen/>
            </w:r>
            <w:r w:rsidRPr="00E20031">
              <w:t>subsidised therapy for this condition.</w:t>
            </w:r>
          </w:p>
        </w:tc>
      </w:tr>
      <w:tr w:rsidR="008D461D" w:rsidRPr="00E20031" w14:paraId="7ACF3114"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5F45E37" w14:textId="77777777" w:rsidR="008D461D" w:rsidRPr="00627A15" w:rsidRDefault="008D461D">
            <w:pPr>
              <w:pStyle w:val="TableText0"/>
              <w:keepNext w:val="0"/>
              <w:keepLines w:val="0"/>
              <w:widowControl w:val="0"/>
              <w:rPr>
                <w:b/>
                <w:bCs w:val="0"/>
              </w:rPr>
            </w:pPr>
            <w:r w:rsidRPr="00627A15">
              <w:rPr>
                <w:b/>
                <w:bCs w:val="0"/>
              </w:rPr>
              <w:t>Treatment criteria:</w:t>
            </w:r>
          </w:p>
        </w:tc>
      </w:tr>
      <w:tr w:rsidR="008D461D" w:rsidRPr="00E20031" w14:paraId="421BCF58"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99AC8F1" w14:textId="77777777" w:rsidR="008D461D" w:rsidRPr="00E20031" w:rsidRDefault="008D461D">
            <w:pPr>
              <w:pStyle w:val="TableText0"/>
              <w:keepNext w:val="0"/>
              <w:keepLines w:val="0"/>
              <w:widowControl w:val="0"/>
              <w:rPr>
                <w:b/>
                <w:bCs w:val="0"/>
                <w:i/>
                <w:iCs/>
              </w:rPr>
            </w:pPr>
            <w:r w:rsidRPr="00E20031">
              <w:t>Must be treated by an ophthalmologist or by an accredited ophthalmology registrar in consultation with an ophthalmologist.</w:t>
            </w:r>
          </w:p>
        </w:tc>
      </w:tr>
      <w:tr w:rsidR="008D461D" w:rsidRPr="00E20031" w14:paraId="31D92049"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FEE3E4F" w14:textId="77777777" w:rsidR="008D461D" w:rsidRPr="00E20031" w:rsidRDefault="008D461D">
            <w:pPr>
              <w:pStyle w:val="TableText0"/>
              <w:keepNext w:val="0"/>
              <w:keepLines w:val="0"/>
              <w:widowControl w:val="0"/>
              <w:rPr>
                <w:b/>
                <w:bCs w:val="0"/>
              </w:rPr>
            </w:pPr>
            <w:r w:rsidRPr="00627A15">
              <w:rPr>
                <w:b/>
                <w:bCs w:val="0"/>
              </w:rPr>
              <w:lastRenderedPageBreak/>
              <w:t>Prescribing Instructions:</w:t>
            </w:r>
            <w:r w:rsidRPr="00E20031">
              <w:t xml:space="preserve"> administer dose of 15 mg (0.1 mL of 150 mg/mL solution) administered as an intravitreal injection</w:t>
            </w:r>
          </w:p>
        </w:tc>
      </w:tr>
      <w:tr w:rsidR="008D461D" w:rsidRPr="00E20031" w14:paraId="63A72485" w14:textId="77777777">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1B86436" w14:textId="77777777" w:rsidR="008D461D" w:rsidRPr="00E20031" w:rsidRDefault="008D461D">
            <w:pPr>
              <w:pStyle w:val="PBACTabletext"/>
              <w:keepLines w:val="0"/>
              <w:widowControl w:val="0"/>
              <w:spacing w:after="0"/>
              <w:rPr>
                <w:rStyle w:val="Strong"/>
                <w:b w:val="0"/>
                <w:bCs/>
              </w:rPr>
            </w:pPr>
            <w:r w:rsidRPr="00627A15">
              <w:rPr>
                <w:b/>
              </w:rPr>
              <w:t>Administrative Advice:</w:t>
            </w:r>
            <w:r w:rsidRPr="00E20031">
              <w:rPr>
                <w:bCs/>
              </w:rPr>
              <w:t xml:space="preserve"> </w:t>
            </w:r>
            <w:r w:rsidRPr="00627A15">
              <w:rPr>
                <w:rStyle w:val="Strong"/>
                <w:b w:val="0"/>
              </w:rPr>
              <w:t>Authority approval for initial treatment must be sought.</w:t>
            </w:r>
          </w:p>
          <w:p w14:paraId="49E967B3" w14:textId="14189452" w:rsidR="008D461D" w:rsidRPr="00E20031" w:rsidRDefault="008D461D">
            <w:pPr>
              <w:pStyle w:val="PBACTabletext"/>
              <w:keepLines w:val="0"/>
              <w:widowControl w:val="0"/>
              <w:spacing w:after="0"/>
              <w:rPr>
                <w:bCs/>
              </w:rPr>
            </w:pPr>
            <w:r w:rsidRPr="00E20031">
              <w:rPr>
                <w:bCs/>
              </w:rPr>
              <w:t>The first authority application for each eye must be made via the Online PBS Authorities System (real time assessment) or by calling Services Australia</w:t>
            </w:r>
            <w:r w:rsidR="00276CB6" w:rsidRPr="00E20031">
              <w:rPr>
                <w:bCs/>
              </w:rPr>
              <w:t xml:space="preserve">. </w:t>
            </w:r>
            <w:r w:rsidRPr="00E20031">
              <w:rPr>
                <w:bCs/>
              </w:rPr>
              <w:t>When applying by phone, the prescriber must provide:</w:t>
            </w:r>
          </w:p>
          <w:p w14:paraId="1A3C1014" w14:textId="77777777" w:rsidR="008D461D" w:rsidRPr="00E20031" w:rsidRDefault="008D461D">
            <w:pPr>
              <w:pStyle w:val="PBACTabletext"/>
              <w:keepLines w:val="0"/>
              <w:widowControl w:val="0"/>
              <w:spacing w:after="0"/>
              <w:rPr>
                <w:bCs/>
              </w:rPr>
            </w:pPr>
            <w:r w:rsidRPr="00E20031">
              <w:rPr>
                <w:bCs/>
              </w:rPr>
              <w:t>(1) Details (date, unique identifying number/code or provider number) of the optical coherence tomography or fundus autofluorescence report.</w:t>
            </w:r>
          </w:p>
          <w:p w14:paraId="0D417EC6" w14:textId="77777777" w:rsidR="008D461D" w:rsidRPr="00E20031" w:rsidRDefault="008D461D">
            <w:pPr>
              <w:pStyle w:val="PBACTabletext"/>
              <w:keepLines w:val="0"/>
              <w:widowControl w:val="0"/>
              <w:spacing w:after="0"/>
              <w:rPr>
                <w:bCs/>
              </w:rPr>
            </w:pPr>
            <w:r w:rsidRPr="00E20031">
              <w:rPr>
                <w:bCs/>
              </w:rPr>
              <w:t>If the application is submitted through HPOS form upload or mail, it must include:</w:t>
            </w:r>
          </w:p>
          <w:p w14:paraId="24A92B8D" w14:textId="77777777" w:rsidR="008D461D" w:rsidRPr="00E20031" w:rsidRDefault="008D461D">
            <w:pPr>
              <w:pStyle w:val="PBACTabletext"/>
              <w:keepLines w:val="0"/>
              <w:widowControl w:val="0"/>
              <w:spacing w:after="0"/>
              <w:rPr>
                <w:bCs/>
              </w:rPr>
            </w:pPr>
            <w:r w:rsidRPr="00E20031">
              <w:rPr>
                <w:bCs/>
              </w:rPr>
              <w:t>(a) A completed authority prescription form; and</w:t>
            </w:r>
          </w:p>
          <w:p w14:paraId="08F88DDA" w14:textId="77777777" w:rsidR="008D461D" w:rsidRPr="00E20031" w:rsidRDefault="008D461D">
            <w:pPr>
              <w:pStyle w:val="PBACTabletext"/>
              <w:keepLines w:val="0"/>
              <w:widowControl w:val="0"/>
              <w:spacing w:after="0"/>
              <w:rPr>
                <w:bCs/>
              </w:rPr>
            </w:pPr>
            <w:r w:rsidRPr="00E20031">
              <w:rPr>
                <w:bCs/>
              </w:rPr>
              <w:t>(b) A completed authority application form relevant to the indication and treatment phase (the latest version is located on the website specified in the Administrative Advice).</w:t>
            </w:r>
          </w:p>
          <w:p w14:paraId="42669E91" w14:textId="77777777" w:rsidR="008D461D" w:rsidRPr="00E20031" w:rsidRDefault="008D461D">
            <w:pPr>
              <w:pStyle w:val="PBACTabletext"/>
              <w:keepLines w:val="0"/>
              <w:widowControl w:val="0"/>
              <w:spacing w:after="0"/>
              <w:rPr>
                <w:bCs/>
              </w:rPr>
            </w:pPr>
            <w:r w:rsidRPr="00E20031">
              <w:rPr>
                <w:bCs/>
              </w:rPr>
              <w:t>All reports must be documented in the patient's medical records.</w:t>
            </w:r>
          </w:p>
          <w:p w14:paraId="75DDE741" w14:textId="77777777" w:rsidR="008D461D" w:rsidRPr="00627A15" w:rsidRDefault="008D461D">
            <w:pPr>
              <w:pStyle w:val="PBACTabletext"/>
              <w:keepLines w:val="0"/>
              <w:widowControl w:val="0"/>
              <w:spacing w:after="0"/>
              <w:rPr>
                <w:b/>
              </w:rPr>
            </w:pPr>
            <w:r w:rsidRPr="00627A15">
              <w:rPr>
                <w:rStyle w:val="Strong"/>
                <w:b w:val="0"/>
              </w:rPr>
              <w:t>Note</w:t>
            </w:r>
          </w:p>
          <w:p w14:paraId="5CFDACDC" w14:textId="77777777" w:rsidR="008D461D" w:rsidRPr="00E20031" w:rsidRDefault="008D461D">
            <w:pPr>
              <w:pStyle w:val="PBACTabletext"/>
              <w:keepLines w:val="0"/>
              <w:widowControl w:val="0"/>
              <w:spacing w:after="0"/>
              <w:rPr>
                <w:bCs/>
              </w:rPr>
            </w:pPr>
            <w:r w:rsidRPr="00E20031">
              <w:rPr>
                <w:bCs/>
              </w:rPr>
              <w:t>No increase in the maximum number of repeats may be authorised.</w:t>
            </w:r>
          </w:p>
          <w:p w14:paraId="0ADD64B1" w14:textId="77777777" w:rsidR="008D461D" w:rsidRPr="00627A15" w:rsidRDefault="008D461D">
            <w:pPr>
              <w:pStyle w:val="PBACTabletext"/>
              <w:keepLines w:val="0"/>
              <w:widowControl w:val="0"/>
              <w:spacing w:after="0"/>
              <w:rPr>
                <w:b/>
              </w:rPr>
            </w:pPr>
            <w:r w:rsidRPr="00627A15">
              <w:rPr>
                <w:rStyle w:val="Strong"/>
                <w:b w:val="0"/>
              </w:rPr>
              <w:t>Note</w:t>
            </w:r>
          </w:p>
          <w:p w14:paraId="6A6C9BF0" w14:textId="77777777" w:rsidR="008D461D" w:rsidRPr="00E20031" w:rsidRDefault="008D461D">
            <w:pPr>
              <w:pStyle w:val="TableText0"/>
              <w:keepNext w:val="0"/>
              <w:keepLines w:val="0"/>
              <w:widowControl w:val="0"/>
              <w:rPr>
                <w:b/>
                <w:bCs w:val="0"/>
              </w:rPr>
            </w:pPr>
            <w:r w:rsidRPr="00E20031">
              <w:t>No increase in the maximum quantity or number of units may be authorised for applications for treatment of one eye.</w:t>
            </w:r>
          </w:p>
        </w:tc>
      </w:tr>
    </w:tbl>
    <w:p w14:paraId="1E30F675" w14:textId="77777777" w:rsidR="008D461D" w:rsidRPr="00E20031" w:rsidRDefault="008D461D" w:rsidP="008D461D">
      <w:pPr>
        <w:pStyle w:val="3-BodyText"/>
        <w:numPr>
          <w:ilvl w:val="0"/>
          <w:numId w:val="0"/>
        </w:numPr>
        <w:ind w:left="720" w:hanging="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017"/>
      </w:tblGrid>
      <w:tr w:rsidR="008D461D" w:rsidRPr="00E20031" w14:paraId="591E1FE7" w14:textId="77777777" w:rsidTr="00500785">
        <w:trPr>
          <w:trHeight w:val="20"/>
        </w:trPr>
        <w:tc>
          <w:tcPr>
            <w:tcW w:w="5000" w:type="pct"/>
          </w:tcPr>
          <w:p w14:paraId="576BAECF" w14:textId="77777777" w:rsidR="008D461D" w:rsidRPr="00E20031" w:rsidRDefault="008D461D">
            <w:pPr>
              <w:pStyle w:val="TableText0"/>
            </w:pPr>
            <w:r w:rsidRPr="00E20031">
              <w:t>Category / Program: General Schedule</w:t>
            </w:r>
          </w:p>
        </w:tc>
      </w:tr>
      <w:tr w:rsidR="008D461D" w:rsidRPr="00E20031" w14:paraId="5E536DDF" w14:textId="77777777" w:rsidTr="00500785">
        <w:trPr>
          <w:trHeight w:val="20"/>
        </w:trPr>
        <w:tc>
          <w:tcPr>
            <w:tcW w:w="5000" w:type="pct"/>
          </w:tcPr>
          <w:p w14:paraId="73BABF8D" w14:textId="77777777" w:rsidR="008D461D" w:rsidRPr="00E20031" w:rsidRDefault="008D461D">
            <w:pPr>
              <w:pStyle w:val="TableText0"/>
            </w:pPr>
            <w:r w:rsidRPr="00E20031">
              <w:t xml:space="preserve">Prescriber type: </w:t>
            </w:r>
            <w:r w:rsidRPr="00E20031">
              <w:fldChar w:fldCharType="begin">
                <w:ffData>
                  <w:name w:val="Check1"/>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Dental </w:t>
            </w:r>
            <w:r w:rsidRPr="00E20031">
              <w:fldChar w:fldCharType="begin">
                <w:ffData>
                  <w:name w:val=""/>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 xml:space="preserve">Medical Practitioners </w:t>
            </w:r>
            <w:r w:rsidRPr="00E20031">
              <w:fldChar w:fldCharType="begin">
                <w:ffData>
                  <w:name w:val="Check3"/>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Nurse practitioners </w:t>
            </w:r>
            <w:r w:rsidRPr="00E20031">
              <w:fldChar w:fldCharType="begin">
                <w:ffData>
                  <w:name w:val=""/>
                  <w:enabled/>
                  <w:calcOnExit w:val="0"/>
                  <w:checkBox>
                    <w:sizeAuto/>
                    <w:default w:val="0"/>
                  </w:checkBox>
                </w:ffData>
              </w:fldChar>
            </w:r>
            <w:r w:rsidRPr="00E20031">
              <w:instrText xml:space="preserve"> FORMCHECKBOX </w:instrText>
            </w:r>
            <w:r w:rsidRPr="00E20031">
              <w:fldChar w:fldCharType="separate"/>
            </w:r>
            <w:r w:rsidRPr="00E20031">
              <w:fldChar w:fldCharType="end"/>
            </w:r>
            <w:r w:rsidRPr="00E20031">
              <w:t xml:space="preserve">Optometrists </w:t>
            </w:r>
            <w:r w:rsidRPr="00E20031">
              <w:fldChar w:fldCharType="begin">
                <w:ffData>
                  <w:name w:val="Check5"/>
                  <w:enabled/>
                  <w:calcOnExit w:val="0"/>
                  <w:checkBox>
                    <w:sizeAuto/>
                    <w:default w:val="0"/>
                  </w:checkBox>
                </w:ffData>
              </w:fldChar>
            </w:r>
            <w:r w:rsidRPr="00E20031">
              <w:instrText xml:space="preserve"> FORMCHECKBOX </w:instrText>
            </w:r>
            <w:r w:rsidRPr="00E20031">
              <w:fldChar w:fldCharType="separate"/>
            </w:r>
            <w:r w:rsidRPr="00E20031">
              <w:fldChar w:fldCharType="end"/>
            </w:r>
          </w:p>
        </w:tc>
      </w:tr>
      <w:tr w:rsidR="008D461D" w:rsidRPr="00E20031" w14:paraId="53BA3E1B" w14:textId="77777777" w:rsidTr="00500785">
        <w:trPr>
          <w:trHeight w:val="20"/>
        </w:trPr>
        <w:tc>
          <w:tcPr>
            <w:tcW w:w="5000" w:type="pct"/>
          </w:tcPr>
          <w:p w14:paraId="41AAE259" w14:textId="6DAD0DB9" w:rsidR="008D461D" w:rsidRPr="00E20031" w:rsidRDefault="008D461D">
            <w:pPr>
              <w:pStyle w:val="TableText0"/>
            </w:pPr>
            <w:r w:rsidRPr="00E20031">
              <w:t>Restriction type:</w:t>
            </w:r>
            <w:r w:rsidRPr="00E20031">
              <w:br/>
            </w:r>
            <w:r w:rsidRPr="00E20031">
              <w:fldChar w:fldCharType="begin">
                <w:ffData>
                  <w:name w:val="Check3"/>
                  <w:enabled/>
                  <w:calcOnExit w:val="0"/>
                  <w:checkBox>
                    <w:sizeAuto/>
                    <w:default w:val="1"/>
                  </w:checkBox>
                </w:ffData>
              </w:fldChar>
            </w:r>
            <w:r w:rsidRPr="00E20031">
              <w:instrText xml:space="preserve"> FORMCHECKBOX </w:instrText>
            </w:r>
            <w:r w:rsidRPr="00E20031">
              <w:fldChar w:fldCharType="separate"/>
            </w:r>
            <w:r w:rsidRPr="00E20031">
              <w:fldChar w:fldCharType="end"/>
            </w:r>
            <w:r w:rsidRPr="00E20031">
              <w:t xml:space="preserve">Authority Required </w:t>
            </w:r>
            <w:r w:rsidR="00397B07">
              <w:noBreakHyphen/>
            </w:r>
            <w:r w:rsidR="00AD7D0B">
              <w:t xml:space="preserve"> </w:t>
            </w:r>
            <w:r w:rsidR="00A0243C">
              <w:t>Streamlined</w:t>
            </w:r>
            <w:r w:rsidRPr="00E20031">
              <w:t xml:space="preserve"> </w:t>
            </w:r>
          </w:p>
        </w:tc>
      </w:tr>
      <w:tr w:rsidR="008D461D" w:rsidRPr="00E20031" w14:paraId="7466AD05" w14:textId="77777777" w:rsidTr="00500785">
        <w:trPr>
          <w:trHeight w:val="20"/>
        </w:trPr>
        <w:tc>
          <w:tcPr>
            <w:tcW w:w="5000" w:type="pct"/>
            <w:vAlign w:val="center"/>
          </w:tcPr>
          <w:p w14:paraId="2AED807B" w14:textId="15F2E209" w:rsidR="008D461D" w:rsidRPr="00E20031" w:rsidRDefault="008D461D">
            <w:pPr>
              <w:pStyle w:val="TableText0"/>
            </w:pPr>
            <w:r w:rsidRPr="00E20031">
              <w:rPr>
                <w:rStyle w:val="Strong"/>
              </w:rPr>
              <w:t xml:space="preserve">Condition: </w:t>
            </w:r>
            <w:r w:rsidRPr="00E20031">
              <w:t>Geographic Atrophy secondary to age</w:t>
            </w:r>
            <w:r w:rsidR="00397B07">
              <w:noBreakHyphen/>
            </w:r>
            <w:r w:rsidRPr="00E20031">
              <w:t>related macular degeneration</w:t>
            </w:r>
          </w:p>
        </w:tc>
      </w:tr>
      <w:tr w:rsidR="008D461D" w:rsidRPr="00E20031" w14:paraId="3F9B1E49" w14:textId="77777777" w:rsidTr="00500785">
        <w:trPr>
          <w:trHeight w:val="20"/>
        </w:trPr>
        <w:tc>
          <w:tcPr>
            <w:tcW w:w="5000" w:type="pct"/>
            <w:vAlign w:val="center"/>
          </w:tcPr>
          <w:p w14:paraId="22089DD1" w14:textId="3253BFA2" w:rsidR="008D461D" w:rsidRPr="00E20031" w:rsidRDefault="008D461D">
            <w:pPr>
              <w:pStyle w:val="TableText0"/>
            </w:pPr>
            <w:r w:rsidRPr="00E20031">
              <w:rPr>
                <w:rStyle w:val="Strong"/>
              </w:rPr>
              <w:t>Indication:</w:t>
            </w:r>
            <w:r w:rsidRPr="00E20031">
              <w:t xml:space="preserve"> Geographic Atrophy secondary to age</w:t>
            </w:r>
            <w:r w:rsidR="00397B07">
              <w:noBreakHyphen/>
            </w:r>
            <w:r w:rsidRPr="00E20031">
              <w:t xml:space="preserve">related macular degeneration </w:t>
            </w:r>
          </w:p>
        </w:tc>
      </w:tr>
      <w:tr w:rsidR="008D461D" w:rsidRPr="00E20031" w14:paraId="545D9791" w14:textId="77777777" w:rsidTr="00500785">
        <w:trPr>
          <w:trHeight w:val="20"/>
        </w:trPr>
        <w:tc>
          <w:tcPr>
            <w:tcW w:w="5000" w:type="pct"/>
            <w:vAlign w:val="center"/>
          </w:tcPr>
          <w:p w14:paraId="3CE5BBAC" w14:textId="77777777" w:rsidR="008D461D" w:rsidRPr="00E20031" w:rsidRDefault="008D461D">
            <w:pPr>
              <w:pStyle w:val="TableText0"/>
            </w:pPr>
            <w:r w:rsidRPr="00E20031">
              <w:rPr>
                <w:rStyle w:val="Strong"/>
              </w:rPr>
              <w:t>Treatment Phase:</w:t>
            </w:r>
            <w:r w:rsidRPr="00E20031">
              <w:t xml:space="preserve"> Continuing</w:t>
            </w:r>
          </w:p>
        </w:tc>
      </w:tr>
      <w:tr w:rsidR="008D461D" w:rsidRPr="00E20031" w14:paraId="1648DC05" w14:textId="77777777" w:rsidTr="00500785">
        <w:trPr>
          <w:trHeight w:val="20"/>
        </w:trPr>
        <w:tc>
          <w:tcPr>
            <w:tcW w:w="5000" w:type="pct"/>
            <w:vAlign w:val="center"/>
          </w:tcPr>
          <w:p w14:paraId="258C669A" w14:textId="77777777" w:rsidR="008D461D" w:rsidRPr="00E20031" w:rsidRDefault="008D461D">
            <w:pPr>
              <w:pStyle w:val="TableText0"/>
            </w:pPr>
            <w:r w:rsidRPr="00E20031">
              <w:rPr>
                <w:rStyle w:val="Strong"/>
              </w:rPr>
              <w:t>Clinical criteria:</w:t>
            </w:r>
          </w:p>
        </w:tc>
      </w:tr>
      <w:tr w:rsidR="008D461D" w:rsidRPr="00E20031" w14:paraId="5A5D410C" w14:textId="77777777" w:rsidTr="00500785">
        <w:trPr>
          <w:trHeight w:val="20"/>
        </w:trPr>
        <w:tc>
          <w:tcPr>
            <w:tcW w:w="5000" w:type="pct"/>
            <w:vAlign w:val="center"/>
          </w:tcPr>
          <w:p w14:paraId="042D5688" w14:textId="527E569A" w:rsidR="008D461D" w:rsidRPr="00E20031" w:rsidRDefault="008D461D">
            <w:pPr>
              <w:pStyle w:val="TableText0"/>
              <w:rPr>
                <w:b/>
              </w:rPr>
            </w:pPr>
            <w:r w:rsidRPr="00E20031">
              <w:t>Patient must have previously received PBS</w:t>
            </w:r>
            <w:r w:rsidR="00397B07">
              <w:noBreakHyphen/>
            </w:r>
            <w:r w:rsidRPr="00E20031">
              <w:t>subsidised treatment with this drug for this condition for the same eye</w:t>
            </w:r>
          </w:p>
        </w:tc>
      </w:tr>
      <w:tr w:rsidR="008D461D" w:rsidRPr="00E20031" w14:paraId="6A730857" w14:textId="77777777" w:rsidTr="00500785">
        <w:trPr>
          <w:trHeight w:val="20"/>
        </w:trPr>
        <w:tc>
          <w:tcPr>
            <w:tcW w:w="5000" w:type="pct"/>
            <w:vAlign w:val="center"/>
          </w:tcPr>
          <w:p w14:paraId="4695588E" w14:textId="77777777" w:rsidR="008D461D" w:rsidRPr="00E20031" w:rsidRDefault="008D461D">
            <w:pPr>
              <w:pStyle w:val="TableText0"/>
            </w:pPr>
            <w:r w:rsidRPr="00E20031">
              <w:rPr>
                <w:rStyle w:val="Strong"/>
              </w:rPr>
              <w:t>AND</w:t>
            </w:r>
          </w:p>
        </w:tc>
      </w:tr>
      <w:tr w:rsidR="008D461D" w:rsidRPr="00E20031" w14:paraId="4695AD62" w14:textId="77777777" w:rsidTr="00500785">
        <w:trPr>
          <w:trHeight w:val="20"/>
        </w:trPr>
        <w:tc>
          <w:tcPr>
            <w:tcW w:w="5000" w:type="pct"/>
            <w:vAlign w:val="center"/>
          </w:tcPr>
          <w:p w14:paraId="5A13D9C1" w14:textId="02F59A19" w:rsidR="008D461D" w:rsidRPr="00E20031" w:rsidRDefault="008D461D">
            <w:pPr>
              <w:pStyle w:val="TableText0"/>
              <w:rPr>
                <w:b/>
                <w:color w:val="0066FF"/>
              </w:rPr>
            </w:pPr>
            <w:r w:rsidRPr="00E20031">
              <w:t>Patient must have geographic atrophy (GA) secondary to age</w:t>
            </w:r>
            <w:r w:rsidR="00397B07">
              <w:noBreakHyphen/>
            </w:r>
            <w:r w:rsidRPr="00E20031">
              <w:t>related macular degeneration (AMD)</w:t>
            </w:r>
          </w:p>
        </w:tc>
      </w:tr>
      <w:tr w:rsidR="008D461D" w:rsidRPr="00E20031" w14:paraId="0C671B8F" w14:textId="77777777" w:rsidTr="00500785">
        <w:trPr>
          <w:trHeight w:val="20"/>
        </w:trPr>
        <w:tc>
          <w:tcPr>
            <w:tcW w:w="5000" w:type="pct"/>
            <w:vAlign w:val="center"/>
          </w:tcPr>
          <w:p w14:paraId="7729747F" w14:textId="77777777" w:rsidR="008D461D" w:rsidRPr="00E20031" w:rsidRDefault="008D461D">
            <w:pPr>
              <w:pStyle w:val="TableText0"/>
            </w:pPr>
            <w:r w:rsidRPr="00E20031">
              <w:rPr>
                <w:rStyle w:val="Strong"/>
              </w:rPr>
              <w:t>AND</w:t>
            </w:r>
          </w:p>
        </w:tc>
      </w:tr>
      <w:tr w:rsidR="008D461D" w:rsidRPr="00E20031" w14:paraId="08E1D08C" w14:textId="77777777" w:rsidTr="00500785">
        <w:trPr>
          <w:trHeight w:val="20"/>
        </w:trPr>
        <w:tc>
          <w:tcPr>
            <w:tcW w:w="5000" w:type="pct"/>
            <w:vAlign w:val="center"/>
          </w:tcPr>
          <w:p w14:paraId="6A98F452" w14:textId="77777777" w:rsidR="008D461D" w:rsidRPr="00E20031" w:rsidRDefault="008D461D">
            <w:pPr>
              <w:pStyle w:val="TableText0"/>
              <w:rPr>
                <w:b/>
              </w:rPr>
            </w:pPr>
            <w:r w:rsidRPr="00E20031">
              <w:t>The treatment must be as monotherapy</w:t>
            </w:r>
          </w:p>
        </w:tc>
      </w:tr>
      <w:tr w:rsidR="008D461D" w:rsidRPr="00E20031" w14:paraId="58566046" w14:textId="77777777" w:rsidTr="00500785">
        <w:trPr>
          <w:trHeight w:val="20"/>
        </w:trPr>
        <w:tc>
          <w:tcPr>
            <w:tcW w:w="5000" w:type="pct"/>
            <w:vAlign w:val="center"/>
          </w:tcPr>
          <w:p w14:paraId="5A0A4DC5" w14:textId="77777777" w:rsidR="008D461D" w:rsidRPr="00E20031" w:rsidRDefault="008D461D">
            <w:pPr>
              <w:pStyle w:val="TableText0"/>
            </w:pPr>
            <w:r w:rsidRPr="00E20031">
              <w:rPr>
                <w:rStyle w:val="Strong"/>
              </w:rPr>
              <w:t>AND</w:t>
            </w:r>
          </w:p>
        </w:tc>
      </w:tr>
      <w:tr w:rsidR="008D461D" w:rsidRPr="00E20031" w14:paraId="295E2D0D" w14:textId="77777777" w:rsidTr="00500785">
        <w:trPr>
          <w:trHeight w:val="20"/>
        </w:trPr>
        <w:tc>
          <w:tcPr>
            <w:tcW w:w="5000" w:type="pct"/>
            <w:vAlign w:val="center"/>
          </w:tcPr>
          <w:p w14:paraId="04B831E1" w14:textId="6CD77063" w:rsidR="008D461D" w:rsidRPr="00E20031" w:rsidRDefault="008D461D">
            <w:pPr>
              <w:pStyle w:val="TableText0"/>
              <w:rPr>
                <w:b/>
              </w:rPr>
            </w:pPr>
            <w:r w:rsidRPr="00E20031">
              <w:t>The treatment must be the sole PBS</w:t>
            </w:r>
            <w:r w:rsidR="00397B07">
              <w:noBreakHyphen/>
            </w:r>
            <w:r w:rsidRPr="00E20031">
              <w:t>subsidised therapy for this condition.</w:t>
            </w:r>
          </w:p>
        </w:tc>
      </w:tr>
      <w:tr w:rsidR="008D461D" w:rsidRPr="00E20031" w14:paraId="355CA959" w14:textId="77777777" w:rsidTr="00500785">
        <w:trPr>
          <w:trHeight w:val="20"/>
        </w:trPr>
        <w:tc>
          <w:tcPr>
            <w:tcW w:w="5000" w:type="pct"/>
            <w:vAlign w:val="center"/>
          </w:tcPr>
          <w:p w14:paraId="1CF31AED" w14:textId="77777777" w:rsidR="008D461D" w:rsidRPr="00E20031" w:rsidRDefault="008D461D">
            <w:pPr>
              <w:pStyle w:val="TableText0"/>
            </w:pPr>
            <w:r w:rsidRPr="00E20031">
              <w:rPr>
                <w:rStyle w:val="Strong"/>
              </w:rPr>
              <w:t>AND</w:t>
            </w:r>
          </w:p>
        </w:tc>
      </w:tr>
      <w:tr w:rsidR="008D461D" w:rsidRPr="00E20031" w14:paraId="3DA0FA9F" w14:textId="77777777" w:rsidTr="00500785">
        <w:trPr>
          <w:trHeight w:val="20"/>
        </w:trPr>
        <w:tc>
          <w:tcPr>
            <w:tcW w:w="5000" w:type="pct"/>
            <w:vAlign w:val="center"/>
          </w:tcPr>
          <w:p w14:paraId="3ED99E76" w14:textId="283B37D6" w:rsidR="008D461D" w:rsidRPr="00E20031" w:rsidRDefault="008D461D">
            <w:pPr>
              <w:pStyle w:val="TableText0"/>
              <w:rPr>
                <w:b/>
              </w:rPr>
            </w:pPr>
            <w:r w:rsidRPr="00E20031">
              <w:t>The treated eye has an intact fovea, i.e. non</w:t>
            </w:r>
            <w:r w:rsidR="00397B07">
              <w:noBreakHyphen/>
            </w:r>
            <w:r w:rsidRPr="00E20031">
              <w:t>subfoveal lesions (defined as lesions ≥1 µm from the foveal centre point)</w:t>
            </w:r>
          </w:p>
        </w:tc>
      </w:tr>
      <w:tr w:rsidR="008D461D" w:rsidRPr="00E20031" w14:paraId="29325E9B" w14:textId="77777777" w:rsidTr="00500785">
        <w:trPr>
          <w:trHeight w:val="20"/>
        </w:trPr>
        <w:tc>
          <w:tcPr>
            <w:tcW w:w="5000" w:type="pct"/>
            <w:vAlign w:val="center"/>
          </w:tcPr>
          <w:p w14:paraId="63BB72DC" w14:textId="77777777" w:rsidR="008D461D" w:rsidRPr="00E20031" w:rsidRDefault="008D461D">
            <w:pPr>
              <w:pStyle w:val="TableText0"/>
            </w:pPr>
            <w:r w:rsidRPr="00E20031">
              <w:rPr>
                <w:rStyle w:val="Strong"/>
              </w:rPr>
              <w:t>AND</w:t>
            </w:r>
          </w:p>
        </w:tc>
      </w:tr>
      <w:tr w:rsidR="008D461D" w:rsidRPr="00E20031" w14:paraId="77C7C722" w14:textId="77777777" w:rsidTr="00500785">
        <w:trPr>
          <w:trHeight w:val="20"/>
        </w:trPr>
        <w:tc>
          <w:tcPr>
            <w:tcW w:w="5000" w:type="pct"/>
            <w:vAlign w:val="center"/>
          </w:tcPr>
          <w:p w14:paraId="0C641D61" w14:textId="4FC40D21" w:rsidR="008D461D" w:rsidRPr="00E20031" w:rsidRDefault="008D461D">
            <w:pPr>
              <w:pStyle w:val="TableText0"/>
              <w:rPr>
                <w:b/>
              </w:rPr>
            </w:pPr>
            <w:r w:rsidRPr="00E20031">
              <w:t>The treated eye has central vision threatened by GA lesion growth (defined as GA lesions that are either located within a 750 µm radius from the foveal centre</w:t>
            </w:r>
            <w:r w:rsidR="00051355">
              <w:t>)</w:t>
            </w:r>
            <w:r w:rsidRPr="00E20031">
              <w:t>; OR the GA lesions that are located beyond the 750 µm radius from the foveal centre, and where historical imaging indicates lesion progression is toward the foveal centre, and is located within the macula (defined as the 5.5 mm diameter area)</w:t>
            </w:r>
          </w:p>
        </w:tc>
      </w:tr>
      <w:tr w:rsidR="008D461D" w:rsidRPr="00E20031" w14:paraId="2469C08F" w14:textId="77777777" w:rsidTr="00500785">
        <w:trPr>
          <w:trHeight w:val="20"/>
        </w:trPr>
        <w:tc>
          <w:tcPr>
            <w:tcW w:w="5000" w:type="pct"/>
            <w:vAlign w:val="center"/>
          </w:tcPr>
          <w:p w14:paraId="462F6CB2" w14:textId="77777777" w:rsidR="008D461D" w:rsidRPr="00E20031" w:rsidRDefault="008D461D">
            <w:pPr>
              <w:pStyle w:val="TableText0"/>
            </w:pPr>
            <w:r w:rsidRPr="00E20031">
              <w:rPr>
                <w:rStyle w:val="Strong"/>
              </w:rPr>
              <w:t>AND</w:t>
            </w:r>
          </w:p>
        </w:tc>
      </w:tr>
      <w:tr w:rsidR="008D461D" w:rsidRPr="00E20031" w14:paraId="718FC000" w14:textId="77777777" w:rsidTr="00500785">
        <w:trPr>
          <w:trHeight w:val="20"/>
        </w:trPr>
        <w:tc>
          <w:tcPr>
            <w:tcW w:w="5000" w:type="pct"/>
            <w:vAlign w:val="center"/>
          </w:tcPr>
          <w:p w14:paraId="080CE3E7" w14:textId="79CC3230" w:rsidR="008D461D" w:rsidRPr="00E20031" w:rsidRDefault="008D461D">
            <w:pPr>
              <w:pStyle w:val="TableText0"/>
              <w:rPr>
                <w:b/>
                <w:i/>
                <w:iCs/>
              </w:rPr>
            </w:pPr>
            <w:r w:rsidRPr="00E20031">
              <w:t>The other non</w:t>
            </w:r>
            <w:r w:rsidR="00397B07">
              <w:noBreakHyphen/>
            </w:r>
            <w:r w:rsidRPr="00E20031">
              <w:t>treated eye has vision impairment defined as the fovea no longer being intact (subfoveal GA, i.e. a compromised fovea, where the GA lesion involves the foveal centre point)</w:t>
            </w:r>
          </w:p>
        </w:tc>
      </w:tr>
      <w:tr w:rsidR="008D461D" w:rsidRPr="00E20031" w14:paraId="64382191" w14:textId="77777777" w:rsidTr="00500785">
        <w:trPr>
          <w:trHeight w:val="20"/>
        </w:trPr>
        <w:tc>
          <w:tcPr>
            <w:tcW w:w="5000" w:type="pct"/>
            <w:vAlign w:val="center"/>
          </w:tcPr>
          <w:p w14:paraId="32C5AAD9" w14:textId="77777777" w:rsidR="008D461D" w:rsidRPr="00E20031" w:rsidRDefault="008D461D">
            <w:pPr>
              <w:pStyle w:val="TableText0"/>
            </w:pPr>
            <w:r w:rsidRPr="00E20031">
              <w:rPr>
                <w:rStyle w:val="Strong"/>
              </w:rPr>
              <w:t>Treatment criteria:</w:t>
            </w:r>
          </w:p>
        </w:tc>
      </w:tr>
      <w:tr w:rsidR="008D461D" w:rsidRPr="00E20031" w14:paraId="5DA6269B" w14:textId="77777777" w:rsidTr="00500785">
        <w:trPr>
          <w:trHeight w:val="20"/>
        </w:trPr>
        <w:tc>
          <w:tcPr>
            <w:tcW w:w="5000" w:type="pct"/>
            <w:vAlign w:val="center"/>
            <w:hideMark/>
          </w:tcPr>
          <w:p w14:paraId="586CB69A" w14:textId="77777777" w:rsidR="008D461D" w:rsidRPr="00E20031" w:rsidRDefault="008D461D">
            <w:pPr>
              <w:pStyle w:val="TableText0"/>
              <w:rPr>
                <w:b/>
              </w:rPr>
            </w:pPr>
            <w:r w:rsidRPr="00E20031">
              <w:t>Must be treated by an ophthalmologist or by an accredited ophthalmology registrar in consultation with an ophthalmologist</w:t>
            </w:r>
          </w:p>
        </w:tc>
      </w:tr>
      <w:tr w:rsidR="008D461D" w:rsidRPr="00E20031" w14:paraId="5E2EFAE5" w14:textId="77777777" w:rsidTr="00500785">
        <w:trPr>
          <w:trHeight w:val="20"/>
        </w:trPr>
        <w:tc>
          <w:tcPr>
            <w:tcW w:w="5000" w:type="pct"/>
            <w:vAlign w:val="center"/>
          </w:tcPr>
          <w:p w14:paraId="4A240164" w14:textId="77777777" w:rsidR="008D461D" w:rsidRPr="00E20031" w:rsidRDefault="008D461D">
            <w:pPr>
              <w:pStyle w:val="PBACTabletext"/>
              <w:spacing w:after="0"/>
            </w:pPr>
            <w:r w:rsidRPr="00E20031">
              <w:rPr>
                <w:rStyle w:val="Strong"/>
              </w:rPr>
              <w:t>Prescribing Instructions:</w:t>
            </w:r>
          </w:p>
          <w:p w14:paraId="6256478C" w14:textId="77777777" w:rsidR="008D461D" w:rsidRPr="00E20031" w:rsidRDefault="008D461D">
            <w:pPr>
              <w:pStyle w:val="PBACTabletext"/>
              <w:spacing w:after="0"/>
              <w:rPr>
                <w:lang w:eastAsia="en-AU"/>
              </w:rPr>
            </w:pPr>
            <w:r w:rsidRPr="00E20031">
              <w:t>Administer dose of 15 mg (0.1 mL of 150 mg/mL solution) administered as an intravitreal injection.</w:t>
            </w:r>
          </w:p>
          <w:p w14:paraId="2303A71E" w14:textId="22549BF1" w:rsidR="008D461D" w:rsidRPr="00E20031" w:rsidRDefault="008D461D">
            <w:pPr>
              <w:pStyle w:val="TableText0"/>
              <w:rPr>
                <w:b/>
              </w:rPr>
            </w:pPr>
            <w:r w:rsidRPr="00E20031">
              <w:lastRenderedPageBreak/>
              <w:t>For continued treatment the patient must demonstrate treatment benefit from this drug and meet the initial criteria for treatment eligibility, meeting the definition for an intact fovea (defined as non</w:t>
            </w:r>
            <w:r w:rsidR="00397B07">
              <w:noBreakHyphen/>
            </w:r>
            <w:r w:rsidRPr="00E20031">
              <w:t>subfoveal lesions ≥1 µm from the foveal centre point) in the treated eye with central vision threatened by GA lesion growth (defined as GA lesions that are either located within a 750 µm radius from the foveal centre</w:t>
            </w:r>
            <w:r w:rsidR="00BE2701">
              <w:t>)</w:t>
            </w:r>
            <w:r w:rsidRPr="00E20031">
              <w:t>; OR the GA lesions that are located beyond the 750 µm radius from the foveal centre, and where historical imaging indicates lesion progression is toward the foveal centre, and is located within the macula [defined as the 5.5 mm diameter area]).</w:t>
            </w:r>
          </w:p>
        </w:tc>
      </w:tr>
      <w:tr w:rsidR="008D461D" w:rsidRPr="00E20031" w14:paraId="203919FC" w14:textId="77777777" w:rsidTr="00500785">
        <w:trPr>
          <w:trHeight w:val="20"/>
        </w:trPr>
        <w:tc>
          <w:tcPr>
            <w:tcW w:w="5000" w:type="pct"/>
            <w:vAlign w:val="center"/>
          </w:tcPr>
          <w:p w14:paraId="4B5C0A98" w14:textId="77777777" w:rsidR="008D461D" w:rsidRPr="00E20031" w:rsidRDefault="008D461D">
            <w:pPr>
              <w:pStyle w:val="PBACTabletext"/>
              <w:spacing w:after="0"/>
              <w:rPr>
                <w:rStyle w:val="Strong"/>
                <w:b w:val="0"/>
              </w:rPr>
            </w:pPr>
            <w:r w:rsidRPr="00E20031">
              <w:rPr>
                <w:rStyle w:val="Strong"/>
              </w:rPr>
              <w:lastRenderedPageBreak/>
              <w:t>Administrative Advice:</w:t>
            </w:r>
          </w:p>
          <w:p w14:paraId="250F362C" w14:textId="77777777" w:rsidR="008D461D" w:rsidRPr="00E20031" w:rsidRDefault="008D461D">
            <w:pPr>
              <w:pStyle w:val="PBACTabletext"/>
              <w:spacing w:after="0"/>
            </w:pPr>
            <w:r w:rsidRPr="00E20031">
              <w:t>Any queries concerning the arrangements to prescribe may be directed to Services Australia on 1800 700 270 (hours of operation 8 a.m. to 5 p.m. Monday to Friday).</w:t>
            </w:r>
          </w:p>
          <w:p w14:paraId="539DFE5D" w14:textId="77777777" w:rsidR="008D461D" w:rsidRPr="00627A15" w:rsidRDefault="008D461D">
            <w:pPr>
              <w:pStyle w:val="PBACTabletext"/>
              <w:spacing w:after="0"/>
              <w:rPr>
                <w:b/>
                <w:bCs/>
              </w:rPr>
            </w:pPr>
            <w:r w:rsidRPr="00627A15">
              <w:rPr>
                <w:rStyle w:val="Strong"/>
                <w:b w:val="0"/>
                <w:bCs/>
              </w:rPr>
              <w:t>Note</w:t>
            </w:r>
          </w:p>
          <w:p w14:paraId="6F342174" w14:textId="77777777" w:rsidR="008D461D" w:rsidRPr="00E20031" w:rsidRDefault="008D461D">
            <w:pPr>
              <w:pStyle w:val="PBACTabletext"/>
              <w:spacing w:after="0"/>
            </w:pPr>
            <w:r w:rsidRPr="00E20031">
              <w:t>Special Pricing Arrangements apply.</w:t>
            </w:r>
          </w:p>
          <w:p w14:paraId="3DF46005" w14:textId="77777777" w:rsidR="008D461D" w:rsidRPr="00627A15" w:rsidRDefault="008D461D">
            <w:pPr>
              <w:pStyle w:val="PBACTabletext"/>
              <w:spacing w:after="0"/>
              <w:rPr>
                <w:b/>
                <w:bCs/>
              </w:rPr>
            </w:pPr>
            <w:r w:rsidRPr="00627A15">
              <w:rPr>
                <w:rStyle w:val="Strong"/>
                <w:b w:val="0"/>
                <w:bCs/>
              </w:rPr>
              <w:t>Note</w:t>
            </w:r>
          </w:p>
          <w:p w14:paraId="6314637A" w14:textId="77777777" w:rsidR="008D461D" w:rsidRPr="00E20031" w:rsidRDefault="008D461D">
            <w:pPr>
              <w:pStyle w:val="TableText0"/>
              <w:rPr>
                <w:b/>
              </w:rPr>
            </w:pPr>
            <w:r w:rsidRPr="00E20031">
              <w:t>No increase in the maximum quantity or number of units may be authorised for applications for treatment of one eye.</w:t>
            </w:r>
          </w:p>
        </w:tc>
      </w:tr>
    </w:tbl>
    <w:p w14:paraId="7540C6E3" w14:textId="57DF7846" w:rsidR="008D461D" w:rsidRPr="00ED4DB3" w:rsidRDefault="008D461D" w:rsidP="00795430">
      <w:pPr>
        <w:pStyle w:val="3-BodyText"/>
        <w:spacing w:before="120"/>
        <w:rPr>
          <w:color w:val="0066FF"/>
        </w:rPr>
      </w:pPr>
      <w:r w:rsidRPr="00ED4DB3">
        <w:rPr>
          <w:rFonts w:cstheme="minorHAnsi"/>
          <w:szCs w:val="24"/>
        </w:rPr>
        <w:t>The submission stated that the initial treatment and continuing eligibility criteria for the proposed pegcetacoplan PBS listings are aligned with the patient population from the pivotal trials. In the pivotal trials, DERBY and OAKS, approximately two</w:t>
      </w:r>
      <w:r w:rsidR="00397B07">
        <w:rPr>
          <w:rFonts w:cstheme="minorHAnsi"/>
          <w:szCs w:val="24"/>
        </w:rPr>
        <w:noBreakHyphen/>
      </w:r>
      <w:r w:rsidRPr="00ED4DB3">
        <w:rPr>
          <w:rFonts w:cstheme="minorHAnsi"/>
          <w:szCs w:val="24"/>
        </w:rPr>
        <w:t>thirds of participants had a subfoveal lesion at baseline, inconsistent with the requested clinical criteria for the PBS listing of pegcetacoplan, which was patients with a non</w:t>
      </w:r>
      <w:r w:rsidR="00397B07">
        <w:rPr>
          <w:rFonts w:cstheme="minorHAnsi"/>
          <w:szCs w:val="24"/>
        </w:rPr>
        <w:noBreakHyphen/>
      </w:r>
      <w:r w:rsidRPr="00ED4DB3">
        <w:rPr>
          <w:rFonts w:cstheme="minorHAnsi"/>
          <w:szCs w:val="24"/>
        </w:rPr>
        <w:t>subfoveal lesion. However, the submission did present a subgroup analysis of patients in DERBY and OAKS with lesions which were ≥1 μm from the fovea (non</w:t>
      </w:r>
      <w:r w:rsidR="00397B07">
        <w:rPr>
          <w:rFonts w:cstheme="minorHAnsi"/>
          <w:szCs w:val="24"/>
        </w:rPr>
        <w:noBreakHyphen/>
      </w:r>
      <w:r w:rsidRPr="00ED4DB3">
        <w:rPr>
          <w:rFonts w:cstheme="minorHAnsi"/>
          <w:szCs w:val="24"/>
        </w:rPr>
        <w:t>subfoveal) or &lt;1 μm from the fovea (subfoveal). This align</w:t>
      </w:r>
      <w:r w:rsidR="006006B9">
        <w:rPr>
          <w:rFonts w:cstheme="minorHAnsi"/>
          <w:szCs w:val="24"/>
        </w:rPr>
        <w:t>ed</w:t>
      </w:r>
      <w:r w:rsidRPr="00ED4DB3">
        <w:rPr>
          <w:rFonts w:cstheme="minorHAnsi"/>
          <w:szCs w:val="24"/>
        </w:rPr>
        <w:t xml:space="preserve"> with the proposed PBS restriction</w:t>
      </w:r>
      <w:r w:rsidR="00B819C0">
        <w:rPr>
          <w:rFonts w:cstheme="minorHAnsi"/>
          <w:szCs w:val="24"/>
        </w:rPr>
        <w:t xml:space="preserve"> for treatment of</w:t>
      </w:r>
      <w:r w:rsidR="00E60216">
        <w:rPr>
          <w:rFonts w:cstheme="minorHAnsi"/>
          <w:szCs w:val="24"/>
        </w:rPr>
        <w:t xml:space="preserve"> </w:t>
      </w:r>
      <w:r w:rsidR="00835BAC">
        <w:rPr>
          <w:rFonts w:cstheme="minorHAnsi"/>
          <w:szCs w:val="24"/>
        </w:rPr>
        <w:t xml:space="preserve">the eye with </w:t>
      </w:r>
      <w:r w:rsidR="00B819C0">
        <w:rPr>
          <w:rFonts w:cstheme="minorHAnsi"/>
          <w:szCs w:val="24"/>
        </w:rPr>
        <w:t>non</w:t>
      </w:r>
      <w:r w:rsidR="00397B07">
        <w:rPr>
          <w:rFonts w:cstheme="minorHAnsi"/>
          <w:szCs w:val="24"/>
        </w:rPr>
        <w:noBreakHyphen/>
      </w:r>
      <w:r w:rsidR="00B819C0">
        <w:rPr>
          <w:rFonts w:cstheme="minorHAnsi"/>
          <w:szCs w:val="24"/>
        </w:rPr>
        <w:t>subfoveal</w:t>
      </w:r>
      <w:r w:rsidR="00E60216">
        <w:rPr>
          <w:rFonts w:cstheme="minorHAnsi"/>
          <w:szCs w:val="24"/>
        </w:rPr>
        <w:t xml:space="preserve"> </w:t>
      </w:r>
      <w:r w:rsidR="00835BAC">
        <w:rPr>
          <w:rFonts w:cstheme="minorHAnsi"/>
          <w:szCs w:val="24"/>
        </w:rPr>
        <w:t>lesions</w:t>
      </w:r>
      <w:r w:rsidRPr="00ED4DB3">
        <w:rPr>
          <w:rFonts w:cstheme="minorHAnsi"/>
          <w:szCs w:val="24"/>
        </w:rPr>
        <w:t>.</w:t>
      </w:r>
    </w:p>
    <w:p w14:paraId="511AE7CD" w14:textId="03310644" w:rsidR="008D461D" w:rsidRPr="00ED4DB3" w:rsidRDefault="008D461D" w:rsidP="008D461D">
      <w:pPr>
        <w:pStyle w:val="3-BodyText"/>
        <w:rPr>
          <w:color w:val="0066FF"/>
        </w:rPr>
      </w:pPr>
      <w:r w:rsidRPr="00ED4DB3">
        <w:rPr>
          <w:rFonts w:cstheme="minorHAnsi"/>
          <w:szCs w:val="24"/>
        </w:rPr>
        <w:t>The TGA listing states that patients must have an intact fovea but does not provide a description of this, whereas the proposed PBS listing defines it as</w:t>
      </w:r>
      <w:r w:rsidRPr="00ED4DB3">
        <w:t xml:space="preserve"> lesions ≥1 µm from the foveal centre point.</w:t>
      </w:r>
      <w:r w:rsidR="00AB3690">
        <w:t xml:space="preserve"> </w:t>
      </w:r>
      <w:r w:rsidR="00AB3690" w:rsidRPr="006D69E4">
        <w:rPr>
          <w:iCs/>
        </w:rPr>
        <w:t xml:space="preserve">The ESC considered the definition in the PBS listing was clinically appropriate. </w:t>
      </w:r>
    </w:p>
    <w:p w14:paraId="3A49E2FB" w14:textId="6CBB41A1" w:rsidR="00142D93" w:rsidRPr="006D69E4" w:rsidRDefault="008D461D" w:rsidP="00445120">
      <w:pPr>
        <w:pStyle w:val="3-BodyText"/>
        <w:rPr>
          <w:iCs/>
          <w:color w:val="000000" w:themeColor="text1"/>
        </w:rPr>
      </w:pPr>
      <w:r w:rsidRPr="00ED4DB3">
        <w:rPr>
          <w:color w:val="000000" w:themeColor="text1"/>
        </w:rPr>
        <w:t>The requirement for patients to have a compromised fovea in the non</w:t>
      </w:r>
      <w:r w:rsidR="00397B07">
        <w:rPr>
          <w:color w:val="000000" w:themeColor="text1"/>
        </w:rPr>
        <w:noBreakHyphen/>
      </w:r>
      <w:r w:rsidRPr="00ED4DB3">
        <w:rPr>
          <w:color w:val="000000" w:themeColor="text1"/>
        </w:rPr>
        <w:t>treated eye is not consistent with the TGA indication or key trials which enrolled patients with both bilateral</w:t>
      </w:r>
      <w:r w:rsidR="00397B07">
        <w:rPr>
          <w:color w:val="000000" w:themeColor="text1"/>
        </w:rPr>
        <w:noBreakHyphen/>
      </w:r>
      <w:r w:rsidRPr="00ED4DB3">
        <w:rPr>
          <w:color w:val="000000" w:themeColor="text1"/>
        </w:rPr>
        <w:t xml:space="preserve">GA (treated the worse eye) and with only one eye impacted by GA. This change was suggested by the </w:t>
      </w:r>
      <w:r w:rsidR="00557B1B" w:rsidRPr="00ED4DB3">
        <w:t>Advisory Committee on Medicines</w:t>
      </w:r>
      <w:r w:rsidR="00557B1B" w:rsidRPr="00ED4DB3">
        <w:rPr>
          <w:color w:val="000000" w:themeColor="text1"/>
        </w:rPr>
        <w:t xml:space="preserve"> (</w:t>
      </w:r>
      <w:r w:rsidRPr="00ED4DB3">
        <w:rPr>
          <w:color w:val="000000" w:themeColor="text1"/>
        </w:rPr>
        <w:t>ACM</w:t>
      </w:r>
      <w:r w:rsidR="00557B1B" w:rsidRPr="00ED4DB3">
        <w:rPr>
          <w:color w:val="000000" w:themeColor="text1"/>
        </w:rPr>
        <w:t>)</w:t>
      </w:r>
      <w:r w:rsidRPr="00ED4DB3">
        <w:rPr>
          <w:color w:val="000000" w:themeColor="text1"/>
        </w:rPr>
        <w:t xml:space="preserve"> which noted that “an ideal patient for this treatment would be one that had already lost vision in one eye and be motivated to accept higher risks and less certainty in outcomes in order to potentially prevent or delay the same outcome for their other eye.” </w:t>
      </w:r>
      <w:r w:rsidRPr="006D69E4">
        <w:rPr>
          <w:iCs/>
          <w:color w:val="000000" w:themeColor="text1"/>
        </w:rPr>
        <w:t>T</w:t>
      </w:r>
      <w:r w:rsidR="006162D3" w:rsidRPr="006D69E4">
        <w:rPr>
          <w:iCs/>
          <w:color w:val="000000" w:themeColor="text1"/>
        </w:rPr>
        <w:t xml:space="preserve">he ESC considered </w:t>
      </w:r>
      <w:r w:rsidR="006162D3">
        <w:rPr>
          <w:color w:val="000000" w:themeColor="text1"/>
        </w:rPr>
        <w:t>t</w:t>
      </w:r>
      <w:r w:rsidRPr="00ED4DB3">
        <w:rPr>
          <w:color w:val="000000" w:themeColor="text1"/>
        </w:rPr>
        <w:t xml:space="preserve">his </w:t>
      </w:r>
      <w:r w:rsidR="006162D3">
        <w:rPr>
          <w:color w:val="000000" w:themeColor="text1"/>
        </w:rPr>
        <w:t>wa</w:t>
      </w:r>
      <w:r w:rsidRPr="00ED4DB3">
        <w:rPr>
          <w:color w:val="000000" w:themeColor="text1"/>
        </w:rPr>
        <w:t>s a reasonable inclusion in the listing</w:t>
      </w:r>
      <w:r w:rsidR="00445120">
        <w:rPr>
          <w:color w:val="000000" w:themeColor="text1"/>
        </w:rPr>
        <w:t xml:space="preserve">. </w:t>
      </w:r>
      <w:r w:rsidR="00445120" w:rsidRPr="006D69E4">
        <w:rPr>
          <w:iCs/>
          <w:color w:val="000000" w:themeColor="text1"/>
        </w:rPr>
        <w:t xml:space="preserve">Overall, the ESC considered the criteria of the initial and continuing treatment </w:t>
      </w:r>
      <w:r w:rsidR="0078468A" w:rsidRPr="006D69E4">
        <w:rPr>
          <w:iCs/>
          <w:color w:val="000000" w:themeColor="text1"/>
        </w:rPr>
        <w:t>restrictions were clinically sound</w:t>
      </w:r>
      <w:r w:rsidR="004E25EC">
        <w:rPr>
          <w:iCs/>
          <w:color w:val="000000" w:themeColor="text1"/>
        </w:rPr>
        <w:t>.</w:t>
      </w:r>
    </w:p>
    <w:p w14:paraId="609645E2" w14:textId="3B736CA2" w:rsidR="00545478" w:rsidRDefault="008D461D" w:rsidP="008F245A">
      <w:pPr>
        <w:pStyle w:val="3-BodyText"/>
      </w:pPr>
      <w:r w:rsidRPr="00ED4DB3">
        <w:rPr>
          <w:color w:val="000000" w:themeColor="text1"/>
        </w:rPr>
        <w:t xml:space="preserve">The submission included a request for a grandfathering clause to provide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Pr="00ED4DB3">
        <w:rPr>
          <w:color w:val="000000" w:themeColor="text1"/>
        </w:rPr>
        <w:t xml:space="preserve">. </w:t>
      </w:r>
      <w:r w:rsidR="005F1768">
        <w:rPr>
          <w:color w:val="000000" w:themeColor="text1"/>
        </w:rPr>
        <w:t>The evaluation considered it was</w:t>
      </w:r>
      <w:r w:rsidRPr="00ED4DB3">
        <w:rPr>
          <w:color w:val="000000" w:themeColor="text1"/>
        </w:rPr>
        <w:t xml:space="preserve"> unclear how many patients the grandfather clause will apply to. The grandfathering restriction aligns with the proposed</w:t>
      </w:r>
      <w:r w:rsidR="003F4002" w:rsidRPr="00ED4DB3">
        <w:rPr>
          <w:color w:val="000000" w:themeColor="text1"/>
        </w:rPr>
        <w:t xml:space="preserve"> PBS</w:t>
      </w:r>
      <w:r w:rsidRPr="00ED4DB3">
        <w:rPr>
          <w:color w:val="000000" w:themeColor="text1"/>
        </w:rPr>
        <w:t xml:space="preserve"> initiation restriction which is narrower than the population enrolled in the key trials. </w:t>
      </w:r>
      <w:r w:rsidR="003F4002" w:rsidRPr="00ED4DB3">
        <w:rPr>
          <w:color w:val="000000" w:themeColor="text1"/>
        </w:rPr>
        <w:t>I</w:t>
      </w:r>
      <w:r w:rsidRPr="00ED4DB3">
        <w:rPr>
          <w:color w:val="000000" w:themeColor="text1"/>
        </w:rPr>
        <w:t xml:space="preserve">f the purpose of the grandfathering listing is to provide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00794BDD" w:rsidRPr="00794BDD">
        <w:rPr>
          <w:color w:val="000000" w:themeColor="text1"/>
        </w:rPr>
        <w:t xml:space="preserve"> </w:t>
      </w:r>
      <w:r w:rsidR="00794BDD" w:rsidRPr="00794BDD">
        <w:rPr>
          <w:color w:val="000000" w:themeColor="text1"/>
          <w:highlight w:val="black"/>
        </w:rPr>
        <w:t>&amp;&amp;&amp;&amp;</w:t>
      </w:r>
      <w:r w:rsidRPr="00ED4DB3">
        <w:rPr>
          <w:color w:val="000000" w:themeColor="text1"/>
        </w:rPr>
        <w:t xml:space="preserve">, then the </w:t>
      </w:r>
      <w:r w:rsidR="008F245A">
        <w:rPr>
          <w:color w:val="000000" w:themeColor="text1"/>
        </w:rPr>
        <w:t>proposed</w:t>
      </w:r>
      <w:r w:rsidR="008F245A" w:rsidRPr="00ED4DB3">
        <w:rPr>
          <w:color w:val="000000" w:themeColor="text1"/>
        </w:rPr>
        <w:t xml:space="preserve"> </w:t>
      </w:r>
      <w:r w:rsidRPr="00ED4DB3">
        <w:rPr>
          <w:color w:val="000000" w:themeColor="text1"/>
        </w:rPr>
        <w:t xml:space="preserve">wording </w:t>
      </w:r>
      <w:r w:rsidR="008F245A" w:rsidRPr="00ED4DB3">
        <w:rPr>
          <w:color w:val="000000" w:themeColor="text1"/>
        </w:rPr>
        <w:t>w</w:t>
      </w:r>
      <w:r w:rsidR="008F245A">
        <w:rPr>
          <w:color w:val="000000" w:themeColor="text1"/>
        </w:rPr>
        <w:t>ould</w:t>
      </w:r>
      <w:r w:rsidR="008F245A" w:rsidRPr="00ED4DB3">
        <w:rPr>
          <w:color w:val="000000" w:themeColor="text1"/>
        </w:rPr>
        <w:t xml:space="preserve"> </w:t>
      </w:r>
      <w:r w:rsidRPr="00ED4DB3">
        <w:rPr>
          <w:color w:val="000000" w:themeColor="text1"/>
        </w:rPr>
        <w:t>exclude trial patients who have an intact fovea in the non</w:t>
      </w:r>
      <w:r w:rsidR="00397B07">
        <w:rPr>
          <w:color w:val="000000" w:themeColor="text1"/>
        </w:rPr>
        <w:noBreakHyphen/>
      </w:r>
      <w:r w:rsidRPr="00ED4DB3">
        <w:rPr>
          <w:color w:val="000000" w:themeColor="text1"/>
        </w:rPr>
        <w:t>treated eye.</w:t>
      </w:r>
      <w:r w:rsidR="007F5D2B">
        <w:rPr>
          <w:color w:val="000000" w:themeColor="text1"/>
        </w:rPr>
        <w:t xml:space="preserve"> </w:t>
      </w:r>
      <w:r w:rsidR="00545478">
        <w:rPr>
          <w:iCs/>
          <w:color w:val="000000" w:themeColor="text1"/>
        </w:rPr>
        <w:t>The pre</w:t>
      </w:r>
      <w:r w:rsidR="00397B07">
        <w:rPr>
          <w:iCs/>
          <w:color w:val="000000" w:themeColor="text1"/>
        </w:rPr>
        <w:noBreakHyphen/>
      </w:r>
      <w:r w:rsidR="00545478">
        <w:rPr>
          <w:iCs/>
          <w:color w:val="000000" w:themeColor="text1"/>
        </w:rPr>
        <w:t xml:space="preserve">PBAC response clarified </w:t>
      </w:r>
      <w:r w:rsidR="00545478" w:rsidRPr="002259B9">
        <w:rPr>
          <w:iCs/>
          <w:color w:val="000000" w:themeColor="text1"/>
        </w:rPr>
        <w:t xml:space="preserve">that </w:t>
      </w:r>
      <w:r w:rsidR="00794BDD" w:rsidRPr="00794BDD">
        <w:rPr>
          <w:iCs/>
          <w:color w:val="000000" w:themeColor="text1"/>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545478" w:rsidRPr="002259B9">
        <w:t xml:space="preserve">. A proportion of the patients </w:t>
      </w:r>
      <w:r w:rsidR="00794BDD" w:rsidRPr="00794BDD">
        <w:rPr>
          <w:highlight w:val="black"/>
        </w:rPr>
        <w:t>&amp;&amp;&amp;&amp;</w:t>
      </w:r>
      <w:r w:rsidR="00794BDD" w:rsidRPr="00794BDD">
        <w:t xml:space="preserve"> </w:t>
      </w:r>
      <w:r w:rsidR="00794BDD" w:rsidRPr="00794BDD">
        <w:rPr>
          <w:highlight w:val="black"/>
        </w:rPr>
        <w:lastRenderedPageBreak/>
        <w:t>&amp;&amp;&amp;&amp;</w:t>
      </w:r>
      <w:r w:rsidR="00794BDD" w:rsidRPr="00794BDD">
        <w:t xml:space="preserve"> </w:t>
      </w:r>
      <w:r w:rsidR="00794BDD" w:rsidRPr="00794BDD">
        <w:rPr>
          <w:highlight w:val="black"/>
        </w:rPr>
        <w:t>&amp;&amp;&amp;&amp;</w:t>
      </w:r>
      <w:r w:rsidR="00794BDD" w:rsidRPr="00794BDD">
        <w:t xml:space="preserve"> </w:t>
      </w:r>
      <w:r w:rsidR="00794BDD" w:rsidRPr="00794BDD">
        <w:rPr>
          <w:highlight w:val="black"/>
        </w:rPr>
        <w:t>&amp;&amp;&amp;&amp;</w:t>
      </w:r>
      <w:r w:rsidR="00545478" w:rsidRPr="002259B9">
        <w:t xml:space="preserve"> </w:t>
      </w:r>
      <w:r w:rsidR="00053D8F" w:rsidRPr="002259B9">
        <w:t>we</w:t>
      </w:r>
      <w:r w:rsidR="00545478" w:rsidRPr="002259B9">
        <w:t xml:space="preserve">re anticipated to meet the proposed PBS restriction and </w:t>
      </w:r>
      <w:r w:rsidR="00053D8F" w:rsidRPr="002259B9">
        <w:t>were</w:t>
      </w:r>
      <w:r w:rsidR="00545478" w:rsidRPr="002259B9">
        <w:t xml:space="preserve"> captured in the </w:t>
      </w:r>
      <w:r w:rsidR="00BD2A94" w:rsidRPr="002259B9">
        <w:t xml:space="preserve">estimated usage and </w:t>
      </w:r>
      <w:r w:rsidR="00545478" w:rsidRPr="002259B9">
        <w:t xml:space="preserve">financial </w:t>
      </w:r>
      <w:r w:rsidR="00BD2A94" w:rsidRPr="002259B9">
        <w:t>impacts</w:t>
      </w:r>
      <w:r w:rsidR="00545478" w:rsidRPr="002259B9">
        <w:t>.</w:t>
      </w:r>
      <w:r w:rsidR="00545478">
        <w:t xml:space="preserve"> </w:t>
      </w:r>
    </w:p>
    <w:p w14:paraId="19D0254C" w14:textId="0A5F12AE" w:rsidR="006F6E04" w:rsidRPr="006F6E04" w:rsidRDefault="006F6E04" w:rsidP="006F6E04">
      <w:pPr>
        <w:ind w:firstLine="709"/>
        <w:rPr>
          <w:rFonts w:asciiTheme="minorHAnsi" w:hAnsiTheme="minorHAnsi"/>
          <w:i/>
        </w:rPr>
      </w:pPr>
      <w:r w:rsidRPr="00C33D30">
        <w:rPr>
          <w:rFonts w:asciiTheme="minorHAnsi" w:hAnsiTheme="minorHAnsi"/>
          <w:i/>
        </w:rPr>
        <w:t>For more detail on PBAC’s view, see section 7 PBAC outcome.</w:t>
      </w:r>
      <w:r w:rsidR="00B22676">
        <w:rPr>
          <w:rFonts w:asciiTheme="minorHAnsi" w:hAnsiTheme="minorHAnsi"/>
          <w:i/>
        </w:rPr>
        <w:t xml:space="preserve"> </w:t>
      </w:r>
    </w:p>
    <w:p w14:paraId="2755DD35" w14:textId="77777777" w:rsidR="008D461D" w:rsidRPr="00E20031" w:rsidDel="00195452" w:rsidRDefault="008D461D" w:rsidP="008D461D">
      <w:pPr>
        <w:pStyle w:val="2-SectionHeading"/>
      </w:pPr>
      <w:bookmarkStart w:id="19" w:name="_Toc202884171"/>
      <w:bookmarkStart w:id="20" w:name="_Toc206430831"/>
      <w:bookmarkStart w:id="21" w:name="_Toc208920189"/>
      <w:r w:rsidRPr="00E20031" w:rsidDel="00195452">
        <w:t>Population and disease</w:t>
      </w:r>
      <w:bookmarkEnd w:id="19"/>
      <w:bookmarkEnd w:id="20"/>
      <w:bookmarkEnd w:id="21"/>
    </w:p>
    <w:p w14:paraId="6C450243" w14:textId="6E2066E0" w:rsidR="00A44C5B" w:rsidRPr="00A44C5B" w:rsidRDefault="008D461D" w:rsidP="00A44C5B">
      <w:pPr>
        <w:pStyle w:val="3-BodyText"/>
        <w:rPr>
          <w:color w:val="0066FF"/>
        </w:rPr>
      </w:pPr>
      <w:r w:rsidRPr="00E20031">
        <w:t>GA represents the advanced, non</w:t>
      </w:r>
      <w:r w:rsidR="00397B07">
        <w:noBreakHyphen/>
      </w:r>
      <w:r w:rsidRPr="00E20031">
        <w:t xml:space="preserve">neovascular </w:t>
      </w:r>
      <w:r w:rsidR="00E369D2">
        <w:t>(</w:t>
      </w:r>
      <w:r w:rsidR="002914B5">
        <w:t xml:space="preserve">or </w:t>
      </w:r>
      <w:r w:rsidR="002342DA">
        <w:t>“</w:t>
      </w:r>
      <w:r w:rsidR="00E369D2">
        <w:t>dry</w:t>
      </w:r>
      <w:r w:rsidR="002342DA">
        <w:t>”</w:t>
      </w:r>
      <w:r w:rsidR="00E369D2">
        <w:t xml:space="preserve">) </w:t>
      </w:r>
      <w:r w:rsidRPr="00E20031">
        <w:t>form of AMD, a leading cause of irreversible vision loss in older adults</w:t>
      </w:r>
      <w:r w:rsidRPr="00E20031">
        <w:rPr>
          <w:rStyle w:val="FootnoteReference"/>
        </w:rPr>
        <w:footnoteReference w:id="1"/>
      </w:r>
      <w:r w:rsidRPr="00E20031">
        <w:t>. AMD is a progressive degenerative disease affecting the central retina (macula), resulting in central visual impairment</w:t>
      </w:r>
      <w:r w:rsidRPr="00E20031">
        <w:rPr>
          <w:rStyle w:val="FootnoteReference"/>
        </w:rPr>
        <w:footnoteReference w:id="2"/>
      </w:r>
      <w:r w:rsidRPr="00E20031">
        <w:t>. GA is characterised by well</w:t>
      </w:r>
      <w:r w:rsidR="00397B07">
        <w:noBreakHyphen/>
      </w:r>
      <w:r w:rsidRPr="00E20031">
        <w:t>demarcated areas of retinal atrophy involving the retinal pigment epithelium (RPE), photoreceptors, and underlying choriocapillaris. This condition typically develops slowly but results in permanent visual disability</w:t>
      </w:r>
      <w:r w:rsidRPr="00E20031">
        <w:rPr>
          <w:vertAlign w:val="superscript"/>
        </w:rPr>
        <w:t>1</w:t>
      </w:r>
      <w:r w:rsidRPr="00E20031">
        <w:t>. The burden of GA is increasing in ageing populations, including in Australia, where it poses a growing public health concern.</w:t>
      </w:r>
    </w:p>
    <w:p w14:paraId="2D825A5D" w14:textId="5EEA9E30" w:rsidR="008D461D" w:rsidRPr="00E20031" w:rsidRDefault="008D461D" w:rsidP="008D461D">
      <w:pPr>
        <w:pStyle w:val="3-BodyText"/>
        <w:rPr>
          <w:color w:val="0066FF"/>
        </w:rPr>
      </w:pPr>
      <w:r w:rsidRPr="00E20031">
        <w:t>The macula is the central portion of the retina, approximately 5.5 mm in diameter, responsible for high</w:t>
      </w:r>
      <w:r w:rsidR="00397B07">
        <w:noBreakHyphen/>
      </w:r>
      <w:r w:rsidRPr="00E20031">
        <w:t>acuity central vision</w:t>
      </w:r>
      <w:r w:rsidRPr="00E20031">
        <w:rPr>
          <w:rStyle w:val="FootnoteReference"/>
        </w:rPr>
        <w:footnoteReference w:id="3"/>
      </w:r>
      <w:r w:rsidRPr="00E20031">
        <w:t>. At the centre lies the fovea, which is densely populated with cone photoreceptors and critical for tasks requiring fine visual detail, such as reading and facial recognition</w:t>
      </w:r>
      <w:r w:rsidRPr="00E20031">
        <w:rPr>
          <w:vertAlign w:val="superscript"/>
        </w:rPr>
        <w:t>3</w:t>
      </w:r>
      <w:r w:rsidRPr="00E20031">
        <w:t>. GA is defined by discrete areas of RPE and photoreceptor cell loss with associated retinal thinning and hypopigmentation. Lesions typically originate in the perifoveal region and gradually expand centripetally to involve the fovea</w:t>
      </w:r>
      <w:r w:rsidRPr="00E20031">
        <w:rPr>
          <w:rStyle w:val="FootnoteReference"/>
        </w:rPr>
        <w:footnoteReference w:id="4"/>
      </w:r>
      <w:r w:rsidRPr="00E20031">
        <w:t>. The progression rate is variable, but once foveal involvement occurs, central visual acuity is markedly impaired. The complement cascade, particularly the alternative pathway involving components such as C3 and C5, has been implicated in lesion expansion and RPE degeneration</w:t>
      </w:r>
      <w:r w:rsidRPr="00E20031">
        <w:rPr>
          <w:rStyle w:val="FootnoteReference"/>
        </w:rPr>
        <w:footnoteReference w:id="5"/>
      </w:r>
      <w:r w:rsidRPr="00E20031">
        <w:t>.</w:t>
      </w:r>
    </w:p>
    <w:p w14:paraId="7CD168E4" w14:textId="475D9BD5" w:rsidR="008D461D" w:rsidRPr="00E20031" w:rsidRDefault="008D461D" w:rsidP="008D461D">
      <w:pPr>
        <w:pStyle w:val="3-BodyText"/>
        <w:rPr>
          <w:color w:val="0066FF"/>
        </w:rPr>
      </w:pPr>
      <w:r w:rsidRPr="00E20031">
        <w:t>The submission states that 75% of advanced AMD in Australia is GA and that this is the equivalent of approximately 86,000 people. The prevalence increases substantially with age; individuals over 85 years have a markedly higher risk, with one in five affected by GA in at least one eye.</w:t>
      </w:r>
    </w:p>
    <w:p w14:paraId="08B1DB22" w14:textId="77777777" w:rsidR="008D461D" w:rsidRPr="00E20031" w:rsidRDefault="008D461D" w:rsidP="008D461D">
      <w:pPr>
        <w:pStyle w:val="3-BodyText"/>
        <w:rPr>
          <w:color w:val="0066FF"/>
        </w:rPr>
      </w:pPr>
      <w:r w:rsidRPr="00E20031">
        <w:t>Risk factors associated with GA include advanced age, genetic predisposition, smoking, and a family history of AMD. The condition is equally distributed between sexes, although some studies suggest a slightly higher incidence in females</w:t>
      </w:r>
      <w:r w:rsidRPr="00E20031">
        <w:rPr>
          <w:vertAlign w:val="superscript"/>
        </w:rPr>
        <w:t>5</w:t>
      </w:r>
      <w:r w:rsidRPr="00E20031">
        <w:t>.</w:t>
      </w:r>
    </w:p>
    <w:p w14:paraId="2A3054D6" w14:textId="57749A9D" w:rsidR="008D461D" w:rsidRPr="00D04A0A" w:rsidRDefault="008D461D" w:rsidP="008D461D">
      <w:pPr>
        <w:pStyle w:val="3-BodyText"/>
        <w:rPr>
          <w:color w:val="000000" w:themeColor="text1"/>
        </w:rPr>
      </w:pPr>
      <w:r w:rsidRPr="00E20031">
        <w:rPr>
          <w:color w:val="000000" w:themeColor="text1"/>
        </w:rPr>
        <w:t xml:space="preserve">The submission stated that in Australia there are no specific guidelines for the treatment of GA. There are currently no other drugs listed on the PBS for this population. As such, the proposed clinical management algorithm has pegcetacoplan, </w:t>
      </w:r>
      <w:r w:rsidRPr="00E20031">
        <w:rPr>
          <w:color w:val="000000" w:themeColor="text1"/>
        </w:rPr>
        <w:lastRenderedPageBreak/>
        <w:t xml:space="preserve">in combination with BSC, </w:t>
      </w:r>
      <w:r w:rsidRPr="00D04A0A">
        <w:rPr>
          <w:color w:val="000000" w:themeColor="text1"/>
        </w:rPr>
        <w:t xml:space="preserve">placed as the only treatment for GA. The proposed clinical management algorithm </w:t>
      </w:r>
      <w:r w:rsidR="00D02B22" w:rsidRPr="00D04A0A">
        <w:rPr>
          <w:color w:val="000000" w:themeColor="text1"/>
        </w:rPr>
        <w:t>d</w:t>
      </w:r>
      <w:r w:rsidR="00D02B22">
        <w:rPr>
          <w:color w:val="000000" w:themeColor="text1"/>
        </w:rPr>
        <w:t>id</w:t>
      </w:r>
      <w:r w:rsidR="00D02B22" w:rsidRPr="00D04A0A">
        <w:rPr>
          <w:color w:val="000000" w:themeColor="text1"/>
        </w:rPr>
        <w:t xml:space="preserve"> </w:t>
      </w:r>
      <w:r w:rsidRPr="00D04A0A">
        <w:rPr>
          <w:color w:val="000000" w:themeColor="text1"/>
        </w:rPr>
        <w:t>not specify the exact population defined in the PBS listing, which consists of patients with non</w:t>
      </w:r>
      <w:r w:rsidR="00397B07">
        <w:rPr>
          <w:color w:val="000000" w:themeColor="text1"/>
        </w:rPr>
        <w:noBreakHyphen/>
      </w:r>
      <w:r w:rsidRPr="00D04A0A">
        <w:rPr>
          <w:color w:val="000000" w:themeColor="text1"/>
        </w:rPr>
        <w:t>subfoveal lesions who have impaired vision in the non</w:t>
      </w:r>
      <w:r w:rsidR="00397B07">
        <w:rPr>
          <w:color w:val="000000" w:themeColor="text1"/>
        </w:rPr>
        <w:noBreakHyphen/>
      </w:r>
      <w:r w:rsidRPr="00D04A0A">
        <w:rPr>
          <w:color w:val="000000" w:themeColor="text1"/>
        </w:rPr>
        <w:t>treated eye.</w:t>
      </w:r>
    </w:p>
    <w:p w14:paraId="1B335309" w14:textId="047F6611" w:rsidR="008D461D" w:rsidRDefault="008D461D" w:rsidP="008D461D">
      <w:pPr>
        <w:pStyle w:val="3-BodyText"/>
        <w:rPr>
          <w:color w:val="000000" w:themeColor="text1"/>
        </w:rPr>
      </w:pPr>
      <w:r w:rsidRPr="00E20031">
        <w:rPr>
          <w:color w:val="000000" w:themeColor="text1"/>
        </w:rPr>
        <w:t>Pegcetacoplan is a complement inhibitor that inhibits activation of the complement protein C3. The complement cascade is a part of the immune system made up of circulating inactive proteins which are cleaved into active pro</w:t>
      </w:r>
      <w:r w:rsidR="00397B07">
        <w:rPr>
          <w:color w:val="000000" w:themeColor="text1"/>
        </w:rPr>
        <w:noBreakHyphen/>
      </w:r>
      <w:r w:rsidRPr="00E20031">
        <w:rPr>
          <w:color w:val="000000" w:themeColor="text1"/>
        </w:rPr>
        <w:t>inflammatory cytokines, which enhance immune activity</w:t>
      </w:r>
      <w:r w:rsidR="00276CB6" w:rsidRPr="00E20031">
        <w:rPr>
          <w:color w:val="000000" w:themeColor="text1"/>
        </w:rPr>
        <w:t xml:space="preserve">. </w:t>
      </w:r>
      <w:r w:rsidRPr="00E20031">
        <w:rPr>
          <w:color w:val="000000" w:themeColor="text1"/>
        </w:rPr>
        <w:t>Pegcetacoplan is an asymmetrical molecule composed of two identical pentadecapeptides covalently bound to the ends of a linear polyethylene molecule</w:t>
      </w:r>
      <w:r w:rsidRPr="00E20031">
        <w:rPr>
          <w:rStyle w:val="FootnoteReference"/>
          <w:color w:val="000000" w:themeColor="text1"/>
        </w:rPr>
        <w:footnoteReference w:id="6"/>
      </w:r>
      <w:r w:rsidRPr="00E20031">
        <w:rPr>
          <w:color w:val="000000" w:themeColor="text1"/>
        </w:rPr>
        <w:t>.</w:t>
      </w:r>
    </w:p>
    <w:p w14:paraId="7CB519AE" w14:textId="39AD12D6" w:rsidR="006F6E04" w:rsidRPr="006F6E04" w:rsidDel="00195452" w:rsidRDefault="006F6E04" w:rsidP="006F6E04">
      <w:pPr>
        <w:ind w:firstLine="709"/>
        <w:rPr>
          <w:rFonts w:asciiTheme="minorHAnsi" w:hAnsiTheme="minorHAnsi"/>
          <w:i/>
        </w:rPr>
      </w:pPr>
      <w:r w:rsidRPr="00C33D30">
        <w:rPr>
          <w:rFonts w:asciiTheme="minorHAnsi" w:hAnsiTheme="minorHAnsi"/>
          <w:i/>
        </w:rPr>
        <w:t>For more detail on PBAC’s view, see section 7 PBAC outcome.</w:t>
      </w:r>
    </w:p>
    <w:p w14:paraId="1B054A14" w14:textId="77777777" w:rsidR="008D461D" w:rsidRPr="00E20031" w:rsidRDefault="008D461D" w:rsidP="008D461D">
      <w:pPr>
        <w:pStyle w:val="2-SectionHeading"/>
      </w:pPr>
      <w:bookmarkStart w:id="22" w:name="_Toc202884172"/>
      <w:bookmarkStart w:id="23" w:name="_Toc206430832"/>
      <w:bookmarkStart w:id="24" w:name="_Toc208920190"/>
      <w:r w:rsidRPr="00E20031">
        <w:t>Comparator</w:t>
      </w:r>
      <w:bookmarkEnd w:id="22"/>
      <w:bookmarkEnd w:id="23"/>
      <w:bookmarkEnd w:id="24"/>
    </w:p>
    <w:p w14:paraId="34F79185" w14:textId="1DD88A24" w:rsidR="008D461D" w:rsidRPr="00D04A0A" w:rsidRDefault="008D461D" w:rsidP="008D461D">
      <w:pPr>
        <w:pStyle w:val="3-BodyText"/>
      </w:pPr>
      <w:r w:rsidRPr="00E20031">
        <w:t>The submission nominated BSC as the main comparator. BSC was defined as supportive therapies including dietary modifications, cessation of smoking, low vision support and rehabilitation. The main argument provided in support of this nomination was that there are no therapies for GA approved by the TGA</w:t>
      </w:r>
      <w:r w:rsidR="003B7A16">
        <w:t>, at the time of the submission,</w:t>
      </w:r>
      <w:r w:rsidRPr="00E20031">
        <w:t xml:space="preserve"> or listed on the PBS. </w:t>
      </w:r>
      <w:r w:rsidRPr="00D04A0A">
        <w:t xml:space="preserve">The </w:t>
      </w:r>
      <w:r w:rsidR="00D553BA" w:rsidRPr="006D69E4">
        <w:rPr>
          <w:iCs/>
        </w:rPr>
        <w:t xml:space="preserve">ESC agreed with the evaluation that the </w:t>
      </w:r>
      <w:r w:rsidRPr="00D04A0A">
        <w:t>nominated comparator was appropriate.</w:t>
      </w:r>
    </w:p>
    <w:p w14:paraId="18967442" w14:textId="5B7468CF" w:rsidR="008D461D" w:rsidRDefault="008D461D" w:rsidP="008D461D">
      <w:pPr>
        <w:pStyle w:val="3-BodyText"/>
      </w:pPr>
      <w:r w:rsidRPr="00D04A0A">
        <w:t xml:space="preserve">The submission also nominated avacincaptad pegol as a near market comparator, stating that it is approved by the United States Food and Drug Administration (FDA) and is currently undergoing evaluation by the TGA for the treatment of GA secondary to AMD. This </w:t>
      </w:r>
      <w:r w:rsidR="002F4F60" w:rsidRPr="00D04A0A">
        <w:t>wa</w:t>
      </w:r>
      <w:r w:rsidRPr="00D04A0A">
        <w:t>s appropriate.</w:t>
      </w:r>
      <w:r w:rsidR="00E86EAB">
        <w:t xml:space="preserve"> No clinical comparison with </w:t>
      </w:r>
      <w:r w:rsidR="00071BC2" w:rsidRPr="00D04A0A">
        <w:t>avacincaptad pegol</w:t>
      </w:r>
      <w:r w:rsidR="00071BC2">
        <w:t xml:space="preserve"> was presented.</w:t>
      </w:r>
    </w:p>
    <w:p w14:paraId="23AE995A" w14:textId="388890B7" w:rsidR="006F6E04" w:rsidRPr="00D2730A" w:rsidRDefault="00D2730A" w:rsidP="00D2730A">
      <w:pPr>
        <w:ind w:firstLine="709"/>
        <w:rPr>
          <w:rFonts w:asciiTheme="minorHAnsi" w:hAnsiTheme="minorHAnsi"/>
          <w:i/>
        </w:rPr>
      </w:pPr>
      <w:r w:rsidRPr="00C33D30">
        <w:rPr>
          <w:rFonts w:asciiTheme="minorHAnsi" w:hAnsiTheme="minorHAnsi"/>
          <w:i/>
        </w:rPr>
        <w:t>For more detail on PBAC’s view, see section 7 PBAC outcome.</w:t>
      </w:r>
    </w:p>
    <w:p w14:paraId="5EF6D2C1" w14:textId="77777777" w:rsidR="008D461D" w:rsidRPr="00E20031" w:rsidRDefault="008D461D" w:rsidP="008D461D">
      <w:pPr>
        <w:pStyle w:val="2-SectionHeading"/>
        <w:numPr>
          <w:ilvl w:val="0"/>
          <w:numId w:val="1"/>
        </w:numPr>
      </w:pPr>
      <w:bookmarkStart w:id="25" w:name="_Toc202884173"/>
      <w:bookmarkStart w:id="26" w:name="_Toc206430833"/>
      <w:bookmarkStart w:id="27" w:name="_Toc208920191"/>
      <w:r w:rsidRPr="00E20031">
        <w:t>Consideration of the evidence</w:t>
      </w:r>
      <w:bookmarkStart w:id="28" w:name="_Toc22897640"/>
      <w:bookmarkEnd w:id="25"/>
      <w:bookmarkEnd w:id="26"/>
      <w:bookmarkEnd w:id="27"/>
    </w:p>
    <w:p w14:paraId="79991F60" w14:textId="77777777" w:rsidR="001A52B9" w:rsidRPr="00B014EC" w:rsidRDefault="001A52B9" w:rsidP="003A3911">
      <w:pPr>
        <w:pStyle w:val="4-SubsectionHeading"/>
      </w:pPr>
      <w:bookmarkStart w:id="29" w:name="_Hlk76375935"/>
      <w:bookmarkStart w:id="30" w:name="_Toc202884174"/>
      <w:bookmarkStart w:id="31" w:name="_Toc206430834"/>
      <w:bookmarkStart w:id="32" w:name="_Toc208920192"/>
      <w:r w:rsidRPr="00B014EC">
        <w:t>Sponsor hearing</w:t>
      </w:r>
    </w:p>
    <w:p w14:paraId="0255A4E2" w14:textId="14724FB6" w:rsidR="001A52B9" w:rsidRPr="00B014EC" w:rsidRDefault="001A52B9">
      <w:pPr>
        <w:pStyle w:val="3-BodyText"/>
        <w:widowControl w:val="0"/>
        <w:numPr>
          <w:ilvl w:val="1"/>
          <w:numId w:val="1"/>
        </w:numPr>
        <w:spacing w:after="120"/>
        <w:rPr>
          <w:bCs/>
          <w:snapToGrid w:val="0"/>
        </w:rPr>
      </w:pPr>
      <w:bookmarkStart w:id="33" w:name="_Ref213944145"/>
      <w:bookmarkStart w:id="34" w:name="_Hlk76382586"/>
      <w:r w:rsidRPr="00B014EC">
        <w:rPr>
          <w:snapToGrid w:val="0"/>
        </w:rPr>
        <w:t>The sponsor requested a hearing for this item.</w:t>
      </w:r>
      <w:r w:rsidR="002800EE">
        <w:rPr>
          <w:snapToGrid w:val="0"/>
        </w:rPr>
        <w:t xml:space="preserve"> </w:t>
      </w:r>
      <w:r w:rsidRPr="00B014EC">
        <w:rPr>
          <w:snapToGrid w:val="0"/>
        </w:rPr>
        <w:t xml:space="preserve">The clinician </w:t>
      </w:r>
      <w:r w:rsidR="005265E4" w:rsidRPr="00B014EC">
        <w:rPr>
          <w:snapToGrid w:val="0"/>
        </w:rPr>
        <w:t xml:space="preserve">described the severity of the condition and the impact of losing central vision on patients’ quality of life, the risk of falls and the loss of independence. </w:t>
      </w:r>
      <w:r w:rsidR="00CC4A3B">
        <w:rPr>
          <w:snapToGrid w:val="0"/>
        </w:rPr>
        <w:t xml:space="preserve">The clinician </w:t>
      </w:r>
      <w:r w:rsidR="002478CC">
        <w:rPr>
          <w:snapToGrid w:val="0"/>
        </w:rPr>
        <w:t xml:space="preserve">addressed the lack of </w:t>
      </w:r>
      <w:r w:rsidR="00966864">
        <w:rPr>
          <w:snapToGrid w:val="0"/>
        </w:rPr>
        <w:t>significant benefit</w:t>
      </w:r>
      <w:r w:rsidR="00B71541">
        <w:rPr>
          <w:snapToGrid w:val="0"/>
        </w:rPr>
        <w:t xml:space="preserve"> in </w:t>
      </w:r>
      <w:r w:rsidR="00B71541" w:rsidRPr="00D04A0A">
        <w:rPr>
          <w:rFonts w:eastAsia="Calibri"/>
        </w:rPr>
        <w:t>functional outcomes, such as BCVA</w:t>
      </w:r>
      <w:r w:rsidR="00B71541">
        <w:rPr>
          <w:rFonts w:eastAsia="Calibri"/>
        </w:rPr>
        <w:t xml:space="preserve">, from the key </w:t>
      </w:r>
      <w:r w:rsidR="00797F59">
        <w:rPr>
          <w:rFonts w:eastAsia="Calibri"/>
        </w:rPr>
        <w:t>t</w:t>
      </w:r>
      <w:r w:rsidR="00B71541">
        <w:rPr>
          <w:rFonts w:eastAsia="Calibri"/>
        </w:rPr>
        <w:t xml:space="preserve">rial evidence. </w:t>
      </w:r>
      <w:r w:rsidR="00797F59">
        <w:rPr>
          <w:rFonts w:eastAsia="Calibri"/>
        </w:rPr>
        <w:t>The clinician</w:t>
      </w:r>
      <w:r w:rsidR="00797F59">
        <w:rPr>
          <w:snapToGrid w:val="0"/>
        </w:rPr>
        <w:t xml:space="preserve"> </w:t>
      </w:r>
      <w:r w:rsidR="00CC4A3B">
        <w:rPr>
          <w:snapToGrid w:val="0"/>
        </w:rPr>
        <w:t>noted th</w:t>
      </w:r>
      <w:r w:rsidR="0067620E">
        <w:rPr>
          <w:snapToGrid w:val="0"/>
        </w:rPr>
        <w:t>at</w:t>
      </w:r>
      <w:r w:rsidR="00CC4A3B">
        <w:rPr>
          <w:snapToGrid w:val="0"/>
        </w:rPr>
        <w:t xml:space="preserve"> </w:t>
      </w:r>
      <w:r w:rsidR="005F7839">
        <w:rPr>
          <w:snapToGrid w:val="0"/>
        </w:rPr>
        <w:t>approximately two thirds</w:t>
      </w:r>
      <w:r w:rsidR="00CC4A3B">
        <w:rPr>
          <w:snapToGrid w:val="0"/>
        </w:rPr>
        <w:t xml:space="preserve"> of patients </w:t>
      </w:r>
      <w:r w:rsidR="0067620E">
        <w:rPr>
          <w:snapToGrid w:val="0"/>
        </w:rPr>
        <w:t xml:space="preserve">in the clinical trial </w:t>
      </w:r>
      <w:r w:rsidR="005F7839">
        <w:rPr>
          <w:snapToGrid w:val="0"/>
        </w:rPr>
        <w:t>had</w:t>
      </w:r>
      <w:r w:rsidR="00CC4A3B">
        <w:rPr>
          <w:snapToGrid w:val="0"/>
        </w:rPr>
        <w:t xml:space="preserve"> subfoveal lesions in the treated eye, and as such </w:t>
      </w:r>
      <w:r w:rsidR="001C7234">
        <w:rPr>
          <w:snapToGrid w:val="0"/>
        </w:rPr>
        <w:t>the i</w:t>
      </w:r>
      <w:r w:rsidR="001C7234" w:rsidRPr="001C7234">
        <w:rPr>
          <w:snapToGrid w:val="0"/>
        </w:rPr>
        <w:t>nclusion of both subfoveal and non</w:t>
      </w:r>
      <w:r w:rsidR="00397B07">
        <w:rPr>
          <w:snapToGrid w:val="0"/>
        </w:rPr>
        <w:noBreakHyphen/>
      </w:r>
      <w:r w:rsidR="001C7234" w:rsidRPr="001C7234">
        <w:rPr>
          <w:snapToGrid w:val="0"/>
        </w:rPr>
        <w:t>subfoveal lesions likely introduced variability and diluted the treatment effect</w:t>
      </w:r>
      <w:r w:rsidR="00CC4A3B">
        <w:rPr>
          <w:snapToGrid w:val="0"/>
        </w:rPr>
        <w:t xml:space="preserve">. </w:t>
      </w:r>
      <w:r w:rsidR="005265E4" w:rsidRPr="00B014EC">
        <w:rPr>
          <w:snapToGrid w:val="0"/>
        </w:rPr>
        <w:t xml:space="preserve">The clinician </w:t>
      </w:r>
      <w:r w:rsidR="005265E4" w:rsidRPr="00B014EC">
        <w:rPr>
          <w:bCs/>
          <w:snapToGrid w:val="0"/>
        </w:rPr>
        <w:t>presented microperimetry data fr</w:t>
      </w:r>
      <w:r w:rsidR="00B014EC" w:rsidRPr="00B014EC">
        <w:rPr>
          <w:bCs/>
          <w:snapToGrid w:val="0"/>
        </w:rPr>
        <w:t>o</w:t>
      </w:r>
      <w:r w:rsidR="005265E4" w:rsidRPr="00B014EC">
        <w:rPr>
          <w:bCs/>
          <w:snapToGrid w:val="0"/>
        </w:rPr>
        <w:t xml:space="preserve">m the key trial and explained the </w:t>
      </w:r>
      <w:r w:rsidR="00057BF4">
        <w:rPr>
          <w:bCs/>
          <w:snapToGrid w:val="0"/>
        </w:rPr>
        <w:t xml:space="preserve">relevance of </w:t>
      </w:r>
      <w:r w:rsidR="00F32D22">
        <w:rPr>
          <w:bCs/>
          <w:snapToGrid w:val="0"/>
        </w:rPr>
        <w:t xml:space="preserve">this </w:t>
      </w:r>
      <w:r w:rsidR="00FD2C29">
        <w:rPr>
          <w:bCs/>
          <w:snapToGrid w:val="0"/>
        </w:rPr>
        <w:t xml:space="preserve">outcome </w:t>
      </w:r>
      <w:r w:rsidR="00D471D8">
        <w:rPr>
          <w:bCs/>
          <w:snapToGrid w:val="0"/>
        </w:rPr>
        <w:t xml:space="preserve">at detecting functional vision loss, as it </w:t>
      </w:r>
      <w:r w:rsidR="00811271">
        <w:rPr>
          <w:bCs/>
          <w:snapToGrid w:val="0"/>
        </w:rPr>
        <w:t xml:space="preserve">reports </w:t>
      </w:r>
      <w:r w:rsidR="00036BD2">
        <w:rPr>
          <w:bCs/>
          <w:snapToGrid w:val="0"/>
        </w:rPr>
        <w:t xml:space="preserve">on </w:t>
      </w:r>
      <w:r w:rsidR="005265E4" w:rsidRPr="00B014EC">
        <w:rPr>
          <w:bCs/>
          <w:snapToGrid w:val="0"/>
        </w:rPr>
        <w:t xml:space="preserve">the </w:t>
      </w:r>
      <w:r w:rsidR="005265E4" w:rsidRPr="00B014EC">
        <w:rPr>
          <w:bCs/>
          <w:snapToGrid w:val="0"/>
        </w:rPr>
        <w:lastRenderedPageBreak/>
        <w:t xml:space="preserve">number of spots (perception of light) lost and where they were located in the central area. </w:t>
      </w:r>
      <w:r w:rsidR="00B014EC" w:rsidRPr="00B014EC">
        <w:rPr>
          <w:bCs/>
          <w:snapToGrid w:val="0"/>
        </w:rPr>
        <w:t xml:space="preserve">The significant </w:t>
      </w:r>
      <w:r w:rsidR="00090666">
        <w:rPr>
          <w:bCs/>
          <w:snapToGrid w:val="0"/>
        </w:rPr>
        <w:t>difference</w:t>
      </w:r>
      <w:r w:rsidR="00B014EC" w:rsidRPr="00B014EC">
        <w:rPr>
          <w:bCs/>
          <w:snapToGrid w:val="0"/>
        </w:rPr>
        <w:t xml:space="preserve"> </w:t>
      </w:r>
      <w:r w:rsidR="00B014EC" w:rsidRPr="00B014EC">
        <w:t xml:space="preserve">in </w:t>
      </w:r>
      <w:r w:rsidR="00090666">
        <w:t xml:space="preserve">the </w:t>
      </w:r>
      <w:r w:rsidR="00B014EC" w:rsidRPr="00B014EC">
        <w:t>risk of reducing the centre 16 points</w:t>
      </w:r>
      <w:r w:rsidR="00B014EC" w:rsidRPr="00B014EC">
        <w:rPr>
          <w:bCs/>
          <w:snapToGrid w:val="0"/>
        </w:rPr>
        <w:t xml:space="preserve"> was </w:t>
      </w:r>
      <w:r w:rsidR="00CC4A3B">
        <w:rPr>
          <w:bCs/>
          <w:snapToGrid w:val="0"/>
        </w:rPr>
        <w:t xml:space="preserve">expected to be </w:t>
      </w:r>
      <w:r w:rsidR="00B014EC" w:rsidRPr="00B014EC">
        <w:rPr>
          <w:bCs/>
          <w:snapToGrid w:val="0"/>
        </w:rPr>
        <w:t xml:space="preserve">meaningful. </w:t>
      </w:r>
      <w:r w:rsidR="005265E4" w:rsidRPr="00B014EC">
        <w:rPr>
          <w:bCs/>
          <w:snapToGrid w:val="0"/>
        </w:rPr>
        <w:t xml:space="preserve">The clinician responded to PBAC enquiries on the incidence of adverse events and confirmed that patients with </w:t>
      </w:r>
      <w:r w:rsidR="00F32D22">
        <w:rPr>
          <w:bCs/>
          <w:snapToGrid w:val="0"/>
        </w:rPr>
        <w:t>“</w:t>
      </w:r>
      <w:r w:rsidR="005265E4" w:rsidRPr="00B014EC">
        <w:rPr>
          <w:bCs/>
          <w:snapToGrid w:val="0"/>
        </w:rPr>
        <w:t>dry</w:t>
      </w:r>
      <w:r w:rsidR="00F32D22">
        <w:rPr>
          <w:bCs/>
          <w:snapToGrid w:val="0"/>
        </w:rPr>
        <w:t>”</w:t>
      </w:r>
      <w:r w:rsidR="005265E4" w:rsidRPr="00B014EC">
        <w:rPr>
          <w:bCs/>
          <w:snapToGrid w:val="0"/>
        </w:rPr>
        <w:t xml:space="preserve"> AMD </w:t>
      </w:r>
      <w:r w:rsidR="00F32D22">
        <w:rPr>
          <w:bCs/>
          <w:snapToGrid w:val="0"/>
        </w:rPr>
        <w:t>have an</w:t>
      </w:r>
      <w:r w:rsidR="005265E4" w:rsidRPr="00B014EC">
        <w:rPr>
          <w:bCs/>
          <w:snapToGrid w:val="0"/>
        </w:rPr>
        <w:t xml:space="preserve"> increased r</w:t>
      </w:r>
      <w:r w:rsidR="000662F3" w:rsidRPr="00B014EC">
        <w:rPr>
          <w:bCs/>
          <w:snapToGrid w:val="0"/>
        </w:rPr>
        <w:t>i</w:t>
      </w:r>
      <w:r w:rsidR="005265E4" w:rsidRPr="00B014EC">
        <w:rPr>
          <w:bCs/>
          <w:snapToGrid w:val="0"/>
        </w:rPr>
        <w:t xml:space="preserve">sk of developing </w:t>
      </w:r>
      <w:r w:rsidR="00446EE1">
        <w:rPr>
          <w:bCs/>
          <w:snapToGrid w:val="0"/>
        </w:rPr>
        <w:t>neovascular</w:t>
      </w:r>
      <w:r w:rsidR="00446EE1" w:rsidRPr="00B014EC">
        <w:rPr>
          <w:bCs/>
          <w:snapToGrid w:val="0"/>
        </w:rPr>
        <w:t xml:space="preserve"> </w:t>
      </w:r>
      <w:r w:rsidR="005265E4" w:rsidRPr="00B014EC">
        <w:rPr>
          <w:bCs/>
          <w:snapToGrid w:val="0"/>
        </w:rPr>
        <w:t>AMD, a</w:t>
      </w:r>
      <w:r w:rsidR="000662F3" w:rsidRPr="00B014EC">
        <w:rPr>
          <w:bCs/>
          <w:snapToGrid w:val="0"/>
        </w:rPr>
        <w:t>n</w:t>
      </w:r>
      <w:r w:rsidR="005265E4" w:rsidRPr="00B014EC">
        <w:rPr>
          <w:bCs/>
          <w:snapToGrid w:val="0"/>
        </w:rPr>
        <w:t xml:space="preserve">d </w:t>
      </w:r>
      <w:r w:rsidR="00B014EC" w:rsidRPr="00B014EC">
        <w:rPr>
          <w:bCs/>
          <w:snapToGrid w:val="0"/>
        </w:rPr>
        <w:t xml:space="preserve">those </w:t>
      </w:r>
      <w:r w:rsidR="000662F3" w:rsidRPr="00B014EC">
        <w:rPr>
          <w:bCs/>
          <w:snapToGrid w:val="0"/>
        </w:rPr>
        <w:t>patients</w:t>
      </w:r>
      <w:r w:rsidR="005265E4" w:rsidRPr="00B014EC">
        <w:rPr>
          <w:bCs/>
          <w:snapToGrid w:val="0"/>
        </w:rPr>
        <w:t xml:space="preserve"> would be treated with </w:t>
      </w:r>
      <w:r w:rsidR="000662F3" w:rsidRPr="00B014EC">
        <w:rPr>
          <w:bCs/>
          <w:snapToGrid w:val="0"/>
        </w:rPr>
        <w:t>V</w:t>
      </w:r>
      <w:r w:rsidR="005265E4" w:rsidRPr="00B014EC">
        <w:rPr>
          <w:bCs/>
          <w:snapToGrid w:val="0"/>
        </w:rPr>
        <w:t xml:space="preserve">EGF inhibitors to control </w:t>
      </w:r>
      <w:r w:rsidR="00446EE1">
        <w:rPr>
          <w:bCs/>
          <w:snapToGrid w:val="0"/>
        </w:rPr>
        <w:t>neovascular</w:t>
      </w:r>
      <w:r w:rsidR="00446EE1" w:rsidRPr="00B014EC">
        <w:rPr>
          <w:bCs/>
          <w:snapToGrid w:val="0"/>
        </w:rPr>
        <w:t xml:space="preserve"> </w:t>
      </w:r>
      <w:r w:rsidR="005265E4" w:rsidRPr="00B014EC">
        <w:rPr>
          <w:bCs/>
          <w:snapToGrid w:val="0"/>
        </w:rPr>
        <w:t xml:space="preserve">AMD </w:t>
      </w:r>
      <w:r w:rsidR="000662F3" w:rsidRPr="00B014EC">
        <w:rPr>
          <w:bCs/>
          <w:snapToGrid w:val="0"/>
        </w:rPr>
        <w:t xml:space="preserve">before continuing with treatment for dry AMD. </w:t>
      </w:r>
      <w:r w:rsidR="00B014EC" w:rsidRPr="00B014EC">
        <w:rPr>
          <w:bCs/>
          <w:snapToGrid w:val="0"/>
        </w:rPr>
        <w:t>The clinician explained that intraocular inflammation was an issue with all intravitreal treatments and clinicians</w:t>
      </w:r>
      <w:r w:rsidR="005265E4" w:rsidRPr="00B014EC">
        <w:rPr>
          <w:bCs/>
          <w:snapToGrid w:val="0"/>
        </w:rPr>
        <w:t xml:space="preserve"> </w:t>
      </w:r>
      <w:r w:rsidR="00B014EC" w:rsidRPr="00B014EC">
        <w:rPr>
          <w:bCs/>
          <w:snapToGrid w:val="0"/>
        </w:rPr>
        <w:t xml:space="preserve">are aware of these issues and careful with treating patients with a history of adverse reactions. </w:t>
      </w:r>
      <w:r w:rsidRPr="00B014EC">
        <w:rPr>
          <w:bCs/>
          <w:snapToGrid w:val="0"/>
        </w:rPr>
        <w:t xml:space="preserve">The PBAC considered that the hearing was informative as </w:t>
      </w:r>
      <w:r w:rsidR="00B014EC" w:rsidRPr="00B014EC">
        <w:rPr>
          <w:bCs/>
          <w:snapToGrid w:val="0"/>
        </w:rPr>
        <w:t>the</w:t>
      </w:r>
      <w:r w:rsidRPr="00B014EC">
        <w:rPr>
          <w:bCs/>
          <w:snapToGrid w:val="0"/>
        </w:rPr>
        <w:t xml:space="preserve"> clinical perspective on treating this disease</w:t>
      </w:r>
      <w:r w:rsidR="00B014EC" w:rsidRPr="00B014EC">
        <w:rPr>
          <w:bCs/>
          <w:snapToGrid w:val="0"/>
        </w:rPr>
        <w:t xml:space="preserve"> aligned with the key issues for PBAC consideration</w:t>
      </w:r>
      <w:r w:rsidRPr="00B014EC">
        <w:rPr>
          <w:bCs/>
          <w:snapToGrid w:val="0"/>
        </w:rPr>
        <w:t>.</w:t>
      </w:r>
      <w:bookmarkEnd w:id="33"/>
    </w:p>
    <w:bookmarkEnd w:id="34"/>
    <w:p w14:paraId="579697A4" w14:textId="3619B1E4" w:rsidR="001A52B9" w:rsidRPr="003A3911" w:rsidRDefault="001A52B9" w:rsidP="003A3911">
      <w:pPr>
        <w:pStyle w:val="4-SubsectionHeading"/>
      </w:pPr>
      <w:r w:rsidRPr="003A3911">
        <w:t xml:space="preserve">Consumer </w:t>
      </w:r>
      <w:r w:rsidR="00DC11B2">
        <w:t>comments</w:t>
      </w:r>
    </w:p>
    <w:p w14:paraId="215CDA1F" w14:textId="571B7E86" w:rsidR="00C924DF" w:rsidRPr="003B7AF8" w:rsidRDefault="00C924DF" w:rsidP="00C924DF">
      <w:pPr>
        <w:widowControl w:val="0"/>
        <w:numPr>
          <w:ilvl w:val="1"/>
          <w:numId w:val="1"/>
        </w:numPr>
        <w:spacing w:after="120"/>
        <w:rPr>
          <w:rFonts w:asciiTheme="minorHAnsi" w:hAnsiTheme="minorHAnsi"/>
          <w:bCs/>
          <w:snapToGrid w:val="0"/>
        </w:rPr>
      </w:pPr>
      <w:bookmarkStart w:id="35" w:name="_Hlk76382618"/>
      <w:r w:rsidRPr="003B7AF8">
        <w:rPr>
          <w:rFonts w:asciiTheme="minorHAnsi" w:hAnsiTheme="minorHAnsi"/>
          <w:bCs/>
          <w:snapToGrid w:val="0"/>
        </w:rPr>
        <w:t xml:space="preserve">The PBAC noted and welcomed the input from health care professionals (6), health </w:t>
      </w:r>
      <w:r w:rsidR="00397B07">
        <w:rPr>
          <w:rFonts w:asciiTheme="minorHAnsi" w:hAnsiTheme="minorHAnsi"/>
          <w:bCs/>
          <w:snapToGrid w:val="0"/>
        </w:rPr>
        <w:noBreakHyphen/>
      </w:r>
      <w:r w:rsidR="363A256D" w:rsidRPr="61B5D2C3">
        <w:rPr>
          <w:rFonts w:asciiTheme="minorHAnsi" w:hAnsiTheme="minorHAnsi"/>
          <w:snapToGrid w:val="0"/>
        </w:rPr>
        <w:t xml:space="preserve">care </w:t>
      </w:r>
      <w:r w:rsidRPr="003B7AF8">
        <w:rPr>
          <w:rFonts w:asciiTheme="minorHAnsi" w:hAnsiTheme="minorHAnsi"/>
          <w:bCs/>
          <w:snapToGrid w:val="0"/>
        </w:rPr>
        <w:t xml:space="preserve">related organisations (3), consumer groups (1) and individuals (69) </w:t>
      </w:r>
      <w:r w:rsidR="008670F1" w:rsidRPr="00836F75">
        <w:rPr>
          <w:rFonts w:asciiTheme="minorHAnsi" w:hAnsiTheme="minorHAnsi"/>
          <w:bCs/>
          <w:snapToGrid w:val="0"/>
        </w:rPr>
        <w:t xml:space="preserve">via the </w:t>
      </w:r>
      <w:r w:rsidR="008670F1" w:rsidRPr="00A46D6F">
        <w:rPr>
          <w:rFonts w:asciiTheme="minorHAnsi" w:hAnsiTheme="minorHAnsi"/>
          <w:bCs/>
          <w:snapToGrid w:val="0"/>
        </w:rPr>
        <w:t>Office of Health Technology Assessment Consultation Hub</w:t>
      </w:r>
      <w:r w:rsidRPr="003B7AF8">
        <w:rPr>
          <w:rFonts w:asciiTheme="minorHAnsi" w:hAnsiTheme="minorHAnsi"/>
          <w:bCs/>
          <w:snapToGrid w:val="0"/>
        </w:rPr>
        <w:t xml:space="preserve">. The PBAC acknowledged the lived experience of individual consumers using pegcetacoplan under private prescription, and the benefits associated with slowing progression of GA and preservation of existing eyesight, as these outcomes most directly contributed to maintenance of quality of life and independence. The PBAC noted the financial pressures associated with private prescription access to pegcetacoplan, with consumers </w:t>
      </w:r>
      <w:r w:rsidR="00F32D22">
        <w:rPr>
          <w:rFonts w:asciiTheme="minorHAnsi" w:hAnsiTheme="minorHAnsi"/>
          <w:bCs/>
          <w:snapToGrid w:val="0"/>
        </w:rPr>
        <w:t xml:space="preserve">potentially </w:t>
      </w:r>
      <w:r w:rsidRPr="003B7AF8">
        <w:rPr>
          <w:rFonts w:asciiTheme="minorHAnsi" w:hAnsiTheme="minorHAnsi"/>
          <w:bCs/>
          <w:snapToGrid w:val="0"/>
        </w:rPr>
        <w:t>having to choose preservation of eyesight in only one eye due to cost</w:t>
      </w:r>
      <w:r w:rsidR="00F32D22">
        <w:rPr>
          <w:rFonts w:asciiTheme="minorHAnsi" w:hAnsiTheme="minorHAnsi"/>
          <w:bCs/>
          <w:snapToGrid w:val="0"/>
        </w:rPr>
        <w:t xml:space="preserve">, as well as </w:t>
      </w:r>
      <w:r w:rsidRPr="003B7AF8">
        <w:rPr>
          <w:rFonts w:asciiTheme="minorHAnsi" w:hAnsiTheme="minorHAnsi"/>
          <w:bCs/>
          <w:snapToGrid w:val="0"/>
        </w:rPr>
        <w:t xml:space="preserve">accessibility to health practitioners </w:t>
      </w:r>
      <w:r w:rsidR="00297AE4">
        <w:rPr>
          <w:rFonts w:asciiTheme="minorHAnsi" w:hAnsiTheme="minorHAnsi"/>
          <w:bCs/>
          <w:snapToGrid w:val="0"/>
        </w:rPr>
        <w:t xml:space="preserve">who charged varying fees </w:t>
      </w:r>
      <w:r w:rsidRPr="003B7AF8">
        <w:rPr>
          <w:rFonts w:asciiTheme="minorHAnsi" w:hAnsiTheme="minorHAnsi"/>
          <w:bCs/>
          <w:snapToGrid w:val="0"/>
        </w:rPr>
        <w:t>for administration of pegcetacopla</w:t>
      </w:r>
      <w:r w:rsidR="00010F5C">
        <w:rPr>
          <w:rFonts w:asciiTheme="minorHAnsi" w:hAnsiTheme="minorHAnsi"/>
          <w:bCs/>
          <w:snapToGrid w:val="0"/>
        </w:rPr>
        <w:t xml:space="preserve">n. It was </w:t>
      </w:r>
      <w:r w:rsidR="00650E0D">
        <w:rPr>
          <w:rFonts w:asciiTheme="minorHAnsi" w:hAnsiTheme="minorHAnsi"/>
          <w:bCs/>
          <w:snapToGrid w:val="0"/>
        </w:rPr>
        <w:t xml:space="preserve">also </w:t>
      </w:r>
      <w:r w:rsidR="00010F5C">
        <w:rPr>
          <w:rFonts w:asciiTheme="minorHAnsi" w:hAnsiTheme="minorHAnsi"/>
          <w:bCs/>
          <w:snapToGrid w:val="0"/>
        </w:rPr>
        <w:t xml:space="preserve">noted that </w:t>
      </w:r>
      <w:r w:rsidR="006C4CFB">
        <w:rPr>
          <w:rFonts w:asciiTheme="minorHAnsi" w:hAnsiTheme="minorHAnsi"/>
          <w:bCs/>
          <w:snapToGrid w:val="0"/>
        </w:rPr>
        <w:t xml:space="preserve">some </w:t>
      </w:r>
      <w:r w:rsidR="00297AE4">
        <w:rPr>
          <w:rFonts w:asciiTheme="minorHAnsi" w:hAnsiTheme="minorHAnsi"/>
          <w:bCs/>
          <w:snapToGrid w:val="0"/>
        </w:rPr>
        <w:t>using the medicine said that</w:t>
      </w:r>
      <w:r w:rsidR="00650E0D">
        <w:rPr>
          <w:rFonts w:asciiTheme="minorHAnsi" w:hAnsiTheme="minorHAnsi"/>
          <w:bCs/>
          <w:snapToGrid w:val="0"/>
        </w:rPr>
        <w:t xml:space="preserve"> prior to commencing treatment in their </w:t>
      </w:r>
      <w:r w:rsidR="00F567CB">
        <w:rPr>
          <w:rFonts w:asciiTheme="minorHAnsi" w:hAnsiTheme="minorHAnsi"/>
          <w:bCs/>
          <w:snapToGrid w:val="0"/>
        </w:rPr>
        <w:t xml:space="preserve">better eye a dose was administered to the inferior eye to test for adverse reactions. </w:t>
      </w:r>
      <w:r w:rsidR="0091736D" w:rsidRPr="003B7AF8">
        <w:rPr>
          <w:rFonts w:asciiTheme="minorHAnsi" w:hAnsiTheme="minorHAnsi"/>
          <w:bCs/>
          <w:snapToGrid w:val="0"/>
        </w:rPr>
        <w:t xml:space="preserve">The PBAC noted that the proposed PBS </w:t>
      </w:r>
      <w:r w:rsidR="00764228" w:rsidRPr="003B7AF8">
        <w:rPr>
          <w:rFonts w:asciiTheme="minorHAnsi" w:hAnsiTheme="minorHAnsi"/>
          <w:bCs/>
          <w:snapToGrid w:val="0"/>
        </w:rPr>
        <w:t>subsidisation</w:t>
      </w:r>
      <w:r w:rsidR="0091736D" w:rsidRPr="003B7AF8">
        <w:rPr>
          <w:rFonts w:asciiTheme="minorHAnsi" w:hAnsiTheme="minorHAnsi"/>
          <w:bCs/>
          <w:snapToGrid w:val="0"/>
        </w:rPr>
        <w:t xml:space="preserve"> would </w:t>
      </w:r>
      <w:r w:rsidR="00764228" w:rsidRPr="003B7AF8">
        <w:rPr>
          <w:rFonts w:asciiTheme="minorHAnsi" w:hAnsiTheme="minorHAnsi"/>
          <w:bCs/>
          <w:snapToGrid w:val="0"/>
        </w:rPr>
        <w:t xml:space="preserve">limit access to </w:t>
      </w:r>
      <w:r w:rsidR="005C63FC" w:rsidRPr="003B7AF8">
        <w:rPr>
          <w:rFonts w:asciiTheme="minorHAnsi" w:hAnsiTheme="minorHAnsi"/>
          <w:bCs/>
          <w:snapToGrid w:val="0"/>
        </w:rPr>
        <w:t xml:space="preserve">treatment of </w:t>
      </w:r>
      <w:r w:rsidR="007065D6" w:rsidRPr="003B7AF8">
        <w:rPr>
          <w:rFonts w:asciiTheme="minorHAnsi" w:hAnsiTheme="minorHAnsi"/>
          <w:bCs/>
          <w:snapToGrid w:val="0"/>
        </w:rPr>
        <w:t xml:space="preserve">only one eye for </w:t>
      </w:r>
      <w:r w:rsidR="00764228" w:rsidRPr="003B7AF8">
        <w:rPr>
          <w:rFonts w:asciiTheme="minorHAnsi" w:hAnsiTheme="minorHAnsi"/>
          <w:bCs/>
          <w:snapToGrid w:val="0"/>
        </w:rPr>
        <w:t xml:space="preserve">the </w:t>
      </w:r>
      <w:r w:rsidR="00BE374D" w:rsidRPr="003B7AF8">
        <w:rPr>
          <w:rFonts w:asciiTheme="minorHAnsi" w:hAnsiTheme="minorHAnsi"/>
          <w:bCs/>
          <w:snapToGrid w:val="0"/>
        </w:rPr>
        <w:t>highest</w:t>
      </w:r>
      <w:r w:rsidR="00764228" w:rsidRPr="003B7AF8">
        <w:rPr>
          <w:rFonts w:asciiTheme="minorHAnsi" w:hAnsiTheme="minorHAnsi"/>
          <w:bCs/>
          <w:snapToGrid w:val="0"/>
        </w:rPr>
        <w:t xml:space="preserve"> priority </w:t>
      </w:r>
      <w:r w:rsidR="005C63FC" w:rsidRPr="003B7AF8">
        <w:rPr>
          <w:rFonts w:asciiTheme="minorHAnsi" w:hAnsiTheme="minorHAnsi"/>
          <w:bCs/>
          <w:snapToGrid w:val="0"/>
        </w:rPr>
        <w:t xml:space="preserve">patients, who have already </w:t>
      </w:r>
      <w:r w:rsidR="00F32D22">
        <w:rPr>
          <w:rFonts w:asciiTheme="minorHAnsi" w:hAnsiTheme="minorHAnsi"/>
          <w:bCs/>
          <w:snapToGrid w:val="0"/>
        </w:rPr>
        <w:t>experienced visual impairment</w:t>
      </w:r>
      <w:r w:rsidR="005C63FC" w:rsidRPr="003B7AF8">
        <w:rPr>
          <w:rFonts w:asciiTheme="minorHAnsi" w:hAnsiTheme="minorHAnsi"/>
          <w:bCs/>
          <w:snapToGrid w:val="0"/>
        </w:rPr>
        <w:t xml:space="preserve"> in </w:t>
      </w:r>
      <w:r w:rsidR="000C5386" w:rsidRPr="003B7AF8">
        <w:rPr>
          <w:rFonts w:asciiTheme="minorHAnsi" w:hAnsiTheme="minorHAnsi"/>
          <w:bCs/>
          <w:snapToGrid w:val="0"/>
        </w:rPr>
        <w:t>the other</w:t>
      </w:r>
      <w:r w:rsidR="005C63FC" w:rsidRPr="003B7AF8">
        <w:rPr>
          <w:rFonts w:asciiTheme="minorHAnsi" w:hAnsiTheme="minorHAnsi"/>
          <w:bCs/>
          <w:snapToGrid w:val="0"/>
        </w:rPr>
        <w:t xml:space="preserve"> eye.</w:t>
      </w:r>
    </w:p>
    <w:p w14:paraId="0228A305" w14:textId="07BFEE5E" w:rsidR="00C924DF" w:rsidRPr="003B7AF8" w:rsidRDefault="00C924DF" w:rsidP="00C924DF">
      <w:pPr>
        <w:widowControl w:val="0"/>
        <w:numPr>
          <w:ilvl w:val="1"/>
          <w:numId w:val="1"/>
        </w:numPr>
        <w:spacing w:after="120"/>
        <w:rPr>
          <w:rFonts w:asciiTheme="minorHAnsi" w:hAnsiTheme="minorHAnsi"/>
          <w:bCs/>
          <w:snapToGrid w:val="0"/>
        </w:rPr>
      </w:pPr>
      <w:r w:rsidRPr="003B7AF8">
        <w:rPr>
          <w:rFonts w:asciiTheme="minorHAnsi" w:hAnsiTheme="minorHAnsi"/>
          <w:bCs/>
          <w:snapToGrid w:val="0"/>
        </w:rPr>
        <w:t>The PBAC noted feedback from prospective consumers</w:t>
      </w:r>
      <w:r w:rsidR="00E560C8" w:rsidRPr="003B7AF8">
        <w:rPr>
          <w:rFonts w:asciiTheme="minorHAnsi" w:hAnsiTheme="minorHAnsi"/>
          <w:bCs/>
          <w:snapToGrid w:val="0"/>
        </w:rPr>
        <w:t xml:space="preserve"> who would like to access the medicine to treat their own health condition</w:t>
      </w:r>
      <w:r w:rsidR="001B2518" w:rsidRPr="003B7AF8">
        <w:rPr>
          <w:rFonts w:asciiTheme="minorHAnsi" w:hAnsiTheme="minorHAnsi"/>
          <w:bCs/>
          <w:snapToGrid w:val="0"/>
        </w:rPr>
        <w:t xml:space="preserve"> which described </w:t>
      </w:r>
      <w:r w:rsidRPr="003B7AF8">
        <w:rPr>
          <w:rFonts w:asciiTheme="minorHAnsi" w:hAnsiTheme="minorHAnsi"/>
          <w:bCs/>
          <w:snapToGrid w:val="0"/>
        </w:rPr>
        <w:t xml:space="preserve">the significant cost barriers associated with access to pegcetacoplan </w:t>
      </w:r>
      <w:r w:rsidR="00F32D22">
        <w:rPr>
          <w:rFonts w:asciiTheme="minorHAnsi" w:hAnsiTheme="minorHAnsi"/>
          <w:bCs/>
          <w:snapToGrid w:val="0"/>
        </w:rPr>
        <w:t xml:space="preserve">especially for those </w:t>
      </w:r>
      <w:r w:rsidRPr="003B7AF8">
        <w:rPr>
          <w:rFonts w:asciiTheme="minorHAnsi" w:hAnsiTheme="minorHAnsi"/>
          <w:bCs/>
          <w:snapToGrid w:val="0"/>
        </w:rPr>
        <w:t>at advanced age</w:t>
      </w:r>
      <w:r w:rsidR="002E393E" w:rsidRPr="003B7AF8">
        <w:rPr>
          <w:rFonts w:asciiTheme="minorHAnsi" w:hAnsiTheme="minorHAnsi"/>
          <w:bCs/>
          <w:snapToGrid w:val="0"/>
        </w:rPr>
        <w:t xml:space="preserve">. The input </w:t>
      </w:r>
      <w:r w:rsidR="008D57AE" w:rsidRPr="003B7AF8">
        <w:rPr>
          <w:rFonts w:asciiTheme="minorHAnsi" w:hAnsiTheme="minorHAnsi"/>
          <w:bCs/>
          <w:snapToGrid w:val="0"/>
        </w:rPr>
        <w:t>described</w:t>
      </w:r>
      <w:r w:rsidRPr="003B7AF8">
        <w:rPr>
          <w:rFonts w:asciiTheme="minorHAnsi" w:hAnsiTheme="minorHAnsi"/>
          <w:bCs/>
          <w:snapToGrid w:val="0"/>
        </w:rPr>
        <w:t xml:space="preserve"> the impact that slowing progression of GA would have on different aspects of quality of life, including independent living, physical mobility and mental health. Similar feedback was received from Australian Eye Specialists collated on behalf of consumers unable to prepare individual written submissions. </w:t>
      </w:r>
    </w:p>
    <w:p w14:paraId="6C029C6E" w14:textId="7C32459A" w:rsidR="00C924DF" w:rsidRPr="003B7AF8" w:rsidRDefault="00C924DF" w:rsidP="00C924DF">
      <w:pPr>
        <w:widowControl w:val="0"/>
        <w:numPr>
          <w:ilvl w:val="1"/>
          <w:numId w:val="1"/>
        </w:numPr>
        <w:spacing w:after="120"/>
        <w:rPr>
          <w:rFonts w:asciiTheme="minorHAnsi" w:hAnsiTheme="minorHAnsi"/>
          <w:bCs/>
          <w:snapToGrid w:val="0"/>
        </w:rPr>
      </w:pPr>
      <w:r w:rsidRPr="003B7AF8">
        <w:rPr>
          <w:rFonts w:asciiTheme="minorHAnsi" w:hAnsiTheme="minorHAnsi"/>
          <w:bCs/>
          <w:snapToGrid w:val="0"/>
        </w:rPr>
        <w:t>The PBAC also noted advice from carers regarding the benefit of treatments that slowed progression of GA in supporting maintenance of quality of life</w:t>
      </w:r>
      <w:r w:rsidR="00B328E9" w:rsidRPr="003B7AF8">
        <w:rPr>
          <w:rFonts w:asciiTheme="minorHAnsi" w:hAnsiTheme="minorHAnsi"/>
          <w:bCs/>
          <w:snapToGrid w:val="0"/>
        </w:rPr>
        <w:t xml:space="preserve">. The input described </w:t>
      </w:r>
      <w:r w:rsidR="00CF4FFA" w:rsidRPr="003B7AF8">
        <w:rPr>
          <w:rFonts w:asciiTheme="minorHAnsi" w:hAnsiTheme="minorHAnsi"/>
          <w:bCs/>
          <w:snapToGrid w:val="0"/>
        </w:rPr>
        <w:t>how such treatment would</w:t>
      </w:r>
      <w:r w:rsidRPr="003B7AF8">
        <w:rPr>
          <w:rFonts w:asciiTheme="minorHAnsi" w:hAnsiTheme="minorHAnsi"/>
          <w:bCs/>
          <w:snapToGrid w:val="0"/>
        </w:rPr>
        <w:t xml:space="preserve"> limit the costs associated with carers providing direct assistance for everyday activities and the secondary costs associated with the procurement of other visual aids and services to mitigate the limitations associated with progressive loss of vision. </w:t>
      </w:r>
    </w:p>
    <w:p w14:paraId="3B3808D9" w14:textId="1E469225" w:rsidR="00C924DF" w:rsidRPr="003B7AF8" w:rsidRDefault="00C924DF" w:rsidP="00C924DF">
      <w:pPr>
        <w:widowControl w:val="0"/>
        <w:numPr>
          <w:ilvl w:val="1"/>
          <w:numId w:val="1"/>
        </w:numPr>
        <w:spacing w:after="120"/>
        <w:rPr>
          <w:rFonts w:asciiTheme="minorHAnsi" w:hAnsiTheme="minorHAnsi"/>
          <w:bCs/>
          <w:snapToGrid w:val="0"/>
        </w:rPr>
      </w:pPr>
      <w:r w:rsidRPr="003B7AF8">
        <w:rPr>
          <w:rFonts w:asciiTheme="minorHAnsi" w:hAnsiTheme="minorHAnsi"/>
          <w:bCs/>
          <w:snapToGrid w:val="0"/>
        </w:rPr>
        <w:t xml:space="preserve">The PBAC acknowledged the input from health </w:t>
      </w:r>
      <w:r w:rsidR="0046289F" w:rsidRPr="003B7AF8">
        <w:rPr>
          <w:rFonts w:asciiTheme="minorHAnsi" w:hAnsiTheme="minorHAnsi"/>
          <w:bCs/>
          <w:snapToGrid w:val="0"/>
        </w:rPr>
        <w:t xml:space="preserve">care </w:t>
      </w:r>
      <w:r w:rsidRPr="003B7AF8">
        <w:rPr>
          <w:rFonts w:asciiTheme="minorHAnsi" w:hAnsiTheme="minorHAnsi"/>
          <w:bCs/>
          <w:snapToGrid w:val="0"/>
        </w:rPr>
        <w:t xml:space="preserve">professionals currently managing </w:t>
      </w:r>
      <w:r w:rsidRPr="003B7AF8">
        <w:rPr>
          <w:rFonts w:asciiTheme="minorHAnsi" w:hAnsiTheme="minorHAnsi"/>
          <w:bCs/>
          <w:snapToGrid w:val="0"/>
        </w:rPr>
        <w:lastRenderedPageBreak/>
        <w:t>or diagnosing patients with GA and advanced AMD</w:t>
      </w:r>
      <w:r w:rsidR="00CF37A3" w:rsidRPr="003B7AF8">
        <w:rPr>
          <w:rFonts w:asciiTheme="minorHAnsi" w:hAnsiTheme="minorHAnsi"/>
          <w:bCs/>
          <w:snapToGrid w:val="0"/>
        </w:rPr>
        <w:t xml:space="preserve">. </w:t>
      </w:r>
      <w:r w:rsidRPr="003B7AF8">
        <w:rPr>
          <w:rFonts w:asciiTheme="minorHAnsi" w:hAnsiTheme="minorHAnsi"/>
          <w:bCs/>
          <w:snapToGrid w:val="0"/>
        </w:rPr>
        <w:t>Input from ophthalmologists currently prescribing and administering pegcetacoplan noted the stabilisation of visual acuity in individual consumers</w:t>
      </w:r>
      <w:r w:rsidR="005B1D1D" w:rsidRPr="003B7AF8">
        <w:rPr>
          <w:rFonts w:asciiTheme="minorHAnsi" w:hAnsiTheme="minorHAnsi"/>
          <w:bCs/>
          <w:snapToGrid w:val="0"/>
        </w:rPr>
        <w:t xml:space="preserve">. The input </w:t>
      </w:r>
      <w:r w:rsidRPr="003B7AF8">
        <w:rPr>
          <w:rFonts w:asciiTheme="minorHAnsi" w:hAnsiTheme="minorHAnsi"/>
          <w:bCs/>
          <w:snapToGrid w:val="0"/>
        </w:rPr>
        <w:t xml:space="preserve">also acknowledged some of the observed side effects associated with treatment (including inflammation, injection </w:t>
      </w:r>
      <w:r w:rsidR="00F32D22">
        <w:rPr>
          <w:rFonts w:asciiTheme="minorHAnsi" w:hAnsiTheme="minorHAnsi"/>
          <w:bCs/>
          <w:snapToGrid w:val="0"/>
        </w:rPr>
        <w:t>site</w:t>
      </w:r>
      <w:r w:rsidR="00F32D22" w:rsidRPr="003B7AF8">
        <w:rPr>
          <w:rFonts w:asciiTheme="minorHAnsi" w:hAnsiTheme="minorHAnsi"/>
          <w:bCs/>
          <w:snapToGrid w:val="0"/>
        </w:rPr>
        <w:t xml:space="preserve"> </w:t>
      </w:r>
      <w:r w:rsidRPr="003B7AF8">
        <w:rPr>
          <w:rFonts w:asciiTheme="minorHAnsi" w:hAnsiTheme="minorHAnsi"/>
          <w:bCs/>
          <w:snapToGrid w:val="0"/>
        </w:rPr>
        <w:t xml:space="preserve">irritation and </w:t>
      </w:r>
      <w:r w:rsidR="2C3752EB" w:rsidRPr="61B5D2C3">
        <w:rPr>
          <w:rFonts w:asciiTheme="minorHAnsi" w:hAnsiTheme="minorHAnsi"/>
          <w:snapToGrid w:val="0"/>
        </w:rPr>
        <w:t>sight threatening</w:t>
      </w:r>
      <w:r w:rsidRPr="003B7AF8">
        <w:rPr>
          <w:rFonts w:asciiTheme="minorHAnsi" w:hAnsiTheme="minorHAnsi"/>
          <w:bCs/>
          <w:snapToGrid w:val="0"/>
        </w:rPr>
        <w:t xml:space="preserve"> vasculitis) and the limited </w:t>
      </w:r>
      <w:r w:rsidR="7B2B8BC3" w:rsidRPr="61B5D2C3">
        <w:rPr>
          <w:rFonts w:asciiTheme="minorHAnsi" w:hAnsiTheme="minorHAnsi"/>
          <w:snapToGrid w:val="0"/>
        </w:rPr>
        <w:t>long-term</w:t>
      </w:r>
      <w:r w:rsidRPr="003B7AF8">
        <w:rPr>
          <w:rFonts w:asciiTheme="minorHAnsi" w:hAnsiTheme="minorHAnsi"/>
          <w:bCs/>
          <w:snapToGrid w:val="0"/>
        </w:rPr>
        <w:t xml:space="preserve"> efficacy and safety data at this stage of pegcetacoplan use in clinical care. </w:t>
      </w:r>
    </w:p>
    <w:p w14:paraId="0862A9DB" w14:textId="4C0A6C27" w:rsidR="00C924DF" w:rsidRPr="003B7AF8" w:rsidRDefault="00C924DF" w:rsidP="005F1998">
      <w:pPr>
        <w:widowControl w:val="0"/>
        <w:numPr>
          <w:ilvl w:val="1"/>
          <w:numId w:val="1"/>
        </w:numPr>
        <w:spacing w:after="120"/>
        <w:rPr>
          <w:rFonts w:asciiTheme="minorHAnsi" w:hAnsiTheme="minorHAnsi"/>
          <w:bCs/>
          <w:snapToGrid w:val="0"/>
        </w:rPr>
      </w:pPr>
      <w:r w:rsidRPr="003B7AF8">
        <w:rPr>
          <w:rFonts w:asciiTheme="minorHAnsi" w:hAnsiTheme="minorHAnsi"/>
          <w:bCs/>
          <w:snapToGrid w:val="0"/>
        </w:rPr>
        <w:t>The PBAC noted the advice received from Sight For All, Macular Disease Foundation Australia (MDFA) and OKKO Eye Specialist Centre regarding the limitations of current treatment options</w:t>
      </w:r>
      <w:r w:rsidR="00454351">
        <w:rPr>
          <w:rFonts w:asciiTheme="minorHAnsi" w:hAnsiTheme="minorHAnsi"/>
          <w:bCs/>
          <w:snapToGrid w:val="0"/>
        </w:rPr>
        <w:t xml:space="preserve"> (e.g. oral vitamin supplements to support retinal health)</w:t>
      </w:r>
      <w:r w:rsidRPr="003B7AF8">
        <w:rPr>
          <w:rFonts w:asciiTheme="minorHAnsi" w:hAnsiTheme="minorHAnsi"/>
          <w:bCs/>
          <w:snapToGrid w:val="0"/>
        </w:rPr>
        <w:t xml:space="preserve"> to slow the progression of vision loss</w:t>
      </w:r>
      <w:r w:rsidR="00454351">
        <w:rPr>
          <w:rFonts w:asciiTheme="minorHAnsi" w:hAnsiTheme="minorHAnsi"/>
          <w:bCs/>
          <w:snapToGrid w:val="0"/>
        </w:rPr>
        <w:t xml:space="preserve">, </w:t>
      </w:r>
      <w:r w:rsidRPr="003B7AF8">
        <w:rPr>
          <w:rFonts w:asciiTheme="minorHAnsi" w:hAnsiTheme="minorHAnsi"/>
          <w:bCs/>
          <w:snapToGrid w:val="0"/>
        </w:rPr>
        <w:t xml:space="preserve">as well as the quality of life benefits that use of pegcetacoplan may provide with delayed progression of GA. </w:t>
      </w:r>
      <w:r w:rsidR="005F1998" w:rsidRPr="003B7AF8">
        <w:rPr>
          <w:rFonts w:asciiTheme="minorHAnsi" w:hAnsiTheme="minorHAnsi"/>
          <w:bCs/>
          <w:snapToGrid w:val="0"/>
        </w:rPr>
        <w:t xml:space="preserve">Input </w:t>
      </w:r>
      <w:r w:rsidR="0018427D" w:rsidRPr="003B7AF8">
        <w:rPr>
          <w:rFonts w:asciiTheme="minorHAnsi" w:hAnsiTheme="minorHAnsi"/>
          <w:bCs/>
          <w:snapToGrid w:val="0"/>
        </w:rPr>
        <w:t xml:space="preserve">from </w:t>
      </w:r>
      <w:r w:rsidRPr="003B7AF8">
        <w:rPr>
          <w:rFonts w:asciiTheme="minorHAnsi" w:hAnsiTheme="minorHAnsi"/>
          <w:bCs/>
          <w:snapToGrid w:val="0"/>
        </w:rPr>
        <w:t>MDFA</w:t>
      </w:r>
      <w:r w:rsidR="005E20EB">
        <w:rPr>
          <w:rFonts w:asciiTheme="minorHAnsi" w:hAnsiTheme="minorHAnsi"/>
          <w:bCs/>
          <w:snapToGrid w:val="0"/>
        </w:rPr>
        <w:t xml:space="preserve"> </w:t>
      </w:r>
      <w:r w:rsidR="00A447AB">
        <w:rPr>
          <w:rFonts w:asciiTheme="minorHAnsi" w:hAnsiTheme="minorHAnsi"/>
          <w:bCs/>
          <w:snapToGrid w:val="0"/>
        </w:rPr>
        <w:t>noted</w:t>
      </w:r>
      <w:r w:rsidR="004F3973">
        <w:rPr>
          <w:rFonts w:asciiTheme="minorHAnsi" w:hAnsiTheme="minorHAnsi"/>
          <w:bCs/>
          <w:snapToGrid w:val="0"/>
        </w:rPr>
        <w:t xml:space="preserve"> the impact of vision loss on the number of falls and fractures a</w:t>
      </w:r>
      <w:r w:rsidR="00A447AB">
        <w:rPr>
          <w:rFonts w:asciiTheme="minorHAnsi" w:hAnsiTheme="minorHAnsi"/>
          <w:bCs/>
          <w:snapToGrid w:val="0"/>
        </w:rPr>
        <w:t xml:space="preserve">nd </w:t>
      </w:r>
      <w:r w:rsidR="00866F0A">
        <w:rPr>
          <w:rFonts w:asciiTheme="minorHAnsi" w:hAnsiTheme="minorHAnsi"/>
          <w:bCs/>
          <w:snapToGrid w:val="0"/>
        </w:rPr>
        <w:t xml:space="preserve">evidence that </w:t>
      </w:r>
      <w:r w:rsidR="00A447AB">
        <w:rPr>
          <w:rFonts w:asciiTheme="minorHAnsi" w:hAnsiTheme="minorHAnsi"/>
          <w:bCs/>
          <w:snapToGrid w:val="0"/>
        </w:rPr>
        <w:t>it</w:t>
      </w:r>
      <w:r w:rsidR="00A00702">
        <w:rPr>
          <w:rFonts w:asciiTheme="minorHAnsi" w:hAnsiTheme="minorHAnsi"/>
          <w:bCs/>
          <w:snapToGrid w:val="0"/>
        </w:rPr>
        <w:t xml:space="preserve"> could</w:t>
      </w:r>
      <w:r w:rsidR="00A447AB">
        <w:rPr>
          <w:rFonts w:asciiTheme="minorHAnsi" w:hAnsiTheme="minorHAnsi"/>
          <w:bCs/>
          <w:snapToGrid w:val="0"/>
        </w:rPr>
        <w:t xml:space="preserve"> result in earlier entry into Residential Aged Care</w:t>
      </w:r>
      <w:r w:rsidR="006C4D3F">
        <w:rPr>
          <w:rFonts w:asciiTheme="minorHAnsi" w:hAnsiTheme="minorHAnsi"/>
          <w:bCs/>
          <w:snapToGrid w:val="0"/>
        </w:rPr>
        <w:t>. MDFA input</w:t>
      </w:r>
      <w:r w:rsidR="00A447AB">
        <w:rPr>
          <w:rFonts w:asciiTheme="minorHAnsi" w:hAnsiTheme="minorHAnsi"/>
          <w:bCs/>
          <w:snapToGrid w:val="0"/>
        </w:rPr>
        <w:t xml:space="preserve"> </w:t>
      </w:r>
      <w:r w:rsidRPr="003B7AF8">
        <w:rPr>
          <w:rFonts w:asciiTheme="minorHAnsi" w:hAnsiTheme="minorHAnsi"/>
          <w:bCs/>
          <w:snapToGrid w:val="0"/>
        </w:rPr>
        <w:t>acknowled</w:t>
      </w:r>
      <w:r w:rsidR="0018427D" w:rsidRPr="003B7AF8">
        <w:rPr>
          <w:rFonts w:asciiTheme="minorHAnsi" w:hAnsiTheme="minorHAnsi"/>
          <w:bCs/>
          <w:snapToGrid w:val="0"/>
        </w:rPr>
        <w:t>ged</w:t>
      </w:r>
      <w:r w:rsidRPr="003B7AF8">
        <w:rPr>
          <w:rFonts w:asciiTheme="minorHAnsi" w:hAnsiTheme="minorHAnsi"/>
          <w:bCs/>
          <w:snapToGrid w:val="0"/>
        </w:rPr>
        <w:t xml:space="preserve"> the lack of visual acuity improvement associated with use of pegcetacoplan in the intended target population which could affect patient adherence with treatment.</w:t>
      </w:r>
      <w:r w:rsidR="000447F9">
        <w:rPr>
          <w:rFonts w:asciiTheme="minorHAnsi" w:hAnsiTheme="minorHAnsi"/>
          <w:bCs/>
          <w:snapToGrid w:val="0"/>
        </w:rPr>
        <w:t xml:space="preserve"> The</w:t>
      </w:r>
      <w:r w:rsidR="006024C2" w:rsidRPr="003B7AF8">
        <w:rPr>
          <w:rFonts w:asciiTheme="minorHAnsi" w:hAnsiTheme="minorHAnsi"/>
          <w:bCs/>
          <w:snapToGrid w:val="0"/>
        </w:rPr>
        <w:t xml:space="preserve"> input </w:t>
      </w:r>
      <w:r w:rsidR="000447F9">
        <w:rPr>
          <w:rFonts w:asciiTheme="minorHAnsi" w:hAnsiTheme="minorHAnsi"/>
          <w:bCs/>
          <w:snapToGrid w:val="0"/>
        </w:rPr>
        <w:t xml:space="preserve">also </w:t>
      </w:r>
      <w:r w:rsidR="006024C2" w:rsidRPr="003B7AF8">
        <w:rPr>
          <w:rFonts w:asciiTheme="minorHAnsi" w:hAnsiTheme="minorHAnsi"/>
          <w:bCs/>
          <w:snapToGrid w:val="0"/>
        </w:rPr>
        <w:t xml:space="preserve">advised </w:t>
      </w:r>
      <w:r w:rsidRPr="003B7AF8">
        <w:rPr>
          <w:rFonts w:asciiTheme="minorHAnsi" w:hAnsiTheme="minorHAnsi"/>
          <w:bCs/>
          <w:snapToGrid w:val="0"/>
        </w:rPr>
        <w:t>limit</w:t>
      </w:r>
      <w:r w:rsidR="006024C2" w:rsidRPr="003B7AF8">
        <w:rPr>
          <w:rFonts w:asciiTheme="minorHAnsi" w:hAnsiTheme="minorHAnsi"/>
          <w:bCs/>
          <w:snapToGrid w:val="0"/>
        </w:rPr>
        <w:t>ing</w:t>
      </w:r>
      <w:r w:rsidRPr="003B7AF8">
        <w:rPr>
          <w:rFonts w:asciiTheme="minorHAnsi" w:hAnsiTheme="minorHAnsi"/>
          <w:bCs/>
          <w:snapToGrid w:val="0"/>
        </w:rPr>
        <w:t xml:space="preserve"> PBS patient eligibility initially to those with bilateral GA secondary to AMD to </w:t>
      </w:r>
      <w:r w:rsidR="00866F0A">
        <w:rPr>
          <w:rFonts w:asciiTheme="minorHAnsi" w:hAnsiTheme="minorHAnsi"/>
          <w:bCs/>
          <w:snapToGrid w:val="0"/>
        </w:rPr>
        <w:t>reduce</w:t>
      </w:r>
      <w:r w:rsidR="00866F0A" w:rsidRPr="003B7AF8">
        <w:rPr>
          <w:rFonts w:asciiTheme="minorHAnsi" w:hAnsiTheme="minorHAnsi"/>
          <w:bCs/>
          <w:snapToGrid w:val="0"/>
        </w:rPr>
        <w:t xml:space="preserve"> </w:t>
      </w:r>
      <w:r w:rsidR="003B7AF8" w:rsidRPr="003B7AF8">
        <w:rPr>
          <w:rFonts w:asciiTheme="minorHAnsi" w:hAnsiTheme="minorHAnsi"/>
          <w:bCs/>
          <w:snapToGrid w:val="0"/>
        </w:rPr>
        <w:t xml:space="preserve">potential </w:t>
      </w:r>
      <w:r w:rsidRPr="003B7AF8">
        <w:rPr>
          <w:rFonts w:asciiTheme="minorHAnsi" w:hAnsiTheme="minorHAnsi"/>
          <w:bCs/>
          <w:snapToGrid w:val="0"/>
        </w:rPr>
        <w:t xml:space="preserve">complications associated with the use of pegcetacoplan and to support documentation of </w:t>
      </w:r>
      <w:r w:rsidR="14FFF44B" w:rsidRPr="61B5D2C3">
        <w:rPr>
          <w:rFonts w:asciiTheme="minorHAnsi" w:hAnsiTheme="minorHAnsi"/>
          <w:snapToGrid w:val="0"/>
        </w:rPr>
        <w:t>treatment related</w:t>
      </w:r>
      <w:r w:rsidRPr="003B7AF8">
        <w:rPr>
          <w:rFonts w:asciiTheme="minorHAnsi" w:hAnsiTheme="minorHAnsi"/>
          <w:bCs/>
          <w:snapToGrid w:val="0"/>
        </w:rPr>
        <w:t xml:space="preserve"> </w:t>
      </w:r>
      <w:r w:rsidR="00B75408" w:rsidRPr="003B7AF8">
        <w:rPr>
          <w:rFonts w:asciiTheme="minorHAnsi" w:hAnsiTheme="minorHAnsi"/>
          <w:bCs/>
          <w:snapToGrid w:val="0"/>
        </w:rPr>
        <w:t>adverse events</w:t>
      </w:r>
      <w:r w:rsidRPr="003B7AF8">
        <w:rPr>
          <w:rFonts w:asciiTheme="minorHAnsi" w:hAnsiTheme="minorHAnsi"/>
          <w:bCs/>
          <w:snapToGrid w:val="0"/>
        </w:rPr>
        <w:t xml:space="preserve"> as part of evaluating </w:t>
      </w:r>
      <w:r w:rsidR="1D3F8545" w:rsidRPr="61B5D2C3">
        <w:rPr>
          <w:rFonts w:asciiTheme="minorHAnsi" w:hAnsiTheme="minorHAnsi"/>
          <w:snapToGrid w:val="0"/>
        </w:rPr>
        <w:t>long-term</w:t>
      </w:r>
      <w:r w:rsidRPr="003B7AF8">
        <w:rPr>
          <w:rFonts w:asciiTheme="minorHAnsi" w:hAnsiTheme="minorHAnsi"/>
          <w:bCs/>
          <w:snapToGrid w:val="0"/>
        </w:rPr>
        <w:t xml:space="preserve"> safety and efficacy. </w:t>
      </w:r>
    </w:p>
    <w:bookmarkEnd w:id="29"/>
    <w:bookmarkEnd w:id="35"/>
    <w:p w14:paraId="3E001A98" w14:textId="77777777" w:rsidR="008D461D" w:rsidRPr="00E20031" w:rsidRDefault="008D461D" w:rsidP="008D461D">
      <w:pPr>
        <w:pStyle w:val="4-SubsectionHeading"/>
      </w:pPr>
      <w:r w:rsidRPr="00E20031">
        <w:t>Clinical trials</w:t>
      </w:r>
      <w:bookmarkEnd w:id="28"/>
      <w:bookmarkEnd w:id="30"/>
      <w:bookmarkEnd w:id="31"/>
      <w:bookmarkEnd w:id="32"/>
    </w:p>
    <w:p w14:paraId="250902F3" w14:textId="620FE87F" w:rsidR="008D461D" w:rsidRPr="00E20031" w:rsidRDefault="008D461D" w:rsidP="008D461D">
      <w:pPr>
        <w:pStyle w:val="3-BodyText"/>
        <w:rPr>
          <w:color w:val="0066FF"/>
        </w:rPr>
      </w:pPr>
      <w:r w:rsidRPr="00E20031">
        <w:t xml:space="preserve">The submission was based on 2 phase 3 randomised controlled trials (RCTs) comparing pegcetacoplan intravitreal (IVT) monthly (PM) or every other month (PEOM) to sham injection monthly or every other month: DERBY (n=621) and OAKS (n=637). </w:t>
      </w:r>
      <w:r w:rsidR="00866F0A">
        <w:t>These were</w:t>
      </w:r>
      <w:r w:rsidRPr="00E20031">
        <w:t xml:space="preserve"> supplemented by two other studies: FILLY (n=246), a phase 2 RCT comparing PM or PEOM with sham injections and GALE (n=780), an ongoing, open label, </w:t>
      </w:r>
      <w:r w:rsidR="00397B07">
        <w:noBreakHyphen/>
      </w:r>
      <w:r w:rsidR="4231E611" w:rsidRPr="00E20031">
        <w:t>long-term</w:t>
      </w:r>
      <w:r w:rsidRPr="00E20031">
        <w:t xml:space="preserve"> extension study to DERBY and OAKS. The submission stated that the final results from GALE are expected in November 2025.</w:t>
      </w:r>
      <w:r w:rsidRPr="00E20031">
        <w:rPr>
          <w:color w:val="0066FF"/>
        </w:rPr>
        <w:t xml:space="preserve"> </w:t>
      </w:r>
    </w:p>
    <w:p w14:paraId="65C2F3ED" w14:textId="7DEB30BB" w:rsidR="008D461D" w:rsidRPr="00D04A0A" w:rsidRDefault="008D461D" w:rsidP="008D461D">
      <w:pPr>
        <w:pStyle w:val="3-BodyText"/>
        <w:rPr>
          <w:color w:val="000000" w:themeColor="text1"/>
        </w:rPr>
      </w:pPr>
      <w:r w:rsidRPr="00E20031">
        <w:rPr>
          <w:color w:val="000000" w:themeColor="text1"/>
        </w:rPr>
        <w:t xml:space="preserve">As the populations enrolled in DERBY and OAKS do not </w:t>
      </w:r>
      <w:r w:rsidR="00866F0A">
        <w:rPr>
          <w:color w:val="000000" w:themeColor="text1"/>
        </w:rPr>
        <w:t>align</w:t>
      </w:r>
      <w:r w:rsidR="00866F0A" w:rsidRPr="00E20031">
        <w:rPr>
          <w:color w:val="000000" w:themeColor="text1"/>
        </w:rPr>
        <w:t xml:space="preserve"> </w:t>
      </w:r>
      <w:r w:rsidRPr="00E20031">
        <w:rPr>
          <w:color w:val="000000" w:themeColor="text1"/>
        </w:rPr>
        <w:t>with the proposed PBS population, the submission presented a post</w:t>
      </w:r>
      <w:r w:rsidR="00397B07">
        <w:rPr>
          <w:color w:val="000000" w:themeColor="text1"/>
        </w:rPr>
        <w:noBreakHyphen/>
      </w:r>
      <w:r w:rsidRPr="00E20031">
        <w:rPr>
          <w:color w:val="000000" w:themeColor="text1"/>
        </w:rPr>
        <w:t>hoc analysis of patients with non</w:t>
      </w:r>
      <w:r w:rsidR="00397B07">
        <w:rPr>
          <w:color w:val="000000" w:themeColor="text1"/>
        </w:rPr>
        <w:noBreakHyphen/>
      </w:r>
      <w:r w:rsidRPr="00E20031">
        <w:rPr>
          <w:color w:val="000000" w:themeColor="text1"/>
        </w:rPr>
        <w:t xml:space="preserve">subfoveal lesions (defined as </w:t>
      </w:r>
      <w:r w:rsidRPr="00E20031">
        <w:t xml:space="preserve">GA lesions ≥1 μm from the fovea). </w:t>
      </w:r>
      <w:r w:rsidRPr="00D04A0A">
        <w:t>The included subgroup analysis matche</w:t>
      </w:r>
      <w:r w:rsidR="00FA3D5F">
        <w:t>d</w:t>
      </w:r>
      <w:r w:rsidRPr="00D04A0A">
        <w:t xml:space="preserve"> the lesion location criteria in the PBS restriction. However, an analysis was not carried out adjusting for the requirement that patients already have compromised vision in their non</w:t>
      </w:r>
      <w:r w:rsidR="00397B07">
        <w:noBreakHyphen/>
      </w:r>
      <w:r w:rsidRPr="00D04A0A">
        <w:t>treatment eye. It is uncertain how many patients in the trial would meet this requirement and so such an analysis may not have been possible or informative.</w:t>
      </w:r>
    </w:p>
    <w:p w14:paraId="0314A82A" w14:textId="5D7F0A26" w:rsidR="008D461D" w:rsidRPr="00E20031" w:rsidRDefault="008D461D" w:rsidP="008D461D">
      <w:pPr>
        <w:pStyle w:val="3-BodyText"/>
      </w:pPr>
      <w:r w:rsidRPr="00E20031">
        <w:t xml:space="preserve">Details of the trials presented in the submission are provided in </w:t>
      </w:r>
      <w:r w:rsidRPr="00E20031">
        <w:fldChar w:fldCharType="begin"/>
      </w:r>
      <w:r w:rsidRPr="00E20031">
        <w:instrText xml:space="preserve"> REF _Ref104803956 \h </w:instrText>
      </w:r>
      <w:r w:rsidRPr="00E20031">
        <w:fldChar w:fldCharType="separate"/>
      </w:r>
      <w:r w:rsidR="00333CFE" w:rsidRPr="00E20031">
        <w:t xml:space="preserve">Table </w:t>
      </w:r>
      <w:r w:rsidR="00333CFE">
        <w:rPr>
          <w:noProof/>
        </w:rPr>
        <w:t>2</w:t>
      </w:r>
      <w:r w:rsidRPr="00E20031">
        <w:fldChar w:fldCharType="end"/>
      </w:r>
      <w:r w:rsidRPr="00E20031">
        <w:t xml:space="preserve">. </w:t>
      </w:r>
    </w:p>
    <w:p w14:paraId="4A83F74C" w14:textId="55C8F0FA" w:rsidR="008D461D" w:rsidRPr="00E20031" w:rsidRDefault="008D461D" w:rsidP="008D461D">
      <w:pPr>
        <w:pStyle w:val="TableFigureHeading"/>
        <w:rPr>
          <w:rStyle w:val="CommentReference"/>
          <w:b/>
          <w:szCs w:val="24"/>
        </w:rPr>
      </w:pPr>
      <w:bookmarkStart w:id="36" w:name="_Ref104803956"/>
      <w:r w:rsidRPr="00E20031">
        <w:t xml:space="preserve">Table </w:t>
      </w:r>
      <w:r w:rsidR="004C5F7F">
        <w:fldChar w:fldCharType="begin"/>
      </w:r>
      <w:r w:rsidR="004C5F7F">
        <w:instrText xml:space="preserve"> SEQ Table \* ARABIC </w:instrText>
      </w:r>
      <w:r w:rsidR="004C5F7F">
        <w:fldChar w:fldCharType="separate"/>
      </w:r>
      <w:r w:rsidR="00333CFE">
        <w:rPr>
          <w:noProof/>
        </w:rPr>
        <w:t>2</w:t>
      </w:r>
      <w:r w:rsidR="004C5F7F">
        <w:rPr>
          <w:noProof/>
        </w:rPr>
        <w:fldChar w:fldCharType="end"/>
      </w:r>
      <w:bookmarkEnd w:id="36"/>
      <w:r w:rsidRPr="00E20031">
        <w:t>:</w:t>
      </w:r>
      <w:r w:rsidRPr="00E20031">
        <w:rPr>
          <w:rStyle w:val="CommentReference"/>
          <w:b/>
          <w:szCs w:val="24"/>
        </w:rPr>
        <w:t xml:space="preserve"> Trials and associated reports presented in the submission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870"/>
        <w:gridCol w:w="5241"/>
        <w:gridCol w:w="1906"/>
      </w:tblGrid>
      <w:tr w:rsidR="008D461D" w:rsidRPr="00E20031" w14:paraId="5357209A" w14:textId="77777777">
        <w:trPr>
          <w:tblHeader/>
          <w:jc w:val="center"/>
        </w:trPr>
        <w:tc>
          <w:tcPr>
            <w:tcW w:w="1037" w:type="pct"/>
            <w:tcBorders>
              <w:bottom w:val="single" w:sz="4" w:space="0" w:color="auto"/>
            </w:tcBorders>
            <w:vAlign w:val="center"/>
          </w:tcPr>
          <w:p w14:paraId="43B3069D" w14:textId="77777777" w:rsidR="008D461D" w:rsidRPr="00E20031" w:rsidRDefault="008D461D" w:rsidP="00077D48">
            <w:pPr>
              <w:pStyle w:val="In-tableHeading"/>
            </w:pPr>
            <w:r w:rsidRPr="00E20031">
              <w:t>Trial ID</w:t>
            </w:r>
          </w:p>
        </w:tc>
        <w:tc>
          <w:tcPr>
            <w:tcW w:w="2906" w:type="pct"/>
            <w:tcBorders>
              <w:bottom w:val="single" w:sz="4" w:space="0" w:color="auto"/>
            </w:tcBorders>
            <w:vAlign w:val="center"/>
          </w:tcPr>
          <w:p w14:paraId="46118402" w14:textId="77777777" w:rsidR="008D461D" w:rsidRPr="00E20031" w:rsidRDefault="008D461D" w:rsidP="00077D48">
            <w:pPr>
              <w:pStyle w:val="In-tableHeading"/>
            </w:pPr>
            <w:r w:rsidRPr="00E20031">
              <w:t>Protocol title/ Publication title</w:t>
            </w:r>
          </w:p>
        </w:tc>
        <w:tc>
          <w:tcPr>
            <w:tcW w:w="1057" w:type="pct"/>
            <w:tcBorders>
              <w:bottom w:val="single" w:sz="4" w:space="0" w:color="auto"/>
            </w:tcBorders>
            <w:vAlign w:val="center"/>
          </w:tcPr>
          <w:p w14:paraId="29022BCD" w14:textId="77777777" w:rsidR="008D461D" w:rsidRPr="00E20031" w:rsidRDefault="008D461D" w:rsidP="00077D48">
            <w:pPr>
              <w:pStyle w:val="In-tableHeading"/>
            </w:pPr>
            <w:r w:rsidRPr="00E20031">
              <w:t>Publication citation</w:t>
            </w:r>
          </w:p>
        </w:tc>
      </w:tr>
      <w:tr w:rsidR="008D461D" w:rsidRPr="00E20031" w14:paraId="4B3F25CD" w14:textId="77777777">
        <w:trPr>
          <w:jc w:val="center"/>
        </w:trPr>
        <w:tc>
          <w:tcPr>
            <w:tcW w:w="1037" w:type="pct"/>
            <w:tcBorders>
              <w:top w:val="single" w:sz="4" w:space="0" w:color="auto"/>
              <w:bottom w:val="nil"/>
            </w:tcBorders>
            <w:vAlign w:val="bottom"/>
          </w:tcPr>
          <w:p w14:paraId="508A9893" w14:textId="77777777" w:rsidR="008D461D" w:rsidRPr="00E20031" w:rsidRDefault="008D461D">
            <w:pPr>
              <w:pStyle w:val="TableText0"/>
              <w:keepNext w:val="0"/>
              <w:jc w:val="both"/>
              <w:rPr>
                <w:b/>
                <w:bCs w:val="0"/>
              </w:rPr>
            </w:pPr>
            <w:r w:rsidRPr="00E20031">
              <w:t>DERBY NCT03525600</w:t>
            </w:r>
          </w:p>
        </w:tc>
        <w:tc>
          <w:tcPr>
            <w:tcW w:w="2906" w:type="pct"/>
            <w:tcBorders>
              <w:top w:val="single" w:sz="4" w:space="0" w:color="auto"/>
              <w:bottom w:val="nil"/>
            </w:tcBorders>
            <w:vAlign w:val="center"/>
          </w:tcPr>
          <w:p w14:paraId="700C1711" w14:textId="207D7B83" w:rsidR="008D461D" w:rsidRPr="00E20031" w:rsidRDefault="008D461D">
            <w:pPr>
              <w:autoSpaceDE w:val="0"/>
              <w:autoSpaceDN w:val="0"/>
              <w:adjustRightInd w:val="0"/>
              <w:jc w:val="left"/>
              <w:rPr>
                <w:bCs/>
              </w:rPr>
            </w:pPr>
            <w:r w:rsidRPr="00E20031">
              <w:rPr>
                <w:rFonts w:ascii="Arial Narrow" w:hAnsi="Arial Narrow"/>
                <w:bCs/>
                <w:sz w:val="20"/>
                <w:szCs w:val="20"/>
              </w:rPr>
              <w:t>APL2</w:t>
            </w:r>
            <w:r w:rsidR="00397B07">
              <w:rPr>
                <w:rFonts w:ascii="Arial Narrow" w:hAnsi="Arial Narrow"/>
                <w:bCs/>
                <w:sz w:val="20"/>
                <w:szCs w:val="20"/>
              </w:rPr>
              <w:noBreakHyphen/>
            </w:r>
            <w:r w:rsidRPr="00E20031">
              <w:rPr>
                <w:rFonts w:ascii="Arial Narrow" w:hAnsi="Arial Narrow"/>
                <w:bCs/>
                <w:sz w:val="20"/>
                <w:szCs w:val="20"/>
              </w:rPr>
              <w:t xml:space="preserve">303 Month 24 Clinical Study Report: </w:t>
            </w:r>
            <w:r w:rsidRPr="00E20031">
              <w:rPr>
                <w:rFonts w:ascii="Arial Narrow" w:hAnsi="Arial Narrow" w:cs="TimesNewRomanPS-BoldMT"/>
                <w:bCs/>
                <w:sz w:val="20"/>
                <w:szCs w:val="20"/>
              </w:rPr>
              <w:t>A phase 3, multicenter, randomized, double</w:t>
            </w:r>
            <w:r w:rsidR="00397B07">
              <w:rPr>
                <w:rFonts w:ascii="Arial Narrow" w:hAnsi="Arial Narrow" w:cs="TimesNewRomanPS-BoldMT"/>
                <w:bCs/>
                <w:sz w:val="20"/>
                <w:szCs w:val="20"/>
              </w:rPr>
              <w:noBreakHyphen/>
            </w:r>
            <w:r w:rsidRPr="00E20031">
              <w:rPr>
                <w:rFonts w:ascii="Arial Narrow" w:hAnsi="Arial Narrow" w:cs="TimesNewRomanPS-BoldMT"/>
                <w:bCs/>
                <w:sz w:val="20"/>
                <w:szCs w:val="20"/>
              </w:rPr>
              <w:t>masked, sham</w:t>
            </w:r>
            <w:r w:rsidR="00397B07">
              <w:rPr>
                <w:rFonts w:ascii="Arial Narrow" w:hAnsi="Arial Narrow" w:cs="TimesNewRomanPS-BoldMT"/>
                <w:bCs/>
                <w:sz w:val="20"/>
                <w:szCs w:val="20"/>
              </w:rPr>
              <w:noBreakHyphen/>
            </w:r>
            <w:r w:rsidRPr="00E20031">
              <w:rPr>
                <w:rFonts w:ascii="Arial Narrow" w:hAnsi="Arial Narrow" w:cs="TimesNewRomanPS-BoldMT"/>
                <w:bCs/>
                <w:sz w:val="20"/>
                <w:szCs w:val="20"/>
              </w:rPr>
              <w:t>controlled study to compare the efficacy and safety of intravitreal pegcetacoplan therapy with sham injections in patients with geographic atrophy secondary to age</w:t>
            </w:r>
            <w:r w:rsidR="00397B07">
              <w:rPr>
                <w:rFonts w:ascii="Arial Narrow" w:hAnsi="Arial Narrow" w:cs="TimesNewRomanPS-BoldMT"/>
                <w:bCs/>
                <w:sz w:val="20"/>
                <w:szCs w:val="20"/>
              </w:rPr>
              <w:noBreakHyphen/>
            </w:r>
            <w:r w:rsidRPr="00E20031">
              <w:rPr>
                <w:rFonts w:ascii="Arial Narrow" w:hAnsi="Arial Narrow" w:cs="TimesNewRomanPS-BoldMT"/>
                <w:bCs/>
                <w:sz w:val="20"/>
                <w:szCs w:val="20"/>
              </w:rPr>
              <w:t>related macular degeneration (DERBY).</w:t>
            </w:r>
          </w:p>
        </w:tc>
        <w:tc>
          <w:tcPr>
            <w:tcW w:w="1057" w:type="pct"/>
            <w:tcBorders>
              <w:top w:val="single" w:sz="4" w:space="0" w:color="auto"/>
              <w:bottom w:val="nil"/>
            </w:tcBorders>
            <w:vAlign w:val="center"/>
          </w:tcPr>
          <w:p w14:paraId="1ADDD4F3" w14:textId="77777777" w:rsidR="008D461D" w:rsidRPr="00E20031" w:rsidRDefault="008D461D">
            <w:pPr>
              <w:pStyle w:val="TableText0"/>
              <w:keepNext w:val="0"/>
              <w:rPr>
                <w:b/>
                <w:bCs w:val="0"/>
              </w:rPr>
            </w:pPr>
            <w:r w:rsidRPr="00E20031">
              <w:t>October 2022</w:t>
            </w:r>
          </w:p>
        </w:tc>
      </w:tr>
      <w:tr w:rsidR="008D461D" w:rsidRPr="00E20031" w14:paraId="0C00F232" w14:textId="77777777">
        <w:trPr>
          <w:jc w:val="center"/>
        </w:trPr>
        <w:tc>
          <w:tcPr>
            <w:tcW w:w="1037" w:type="pct"/>
            <w:tcBorders>
              <w:top w:val="nil"/>
              <w:bottom w:val="single" w:sz="4" w:space="0" w:color="auto"/>
            </w:tcBorders>
            <w:vAlign w:val="center"/>
          </w:tcPr>
          <w:p w14:paraId="5099F3CD" w14:textId="77777777" w:rsidR="008D461D" w:rsidRPr="00E20031" w:rsidRDefault="008D461D">
            <w:pPr>
              <w:pStyle w:val="TableText0"/>
              <w:keepNext w:val="0"/>
              <w:rPr>
                <w:b/>
                <w:bCs w:val="0"/>
              </w:rPr>
            </w:pPr>
          </w:p>
        </w:tc>
        <w:tc>
          <w:tcPr>
            <w:tcW w:w="2906" w:type="pct"/>
            <w:tcBorders>
              <w:top w:val="nil"/>
              <w:bottom w:val="single" w:sz="4" w:space="0" w:color="auto"/>
            </w:tcBorders>
            <w:vAlign w:val="center"/>
          </w:tcPr>
          <w:p w14:paraId="3D2AE081" w14:textId="77D4B5D0" w:rsidR="008D461D" w:rsidRPr="00E20031" w:rsidRDefault="008D461D">
            <w:pPr>
              <w:pStyle w:val="Tabletext8pt"/>
              <w:rPr>
                <w:rFonts w:ascii="Arial Narrow" w:hAnsi="Arial Narrow"/>
                <w:bCs/>
                <w:sz w:val="20"/>
                <w:szCs w:val="20"/>
              </w:rPr>
            </w:pPr>
            <w:r w:rsidRPr="0081488A">
              <w:rPr>
                <w:rFonts w:ascii="Arial Narrow" w:hAnsi="Arial Narrow"/>
                <w:sz w:val="20"/>
                <w:szCs w:val="20"/>
                <w:lang w:val="fr-CH"/>
              </w:rPr>
              <w:t xml:space="preserve">Heier, J.S., et al. </w:t>
            </w:r>
            <w:r w:rsidRPr="00E20031">
              <w:rPr>
                <w:rFonts w:ascii="Arial Narrow" w:hAnsi="Arial Narrow"/>
                <w:bCs/>
                <w:sz w:val="20"/>
                <w:szCs w:val="20"/>
              </w:rPr>
              <w:t>Pegcetacoplan for the treatment of geographic atrophy secondary to age</w:t>
            </w:r>
            <w:r w:rsidR="00397B07">
              <w:rPr>
                <w:rFonts w:ascii="Arial Narrow" w:hAnsi="Arial Narrow"/>
                <w:bCs/>
                <w:sz w:val="20"/>
                <w:szCs w:val="20"/>
              </w:rPr>
              <w:noBreakHyphen/>
            </w:r>
            <w:r w:rsidRPr="00E20031">
              <w:rPr>
                <w:rFonts w:ascii="Arial Narrow" w:hAnsi="Arial Narrow"/>
                <w:bCs/>
                <w:sz w:val="20"/>
                <w:szCs w:val="20"/>
              </w:rPr>
              <w:t>related macular degeneration (OAKS and DERBY): two multicentre, randomised, double</w:t>
            </w:r>
            <w:r w:rsidR="00397B07">
              <w:rPr>
                <w:rFonts w:ascii="Arial Narrow" w:hAnsi="Arial Narrow"/>
                <w:bCs/>
                <w:sz w:val="20"/>
                <w:szCs w:val="20"/>
              </w:rPr>
              <w:noBreakHyphen/>
            </w:r>
            <w:r w:rsidRPr="00E20031">
              <w:rPr>
                <w:rFonts w:ascii="Arial Narrow" w:hAnsi="Arial Narrow"/>
                <w:bCs/>
                <w:sz w:val="20"/>
                <w:szCs w:val="20"/>
              </w:rPr>
              <w:t>masked, sham</w:t>
            </w:r>
            <w:r w:rsidR="00397B07">
              <w:rPr>
                <w:rFonts w:ascii="Arial Narrow" w:hAnsi="Arial Narrow"/>
                <w:bCs/>
                <w:sz w:val="20"/>
                <w:szCs w:val="20"/>
              </w:rPr>
              <w:noBreakHyphen/>
            </w:r>
            <w:r w:rsidRPr="00E20031">
              <w:rPr>
                <w:rFonts w:ascii="Arial Narrow" w:hAnsi="Arial Narrow"/>
                <w:bCs/>
                <w:sz w:val="20"/>
                <w:szCs w:val="20"/>
              </w:rPr>
              <w:t>controlled, phase 3 trials.</w:t>
            </w:r>
          </w:p>
        </w:tc>
        <w:tc>
          <w:tcPr>
            <w:tcW w:w="1057" w:type="pct"/>
            <w:tcBorders>
              <w:top w:val="nil"/>
              <w:bottom w:val="single" w:sz="4" w:space="0" w:color="auto"/>
            </w:tcBorders>
            <w:vAlign w:val="center"/>
          </w:tcPr>
          <w:p w14:paraId="30F39752" w14:textId="77777777" w:rsidR="008D461D" w:rsidRPr="00E20031" w:rsidRDefault="008D461D">
            <w:pPr>
              <w:pStyle w:val="TableText0"/>
              <w:keepNext w:val="0"/>
              <w:rPr>
                <w:b/>
                <w:bCs w:val="0"/>
                <w:i/>
              </w:rPr>
            </w:pPr>
            <w:r w:rsidRPr="00E20031">
              <w:rPr>
                <w:i/>
                <w:iCs/>
              </w:rPr>
              <w:t>The Lancet</w:t>
            </w:r>
            <w:r w:rsidRPr="00E20031">
              <w:t xml:space="preserve"> 2023; 402(10411): 1434 – 1448.</w:t>
            </w:r>
          </w:p>
        </w:tc>
      </w:tr>
      <w:tr w:rsidR="008D461D" w:rsidRPr="00E20031" w14:paraId="43EB4FE3" w14:textId="77777777">
        <w:trPr>
          <w:jc w:val="center"/>
        </w:trPr>
        <w:tc>
          <w:tcPr>
            <w:tcW w:w="1037" w:type="pct"/>
            <w:tcBorders>
              <w:top w:val="single" w:sz="4" w:space="0" w:color="auto"/>
              <w:bottom w:val="nil"/>
            </w:tcBorders>
            <w:vAlign w:val="bottom"/>
          </w:tcPr>
          <w:p w14:paraId="1B580DA1" w14:textId="77777777" w:rsidR="008D461D" w:rsidRPr="00E20031" w:rsidRDefault="008D461D">
            <w:pPr>
              <w:pStyle w:val="TableText0"/>
              <w:keepNext w:val="0"/>
              <w:rPr>
                <w:b/>
                <w:bCs w:val="0"/>
              </w:rPr>
            </w:pPr>
            <w:r w:rsidRPr="00E20031">
              <w:t>OAKS NCT03525613</w:t>
            </w:r>
          </w:p>
        </w:tc>
        <w:tc>
          <w:tcPr>
            <w:tcW w:w="2906" w:type="pct"/>
            <w:tcBorders>
              <w:top w:val="single" w:sz="4" w:space="0" w:color="auto"/>
              <w:bottom w:val="nil"/>
            </w:tcBorders>
            <w:vAlign w:val="center"/>
          </w:tcPr>
          <w:p w14:paraId="1C0FAC70" w14:textId="50F2E1EC" w:rsidR="008D461D" w:rsidRPr="00E20031" w:rsidRDefault="008D461D">
            <w:pPr>
              <w:pStyle w:val="TableText0"/>
              <w:keepNext w:val="0"/>
              <w:rPr>
                <w:b/>
                <w:bCs w:val="0"/>
              </w:rPr>
            </w:pPr>
            <w:r w:rsidRPr="00E20031">
              <w:rPr>
                <w:szCs w:val="20"/>
              </w:rPr>
              <w:t>APL2</w:t>
            </w:r>
            <w:r w:rsidR="00397B07">
              <w:rPr>
                <w:szCs w:val="20"/>
              </w:rPr>
              <w:noBreakHyphen/>
            </w:r>
            <w:r w:rsidRPr="00E20031">
              <w:rPr>
                <w:szCs w:val="20"/>
              </w:rPr>
              <w:t xml:space="preserve">304 Month 24 Clinical Study Report: </w:t>
            </w:r>
            <w:r w:rsidRPr="00E20031">
              <w:rPr>
                <w:rFonts w:cs="TimesNewRomanPS-BoldMT"/>
                <w:szCs w:val="20"/>
              </w:rPr>
              <w:t>A phase 3, multicenter, randomized, double</w:t>
            </w:r>
            <w:r w:rsidR="00397B07">
              <w:rPr>
                <w:rFonts w:cs="TimesNewRomanPS-BoldMT"/>
                <w:szCs w:val="20"/>
              </w:rPr>
              <w:noBreakHyphen/>
            </w:r>
            <w:r w:rsidRPr="00E20031">
              <w:rPr>
                <w:rFonts w:cs="TimesNewRomanPS-BoldMT"/>
                <w:szCs w:val="20"/>
              </w:rPr>
              <w:t>masked, sham</w:t>
            </w:r>
            <w:r w:rsidR="00397B07">
              <w:rPr>
                <w:rFonts w:cs="TimesNewRomanPS-BoldMT"/>
                <w:szCs w:val="20"/>
              </w:rPr>
              <w:noBreakHyphen/>
            </w:r>
            <w:r w:rsidRPr="00E20031">
              <w:rPr>
                <w:rFonts w:cs="TimesNewRomanPS-BoldMT"/>
                <w:szCs w:val="20"/>
              </w:rPr>
              <w:t>controlled study to compare the efficacy and safety of intravitreal pegcetacoplan therapy with sham injections in patients with geographic atrophy secondary to age</w:t>
            </w:r>
            <w:r w:rsidR="00397B07">
              <w:rPr>
                <w:rFonts w:cs="TimesNewRomanPS-BoldMT"/>
                <w:szCs w:val="20"/>
              </w:rPr>
              <w:noBreakHyphen/>
            </w:r>
            <w:r w:rsidRPr="00E20031">
              <w:rPr>
                <w:rFonts w:cs="TimesNewRomanPS-BoldMT"/>
                <w:szCs w:val="20"/>
              </w:rPr>
              <w:t>related macular degeneration (OAKS).</w:t>
            </w:r>
          </w:p>
        </w:tc>
        <w:tc>
          <w:tcPr>
            <w:tcW w:w="1057" w:type="pct"/>
            <w:tcBorders>
              <w:top w:val="single" w:sz="4" w:space="0" w:color="auto"/>
              <w:bottom w:val="nil"/>
            </w:tcBorders>
            <w:vAlign w:val="center"/>
          </w:tcPr>
          <w:p w14:paraId="2056FB16" w14:textId="77777777" w:rsidR="008D461D" w:rsidRPr="00E20031" w:rsidRDefault="008D461D">
            <w:pPr>
              <w:pStyle w:val="TableText0"/>
              <w:keepNext w:val="0"/>
              <w:rPr>
                <w:b/>
                <w:bCs w:val="0"/>
              </w:rPr>
            </w:pPr>
            <w:r w:rsidRPr="00E20031">
              <w:t>October 2022</w:t>
            </w:r>
          </w:p>
        </w:tc>
      </w:tr>
      <w:tr w:rsidR="008D461D" w:rsidRPr="00E20031" w14:paraId="0A3EBD64" w14:textId="77777777">
        <w:trPr>
          <w:jc w:val="center"/>
        </w:trPr>
        <w:tc>
          <w:tcPr>
            <w:tcW w:w="1037" w:type="pct"/>
            <w:tcBorders>
              <w:top w:val="nil"/>
              <w:bottom w:val="single" w:sz="4" w:space="0" w:color="auto"/>
            </w:tcBorders>
            <w:vAlign w:val="center"/>
          </w:tcPr>
          <w:p w14:paraId="35648996" w14:textId="77777777" w:rsidR="008D461D" w:rsidRPr="00E20031" w:rsidRDefault="008D461D">
            <w:pPr>
              <w:pStyle w:val="TableText0"/>
              <w:keepNext w:val="0"/>
              <w:rPr>
                <w:b/>
                <w:bCs w:val="0"/>
              </w:rPr>
            </w:pPr>
          </w:p>
        </w:tc>
        <w:tc>
          <w:tcPr>
            <w:tcW w:w="2906" w:type="pct"/>
            <w:tcBorders>
              <w:top w:val="nil"/>
              <w:bottom w:val="single" w:sz="4" w:space="0" w:color="auto"/>
            </w:tcBorders>
            <w:vAlign w:val="center"/>
          </w:tcPr>
          <w:p w14:paraId="6CFF1C53" w14:textId="4F1E7E22" w:rsidR="008D461D" w:rsidRPr="00E20031" w:rsidRDefault="008D461D">
            <w:pPr>
              <w:pStyle w:val="TableText0"/>
              <w:keepNext w:val="0"/>
              <w:rPr>
                <w:b/>
                <w:bCs w:val="0"/>
                <w:szCs w:val="18"/>
              </w:rPr>
            </w:pPr>
            <w:r w:rsidRPr="0081488A">
              <w:rPr>
                <w:szCs w:val="20"/>
                <w:lang w:val="fr-CH"/>
              </w:rPr>
              <w:t xml:space="preserve">Heier, J.S., et al. </w:t>
            </w:r>
            <w:r w:rsidRPr="00E20031">
              <w:rPr>
                <w:szCs w:val="20"/>
              </w:rPr>
              <w:t>Pegcetacoplan for the treatment of geographic atrophy secondary to age</w:t>
            </w:r>
            <w:r w:rsidR="00397B07">
              <w:rPr>
                <w:szCs w:val="20"/>
              </w:rPr>
              <w:noBreakHyphen/>
            </w:r>
            <w:r w:rsidRPr="00E20031">
              <w:rPr>
                <w:szCs w:val="20"/>
              </w:rPr>
              <w:t>related macular degeneration (OAKS and DERBY): two multicentre, randomised, double</w:t>
            </w:r>
            <w:r w:rsidR="00397B07">
              <w:rPr>
                <w:szCs w:val="20"/>
              </w:rPr>
              <w:noBreakHyphen/>
            </w:r>
            <w:r w:rsidRPr="00E20031">
              <w:rPr>
                <w:szCs w:val="20"/>
              </w:rPr>
              <w:t>masked, sham</w:t>
            </w:r>
            <w:r w:rsidR="00397B07">
              <w:rPr>
                <w:szCs w:val="20"/>
              </w:rPr>
              <w:noBreakHyphen/>
            </w:r>
            <w:r w:rsidRPr="00E20031">
              <w:rPr>
                <w:szCs w:val="20"/>
              </w:rPr>
              <w:t>controlled, phase 3 trials.</w:t>
            </w:r>
          </w:p>
        </w:tc>
        <w:tc>
          <w:tcPr>
            <w:tcW w:w="1057" w:type="pct"/>
            <w:tcBorders>
              <w:top w:val="nil"/>
              <w:bottom w:val="single" w:sz="4" w:space="0" w:color="auto"/>
            </w:tcBorders>
            <w:vAlign w:val="center"/>
          </w:tcPr>
          <w:p w14:paraId="11EE9E62" w14:textId="77777777" w:rsidR="008D461D" w:rsidRPr="00E20031" w:rsidRDefault="008D461D">
            <w:pPr>
              <w:pStyle w:val="TableText0"/>
              <w:keepNext w:val="0"/>
              <w:rPr>
                <w:b/>
                <w:bCs w:val="0"/>
              </w:rPr>
            </w:pPr>
            <w:r w:rsidRPr="00E20031">
              <w:rPr>
                <w:i/>
                <w:iCs/>
              </w:rPr>
              <w:t>The Lancet</w:t>
            </w:r>
            <w:r w:rsidRPr="00E20031">
              <w:t xml:space="preserve"> 2023; 402(10411): 1434 – 1448.</w:t>
            </w:r>
          </w:p>
        </w:tc>
      </w:tr>
      <w:tr w:rsidR="008D461D" w:rsidRPr="00E20031" w14:paraId="42FA4676" w14:textId="77777777">
        <w:trPr>
          <w:jc w:val="center"/>
        </w:trPr>
        <w:tc>
          <w:tcPr>
            <w:tcW w:w="1037" w:type="pct"/>
            <w:vMerge w:val="restart"/>
            <w:tcBorders>
              <w:top w:val="nil"/>
            </w:tcBorders>
            <w:vAlign w:val="center"/>
          </w:tcPr>
          <w:p w14:paraId="23F46A1D" w14:textId="77777777" w:rsidR="008D461D" w:rsidRPr="00E20031" w:rsidRDefault="008D461D">
            <w:pPr>
              <w:pStyle w:val="TableText0"/>
              <w:rPr>
                <w:b/>
                <w:bCs w:val="0"/>
              </w:rPr>
            </w:pPr>
            <w:r w:rsidRPr="00E20031">
              <w:t>FILLY (NCT02503332)</w:t>
            </w:r>
          </w:p>
        </w:tc>
        <w:tc>
          <w:tcPr>
            <w:tcW w:w="2906" w:type="pct"/>
            <w:tcBorders>
              <w:top w:val="nil"/>
              <w:bottom w:val="nil"/>
            </w:tcBorders>
            <w:vAlign w:val="center"/>
          </w:tcPr>
          <w:p w14:paraId="7297AAA1" w14:textId="77777777" w:rsidR="008D461D" w:rsidRPr="00E20031" w:rsidRDefault="008D461D">
            <w:pPr>
              <w:pStyle w:val="TableText0"/>
              <w:keepNext w:val="0"/>
              <w:rPr>
                <w:b/>
                <w:bCs w:val="0"/>
                <w:szCs w:val="20"/>
              </w:rPr>
            </w:pPr>
            <w:r w:rsidRPr="0081488A">
              <w:rPr>
                <w:szCs w:val="20"/>
                <w:lang w:val="fr-CH"/>
              </w:rPr>
              <w:t xml:space="preserve">Wykoff, C. C., et al. </w:t>
            </w:r>
            <w:r w:rsidRPr="00E20031">
              <w:rPr>
                <w:szCs w:val="20"/>
              </w:rPr>
              <w:t xml:space="preserve">(2021). "Characterising New Onset Exudation in the Randomised phase 2 FILLY Trial of Complement Inhibitor Pegcetacoplan for Geographic Atrophy." </w:t>
            </w:r>
          </w:p>
        </w:tc>
        <w:tc>
          <w:tcPr>
            <w:tcW w:w="1057" w:type="pct"/>
            <w:tcBorders>
              <w:top w:val="nil"/>
              <w:bottom w:val="nil"/>
            </w:tcBorders>
            <w:vAlign w:val="center"/>
          </w:tcPr>
          <w:p w14:paraId="3F79E95C" w14:textId="40E8E58A" w:rsidR="008D461D" w:rsidRPr="00E20031" w:rsidRDefault="008D461D">
            <w:pPr>
              <w:pStyle w:val="TableText0"/>
              <w:keepNext w:val="0"/>
              <w:rPr>
                <w:b/>
                <w:bCs w:val="0"/>
                <w:i/>
                <w:iCs/>
              </w:rPr>
            </w:pPr>
            <w:r w:rsidRPr="00E20031">
              <w:rPr>
                <w:i/>
                <w:iCs/>
                <w:szCs w:val="20"/>
              </w:rPr>
              <w:t xml:space="preserve">Ophthalmology </w:t>
            </w:r>
            <w:r w:rsidRPr="00E20031">
              <w:rPr>
                <w:szCs w:val="20"/>
              </w:rPr>
              <w:t>2021; 128(9):1325</w:t>
            </w:r>
            <w:r w:rsidR="00397B07">
              <w:rPr>
                <w:szCs w:val="20"/>
              </w:rPr>
              <w:noBreakHyphen/>
            </w:r>
            <w:r w:rsidRPr="00E20031">
              <w:rPr>
                <w:szCs w:val="20"/>
              </w:rPr>
              <w:t>1336.</w:t>
            </w:r>
          </w:p>
        </w:tc>
      </w:tr>
      <w:tr w:rsidR="008D461D" w:rsidRPr="00E20031" w14:paraId="5488118A" w14:textId="77777777">
        <w:trPr>
          <w:jc w:val="center"/>
        </w:trPr>
        <w:tc>
          <w:tcPr>
            <w:tcW w:w="1037" w:type="pct"/>
            <w:vMerge/>
            <w:vAlign w:val="center"/>
          </w:tcPr>
          <w:p w14:paraId="166E071E" w14:textId="77777777" w:rsidR="008D461D" w:rsidRPr="00E20031" w:rsidRDefault="008D461D">
            <w:pPr>
              <w:pStyle w:val="TableText0"/>
              <w:rPr>
                <w:b/>
                <w:bCs w:val="0"/>
              </w:rPr>
            </w:pPr>
          </w:p>
        </w:tc>
        <w:tc>
          <w:tcPr>
            <w:tcW w:w="2906" w:type="pct"/>
            <w:tcBorders>
              <w:top w:val="nil"/>
              <w:bottom w:val="nil"/>
            </w:tcBorders>
            <w:vAlign w:val="center"/>
          </w:tcPr>
          <w:p w14:paraId="1613D31B" w14:textId="77777777" w:rsidR="008D461D" w:rsidRPr="00E20031" w:rsidRDefault="008D461D">
            <w:pPr>
              <w:pStyle w:val="TableText0"/>
              <w:keepNext w:val="0"/>
              <w:rPr>
                <w:b/>
                <w:bCs w:val="0"/>
                <w:szCs w:val="20"/>
              </w:rPr>
            </w:pPr>
            <w:r w:rsidRPr="00E20031">
              <w:rPr>
                <w:szCs w:val="20"/>
              </w:rPr>
              <w:t>Pfau, M., et al. Association of complement C3 inhibitor pegcetacoplan with reduced photoreceptor degeneration beyond areas of geographic atrophy.</w:t>
            </w:r>
          </w:p>
        </w:tc>
        <w:tc>
          <w:tcPr>
            <w:tcW w:w="1057" w:type="pct"/>
            <w:tcBorders>
              <w:top w:val="nil"/>
              <w:bottom w:val="nil"/>
            </w:tcBorders>
            <w:vAlign w:val="center"/>
          </w:tcPr>
          <w:p w14:paraId="1196780C" w14:textId="77777777" w:rsidR="008D461D" w:rsidRPr="00E20031" w:rsidRDefault="008D461D">
            <w:pPr>
              <w:pStyle w:val="TableText0"/>
              <w:keepNext w:val="0"/>
              <w:rPr>
                <w:b/>
                <w:bCs w:val="0"/>
                <w:i/>
                <w:iCs/>
              </w:rPr>
            </w:pPr>
            <w:r w:rsidRPr="00E20031">
              <w:rPr>
                <w:i/>
                <w:iCs/>
                <w:szCs w:val="20"/>
              </w:rPr>
              <w:t>Scientific Reports</w:t>
            </w:r>
            <w:r w:rsidRPr="00E20031">
              <w:rPr>
                <w:szCs w:val="20"/>
              </w:rPr>
              <w:t xml:space="preserve"> 2022; 12(1): 17870.</w:t>
            </w:r>
          </w:p>
        </w:tc>
      </w:tr>
      <w:tr w:rsidR="008D461D" w:rsidRPr="00E20031" w14:paraId="2E004A7E" w14:textId="77777777">
        <w:trPr>
          <w:jc w:val="center"/>
        </w:trPr>
        <w:tc>
          <w:tcPr>
            <w:tcW w:w="1037" w:type="pct"/>
            <w:vMerge/>
            <w:vAlign w:val="center"/>
          </w:tcPr>
          <w:p w14:paraId="0315C948" w14:textId="77777777" w:rsidR="008D461D" w:rsidRPr="00E20031" w:rsidRDefault="008D461D">
            <w:pPr>
              <w:pStyle w:val="TableText0"/>
              <w:rPr>
                <w:b/>
                <w:bCs w:val="0"/>
              </w:rPr>
            </w:pPr>
          </w:p>
        </w:tc>
        <w:tc>
          <w:tcPr>
            <w:tcW w:w="2906" w:type="pct"/>
            <w:tcBorders>
              <w:top w:val="nil"/>
              <w:bottom w:val="nil"/>
            </w:tcBorders>
            <w:vAlign w:val="center"/>
          </w:tcPr>
          <w:p w14:paraId="75D78314" w14:textId="77777777" w:rsidR="008D461D" w:rsidRPr="00E20031" w:rsidRDefault="008D461D">
            <w:pPr>
              <w:pStyle w:val="TableText0"/>
              <w:keepNext w:val="0"/>
              <w:rPr>
                <w:b/>
                <w:bCs w:val="0"/>
                <w:szCs w:val="20"/>
              </w:rPr>
            </w:pPr>
            <w:r w:rsidRPr="0081488A">
              <w:rPr>
                <w:szCs w:val="20"/>
                <w:lang w:val="fr-CH"/>
              </w:rPr>
              <w:t xml:space="preserve">Steinle, N. C., et al. </w:t>
            </w:r>
            <w:r w:rsidRPr="00E20031">
              <w:rPr>
                <w:szCs w:val="20"/>
              </w:rPr>
              <w:t>Impact of Baseline Characteristics on Geographic Atrophy Progression in the FILLY Trial Evaluating the Complement C3 Inhibitor Pegcetacoplan.</w:t>
            </w:r>
          </w:p>
        </w:tc>
        <w:tc>
          <w:tcPr>
            <w:tcW w:w="1057" w:type="pct"/>
            <w:tcBorders>
              <w:top w:val="nil"/>
              <w:bottom w:val="nil"/>
            </w:tcBorders>
            <w:vAlign w:val="center"/>
          </w:tcPr>
          <w:p w14:paraId="67CC91BF" w14:textId="321AC85B" w:rsidR="008D461D" w:rsidRPr="00E20031" w:rsidRDefault="008D461D">
            <w:pPr>
              <w:pStyle w:val="TableText0"/>
              <w:keepNext w:val="0"/>
              <w:rPr>
                <w:b/>
                <w:bCs w:val="0"/>
                <w:i/>
                <w:iCs/>
              </w:rPr>
            </w:pPr>
            <w:r w:rsidRPr="00E20031">
              <w:rPr>
                <w:i/>
                <w:iCs/>
                <w:szCs w:val="20"/>
              </w:rPr>
              <w:t>American Journal of Ophthalmology</w:t>
            </w:r>
            <w:r w:rsidRPr="00E20031">
              <w:rPr>
                <w:szCs w:val="20"/>
              </w:rPr>
              <w:t xml:space="preserve"> 2021; 227: 116</w:t>
            </w:r>
            <w:r w:rsidR="00397B07">
              <w:rPr>
                <w:szCs w:val="20"/>
              </w:rPr>
              <w:noBreakHyphen/>
            </w:r>
            <w:r w:rsidRPr="00E20031">
              <w:rPr>
                <w:szCs w:val="20"/>
              </w:rPr>
              <w:t>124.</w:t>
            </w:r>
          </w:p>
        </w:tc>
      </w:tr>
      <w:tr w:rsidR="008D461D" w:rsidRPr="00E20031" w14:paraId="1A2C08A5" w14:textId="77777777">
        <w:trPr>
          <w:jc w:val="center"/>
        </w:trPr>
        <w:tc>
          <w:tcPr>
            <w:tcW w:w="1037" w:type="pct"/>
            <w:vMerge/>
            <w:vAlign w:val="center"/>
          </w:tcPr>
          <w:p w14:paraId="5C369226" w14:textId="77777777" w:rsidR="008D461D" w:rsidRPr="00E20031" w:rsidRDefault="008D461D">
            <w:pPr>
              <w:pStyle w:val="TableText0"/>
              <w:rPr>
                <w:b/>
                <w:bCs w:val="0"/>
              </w:rPr>
            </w:pPr>
          </w:p>
        </w:tc>
        <w:tc>
          <w:tcPr>
            <w:tcW w:w="2906" w:type="pct"/>
            <w:tcBorders>
              <w:top w:val="nil"/>
              <w:bottom w:val="nil"/>
            </w:tcBorders>
            <w:vAlign w:val="center"/>
          </w:tcPr>
          <w:p w14:paraId="3491957F" w14:textId="35C5EA29" w:rsidR="008D461D" w:rsidRPr="00E20031" w:rsidRDefault="008D461D">
            <w:pPr>
              <w:pStyle w:val="TableText0"/>
              <w:keepNext w:val="0"/>
              <w:rPr>
                <w:b/>
                <w:bCs w:val="0"/>
                <w:szCs w:val="20"/>
              </w:rPr>
            </w:pPr>
            <w:r w:rsidRPr="00E20031">
              <w:rPr>
                <w:szCs w:val="20"/>
              </w:rPr>
              <w:t>Riedl, S., et al. The Effect of Pegcetacoplan Treatment on Photoreceptor Maintenance in Geographic Atrophy Monitored by Artificial Intelligence</w:t>
            </w:r>
            <w:r w:rsidR="00397B07">
              <w:rPr>
                <w:szCs w:val="20"/>
              </w:rPr>
              <w:noBreakHyphen/>
            </w:r>
            <w:r w:rsidRPr="00E20031">
              <w:rPr>
                <w:szCs w:val="20"/>
              </w:rPr>
              <w:t>Based OCT Analysis.</w:t>
            </w:r>
          </w:p>
        </w:tc>
        <w:tc>
          <w:tcPr>
            <w:tcW w:w="1057" w:type="pct"/>
            <w:tcBorders>
              <w:top w:val="nil"/>
              <w:bottom w:val="nil"/>
            </w:tcBorders>
            <w:vAlign w:val="center"/>
          </w:tcPr>
          <w:p w14:paraId="5020ECDF" w14:textId="2D5D4FD1" w:rsidR="008D461D" w:rsidRPr="00E20031" w:rsidRDefault="008D461D">
            <w:pPr>
              <w:pStyle w:val="TableText0"/>
              <w:keepNext w:val="0"/>
              <w:rPr>
                <w:b/>
                <w:bCs w:val="0"/>
                <w:i/>
                <w:iCs/>
              </w:rPr>
            </w:pPr>
            <w:r w:rsidRPr="00E20031">
              <w:rPr>
                <w:i/>
                <w:iCs/>
                <w:szCs w:val="20"/>
              </w:rPr>
              <w:t>Ophthalmology Retina</w:t>
            </w:r>
            <w:r w:rsidRPr="00E20031">
              <w:rPr>
                <w:szCs w:val="20"/>
              </w:rPr>
              <w:t xml:space="preserve"> 2022; 6(11): 1009</w:t>
            </w:r>
            <w:r w:rsidR="00397B07">
              <w:rPr>
                <w:szCs w:val="20"/>
              </w:rPr>
              <w:noBreakHyphen/>
            </w:r>
            <w:r w:rsidRPr="00E20031">
              <w:rPr>
                <w:szCs w:val="20"/>
              </w:rPr>
              <w:t>1018.</w:t>
            </w:r>
          </w:p>
        </w:tc>
      </w:tr>
      <w:tr w:rsidR="008D461D" w:rsidRPr="00E20031" w14:paraId="5C30350C" w14:textId="77777777">
        <w:trPr>
          <w:jc w:val="center"/>
        </w:trPr>
        <w:tc>
          <w:tcPr>
            <w:tcW w:w="1037" w:type="pct"/>
            <w:vMerge/>
            <w:vAlign w:val="center"/>
          </w:tcPr>
          <w:p w14:paraId="26546F6B" w14:textId="77777777" w:rsidR="008D461D" w:rsidRPr="00E20031" w:rsidRDefault="008D461D">
            <w:pPr>
              <w:pStyle w:val="TableText0"/>
              <w:keepNext w:val="0"/>
              <w:rPr>
                <w:b/>
                <w:bCs w:val="0"/>
              </w:rPr>
            </w:pPr>
          </w:p>
        </w:tc>
        <w:tc>
          <w:tcPr>
            <w:tcW w:w="2906" w:type="pct"/>
            <w:tcBorders>
              <w:top w:val="nil"/>
              <w:bottom w:val="nil"/>
            </w:tcBorders>
            <w:vAlign w:val="center"/>
          </w:tcPr>
          <w:p w14:paraId="10432EAC" w14:textId="7A19E349" w:rsidR="008D461D" w:rsidRPr="00E20031" w:rsidRDefault="008D461D">
            <w:pPr>
              <w:pStyle w:val="TableText0"/>
              <w:keepNext w:val="0"/>
              <w:rPr>
                <w:b/>
                <w:bCs w:val="0"/>
                <w:szCs w:val="20"/>
              </w:rPr>
            </w:pPr>
            <w:r w:rsidRPr="00E20031">
              <w:rPr>
                <w:szCs w:val="20"/>
              </w:rPr>
              <w:t>Fu, D. J., et al. Deep</w:t>
            </w:r>
            <w:r w:rsidR="00397B07">
              <w:rPr>
                <w:szCs w:val="20"/>
              </w:rPr>
              <w:noBreakHyphen/>
            </w:r>
            <w:r w:rsidRPr="00E20031">
              <w:rPr>
                <w:szCs w:val="20"/>
              </w:rPr>
              <w:t>learning automated quantification of longitudinal OCT scans demonstrates reduced RPE loss rate, preservation of intact macular area and predictive value of isolated photoreceptor degeneration in geographic atrophy patients receiving C3 inhibition treatment.</w:t>
            </w:r>
          </w:p>
        </w:tc>
        <w:tc>
          <w:tcPr>
            <w:tcW w:w="1057" w:type="pct"/>
            <w:tcBorders>
              <w:top w:val="nil"/>
              <w:bottom w:val="nil"/>
            </w:tcBorders>
            <w:vAlign w:val="center"/>
          </w:tcPr>
          <w:p w14:paraId="7C6224F1" w14:textId="106F13BD" w:rsidR="008D461D" w:rsidRPr="00E20031" w:rsidRDefault="008D461D">
            <w:pPr>
              <w:pStyle w:val="TableText0"/>
              <w:keepNext w:val="0"/>
              <w:rPr>
                <w:b/>
                <w:bCs w:val="0"/>
                <w:i/>
                <w:iCs/>
              </w:rPr>
            </w:pPr>
            <w:r w:rsidRPr="00E20031">
              <w:rPr>
                <w:i/>
                <w:iCs/>
                <w:szCs w:val="20"/>
              </w:rPr>
              <w:t xml:space="preserve">The British Journal of Ophthalmology </w:t>
            </w:r>
            <w:r w:rsidRPr="00E20031">
              <w:rPr>
                <w:szCs w:val="20"/>
              </w:rPr>
              <w:t xml:space="preserve">2023; 24: </w:t>
            </w:r>
            <w:r w:rsidRPr="00E20031">
              <w:rPr>
                <w:rFonts w:cs="Segoe UI"/>
                <w:shd w:val="clear" w:color="auto" w:fill="FFFFFF"/>
              </w:rPr>
              <w:t>bjo</w:t>
            </w:r>
            <w:r w:rsidR="00397B07">
              <w:rPr>
                <w:rFonts w:cs="Segoe UI"/>
                <w:shd w:val="clear" w:color="auto" w:fill="FFFFFF"/>
              </w:rPr>
              <w:noBreakHyphen/>
            </w:r>
            <w:r w:rsidRPr="00E20031">
              <w:rPr>
                <w:rFonts w:cs="Segoe UI"/>
                <w:shd w:val="clear" w:color="auto" w:fill="FFFFFF"/>
              </w:rPr>
              <w:t>2022</w:t>
            </w:r>
            <w:r w:rsidR="00397B07">
              <w:rPr>
                <w:rFonts w:cs="Segoe UI"/>
                <w:shd w:val="clear" w:color="auto" w:fill="FFFFFF"/>
              </w:rPr>
              <w:noBreakHyphen/>
            </w:r>
            <w:r w:rsidRPr="00E20031">
              <w:rPr>
                <w:rFonts w:cs="Segoe UI"/>
                <w:shd w:val="clear" w:color="auto" w:fill="FFFFFF"/>
              </w:rPr>
              <w:t>322672.</w:t>
            </w:r>
          </w:p>
        </w:tc>
      </w:tr>
      <w:tr w:rsidR="008D461D" w:rsidRPr="00E20031" w14:paraId="1F42E8B5" w14:textId="77777777">
        <w:trPr>
          <w:jc w:val="center"/>
        </w:trPr>
        <w:tc>
          <w:tcPr>
            <w:tcW w:w="1037" w:type="pct"/>
            <w:vMerge/>
            <w:vAlign w:val="center"/>
          </w:tcPr>
          <w:p w14:paraId="4070052C" w14:textId="77777777" w:rsidR="008D461D" w:rsidRPr="00E20031" w:rsidRDefault="008D461D">
            <w:pPr>
              <w:pStyle w:val="TableText0"/>
              <w:keepNext w:val="0"/>
              <w:rPr>
                <w:b/>
                <w:bCs w:val="0"/>
              </w:rPr>
            </w:pPr>
          </w:p>
        </w:tc>
        <w:tc>
          <w:tcPr>
            <w:tcW w:w="2906" w:type="pct"/>
            <w:tcBorders>
              <w:top w:val="nil"/>
              <w:bottom w:val="nil"/>
            </w:tcBorders>
            <w:vAlign w:val="center"/>
          </w:tcPr>
          <w:p w14:paraId="24832D79" w14:textId="3921E6BE" w:rsidR="008D461D" w:rsidRPr="00E20031" w:rsidRDefault="008D461D">
            <w:pPr>
              <w:pStyle w:val="TableText0"/>
              <w:keepNext w:val="0"/>
              <w:rPr>
                <w:b/>
                <w:bCs w:val="0"/>
                <w:szCs w:val="20"/>
              </w:rPr>
            </w:pPr>
            <w:r w:rsidRPr="0081488A">
              <w:rPr>
                <w:szCs w:val="20"/>
                <w:lang w:val="fr-CH"/>
              </w:rPr>
              <w:t xml:space="preserve">Nittala, M. G., et al. </w:t>
            </w:r>
            <w:r w:rsidRPr="00E20031">
              <w:rPr>
                <w:szCs w:val="20"/>
              </w:rPr>
              <w:t>Association of Pegcetacoplan With Progression of Incomplete Retinal Pigment Epithelium and Outer Retinal Atrophy in Age</w:t>
            </w:r>
            <w:r w:rsidR="00397B07">
              <w:rPr>
                <w:szCs w:val="20"/>
              </w:rPr>
              <w:noBreakHyphen/>
            </w:r>
            <w:r w:rsidRPr="00E20031">
              <w:rPr>
                <w:szCs w:val="20"/>
              </w:rPr>
              <w:t>Related Macular Degeneration: a Post</w:t>
            </w:r>
            <w:r w:rsidR="00397B07">
              <w:rPr>
                <w:szCs w:val="20"/>
              </w:rPr>
              <w:noBreakHyphen/>
            </w:r>
            <w:r w:rsidRPr="00E20031">
              <w:rPr>
                <w:szCs w:val="20"/>
              </w:rPr>
              <w:t>Hoc Analysis of the FILLY Randomised Clinical Trial.</w:t>
            </w:r>
          </w:p>
        </w:tc>
        <w:tc>
          <w:tcPr>
            <w:tcW w:w="1057" w:type="pct"/>
            <w:tcBorders>
              <w:top w:val="nil"/>
              <w:bottom w:val="nil"/>
            </w:tcBorders>
            <w:vAlign w:val="center"/>
          </w:tcPr>
          <w:p w14:paraId="57742F2E" w14:textId="14D451F9" w:rsidR="008D461D" w:rsidRPr="00E20031" w:rsidRDefault="008D461D">
            <w:pPr>
              <w:pStyle w:val="TableText0"/>
              <w:keepNext w:val="0"/>
              <w:rPr>
                <w:b/>
                <w:bCs w:val="0"/>
                <w:i/>
                <w:iCs/>
              </w:rPr>
            </w:pPr>
            <w:r w:rsidRPr="00E20031">
              <w:rPr>
                <w:i/>
                <w:iCs/>
                <w:szCs w:val="20"/>
              </w:rPr>
              <w:t>JAMA Ophthalmology</w:t>
            </w:r>
            <w:r w:rsidRPr="00E20031">
              <w:rPr>
                <w:szCs w:val="20"/>
              </w:rPr>
              <w:t xml:space="preserve"> 2022; 140(3): 243</w:t>
            </w:r>
            <w:r w:rsidR="00397B07">
              <w:rPr>
                <w:szCs w:val="20"/>
              </w:rPr>
              <w:noBreakHyphen/>
            </w:r>
            <w:r w:rsidRPr="00E20031">
              <w:rPr>
                <w:szCs w:val="20"/>
              </w:rPr>
              <w:t>249.</w:t>
            </w:r>
          </w:p>
        </w:tc>
      </w:tr>
      <w:tr w:rsidR="008D461D" w:rsidRPr="00E20031" w14:paraId="387512D5" w14:textId="77777777">
        <w:trPr>
          <w:jc w:val="center"/>
        </w:trPr>
        <w:tc>
          <w:tcPr>
            <w:tcW w:w="1037" w:type="pct"/>
            <w:vMerge/>
            <w:vAlign w:val="center"/>
          </w:tcPr>
          <w:p w14:paraId="64E617EE" w14:textId="77777777" w:rsidR="008D461D" w:rsidRPr="00E20031" w:rsidRDefault="008D461D">
            <w:pPr>
              <w:pStyle w:val="TableText0"/>
              <w:keepNext w:val="0"/>
              <w:rPr>
                <w:b/>
                <w:bCs w:val="0"/>
              </w:rPr>
            </w:pPr>
          </w:p>
        </w:tc>
        <w:tc>
          <w:tcPr>
            <w:tcW w:w="2906" w:type="pct"/>
            <w:tcBorders>
              <w:top w:val="nil"/>
              <w:bottom w:val="nil"/>
            </w:tcBorders>
            <w:vAlign w:val="center"/>
          </w:tcPr>
          <w:p w14:paraId="6A30FDCB" w14:textId="77777777" w:rsidR="008D461D" w:rsidRPr="00E20031" w:rsidRDefault="008D461D">
            <w:pPr>
              <w:pStyle w:val="TableText0"/>
              <w:keepNext w:val="0"/>
              <w:rPr>
                <w:b/>
                <w:bCs w:val="0"/>
                <w:szCs w:val="20"/>
              </w:rPr>
            </w:pPr>
            <w:r w:rsidRPr="0081488A">
              <w:rPr>
                <w:szCs w:val="20"/>
                <w:lang w:val="fr-CH"/>
              </w:rPr>
              <w:t xml:space="preserve">Vogl, W. D., et al. </w:t>
            </w:r>
            <w:r w:rsidRPr="00E20031">
              <w:rPr>
                <w:szCs w:val="20"/>
              </w:rPr>
              <w:t>Predicting Topographic Disease Progression and Treatment Response of Pegcetacoplan in Geographic Atrophy Quantified by Deep Learning.</w:t>
            </w:r>
          </w:p>
        </w:tc>
        <w:tc>
          <w:tcPr>
            <w:tcW w:w="1057" w:type="pct"/>
            <w:tcBorders>
              <w:top w:val="nil"/>
              <w:bottom w:val="nil"/>
            </w:tcBorders>
            <w:vAlign w:val="center"/>
          </w:tcPr>
          <w:p w14:paraId="74854A02" w14:textId="73AFE296" w:rsidR="008D461D" w:rsidRPr="00E20031" w:rsidRDefault="008D461D">
            <w:pPr>
              <w:pStyle w:val="TableText0"/>
              <w:keepNext w:val="0"/>
              <w:rPr>
                <w:b/>
                <w:bCs w:val="0"/>
                <w:i/>
                <w:iCs/>
              </w:rPr>
            </w:pPr>
            <w:r w:rsidRPr="00E20031">
              <w:rPr>
                <w:i/>
                <w:iCs/>
                <w:szCs w:val="20"/>
              </w:rPr>
              <w:t>Ophthalmology Retina</w:t>
            </w:r>
            <w:r w:rsidRPr="00E20031">
              <w:rPr>
                <w:szCs w:val="20"/>
              </w:rPr>
              <w:t xml:space="preserve"> 2023; 7(1): 4</w:t>
            </w:r>
            <w:r w:rsidR="00397B07">
              <w:rPr>
                <w:szCs w:val="20"/>
              </w:rPr>
              <w:noBreakHyphen/>
            </w:r>
            <w:r w:rsidRPr="00E20031">
              <w:rPr>
                <w:szCs w:val="20"/>
              </w:rPr>
              <w:t>13.</w:t>
            </w:r>
          </w:p>
        </w:tc>
      </w:tr>
      <w:tr w:rsidR="008D461D" w:rsidRPr="00E20031" w14:paraId="4D0BA55F" w14:textId="77777777">
        <w:trPr>
          <w:jc w:val="center"/>
        </w:trPr>
        <w:tc>
          <w:tcPr>
            <w:tcW w:w="1037" w:type="pct"/>
            <w:vMerge/>
            <w:vAlign w:val="center"/>
          </w:tcPr>
          <w:p w14:paraId="7E6042A0" w14:textId="77777777" w:rsidR="008D461D" w:rsidRPr="00E20031" w:rsidRDefault="008D461D">
            <w:pPr>
              <w:pStyle w:val="TableText0"/>
              <w:keepNext w:val="0"/>
              <w:rPr>
                <w:b/>
                <w:bCs w:val="0"/>
              </w:rPr>
            </w:pPr>
          </w:p>
        </w:tc>
        <w:tc>
          <w:tcPr>
            <w:tcW w:w="2906" w:type="pct"/>
            <w:tcBorders>
              <w:top w:val="nil"/>
              <w:bottom w:val="nil"/>
            </w:tcBorders>
            <w:vAlign w:val="center"/>
          </w:tcPr>
          <w:p w14:paraId="4DE8FEBE" w14:textId="06CEB136" w:rsidR="008D461D" w:rsidRPr="00E20031" w:rsidRDefault="008D461D">
            <w:pPr>
              <w:pStyle w:val="TableText0"/>
              <w:keepNext w:val="0"/>
              <w:rPr>
                <w:b/>
                <w:bCs w:val="0"/>
                <w:szCs w:val="20"/>
              </w:rPr>
            </w:pPr>
            <w:r w:rsidRPr="0081488A">
              <w:rPr>
                <w:szCs w:val="20"/>
                <w:lang w:val="fr-CH"/>
              </w:rPr>
              <w:t xml:space="preserve">Liao, D. S., et al. </w:t>
            </w:r>
            <w:r w:rsidRPr="00E20031">
              <w:rPr>
                <w:szCs w:val="20"/>
              </w:rPr>
              <w:t>Complement C3 Inhibitor Pegcetacoplan for Geographic Atrophy Secondary to Age</w:t>
            </w:r>
            <w:r w:rsidR="00397B07">
              <w:rPr>
                <w:szCs w:val="20"/>
              </w:rPr>
              <w:noBreakHyphen/>
            </w:r>
            <w:r w:rsidRPr="00E20031">
              <w:rPr>
                <w:szCs w:val="20"/>
              </w:rPr>
              <w:t>Related Macular Degeneration: A Randomised phase 2 Trial.</w:t>
            </w:r>
          </w:p>
        </w:tc>
        <w:tc>
          <w:tcPr>
            <w:tcW w:w="1057" w:type="pct"/>
            <w:tcBorders>
              <w:top w:val="nil"/>
              <w:bottom w:val="nil"/>
            </w:tcBorders>
            <w:vAlign w:val="center"/>
          </w:tcPr>
          <w:p w14:paraId="7E819A5C" w14:textId="09AD2BC3" w:rsidR="008D461D" w:rsidRPr="00E20031" w:rsidRDefault="008D461D">
            <w:pPr>
              <w:pStyle w:val="TableText0"/>
              <w:keepNext w:val="0"/>
              <w:rPr>
                <w:b/>
                <w:bCs w:val="0"/>
                <w:i/>
                <w:iCs/>
              </w:rPr>
            </w:pPr>
            <w:r w:rsidRPr="00E20031">
              <w:rPr>
                <w:i/>
                <w:iCs/>
                <w:szCs w:val="20"/>
              </w:rPr>
              <w:t>Ophthalmology</w:t>
            </w:r>
            <w:r w:rsidRPr="00E20031">
              <w:rPr>
                <w:szCs w:val="20"/>
              </w:rPr>
              <w:t xml:space="preserve"> 2020; 127(2): 186</w:t>
            </w:r>
            <w:r w:rsidR="00397B07">
              <w:rPr>
                <w:szCs w:val="20"/>
              </w:rPr>
              <w:noBreakHyphen/>
            </w:r>
            <w:r w:rsidRPr="00E20031">
              <w:rPr>
                <w:szCs w:val="20"/>
              </w:rPr>
              <w:t>195.</w:t>
            </w:r>
          </w:p>
        </w:tc>
      </w:tr>
      <w:tr w:rsidR="008D461D" w:rsidRPr="00E20031" w14:paraId="5964A023" w14:textId="77777777">
        <w:trPr>
          <w:jc w:val="center"/>
        </w:trPr>
        <w:tc>
          <w:tcPr>
            <w:tcW w:w="1037" w:type="pct"/>
            <w:vMerge/>
            <w:tcBorders>
              <w:bottom w:val="single" w:sz="4" w:space="0" w:color="auto"/>
            </w:tcBorders>
            <w:vAlign w:val="center"/>
          </w:tcPr>
          <w:p w14:paraId="52D4015B" w14:textId="77777777" w:rsidR="008D461D" w:rsidRPr="00E20031" w:rsidRDefault="008D461D">
            <w:pPr>
              <w:pStyle w:val="TableText0"/>
              <w:keepNext w:val="0"/>
              <w:rPr>
                <w:b/>
                <w:bCs w:val="0"/>
              </w:rPr>
            </w:pPr>
          </w:p>
        </w:tc>
        <w:tc>
          <w:tcPr>
            <w:tcW w:w="2906" w:type="pct"/>
            <w:tcBorders>
              <w:top w:val="nil"/>
              <w:bottom w:val="single" w:sz="4" w:space="0" w:color="auto"/>
            </w:tcBorders>
            <w:vAlign w:val="center"/>
          </w:tcPr>
          <w:p w14:paraId="2A44E3B7" w14:textId="3A28478E" w:rsidR="008D461D" w:rsidRPr="00E20031" w:rsidRDefault="008D461D">
            <w:pPr>
              <w:pStyle w:val="TableText0"/>
              <w:keepNext w:val="0"/>
              <w:rPr>
                <w:b/>
                <w:bCs w:val="0"/>
                <w:szCs w:val="20"/>
              </w:rPr>
            </w:pPr>
            <w:r w:rsidRPr="00E20031">
              <w:rPr>
                <w:szCs w:val="20"/>
              </w:rPr>
              <w:t>Mai, J., et al. Comparison of Fundus Autofluorescence Versus Optical Coherence Tomography</w:t>
            </w:r>
            <w:r w:rsidR="00397B07">
              <w:rPr>
                <w:szCs w:val="20"/>
              </w:rPr>
              <w:noBreakHyphen/>
            </w:r>
            <w:r w:rsidRPr="00E20031">
              <w:rPr>
                <w:szCs w:val="20"/>
              </w:rPr>
              <w:t>based Evaluation of the Therapeutic Response to Pegcetacoplan in Geographic Atrophy.</w:t>
            </w:r>
          </w:p>
        </w:tc>
        <w:tc>
          <w:tcPr>
            <w:tcW w:w="1057" w:type="pct"/>
            <w:tcBorders>
              <w:top w:val="nil"/>
              <w:bottom w:val="single" w:sz="4" w:space="0" w:color="auto"/>
            </w:tcBorders>
            <w:vAlign w:val="center"/>
          </w:tcPr>
          <w:p w14:paraId="2FE0AD49" w14:textId="63F89FD9" w:rsidR="008D461D" w:rsidRPr="00E20031" w:rsidRDefault="008D461D">
            <w:pPr>
              <w:pStyle w:val="TableText0"/>
              <w:keepNext w:val="0"/>
              <w:rPr>
                <w:b/>
                <w:bCs w:val="0"/>
                <w:i/>
                <w:iCs/>
              </w:rPr>
            </w:pPr>
            <w:r w:rsidRPr="00E20031">
              <w:rPr>
                <w:i/>
                <w:iCs/>
                <w:szCs w:val="20"/>
              </w:rPr>
              <w:t>American Journal of Ophthalmology</w:t>
            </w:r>
            <w:r w:rsidRPr="00E20031">
              <w:rPr>
                <w:szCs w:val="20"/>
              </w:rPr>
              <w:t xml:space="preserve"> 2022; 244: 175</w:t>
            </w:r>
            <w:r w:rsidR="00397B07">
              <w:rPr>
                <w:szCs w:val="20"/>
              </w:rPr>
              <w:noBreakHyphen/>
            </w:r>
            <w:r w:rsidRPr="00E20031">
              <w:rPr>
                <w:szCs w:val="20"/>
              </w:rPr>
              <w:t>182.</w:t>
            </w:r>
          </w:p>
        </w:tc>
      </w:tr>
      <w:tr w:rsidR="008D461D" w:rsidRPr="00E20031" w14:paraId="35B38404" w14:textId="77777777">
        <w:trPr>
          <w:jc w:val="center"/>
        </w:trPr>
        <w:tc>
          <w:tcPr>
            <w:tcW w:w="1037" w:type="pct"/>
            <w:vMerge w:val="restart"/>
            <w:tcBorders>
              <w:top w:val="single" w:sz="4" w:space="0" w:color="auto"/>
            </w:tcBorders>
            <w:vAlign w:val="center"/>
          </w:tcPr>
          <w:p w14:paraId="046037A9" w14:textId="77777777" w:rsidR="008D461D" w:rsidRPr="00E20031" w:rsidRDefault="008D461D">
            <w:pPr>
              <w:pStyle w:val="TableText0"/>
              <w:keepNext w:val="0"/>
              <w:jc w:val="center"/>
              <w:rPr>
                <w:b/>
                <w:bCs w:val="0"/>
              </w:rPr>
            </w:pPr>
            <w:r w:rsidRPr="00E20031">
              <w:t>GALE NCT04770545</w:t>
            </w:r>
          </w:p>
        </w:tc>
        <w:tc>
          <w:tcPr>
            <w:tcW w:w="2906" w:type="pct"/>
            <w:tcBorders>
              <w:top w:val="single" w:sz="4" w:space="0" w:color="auto"/>
              <w:bottom w:val="nil"/>
            </w:tcBorders>
            <w:vAlign w:val="center"/>
          </w:tcPr>
          <w:p w14:paraId="7A43F2CE" w14:textId="675DC4EA" w:rsidR="008D461D" w:rsidRPr="00E20031" w:rsidRDefault="008D461D">
            <w:pPr>
              <w:pStyle w:val="TableText0"/>
              <w:keepNext w:val="0"/>
              <w:rPr>
                <w:b/>
                <w:bCs w:val="0"/>
                <w:szCs w:val="18"/>
              </w:rPr>
            </w:pPr>
            <w:r w:rsidRPr="00E20031">
              <w:rPr>
                <w:szCs w:val="18"/>
              </w:rPr>
              <w:t xml:space="preserve">Steinle N., et al. </w:t>
            </w:r>
            <w:r w:rsidRPr="00E20031">
              <w:t>Long</w:t>
            </w:r>
            <w:r w:rsidR="00397B07">
              <w:noBreakHyphen/>
            </w:r>
            <w:r w:rsidRPr="00E20031">
              <w:t xml:space="preserve">Term Efficacy of Pegcetacoplan in Patients With Geographic Atrophy. </w:t>
            </w:r>
          </w:p>
        </w:tc>
        <w:tc>
          <w:tcPr>
            <w:tcW w:w="1057" w:type="pct"/>
            <w:tcBorders>
              <w:top w:val="single" w:sz="4" w:space="0" w:color="auto"/>
              <w:bottom w:val="nil"/>
            </w:tcBorders>
            <w:vAlign w:val="center"/>
          </w:tcPr>
          <w:p w14:paraId="1BC6D3AE" w14:textId="77777777" w:rsidR="008D461D" w:rsidRPr="00E20031" w:rsidRDefault="008D461D">
            <w:pPr>
              <w:pStyle w:val="TableText0"/>
              <w:keepNext w:val="0"/>
              <w:rPr>
                <w:b/>
                <w:bCs w:val="0"/>
              </w:rPr>
            </w:pPr>
            <w:r w:rsidRPr="00E20031">
              <w:t>American Society of Retina Specialists 41st Annual Meeting, Seattle WA, 2023.</w:t>
            </w:r>
          </w:p>
        </w:tc>
      </w:tr>
      <w:tr w:rsidR="008D461D" w:rsidRPr="00E20031" w14:paraId="6E2D5F58" w14:textId="77777777">
        <w:trPr>
          <w:jc w:val="center"/>
        </w:trPr>
        <w:tc>
          <w:tcPr>
            <w:tcW w:w="1037" w:type="pct"/>
            <w:vMerge/>
            <w:tcBorders>
              <w:bottom w:val="single" w:sz="4" w:space="0" w:color="auto"/>
            </w:tcBorders>
            <w:vAlign w:val="center"/>
          </w:tcPr>
          <w:p w14:paraId="42DC6412" w14:textId="77777777" w:rsidR="008D461D" w:rsidRPr="00E20031" w:rsidRDefault="008D461D">
            <w:pPr>
              <w:pStyle w:val="TableText0"/>
              <w:keepNext w:val="0"/>
              <w:rPr>
                <w:b/>
                <w:bCs w:val="0"/>
              </w:rPr>
            </w:pPr>
          </w:p>
        </w:tc>
        <w:tc>
          <w:tcPr>
            <w:tcW w:w="2906" w:type="pct"/>
            <w:tcBorders>
              <w:top w:val="nil"/>
              <w:bottom w:val="single" w:sz="4" w:space="0" w:color="auto"/>
            </w:tcBorders>
            <w:vAlign w:val="center"/>
          </w:tcPr>
          <w:p w14:paraId="1BF7DF7B" w14:textId="3BEE1F98" w:rsidR="008D461D" w:rsidRPr="00E20031" w:rsidRDefault="008D461D">
            <w:pPr>
              <w:pStyle w:val="TableText0"/>
              <w:keepNext w:val="0"/>
              <w:rPr>
                <w:b/>
                <w:bCs w:val="0"/>
                <w:szCs w:val="18"/>
              </w:rPr>
            </w:pPr>
            <w:r w:rsidRPr="00E20031">
              <w:t>Ursula Schmidt</w:t>
            </w:r>
            <w:r w:rsidR="00397B07">
              <w:noBreakHyphen/>
            </w:r>
            <w:r w:rsidRPr="00E20031">
              <w:t>Erfurth, J. M., et al. Effect of Pegcetacoplan on Photoreceptor and Retinal Pigment Epithelium Integrity in Geographic Atrophy in the Phase 3 Trials and GALE Extension Study.</w:t>
            </w:r>
          </w:p>
        </w:tc>
        <w:tc>
          <w:tcPr>
            <w:tcW w:w="1057" w:type="pct"/>
            <w:tcBorders>
              <w:top w:val="nil"/>
              <w:bottom w:val="single" w:sz="4" w:space="0" w:color="auto"/>
            </w:tcBorders>
            <w:vAlign w:val="center"/>
          </w:tcPr>
          <w:p w14:paraId="0F453C77" w14:textId="77777777" w:rsidR="008D461D" w:rsidRPr="00E20031" w:rsidRDefault="008D461D">
            <w:pPr>
              <w:pStyle w:val="TableText0"/>
              <w:keepNext w:val="0"/>
              <w:rPr>
                <w:b/>
                <w:bCs w:val="0"/>
              </w:rPr>
            </w:pPr>
            <w:r w:rsidRPr="00E20031">
              <w:t>American Society of Retina Specialists 41st Annual Meeting, Seattle WA, 2023.</w:t>
            </w:r>
          </w:p>
        </w:tc>
      </w:tr>
    </w:tbl>
    <w:p w14:paraId="5DAFA30F" w14:textId="3941ED58" w:rsidR="008D461D" w:rsidRPr="00E20031" w:rsidRDefault="008D461D" w:rsidP="008D461D">
      <w:pPr>
        <w:pStyle w:val="FooterTableFigure"/>
        <w:rPr>
          <w:sz w:val="20"/>
        </w:rPr>
      </w:pPr>
      <w:r w:rsidRPr="00E20031">
        <w:t>Source: Table 11, pp71</w:t>
      </w:r>
      <w:r w:rsidR="00397B07">
        <w:noBreakHyphen/>
      </w:r>
      <w:r w:rsidRPr="00E20031">
        <w:t>72 of the submission.</w:t>
      </w:r>
    </w:p>
    <w:p w14:paraId="360F6C76" w14:textId="387A4AB4" w:rsidR="008D461D" w:rsidRPr="00E20031" w:rsidRDefault="008D461D" w:rsidP="008D461D">
      <w:pPr>
        <w:pStyle w:val="3-BodyText"/>
        <w:rPr>
          <w:color w:val="0066FF"/>
        </w:rPr>
      </w:pPr>
      <w:r w:rsidRPr="00E20031">
        <w:lastRenderedPageBreak/>
        <w:t xml:space="preserve">The key features of the direct randomised trials are summarised in </w:t>
      </w:r>
      <w:r w:rsidRPr="00E20031">
        <w:fldChar w:fldCharType="begin"/>
      </w:r>
      <w:r w:rsidRPr="00E20031">
        <w:instrText xml:space="preserve"> REF _Ref104804098 \h  \* MERGEFORMAT </w:instrText>
      </w:r>
      <w:r w:rsidRPr="00E20031">
        <w:fldChar w:fldCharType="separate"/>
      </w:r>
      <w:r w:rsidR="00333CFE" w:rsidRPr="00333CFE">
        <w:t>Table 3</w:t>
      </w:r>
      <w:r w:rsidRPr="00E20031">
        <w:fldChar w:fldCharType="end"/>
      </w:r>
      <w:r w:rsidRPr="00E20031">
        <w:t>.</w:t>
      </w:r>
    </w:p>
    <w:p w14:paraId="08C0C7EF" w14:textId="36DACCEA" w:rsidR="008D461D" w:rsidRPr="00E20031" w:rsidRDefault="008D461D" w:rsidP="008D461D">
      <w:pPr>
        <w:pStyle w:val="Caption"/>
        <w:rPr>
          <w:rStyle w:val="CommentReference"/>
          <w:rFonts w:eastAsiaTheme="majorEastAsia" w:cstheme="majorBidi"/>
          <w:b/>
          <w:szCs w:val="24"/>
        </w:rPr>
      </w:pPr>
      <w:bookmarkStart w:id="37" w:name="_Ref104804098"/>
      <w:r w:rsidRPr="00E20031">
        <w:rPr>
          <w:rStyle w:val="CommentReference"/>
          <w:rFonts w:eastAsiaTheme="majorEastAsia" w:cstheme="majorBidi"/>
          <w:b/>
          <w:szCs w:val="24"/>
        </w:rPr>
        <w:t xml:space="preserve">Table </w:t>
      </w:r>
      <w:r w:rsidRPr="00E20031">
        <w:rPr>
          <w:rStyle w:val="CommentReference"/>
          <w:rFonts w:eastAsiaTheme="majorEastAsia" w:cstheme="majorBidi"/>
          <w:b/>
          <w:szCs w:val="24"/>
        </w:rPr>
        <w:fldChar w:fldCharType="begin"/>
      </w:r>
      <w:r w:rsidRPr="00E20031">
        <w:rPr>
          <w:rStyle w:val="CommentReference"/>
          <w:rFonts w:eastAsiaTheme="majorEastAsia" w:cstheme="majorBidi"/>
          <w:b/>
          <w:szCs w:val="24"/>
        </w:rPr>
        <w:instrText xml:space="preserve"> SEQ Table \* ARABIC </w:instrText>
      </w:r>
      <w:r w:rsidRPr="00E20031">
        <w:rPr>
          <w:rStyle w:val="CommentReference"/>
          <w:rFonts w:eastAsiaTheme="majorEastAsia" w:cstheme="majorBidi"/>
          <w:b/>
          <w:szCs w:val="24"/>
        </w:rPr>
        <w:fldChar w:fldCharType="separate"/>
      </w:r>
      <w:r w:rsidR="00333CFE">
        <w:rPr>
          <w:rStyle w:val="CommentReference"/>
          <w:rFonts w:eastAsiaTheme="majorEastAsia" w:cstheme="majorBidi"/>
          <w:b/>
          <w:noProof/>
          <w:szCs w:val="24"/>
        </w:rPr>
        <w:t>3</w:t>
      </w:r>
      <w:r w:rsidRPr="00E20031">
        <w:rPr>
          <w:rStyle w:val="CommentReference"/>
          <w:rFonts w:eastAsiaTheme="majorEastAsia" w:cstheme="majorBidi"/>
          <w:b/>
          <w:szCs w:val="24"/>
        </w:rPr>
        <w:fldChar w:fldCharType="end"/>
      </w:r>
      <w:bookmarkEnd w:id="37"/>
      <w:r w:rsidRPr="00E20031">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46"/>
        <w:gridCol w:w="566"/>
        <w:gridCol w:w="1277"/>
        <w:gridCol w:w="849"/>
        <w:gridCol w:w="1277"/>
        <w:gridCol w:w="3060"/>
        <w:gridCol w:w="1142"/>
      </w:tblGrid>
      <w:tr w:rsidR="008D461D" w:rsidRPr="00E20031" w14:paraId="7AC6CB8F" w14:textId="77777777" w:rsidTr="00FA3D5F">
        <w:trPr>
          <w:cantSplit/>
          <w:tblHeader/>
        </w:trPr>
        <w:tc>
          <w:tcPr>
            <w:tcW w:w="469" w:type="pct"/>
            <w:vAlign w:val="center"/>
          </w:tcPr>
          <w:p w14:paraId="66C2BFDD" w14:textId="77777777" w:rsidR="008D461D" w:rsidRPr="00E20031" w:rsidRDefault="008D461D" w:rsidP="00077D48">
            <w:pPr>
              <w:pStyle w:val="In-tableHeading"/>
            </w:pPr>
            <w:r w:rsidRPr="00E20031">
              <w:t>Trial</w:t>
            </w:r>
          </w:p>
        </w:tc>
        <w:tc>
          <w:tcPr>
            <w:tcW w:w="314" w:type="pct"/>
            <w:vAlign w:val="center"/>
          </w:tcPr>
          <w:p w14:paraId="58476949" w14:textId="77777777" w:rsidR="008D461D" w:rsidRPr="00E20031" w:rsidRDefault="008D461D" w:rsidP="00077D48">
            <w:pPr>
              <w:pStyle w:val="In-tableHeading"/>
            </w:pPr>
            <w:r w:rsidRPr="00E20031">
              <w:t>N</w:t>
            </w:r>
          </w:p>
        </w:tc>
        <w:tc>
          <w:tcPr>
            <w:tcW w:w="708" w:type="pct"/>
            <w:vAlign w:val="center"/>
          </w:tcPr>
          <w:p w14:paraId="469EF3DB" w14:textId="77777777" w:rsidR="008D461D" w:rsidRPr="00E20031" w:rsidRDefault="008D461D" w:rsidP="00077D48">
            <w:pPr>
              <w:pStyle w:val="In-tableHeading"/>
            </w:pPr>
            <w:r w:rsidRPr="00E20031">
              <w:t>Design/ duration</w:t>
            </w:r>
          </w:p>
        </w:tc>
        <w:tc>
          <w:tcPr>
            <w:tcW w:w="471" w:type="pct"/>
            <w:vAlign w:val="center"/>
          </w:tcPr>
          <w:p w14:paraId="5AFDE655" w14:textId="77777777" w:rsidR="008D461D" w:rsidRPr="00F04113" w:rsidRDefault="008D461D" w:rsidP="00077D48">
            <w:pPr>
              <w:pStyle w:val="In-tableHeading"/>
            </w:pPr>
            <w:r w:rsidRPr="00F04113">
              <w:t>Risk of bias</w:t>
            </w:r>
          </w:p>
        </w:tc>
        <w:tc>
          <w:tcPr>
            <w:tcW w:w="708" w:type="pct"/>
            <w:vAlign w:val="center"/>
          </w:tcPr>
          <w:p w14:paraId="597A398C" w14:textId="77777777" w:rsidR="008D461D" w:rsidRPr="00E20031" w:rsidRDefault="008D461D" w:rsidP="00077D48">
            <w:pPr>
              <w:pStyle w:val="In-tableHeading"/>
            </w:pPr>
            <w:r w:rsidRPr="00E20031">
              <w:t>Patient population</w:t>
            </w:r>
          </w:p>
        </w:tc>
        <w:tc>
          <w:tcPr>
            <w:tcW w:w="1697" w:type="pct"/>
            <w:vAlign w:val="center"/>
          </w:tcPr>
          <w:p w14:paraId="40FE9490" w14:textId="77777777" w:rsidR="008D461D" w:rsidRPr="00E20031" w:rsidRDefault="008D461D" w:rsidP="00077D48">
            <w:pPr>
              <w:pStyle w:val="In-tableHeading"/>
            </w:pPr>
            <w:r w:rsidRPr="00E20031">
              <w:t>Outcomes</w:t>
            </w:r>
          </w:p>
        </w:tc>
        <w:tc>
          <w:tcPr>
            <w:tcW w:w="633" w:type="pct"/>
            <w:vAlign w:val="center"/>
          </w:tcPr>
          <w:p w14:paraId="019636F3" w14:textId="77777777" w:rsidR="008D461D" w:rsidRPr="00E20031" w:rsidRDefault="008D461D" w:rsidP="00077D48">
            <w:pPr>
              <w:pStyle w:val="In-tableHeading"/>
            </w:pPr>
            <w:r w:rsidRPr="00E20031">
              <w:t>Use in modelled evaluation</w:t>
            </w:r>
          </w:p>
        </w:tc>
      </w:tr>
      <w:tr w:rsidR="008D461D" w:rsidRPr="00E20031" w14:paraId="3283C6F4" w14:textId="77777777">
        <w:trPr>
          <w:cantSplit/>
          <w:tblHeader/>
        </w:trPr>
        <w:tc>
          <w:tcPr>
            <w:tcW w:w="5000" w:type="pct"/>
            <w:gridSpan w:val="7"/>
            <w:vAlign w:val="center"/>
          </w:tcPr>
          <w:p w14:paraId="377C3180" w14:textId="77777777" w:rsidR="008D461D" w:rsidRPr="00F04113" w:rsidRDefault="008D461D" w:rsidP="00077D48">
            <w:pPr>
              <w:pStyle w:val="In-tableHeading"/>
            </w:pPr>
            <w:r w:rsidRPr="00F04113">
              <w:t>Pegcetacoplan (monthly or every other month) vs. sham injection (monthly or every other month)</w:t>
            </w:r>
          </w:p>
        </w:tc>
      </w:tr>
      <w:tr w:rsidR="008D461D" w:rsidRPr="00E20031" w14:paraId="7DF1DE2C" w14:textId="77777777">
        <w:trPr>
          <w:cantSplit/>
          <w:tblHeader/>
        </w:trPr>
        <w:tc>
          <w:tcPr>
            <w:tcW w:w="5000" w:type="pct"/>
            <w:gridSpan w:val="7"/>
            <w:vAlign w:val="center"/>
          </w:tcPr>
          <w:p w14:paraId="0474551D" w14:textId="77777777" w:rsidR="008D461D" w:rsidRPr="00F04113" w:rsidRDefault="008D461D" w:rsidP="00077D48">
            <w:pPr>
              <w:pStyle w:val="In-tableHeading"/>
            </w:pPr>
            <w:r w:rsidRPr="00F04113">
              <w:t>Key trials</w:t>
            </w:r>
          </w:p>
        </w:tc>
      </w:tr>
      <w:tr w:rsidR="008D461D" w:rsidRPr="00E20031" w14:paraId="50B0EA2E" w14:textId="77777777" w:rsidTr="00FA3D5F">
        <w:trPr>
          <w:cantSplit/>
          <w:tblHeader/>
        </w:trPr>
        <w:tc>
          <w:tcPr>
            <w:tcW w:w="469" w:type="pct"/>
            <w:vAlign w:val="center"/>
          </w:tcPr>
          <w:p w14:paraId="42E5375E" w14:textId="77777777" w:rsidR="008D461D" w:rsidRPr="00E20031" w:rsidRDefault="008D461D">
            <w:pPr>
              <w:pStyle w:val="TableText0"/>
              <w:rPr>
                <w:b/>
                <w:bCs w:val="0"/>
              </w:rPr>
            </w:pPr>
            <w:r w:rsidRPr="00E20031">
              <w:t>DERBY</w:t>
            </w:r>
          </w:p>
        </w:tc>
        <w:tc>
          <w:tcPr>
            <w:tcW w:w="314" w:type="pct"/>
            <w:vAlign w:val="center"/>
          </w:tcPr>
          <w:p w14:paraId="6E89F4E0" w14:textId="77777777" w:rsidR="008D461D" w:rsidRPr="00E20031" w:rsidRDefault="008D461D">
            <w:pPr>
              <w:pStyle w:val="TableText0"/>
              <w:jc w:val="center"/>
              <w:rPr>
                <w:b/>
                <w:bCs w:val="0"/>
              </w:rPr>
            </w:pPr>
            <w:r w:rsidRPr="00E20031">
              <w:t>597</w:t>
            </w:r>
          </w:p>
        </w:tc>
        <w:tc>
          <w:tcPr>
            <w:tcW w:w="708" w:type="pct"/>
            <w:vAlign w:val="center"/>
          </w:tcPr>
          <w:p w14:paraId="3D842C83" w14:textId="77777777" w:rsidR="008D461D" w:rsidRPr="00E20031" w:rsidRDefault="008D461D">
            <w:pPr>
              <w:pStyle w:val="TableText0"/>
              <w:jc w:val="center"/>
              <w:rPr>
                <w:b/>
                <w:bCs w:val="0"/>
              </w:rPr>
            </w:pPr>
            <w:r w:rsidRPr="00E20031">
              <w:t>R, DB</w:t>
            </w:r>
          </w:p>
          <w:p w14:paraId="12AC703D" w14:textId="77777777" w:rsidR="008D461D" w:rsidRPr="00E20031" w:rsidRDefault="008D461D">
            <w:pPr>
              <w:pStyle w:val="TableText0"/>
              <w:jc w:val="center"/>
              <w:rPr>
                <w:b/>
                <w:bCs w:val="0"/>
              </w:rPr>
            </w:pPr>
            <w:r w:rsidRPr="00E20031">
              <w:t>24 mths</w:t>
            </w:r>
          </w:p>
        </w:tc>
        <w:tc>
          <w:tcPr>
            <w:tcW w:w="471" w:type="pct"/>
            <w:vAlign w:val="center"/>
          </w:tcPr>
          <w:p w14:paraId="7C5A950B" w14:textId="77777777" w:rsidR="008D461D" w:rsidRPr="0058194D" w:rsidRDefault="008D461D">
            <w:pPr>
              <w:pStyle w:val="TableText0"/>
              <w:jc w:val="center"/>
              <w:rPr>
                <w:b/>
                <w:bCs w:val="0"/>
              </w:rPr>
            </w:pPr>
            <w:r w:rsidRPr="0058194D">
              <w:t>Low</w:t>
            </w:r>
          </w:p>
        </w:tc>
        <w:tc>
          <w:tcPr>
            <w:tcW w:w="708" w:type="pct"/>
            <w:vAlign w:val="center"/>
          </w:tcPr>
          <w:p w14:paraId="3A14D2BD" w14:textId="77777777" w:rsidR="008D461D" w:rsidRPr="00E20031" w:rsidRDefault="008D461D">
            <w:pPr>
              <w:pStyle w:val="TableText0"/>
              <w:jc w:val="center"/>
              <w:rPr>
                <w:b/>
                <w:bCs w:val="0"/>
              </w:rPr>
            </w:pPr>
            <w:r w:rsidRPr="00E20031">
              <w:t>GA secondary to AMD</w:t>
            </w:r>
          </w:p>
        </w:tc>
        <w:tc>
          <w:tcPr>
            <w:tcW w:w="1697" w:type="pct"/>
            <w:vAlign w:val="center"/>
          </w:tcPr>
          <w:p w14:paraId="4BE56D5C" w14:textId="77777777" w:rsidR="008D461D" w:rsidRPr="00E20031" w:rsidRDefault="008D461D">
            <w:pPr>
              <w:pStyle w:val="TableText0"/>
              <w:rPr>
                <w:b/>
                <w:bCs w:val="0"/>
                <w:szCs w:val="20"/>
              </w:rPr>
            </w:pPr>
            <w:r w:rsidRPr="00E20031">
              <w:rPr>
                <w:szCs w:val="20"/>
              </w:rPr>
              <w:t xml:space="preserve">Primary: CFB to month 12 in total area of GA lesions </w:t>
            </w:r>
          </w:p>
          <w:p w14:paraId="3BA12DF3" w14:textId="77777777" w:rsidR="008D461D" w:rsidRPr="00E20031" w:rsidRDefault="008D461D">
            <w:pPr>
              <w:pStyle w:val="Tabletext8pt"/>
              <w:suppressLineNumbers/>
              <w:contextualSpacing/>
              <w:rPr>
                <w:rFonts w:ascii="Arial Narrow" w:hAnsi="Arial Narrow"/>
                <w:bCs/>
                <w:sz w:val="20"/>
                <w:szCs w:val="20"/>
              </w:rPr>
            </w:pPr>
          </w:p>
          <w:p w14:paraId="316CA0B7" w14:textId="32EE708D" w:rsidR="008D461D" w:rsidRPr="00E20031" w:rsidRDefault="008D461D">
            <w:pPr>
              <w:pStyle w:val="Tabletext8pt"/>
              <w:suppressLineNumbers/>
              <w:contextualSpacing/>
              <w:rPr>
                <w:rFonts w:ascii="Arial Narrow" w:hAnsi="Arial Narrow"/>
                <w:bCs/>
                <w:sz w:val="20"/>
                <w:szCs w:val="20"/>
              </w:rPr>
            </w:pPr>
            <w:r w:rsidRPr="00E20031">
              <w:rPr>
                <w:rFonts w:ascii="Arial Narrow" w:hAnsi="Arial Narrow"/>
                <w:bCs/>
                <w:sz w:val="20"/>
                <w:szCs w:val="20"/>
              </w:rPr>
              <w:t>Secondary: CFB to month 24 in total area of GA lesions, monocular maximum reading speed, mean FRI Index score, mean NL</w:t>
            </w:r>
            <w:r w:rsidR="00397B07">
              <w:rPr>
                <w:rFonts w:ascii="Arial Narrow" w:hAnsi="Arial Narrow"/>
                <w:bCs/>
                <w:sz w:val="20"/>
                <w:szCs w:val="20"/>
              </w:rPr>
              <w:noBreakHyphen/>
            </w:r>
            <w:r w:rsidRPr="00E20031">
              <w:rPr>
                <w:rFonts w:ascii="Arial Narrow" w:hAnsi="Arial Narrow"/>
                <w:bCs/>
                <w:sz w:val="20"/>
                <w:szCs w:val="20"/>
              </w:rPr>
              <w:t>BCVA and LL</w:t>
            </w:r>
            <w:r w:rsidR="00397B07">
              <w:rPr>
                <w:rFonts w:ascii="Arial Narrow" w:hAnsi="Arial Narrow"/>
                <w:bCs/>
                <w:sz w:val="20"/>
                <w:szCs w:val="20"/>
              </w:rPr>
              <w:noBreakHyphen/>
            </w:r>
            <w:r w:rsidRPr="00E20031">
              <w:rPr>
                <w:rFonts w:ascii="Arial Narrow" w:hAnsi="Arial Narrow"/>
                <w:bCs/>
                <w:sz w:val="20"/>
                <w:szCs w:val="20"/>
              </w:rPr>
              <w:t>BCVA scores, mean NEI VFQ</w:t>
            </w:r>
            <w:r w:rsidR="00397B07">
              <w:rPr>
                <w:rFonts w:ascii="Arial Narrow" w:hAnsi="Arial Narrow"/>
                <w:bCs/>
                <w:sz w:val="20"/>
                <w:szCs w:val="20"/>
              </w:rPr>
              <w:noBreakHyphen/>
            </w:r>
            <w:r w:rsidRPr="00E20031">
              <w:rPr>
                <w:rFonts w:ascii="Arial Narrow" w:hAnsi="Arial Narrow"/>
                <w:bCs/>
                <w:sz w:val="20"/>
                <w:szCs w:val="20"/>
              </w:rPr>
              <w:t xml:space="preserve">25 distance activity subscale score </w:t>
            </w:r>
          </w:p>
        </w:tc>
        <w:tc>
          <w:tcPr>
            <w:tcW w:w="633" w:type="pct"/>
            <w:vAlign w:val="center"/>
          </w:tcPr>
          <w:p w14:paraId="2F5E535D" w14:textId="77777777" w:rsidR="008D461D" w:rsidRPr="00E20031" w:rsidRDefault="008D461D">
            <w:pPr>
              <w:pStyle w:val="TableText0"/>
              <w:jc w:val="center"/>
            </w:pPr>
            <w:r w:rsidRPr="00E20031">
              <w:t>Not used</w:t>
            </w:r>
          </w:p>
        </w:tc>
      </w:tr>
      <w:tr w:rsidR="008D461D" w:rsidRPr="00E20031" w14:paraId="2ED0030A" w14:textId="77777777" w:rsidTr="00FA3D5F">
        <w:trPr>
          <w:cantSplit/>
          <w:tblHeader/>
        </w:trPr>
        <w:tc>
          <w:tcPr>
            <w:tcW w:w="469" w:type="pct"/>
            <w:vAlign w:val="center"/>
          </w:tcPr>
          <w:p w14:paraId="2E14C6EC" w14:textId="77777777" w:rsidR="008D461D" w:rsidRPr="00E20031" w:rsidRDefault="008D461D">
            <w:pPr>
              <w:pStyle w:val="TableText0"/>
              <w:rPr>
                <w:b/>
                <w:bCs w:val="0"/>
              </w:rPr>
            </w:pPr>
            <w:r w:rsidRPr="00E20031">
              <w:t>OAKS</w:t>
            </w:r>
          </w:p>
        </w:tc>
        <w:tc>
          <w:tcPr>
            <w:tcW w:w="314" w:type="pct"/>
            <w:vAlign w:val="center"/>
          </w:tcPr>
          <w:p w14:paraId="6E2007E6" w14:textId="77777777" w:rsidR="008D461D" w:rsidRPr="00E20031" w:rsidRDefault="008D461D">
            <w:pPr>
              <w:pStyle w:val="TableText0"/>
              <w:jc w:val="center"/>
              <w:rPr>
                <w:b/>
                <w:bCs w:val="0"/>
              </w:rPr>
            </w:pPr>
            <w:r w:rsidRPr="00E20031">
              <w:t>614</w:t>
            </w:r>
          </w:p>
        </w:tc>
        <w:tc>
          <w:tcPr>
            <w:tcW w:w="708" w:type="pct"/>
            <w:vAlign w:val="center"/>
          </w:tcPr>
          <w:p w14:paraId="5DDBFD49" w14:textId="77777777" w:rsidR="008D461D" w:rsidRPr="00E20031" w:rsidRDefault="008D461D">
            <w:pPr>
              <w:pStyle w:val="TableText0"/>
              <w:jc w:val="center"/>
              <w:rPr>
                <w:b/>
                <w:bCs w:val="0"/>
              </w:rPr>
            </w:pPr>
            <w:r w:rsidRPr="00E20031">
              <w:t>R, DB</w:t>
            </w:r>
          </w:p>
          <w:p w14:paraId="5B90C7BD" w14:textId="77777777" w:rsidR="008D461D" w:rsidRPr="00E20031" w:rsidRDefault="008D461D">
            <w:pPr>
              <w:pStyle w:val="TableText0"/>
              <w:jc w:val="center"/>
              <w:rPr>
                <w:b/>
                <w:bCs w:val="0"/>
              </w:rPr>
            </w:pPr>
            <w:r w:rsidRPr="00E20031">
              <w:t>24 mths</w:t>
            </w:r>
          </w:p>
        </w:tc>
        <w:tc>
          <w:tcPr>
            <w:tcW w:w="471" w:type="pct"/>
            <w:vAlign w:val="center"/>
          </w:tcPr>
          <w:p w14:paraId="5C4B7EEA" w14:textId="77777777" w:rsidR="008D461D" w:rsidRPr="0058194D" w:rsidRDefault="008D461D">
            <w:pPr>
              <w:pStyle w:val="TableText0"/>
              <w:jc w:val="center"/>
              <w:rPr>
                <w:b/>
                <w:bCs w:val="0"/>
              </w:rPr>
            </w:pPr>
            <w:r w:rsidRPr="0058194D">
              <w:t>Low</w:t>
            </w:r>
          </w:p>
        </w:tc>
        <w:tc>
          <w:tcPr>
            <w:tcW w:w="708" w:type="pct"/>
            <w:vAlign w:val="center"/>
          </w:tcPr>
          <w:p w14:paraId="5750CE5E" w14:textId="77777777" w:rsidR="008D461D" w:rsidRPr="00E20031" w:rsidRDefault="008D461D">
            <w:pPr>
              <w:pStyle w:val="TableText0"/>
              <w:jc w:val="center"/>
              <w:rPr>
                <w:b/>
                <w:bCs w:val="0"/>
              </w:rPr>
            </w:pPr>
            <w:r w:rsidRPr="00E20031">
              <w:t>GA secondary to AMD</w:t>
            </w:r>
          </w:p>
        </w:tc>
        <w:tc>
          <w:tcPr>
            <w:tcW w:w="1697" w:type="pct"/>
            <w:vAlign w:val="center"/>
          </w:tcPr>
          <w:p w14:paraId="5209D38C" w14:textId="77777777" w:rsidR="008D461D" w:rsidRPr="00E20031" w:rsidRDefault="008D461D">
            <w:pPr>
              <w:pStyle w:val="TableText0"/>
              <w:rPr>
                <w:b/>
                <w:bCs w:val="0"/>
                <w:szCs w:val="20"/>
              </w:rPr>
            </w:pPr>
            <w:r w:rsidRPr="00E20031">
              <w:rPr>
                <w:szCs w:val="20"/>
              </w:rPr>
              <w:t>Primary: CFB to month 12 in total area of GA lesions</w:t>
            </w:r>
          </w:p>
          <w:p w14:paraId="5E05952C" w14:textId="77777777" w:rsidR="008D461D" w:rsidRPr="00E20031" w:rsidRDefault="008D461D">
            <w:pPr>
              <w:pStyle w:val="TableText0"/>
              <w:rPr>
                <w:b/>
                <w:bCs w:val="0"/>
                <w:szCs w:val="20"/>
              </w:rPr>
            </w:pPr>
          </w:p>
          <w:p w14:paraId="1738A7BB" w14:textId="7E2AB1C8" w:rsidR="008D461D" w:rsidRPr="00E20031" w:rsidRDefault="008D461D">
            <w:pPr>
              <w:pStyle w:val="TableText0"/>
              <w:rPr>
                <w:b/>
                <w:bCs w:val="0"/>
                <w:szCs w:val="20"/>
              </w:rPr>
            </w:pPr>
            <w:r w:rsidRPr="00E20031">
              <w:rPr>
                <w:szCs w:val="20"/>
              </w:rPr>
              <w:t>Secondary: CFB to month 24 in total area of GA lesions, monocular maximum reading speed, mean FRI Index score, mean NL</w:t>
            </w:r>
            <w:r w:rsidR="00397B07">
              <w:rPr>
                <w:szCs w:val="20"/>
              </w:rPr>
              <w:noBreakHyphen/>
            </w:r>
            <w:r w:rsidRPr="00E20031">
              <w:rPr>
                <w:szCs w:val="20"/>
              </w:rPr>
              <w:t>BCVA and LL</w:t>
            </w:r>
            <w:r w:rsidR="00397B07">
              <w:rPr>
                <w:szCs w:val="20"/>
              </w:rPr>
              <w:noBreakHyphen/>
            </w:r>
            <w:r w:rsidRPr="00E20031">
              <w:rPr>
                <w:szCs w:val="20"/>
              </w:rPr>
              <w:t>BCVA scores, mean NEI VFQ</w:t>
            </w:r>
            <w:r w:rsidR="00397B07">
              <w:rPr>
                <w:szCs w:val="20"/>
              </w:rPr>
              <w:noBreakHyphen/>
            </w:r>
            <w:r w:rsidRPr="00E20031">
              <w:rPr>
                <w:szCs w:val="20"/>
              </w:rPr>
              <w:t>25 distance activity subscale score, mean threshold sensitivity of all points (study eye) assessed by mesopic microperimetry</w:t>
            </w:r>
          </w:p>
        </w:tc>
        <w:tc>
          <w:tcPr>
            <w:tcW w:w="633" w:type="pct"/>
            <w:vAlign w:val="center"/>
          </w:tcPr>
          <w:p w14:paraId="7387763D" w14:textId="77777777" w:rsidR="008D461D" w:rsidRPr="00E20031" w:rsidRDefault="008D461D">
            <w:pPr>
              <w:pStyle w:val="TableText0"/>
              <w:jc w:val="center"/>
            </w:pPr>
            <w:r w:rsidRPr="00E20031">
              <w:t>Microperimetry</w:t>
            </w:r>
          </w:p>
        </w:tc>
      </w:tr>
      <w:tr w:rsidR="008D461D" w:rsidRPr="00E20031" w14:paraId="1DC1C9E9" w14:textId="77777777">
        <w:trPr>
          <w:cantSplit/>
          <w:tblHeader/>
        </w:trPr>
        <w:tc>
          <w:tcPr>
            <w:tcW w:w="5000" w:type="pct"/>
            <w:gridSpan w:val="7"/>
            <w:vAlign w:val="center"/>
          </w:tcPr>
          <w:p w14:paraId="7D115A4A" w14:textId="77777777" w:rsidR="008D461D" w:rsidRPr="0058194D" w:rsidRDefault="008D461D">
            <w:pPr>
              <w:pStyle w:val="TableText0"/>
              <w:rPr>
                <w:b/>
                <w:bCs w:val="0"/>
                <w:szCs w:val="20"/>
              </w:rPr>
            </w:pPr>
            <w:r w:rsidRPr="0058194D">
              <w:t>Supportive trials</w:t>
            </w:r>
          </w:p>
        </w:tc>
      </w:tr>
      <w:tr w:rsidR="008D461D" w:rsidRPr="00E20031" w14:paraId="3E1FC2F5" w14:textId="77777777" w:rsidTr="00FA3D5F">
        <w:trPr>
          <w:cantSplit/>
          <w:tblHeader/>
        </w:trPr>
        <w:tc>
          <w:tcPr>
            <w:tcW w:w="469" w:type="pct"/>
            <w:vAlign w:val="center"/>
          </w:tcPr>
          <w:p w14:paraId="2E6BC165" w14:textId="77777777" w:rsidR="008D461D" w:rsidRPr="00E20031" w:rsidRDefault="008D461D">
            <w:pPr>
              <w:pStyle w:val="TableText0"/>
              <w:rPr>
                <w:b/>
                <w:bCs w:val="0"/>
              </w:rPr>
            </w:pPr>
            <w:r w:rsidRPr="00E20031">
              <w:t>FILLY</w:t>
            </w:r>
          </w:p>
        </w:tc>
        <w:tc>
          <w:tcPr>
            <w:tcW w:w="314" w:type="pct"/>
            <w:vAlign w:val="center"/>
          </w:tcPr>
          <w:p w14:paraId="76E6F9AF" w14:textId="77777777" w:rsidR="008D461D" w:rsidRPr="00E20031" w:rsidRDefault="008D461D">
            <w:pPr>
              <w:pStyle w:val="TableText0"/>
              <w:jc w:val="center"/>
              <w:rPr>
                <w:b/>
                <w:bCs w:val="0"/>
              </w:rPr>
            </w:pPr>
            <w:r w:rsidRPr="00E20031">
              <w:t>75</w:t>
            </w:r>
          </w:p>
        </w:tc>
        <w:tc>
          <w:tcPr>
            <w:tcW w:w="708" w:type="pct"/>
            <w:vAlign w:val="center"/>
          </w:tcPr>
          <w:p w14:paraId="16059F0B" w14:textId="77777777" w:rsidR="008D461D" w:rsidRPr="00E20031" w:rsidRDefault="008D461D">
            <w:pPr>
              <w:pStyle w:val="TableText0"/>
              <w:jc w:val="center"/>
              <w:rPr>
                <w:b/>
                <w:bCs w:val="0"/>
              </w:rPr>
            </w:pPr>
            <w:r w:rsidRPr="00E20031">
              <w:t>R, DB</w:t>
            </w:r>
          </w:p>
          <w:p w14:paraId="70B33532" w14:textId="77777777" w:rsidR="008D461D" w:rsidRPr="00E20031" w:rsidRDefault="008D461D">
            <w:pPr>
              <w:pStyle w:val="TableText0"/>
              <w:jc w:val="center"/>
              <w:rPr>
                <w:b/>
                <w:bCs w:val="0"/>
              </w:rPr>
            </w:pPr>
            <w:r w:rsidRPr="00E20031">
              <w:t>18 mths</w:t>
            </w:r>
          </w:p>
        </w:tc>
        <w:tc>
          <w:tcPr>
            <w:tcW w:w="471" w:type="pct"/>
            <w:vAlign w:val="center"/>
          </w:tcPr>
          <w:p w14:paraId="260CB4F4" w14:textId="77777777" w:rsidR="008D461D" w:rsidRPr="0058194D" w:rsidRDefault="008D461D">
            <w:pPr>
              <w:pStyle w:val="TableText0"/>
              <w:jc w:val="center"/>
              <w:rPr>
                <w:b/>
                <w:bCs w:val="0"/>
              </w:rPr>
            </w:pPr>
            <w:r w:rsidRPr="0058194D">
              <w:t>Low</w:t>
            </w:r>
          </w:p>
        </w:tc>
        <w:tc>
          <w:tcPr>
            <w:tcW w:w="708" w:type="pct"/>
            <w:vAlign w:val="center"/>
          </w:tcPr>
          <w:p w14:paraId="5086BCCC" w14:textId="77777777" w:rsidR="008D461D" w:rsidRPr="00E20031" w:rsidRDefault="008D461D">
            <w:pPr>
              <w:pStyle w:val="TableText0"/>
              <w:jc w:val="center"/>
              <w:rPr>
                <w:b/>
                <w:bCs w:val="0"/>
              </w:rPr>
            </w:pPr>
            <w:r w:rsidRPr="00E20031">
              <w:t>GA secondary to AMD</w:t>
            </w:r>
          </w:p>
        </w:tc>
        <w:tc>
          <w:tcPr>
            <w:tcW w:w="1697" w:type="pct"/>
            <w:vAlign w:val="center"/>
          </w:tcPr>
          <w:p w14:paraId="5C05B4E0" w14:textId="77777777" w:rsidR="008D461D" w:rsidRPr="00E20031" w:rsidRDefault="008D461D">
            <w:pPr>
              <w:pStyle w:val="TableText0"/>
              <w:rPr>
                <w:b/>
                <w:bCs w:val="0"/>
                <w:szCs w:val="20"/>
              </w:rPr>
            </w:pPr>
            <w:r w:rsidRPr="00E20031">
              <w:rPr>
                <w:szCs w:val="20"/>
              </w:rPr>
              <w:t xml:space="preserve">Primary: CFB to month 12 in total area of GA lesions </w:t>
            </w:r>
          </w:p>
          <w:p w14:paraId="61F8DC40" w14:textId="77777777" w:rsidR="008D461D" w:rsidRPr="00E20031" w:rsidRDefault="008D461D">
            <w:pPr>
              <w:pStyle w:val="TableText0"/>
              <w:rPr>
                <w:b/>
                <w:bCs w:val="0"/>
                <w:szCs w:val="20"/>
              </w:rPr>
            </w:pPr>
          </w:p>
          <w:p w14:paraId="23266C27" w14:textId="4818A264" w:rsidR="008D461D" w:rsidRPr="00E20031" w:rsidRDefault="008D461D">
            <w:pPr>
              <w:pStyle w:val="TableText0"/>
              <w:rPr>
                <w:b/>
                <w:bCs w:val="0"/>
                <w:szCs w:val="20"/>
              </w:rPr>
            </w:pPr>
            <w:r w:rsidRPr="00E20031">
              <w:rPr>
                <w:szCs w:val="20"/>
              </w:rPr>
              <w:t>Secondary: CFB to month 18 in NL</w:t>
            </w:r>
            <w:r w:rsidR="00397B07">
              <w:rPr>
                <w:szCs w:val="20"/>
              </w:rPr>
              <w:noBreakHyphen/>
            </w:r>
            <w:r w:rsidRPr="00E20031">
              <w:rPr>
                <w:szCs w:val="20"/>
              </w:rPr>
              <w:t>BCVA and LL</w:t>
            </w:r>
            <w:r w:rsidR="00397B07">
              <w:rPr>
                <w:szCs w:val="20"/>
              </w:rPr>
              <w:noBreakHyphen/>
            </w:r>
            <w:r w:rsidRPr="00E20031">
              <w:rPr>
                <w:szCs w:val="20"/>
              </w:rPr>
              <w:t>BCVA scores</w:t>
            </w:r>
          </w:p>
        </w:tc>
        <w:tc>
          <w:tcPr>
            <w:tcW w:w="633" w:type="pct"/>
            <w:vAlign w:val="center"/>
          </w:tcPr>
          <w:p w14:paraId="140FD309" w14:textId="77777777" w:rsidR="008D461D" w:rsidRPr="00E20031" w:rsidRDefault="008D461D">
            <w:pPr>
              <w:pStyle w:val="TableText0"/>
              <w:jc w:val="center"/>
              <w:rPr>
                <w:b/>
                <w:bCs w:val="0"/>
              </w:rPr>
            </w:pPr>
            <w:r w:rsidRPr="00E20031">
              <w:t>Not used</w:t>
            </w:r>
          </w:p>
        </w:tc>
      </w:tr>
      <w:tr w:rsidR="008D461D" w:rsidRPr="00E20031" w14:paraId="72B7275D" w14:textId="77777777" w:rsidTr="00FA3D5F">
        <w:trPr>
          <w:cantSplit/>
          <w:tblHeader/>
        </w:trPr>
        <w:tc>
          <w:tcPr>
            <w:tcW w:w="469" w:type="pct"/>
            <w:vAlign w:val="center"/>
          </w:tcPr>
          <w:p w14:paraId="6386FDCE" w14:textId="77777777" w:rsidR="008D461D" w:rsidRPr="00E20031" w:rsidRDefault="008D461D">
            <w:pPr>
              <w:pStyle w:val="TableText0"/>
              <w:rPr>
                <w:b/>
                <w:bCs w:val="0"/>
              </w:rPr>
            </w:pPr>
            <w:r w:rsidRPr="00E20031">
              <w:t>GALE</w:t>
            </w:r>
          </w:p>
        </w:tc>
        <w:tc>
          <w:tcPr>
            <w:tcW w:w="314" w:type="pct"/>
            <w:vAlign w:val="center"/>
          </w:tcPr>
          <w:p w14:paraId="4CC3A8A5" w14:textId="77777777" w:rsidR="008D461D" w:rsidRPr="00E20031" w:rsidRDefault="008D461D">
            <w:pPr>
              <w:pStyle w:val="TableText0"/>
              <w:jc w:val="center"/>
            </w:pPr>
            <w:r w:rsidRPr="00E20031">
              <w:t>790</w:t>
            </w:r>
          </w:p>
        </w:tc>
        <w:tc>
          <w:tcPr>
            <w:tcW w:w="708" w:type="pct"/>
            <w:vAlign w:val="center"/>
          </w:tcPr>
          <w:p w14:paraId="09298F7F" w14:textId="77777777" w:rsidR="008D461D" w:rsidRPr="00E20031" w:rsidRDefault="008D461D">
            <w:pPr>
              <w:pStyle w:val="TableText0"/>
              <w:jc w:val="center"/>
              <w:rPr>
                <w:b/>
                <w:bCs w:val="0"/>
              </w:rPr>
            </w:pPr>
            <w:r w:rsidRPr="00E20031">
              <w:t>OL</w:t>
            </w:r>
          </w:p>
          <w:p w14:paraId="1A72AE8A" w14:textId="77777777" w:rsidR="008D461D" w:rsidRPr="00E20031" w:rsidRDefault="008D461D">
            <w:pPr>
              <w:pStyle w:val="TableText0"/>
              <w:jc w:val="center"/>
              <w:rPr>
                <w:b/>
                <w:bCs w:val="0"/>
              </w:rPr>
            </w:pPr>
            <w:r w:rsidRPr="00E20031">
              <w:t>36 months</w:t>
            </w:r>
          </w:p>
        </w:tc>
        <w:tc>
          <w:tcPr>
            <w:tcW w:w="471" w:type="pct"/>
            <w:vAlign w:val="center"/>
          </w:tcPr>
          <w:p w14:paraId="3C9EAED6" w14:textId="77777777" w:rsidR="008D461D" w:rsidRPr="0058194D" w:rsidRDefault="008D461D">
            <w:pPr>
              <w:pStyle w:val="TableText0"/>
              <w:jc w:val="center"/>
              <w:rPr>
                <w:b/>
                <w:bCs w:val="0"/>
              </w:rPr>
            </w:pPr>
            <w:r w:rsidRPr="0058194D">
              <w:t>Low</w:t>
            </w:r>
          </w:p>
        </w:tc>
        <w:tc>
          <w:tcPr>
            <w:tcW w:w="708" w:type="pct"/>
            <w:vAlign w:val="center"/>
          </w:tcPr>
          <w:p w14:paraId="2EA62541" w14:textId="77777777" w:rsidR="008D461D" w:rsidRPr="00E20031" w:rsidRDefault="008D461D">
            <w:pPr>
              <w:pStyle w:val="TableText0"/>
              <w:jc w:val="center"/>
              <w:rPr>
                <w:b/>
                <w:bCs w:val="0"/>
              </w:rPr>
            </w:pPr>
            <w:r w:rsidRPr="00E20031">
              <w:t>GA secondary to AMD</w:t>
            </w:r>
          </w:p>
        </w:tc>
        <w:tc>
          <w:tcPr>
            <w:tcW w:w="1697" w:type="pct"/>
            <w:vAlign w:val="center"/>
          </w:tcPr>
          <w:p w14:paraId="36EFFC77" w14:textId="41E4B0C3" w:rsidR="008D461D" w:rsidRPr="00E20031" w:rsidRDefault="008D461D">
            <w:pPr>
              <w:pStyle w:val="TableText0"/>
              <w:rPr>
                <w:b/>
                <w:bCs w:val="0"/>
              </w:rPr>
            </w:pPr>
            <w:r w:rsidRPr="00E20031">
              <w:t>Primary: Long</w:t>
            </w:r>
            <w:r w:rsidR="00397B07">
              <w:noBreakHyphen/>
            </w:r>
            <w:r w:rsidRPr="00E20031">
              <w:t>term safety of IVT injected pegcetacoplan</w:t>
            </w:r>
          </w:p>
          <w:p w14:paraId="2FB53082" w14:textId="77777777" w:rsidR="008D461D" w:rsidRPr="00E20031" w:rsidRDefault="008D461D">
            <w:pPr>
              <w:pStyle w:val="TableText0"/>
              <w:rPr>
                <w:b/>
                <w:bCs w:val="0"/>
              </w:rPr>
            </w:pPr>
          </w:p>
          <w:p w14:paraId="5512A572" w14:textId="77777777" w:rsidR="008D461D" w:rsidRPr="00E20031" w:rsidRDefault="008D461D">
            <w:pPr>
              <w:pStyle w:val="Tabletext8pt"/>
              <w:rPr>
                <w:rFonts w:ascii="Arial Narrow" w:hAnsi="Arial Narrow"/>
                <w:bCs/>
                <w:sz w:val="20"/>
                <w:szCs w:val="20"/>
              </w:rPr>
            </w:pPr>
            <w:r w:rsidRPr="00E20031">
              <w:rPr>
                <w:rFonts w:ascii="Arial Narrow" w:hAnsi="Arial Narrow"/>
                <w:bCs/>
                <w:sz w:val="20"/>
                <w:szCs w:val="20"/>
              </w:rPr>
              <w:t>Secondary: CFB to months 12, 24 and 36 in total area of GA lesion(s),</w:t>
            </w:r>
          </w:p>
          <w:p w14:paraId="4761E56C" w14:textId="219EB90A" w:rsidR="008D461D" w:rsidRPr="00E20031" w:rsidRDefault="008D461D">
            <w:pPr>
              <w:pStyle w:val="Tabletext8pt"/>
              <w:rPr>
                <w:bCs/>
              </w:rPr>
            </w:pPr>
            <w:r w:rsidRPr="00E20031">
              <w:rPr>
                <w:rFonts w:ascii="Arial Narrow" w:hAnsi="Arial Narrow"/>
                <w:bCs/>
                <w:sz w:val="20"/>
                <w:szCs w:val="20"/>
              </w:rPr>
              <w:t>NL</w:t>
            </w:r>
            <w:r w:rsidR="00397B07">
              <w:rPr>
                <w:rFonts w:ascii="Arial Narrow" w:hAnsi="Arial Narrow"/>
                <w:bCs/>
                <w:sz w:val="20"/>
                <w:szCs w:val="20"/>
              </w:rPr>
              <w:noBreakHyphen/>
            </w:r>
            <w:r w:rsidRPr="00E20031">
              <w:rPr>
                <w:rFonts w:ascii="Arial Narrow" w:hAnsi="Arial Narrow"/>
                <w:bCs/>
                <w:sz w:val="20"/>
                <w:szCs w:val="20"/>
              </w:rPr>
              <w:t>BCVA and LL</w:t>
            </w:r>
            <w:r w:rsidR="00397B07">
              <w:rPr>
                <w:rFonts w:ascii="Arial Narrow" w:hAnsi="Arial Narrow"/>
                <w:bCs/>
                <w:sz w:val="20"/>
                <w:szCs w:val="20"/>
              </w:rPr>
              <w:noBreakHyphen/>
            </w:r>
            <w:r w:rsidRPr="00E20031">
              <w:rPr>
                <w:rFonts w:ascii="Arial Narrow" w:hAnsi="Arial Narrow"/>
                <w:bCs/>
                <w:sz w:val="20"/>
                <w:szCs w:val="20"/>
              </w:rPr>
              <w:t>BCVA scores, LLD, monocular maximum reading speed and monocular critical print size, binocular maximum reading speed and binocular critical print size, the number of absolute scotomatous points and macular sensitivity assessed by mesopic</w:t>
            </w:r>
            <w:r w:rsidRPr="00E20031">
              <w:rPr>
                <w:bCs/>
              </w:rPr>
              <w:t xml:space="preserve"> </w:t>
            </w:r>
          </w:p>
        </w:tc>
        <w:tc>
          <w:tcPr>
            <w:tcW w:w="633" w:type="pct"/>
            <w:vAlign w:val="center"/>
          </w:tcPr>
          <w:p w14:paraId="11AB465D" w14:textId="77777777" w:rsidR="008D461D" w:rsidRPr="00E20031" w:rsidRDefault="008D461D">
            <w:pPr>
              <w:pStyle w:val="TableText0"/>
              <w:jc w:val="center"/>
              <w:rPr>
                <w:b/>
                <w:bCs w:val="0"/>
              </w:rPr>
            </w:pPr>
            <w:r w:rsidRPr="00E20031">
              <w:t>Not used</w:t>
            </w:r>
          </w:p>
        </w:tc>
      </w:tr>
    </w:tbl>
    <w:p w14:paraId="776E02DC" w14:textId="26BD834F" w:rsidR="008D461D" w:rsidRPr="00E20031" w:rsidRDefault="008D461D" w:rsidP="008D461D">
      <w:pPr>
        <w:pStyle w:val="FooterTableFigure"/>
      </w:pPr>
      <w:r w:rsidRPr="00E20031">
        <w:t>Source: Figure 14 and Figure 15, p75, Table 13, pp76</w:t>
      </w:r>
      <w:r w:rsidR="00397B07">
        <w:noBreakHyphen/>
      </w:r>
      <w:r w:rsidRPr="00E20031">
        <w:t>78, Table 19, p88, and Table 20, p89 of the submission.</w:t>
      </w:r>
    </w:p>
    <w:p w14:paraId="5270974D" w14:textId="0923751F" w:rsidR="008D461D" w:rsidRPr="00E20031" w:rsidRDefault="008D461D" w:rsidP="008D461D">
      <w:pPr>
        <w:pStyle w:val="FooterTableFigure"/>
        <w:rPr>
          <w:sz w:val="20"/>
        </w:rPr>
      </w:pPr>
      <w:r w:rsidRPr="00E20031">
        <w:t>AMD = age</w:t>
      </w:r>
      <w:r w:rsidR="00397B07">
        <w:noBreakHyphen/>
      </w:r>
      <w:r w:rsidRPr="00E20031">
        <w:t>related macular degeneration; CFB = change from baseline; DB = double</w:t>
      </w:r>
      <w:r w:rsidR="00397B07">
        <w:noBreakHyphen/>
      </w:r>
      <w:r w:rsidRPr="00E20031">
        <w:t>blind; FRI, Functional Reading Independence Index; GA = geographic atrophy; IVT = intravitreal; LL</w:t>
      </w:r>
      <w:r w:rsidR="00397B07">
        <w:noBreakHyphen/>
      </w:r>
      <w:r w:rsidRPr="00E20031">
        <w:t>BCVA = low</w:t>
      </w:r>
      <w:r w:rsidR="00397B07">
        <w:noBreakHyphen/>
      </w:r>
      <w:r w:rsidRPr="00E20031">
        <w:t>luminance best</w:t>
      </w:r>
      <w:r w:rsidR="00397B07">
        <w:noBreakHyphen/>
      </w:r>
      <w:r w:rsidRPr="00E20031">
        <w:t>corrected visual acuity; LLD = low</w:t>
      </w:r>
      <w:r w:rsidR="00397B07">
        <w:noBreakHyphen/>
      </w:r>
      <w:r w:rsidRPr="00E20031">
        <w:t>luminance deficit; NEI VFQ = National Eye Institute Visual Function Questionnaire; NL</w:t>
      </w:r>
      <w:r w:rsidR="00397B07">
        <w:noBreakHyphen/>
      </w:r>
      <w:r w:rsidRPr="00E20031">
        <w:t>BCVA = normal</w:t>
      </w:r>
      <w:r w:rsidR="00397B07">
        <w:noBreakHyphen/>
      </w:r>
      <w:r w:rsidRPr="00E20031">
        <w:t>luminance best</w:t>
      </w:r>
      <w:r w:rsidR="00397B07">
        <w:noBreakHyphen/>
      </w:r>
      <w:r w:rsidRPr="00E20031">
        <w:t>corrected visual acuity; OL = open label; R = randomised.</w:t>
      </w:r>
    </w:p>
    <w:p w14:paraId="446935AC" w14:textId="77777777" w:rsidR="008D461D" w:rsidRPr="00E20031" w:rsidRDefault="008D461D" w:rsidP="008D461D">
      <w:pPr>
        <w:pStyle w:val="4-SubsectionHeading"/>
      </w:pPr>
      <w:bookmarkStart w:id="38" w:name="_Toc22897641"/>
      <w:bookmarkStart w:id="39" w:name="_Toc202884175"/>
      <w:bookmarkStart w:id="40" w:name="_Toc206430835"/>
      <w:bookmarkStart w:id="41" w:name="_Toc208920193"/>
      <w:r w:rsidRPr="00E20031">
        <w:lastRenderedPageBreak/>
        <w:t>Comparative effectiveness</w:t>
      </w:r>
      <w:bookmarkEnd w:id="38"/>
      <w:bookmarkEnd w:id="39"/>
      <w:bookmarkEnd w:id="40"/>
      <w:bookmarkEnd w:id="41"/>
    </w:p>
    <w:p w14:paraId="133CD304" w14:textId="5E1735C3" w:rsidR="008D461D" w:rsidRPr="00E20031" w:rsidRDefault="008D461D" w:rsidP="008D461D">
      <w:pPr>
        <w:pStyle w:val="3-BodyText"/>
        <w:rPr>
          <w:color w:val="000000" w:themeColor="text1"/>
        </w:rPr>
      </w:pPr>
      <w:r w:rsidRPr="00E20031">
        <w:rPr>
          <w:color w:val="000000" w:themeColor="text1"/>
        </w:rPr>
        <w:t xml:space="preserve">The key outcomes presented in the submission for the whole trial populations in DERBY and OAKS are presented in </w:t>
      </w:r>
      <w:r w:rsidRPr="00E20031">
        <w:rPr>
          <w:color w:val="000000" w:themeColor="text1"/>
        </w:rPr>
        <w:fldChar w:fldCharType="begin"/>
      </w:r>
      <w:r w:rsidRPr="00E20031">
        <w:rPr>
          <w:color w:val="000000" w:themeColor="text1"/>
        </w:rPr>
        <w:instrText xml:space="preserve"> REF _Ref205632276 \h </w:instrText>
      </w:r>
      <w:r w:rsidRPr="00E20031">
        <w:rPr>
          <w:color w:val="000000" w:themeColor="text1"/>
        </w:rPr>
      </w:r>
      <w:r w:rsidRPr="00E20031">
        <w:rPr>
          <w:color w:val="000000" w:themeColor="text1"/>
        </w:rPr>
        <w:fldChar w:fldCharType="separate"/>
      </w:r>
      <w:r w:rsidR="00333CFE" w:rsidRPr="00E20031">
        <w:t xml:space="preserve">Table </w:t>
      </w:r>
      <w:r w:rsidR="00333CFE">
        <w:rPr>
          <w:noProof/>
        </w:rPr>
        <w:t>4</w:t>
      </w:r>
      <w:r w:rsidRPr="00E20031">
        <w:rPr>
          <w:color w:val="000000" w:themeColor="text1"/>
        </w:rPr>
        <w:fldChar w:fldCharType="end"/>
      </w:r>
      <w:r w:rsidRPr="00E20031">
        <w:rPr>
          <w:color w:val="000000" w:themeColor="text1"/>
        </w:rPr>
        <w:t>.</w:t>
      </w:r>
    </w:p>
    <w:p w14:paraId="1F77F787" w14:textId="72895198" w:rsidR="008D461D" w:rsidRPr="00E20031" w:rsidRDefault="008D461D" w:rsidP="008D461D">
      <w:pPr>
        <w:pStyle w:val="TableFigureHeading"/>
        <w:rPr>
          <w:rStyle w:val="CommentReference"/>
          <w:b/>
          <w:szCs w:val="24"/>
        </w:rPr>
      </w:pPr>
      <w:bookmarkStart w:id="42" w:name="_Ref205632276"/>
      <w:r w:rsidRPr="00E20031">
        <w:t xml:space="preserve">Table </w:t>
      </w:r>
      <w:r w:rsidR="004C5F7F">
        <w:fldChar w:fldCharType="begin"/>
      </w:r>
      <w:r w:rsidR="004C5F7F">
        <w:instrText xml:space="preserve"> SEQ Table \* ARABIC </w:instrText>
      </w:r>
      <w:r w:rsidR="004C5F7F">
        <w:fldChar w:fldCharType="separate"/>
      </w:r>
      <w:r w:rsidR="00333CFE">
        <w:rPr>
          <w:noProof/>
        </w:rPr>
        <w:t>4</w:t>
      </w:r>
      <w:r w:rsidR="004C5F7F">
        <w:rPr>
          <w:noProof/>
        </w:rPr>
        <w:fldChar w:fldCharType="end"/>
      </w:r>
      <w:bookmarkEnd w:id="42"/>
      <w:r w:rsidRPr="00E20031">
        <w:t>:</w:t>
      </w:r>
      <w:r w:rsidRPr="00E20031">
        <w:rPr>
          <w:rStyle w:val="CommentReference"/>
          <w:b/>
          <w:szCs w:val="24"/>
        </w:rPr>
        <w:t xml:space="preserve"> </w:t>
      </w:r>
      <w:r w:rsidRPr="00E20031">
        <w:t>Results of key primary and secondary outcomes, DERBY and OAKS, MMRM, whole trial populations (mITT)</w:t>
      </w:r>
    </w:p>
    <w:tbl>
      <w:tblPr>
        <w:tblStyle w:val="TableGrid"/>
        <w:tblW w:w="0" w:type="auto"/>
        <w:jc w:val="center"/>
        <w:tblLook w:val="04A0" w:firstRow="1" w:lastRow="0" w:firstColumn="1" w:lastColumn="0" w:noHBand="0" w:noVBand="1"/>
        <w:tblCaption w:val="Table 4: Results of key primary and secondary outcomes, DERBY and OAKS, MMRM, whole trial populations (mITT)"/>
      </w:tblPr>
      <w:tblGrid>
        <w:gridCol w:w="1502"/>
        <w:gridCol w:w="1328"/>
        <w:gridCol w:w="851"/>
        <w:gridCol w:w="1559"/>
        <w:gridCol w:w="2126"/>
        <w:gridCol w:w="1651"/>
      </w:tblGrid>
      <w:tr w:rsidR="008D461D" w:rsidRPr="00E20031" w14:paraId="09447822" w14:textId="77777777">
        <w:trPr>
          <w:jc w:val="center"/>
        </w:trPr>
        <w:tc>
          <w:tcPr>
            <w:tcW w:w="1502" w:type="dxa"/>
          </w:tcPr>
          <w:p w14:paraId="585FBCED" w14:textId="77777777" w:rsidR="008D461D" w:rsidRPr="00E20031" w:rsidRDefault="008D461D">
            <w:pPr>
              <w:jc w:val="center"/>
            </w:pPr>
            <w:r w:rsidRPr="00E20031">
              <w:rPr>
                <w:rFonts w:ascii="Arial Narrow" w:hAnsi="Arial Narrow" w:cs="Calibri"/>
                <w:b/>
                <w:bCs/>
                <w:sz w:val="20"/>
                <w:szCs w:val="20"/>
              </w:rPr>
              <w:t>Trial ID</w:t>
            </w:r>
          </w:p>
        </w:tc>
        <w:tc>
          <w:tcPr>
            <w:tcW w:w="1328" w:type="dxa"/>
          </w:tcPr>
          <w:p w14:paraId="6BDFA37E" w14:textId="77777777" w:rsidR="008D461D" w:rsidRPr="00E20031" w:rsidRDefault="008D461D">
            <w:pPr>
              <w:jc w:val="center"/>
            </w:pPr>
            <w:r w:rsidRPr="00E20031">
              <w:rPr>
                <w:rFonts w:ascii="Arial Narrow" w:hAnsi="Arial Narrow" w:cs="Calibri"/>
                <w:b/>
                <w:bCs/>
                <w:sz w:val="20"/>
                <w:szCs w:val="20"/>
              </w:rPr>
              <w:t>Treatment arm</w:t>
            </w:r>
          </w:p>
        </w:tc>
        <w:tc>
          <w:tcPr>
            <w:tcW w:w="851" w:type="dxa"/>
          </w:tcPr>
          <w:p w14:paraId="7D8FF8FA" w14:textId="77777777" w:rsidR="008D461D" w:rsidRPr="00E20031" w:rsidRDefault="008D461D">
            <w:pPr>
              <w:jc w:val="center"/>
            </w:pPr>
            <w:r w:rsidRPr="00E20031">
              <w:rPr>
                <w:rFonts w:ascii="Arial Narrow" w:hAnsi="Arial Narrow" w:cs="Calibri"/>
                <w:b/>
                <w:bCs/>
                <w:sz w:val="20"/>
                <w:szCs w:val="20"/>
              </w:rPr>
              <w:t>Sample size (n)</w:t>
            </w:r>
          </w:p>
        </w:tc>
        <w:tc>
          <w:tcPr>
            <w:tcW w:w="1559" w:type="dxa"/>
          </w:tcPr>
          <w:p w14:paraId="174F97B8" w14:textId="77777777" w:rsidR="008D461D" w:rsidRPr="00E20031" w:rsidRDefault="008D461D">
            <w:pPr>
              <w:jc w:val="center"/>
            </w:pPr>
            <w:r w:rsidRPr="00E20031">
              <w:rPr>
                <w:rFonts w:ascii="Arial Narrow" w:hAnsi="Arial Narrow" w:cs="Calibri"/>
                <w:b/>
                <w:bCs/>
                <w:sz w:val="20"/>
                <w:szCs w:val="20"/>
              </w:rPr>
              <w:t>LS mean (SE)</w:t>
            </w:r>
          </w:p>
        </w:tc>
        <w:tc>
          <w:tcPr>
            <w:tcW w:w="2126" w:type="dxa"/>
          </w:tcPr>
          <w:p w14:paraId="637C1BEC" w14:textId="77777777" w:rsidR="008D461D" w:rsidRPr="00E20031" w:rsidRDefault="008D461D">
            <w:pPr>
              <w:jc w:val="center"/>
            </w:pPr>
            <w:r w:rsidRPr="00E20031">
              <w:rPr>
                <w:rFonts w:ascii="Arial Narrow" w:eastAsia="Calibri" w:hAnsi="Arial Narrow" w:cs="Calibri"/>
                <w:b/>
                <w:bCs/>
                <w:sz w:val="20"/>
                <w:szCs w:val="20"/>
              </w:rPr>
              <w:t>Difference in LS mean (95% CI) vs sham pooled</w:t>
            </w:r>
          </w:p>
        </w:tc>
        <w:tc>
          <w:tcPr>
            <w:tcW w:w="1651" w:type="dxa"/>
          </w:tcPr>
          <w:p w14:paraId="2B4821C6" w14:textId="77777777" w:rsidR="008D461D" w:rsidRPr="00E20031" w:rsidRDefault="008D461D">
            <w:pPr>
              <w:jc w:val="center"/>
            </w:pPr>
            <w:r w:rsidRPr="00E20031">
              <w:rPr>
                <w:rFonts w:ascii="Arial Narrow" w:eastAsia="Calibri" w:hAnsi="Arial Narrow" w:cs="Calibri"/>
                <w:b/>
                <w:bCs/>
                <w:sz w:val="20"/>
                <w:szCs w:val="20"/>
              </w:rPr>
              <w:t>% Difference in LS mean vs sham pooled</w:t>
            </w:r>
          </w:p>
        </w:tc>
      </w:tr>
      <w:tr w:rsidR="008D461D" w:rsidRPr="00E20031" w14:paraId="3AB834A8" w14:textId="77777777">
        <w:trPr>
          <w:jc w:val="center"/>
        </w:trPr>
        <w:tc>
          <w:tcPr>
            <w:tcW w:w="9017" w:type="dxa"/>
            <w:gridSpan w:val="6"/>
          </w:tcPr>
          <w:p w14:paraId="22C1639B" w14:textId="77777777" w:rsidR="008D461D" w:rsidRPr="00E20031" w:rsidRDefault="008D461D">
            <w:pPr>
              <w:rPr>
                <w:rFonts w:ascii="Arial Narrow" w:hAnsi="Arial Narrow"/>
                <w:b/>
                <w:sz w:val="20"/>
                <w:szCs w:val="20"/>
              </w:rPr>
            </w:pPr>
            <w:r w:rsidRPr="00E20031">
              <w:rPr>
                <w:rFonts w:ascii="Arial Narrow" w:hAnsi="Arial Narrow"/>
                <w:b/>
                <w:sz w:val="20"/>
                <w:szCs w:val="20"/>
              </w:rPr>
              <w:t xml:space="preserve">Primary outcome: </w:t>
            </w:r>
          </w:p>
          <w:p w14:paraId="7016EE13" w14:textId="77777777" w:rsidR="008D461D" w:rsidRPr="00E20031" w:rsidRDefault="008D461D">
            <w:r w:rsidRPr="00E20031">
              <w:rPr>
                <w:rFonts w:ascii="Arial Narrow" w:hAnsi="Arial Narrow"/>
                <w:b/>
                <w:sz w:val="20"/>
                <w:szCs w:val="20"/>
              </w:rPr>
              <w:t>Change from baseline in total area of GA lesion(s) (mm</w:t>
            </w:r>
            <w:r w:rsidRPr="00E20031">
              <w:rPr>
                <w:rFonts w:ascii="Arial Narrow" w:hAnsi="Arial Narrow"/>
                <w:b/>
                <w:sz w:val="20"/>
                <w:szCs w:val="20"/>
                <w:vertAlign w:val="superscript"/>
              </w:rPr>
              <w:t>2</w:t>
            </w:r>
            <w:r w:rsidRPr="00E20031">
              <w:rPr>
                <w:rFonts w:ascii="Arial Narrow" w:hAnsi="Arial Narrow"/>
                <w:b/>
                <w:sz w:val="20"/>
                <w:szCs w:val="20"/>
              </w:rPr>
              <w:t>) (FAF) at month 12</w:t>
            </w:r>
          </w:p>
        </w:tc>
      </w:tr>
      <w:tr w:rsidR="008D461D" w:rsidRPr="00E20031" w14:paraId="126693ED" w14:textId="77777777">
        <w:trPr>
          <w:jc w:val="center"/>
        </w:trPr>
        <w:tc>
          <w:tcPr>
            <w:tcW w:w="1502" w:type="dxa"/>
            <w:vMerge w:val="restart"/>
            <w:vAlign w:val="center"/>
          </w:tcPr>
          <w:p w14:paraId="47C8DE48" w14:textId="77777777" w:rsidR="008D461D" w:rsidRPr="00E20031" w:rsidRDefault="008D461D">
            <w:pPr>
              <w:jc w:val="center"/>
            </w:pPr>
            <w:r w:rsidRPr="00E20031">
              <w:rPr>
                <w:rFonts w:ascii="Arial Narrow" w:hAnsi="Arial Narrow" w:cs="Calibri"/>
                <w:sz w:val="20"/>
                <w:szCs w:val="20"/>
              </w:rPr>
              <w:t>DERBY</w:t>
            </w:r>
          </w:p>
        </w:tc>
        <w:tc>
          <w:tcPr>
            <w:tcW w:w="1328" w:type="dxa"/>
            <w:vAlign w:val="center"/>
          </w:tcPr>
          <w:p w14:paraId="0004546A" w14:textId="77777777" w:rsidR="008D461D" w:rsidRPr="00E20031" w:rsidRDefault="008D461D">
            <w:r w:rsidRPr="00E20031">
              <w:rPr>
                <w:rFonts w:ascii="Arial Narrow" w:hAnsi="Arial Narrow" w:cs="Calibri"/>
                <w:sz w:val="20"/>
                <w:szCs w:val="20"/>
              </w:rPr>
              <w:t>PM</w:t>
            </w:r>
          </w:p>
        </w:tc>
        <w:tc>
          <w:tcPr>
            <w:tcW w:w="851" w:type="dxa"/>
            <w:vAlign w:val="center"/>
          </w:tcPr>
          <w:p w14:paraId="41271B55" w14:textId="77777777" w:rsidR="008D461D" w:rsidRPr="00E20031" w:rsidRDefault="008D461D">
            <w:pPr>
              <w:jc w:val="center"/>
            </w:pPr>
            <w:r w:rsidRPr="00E20031">
              <w:rPr>
                <w:rFonts w:ascii="Arial Narrow" w:eastAsia="Calibri" w:hAnsi="Arial Narrow" w:cs="Calibri"/>
                <w:sz w:val="20"/>
                <w:szCs w:val="20"/>
              </w:rPr>
              <w:t>200</w:t>
            </w:r>
          </w:p>
        </w:tc>
        <w:tc>
          <w:tcPr>
            <w:tcW w:w="1559" w:type="dxa"/>
            <w:vAlign w:val="center"/>
          </w:tcPr>
          <w:p w14:paraId="145067E5" w14:textId="77777777" w:rsidR="008D461D" w:rsidRPr="00E20031" w:rsidRDefault="008D461D">
            <w:pPr>
              <w:jc w:val="center"/>
            </w:pPr>
            <w:r w:rsidRPr="00E20031">
              <w:rPr>
                <w:rFonts w:ascii="Arial Narrow" w:eastAsia="Calibri" w:hAnsi="Arial Narrow" w:cs="Calibri"/>
                <w:sz w:val="20"/>
                <w:szCs w:val="20"/>
              </w:rPr>
              <w:t>1.73 (0.08)</w:t>
            </w:r>
          </w:p>
        </w:tc>
        <w:tc>
          <w:tcPr>
            <w:tcW w:w="2126" w:type="dxa"/>
            <w:vAlign w:val="center"/>
          </w:tcPr>
          <w:p w14:paraId="6BAE7FA0" w14:textId="38131B64" w:rsidR="008D461D" w:rsidRPr="00E20031" w:rsidRDefault="00397B07">
            <w:pPr>
              <w:jc w:val="center"/>
              <w:rPr>
                <w:rFonts w:ascii="Arial Narrow" w:eastAsia="Calibri" w:hAnsi="Arial Narrow" w:cs="Calibri"/>
                <w:sz w:val="20"/>
                <w:szCs w:val="20"/>
              </w:rPr>
            </w:pPr>
            <w:r>
              <w:rPr>
                <w:rFonts w:ascii="Arial Narrow" w:eastAsia="Calibri" w:hAnsi="Arial Narrow" w:cs="Calibri"/>
                <w:sz w:val="20"/>
                <w:szCs w:val="20"/>
              </w:rPr>
              <w:noBreakHyphen/>
            </w:r>
            <w:r w:rsidR="008D461D" w:rsidRPr="00E20031">
              <w:rPr>
                <w:rFonts w:ascii="Arial Narrow" w:eastAsia="Calibri" w:hAnsi="Arial Narrow" w:cs="Calibri"/>
                <w:sz w:val="20"/>
                <w:szCs w:val="20"/>
              </w:rPr>
              <w:t>0.23 (</w:t>
            </w:r>
            <w:r>
              <w:rPr>
                <w:rFonts w:ascii="Arial Narrow" w:eastAsia="Calibri" w:hAnsi="Arial Narrow" w:cs="Calibri"/>
                <w:sz w:val="20"/>
                <w:szCs w:val="20"/>
              </w:rPr>
              <w:noBreakHyphen/>
            </w:r>
            <w:r w:rsidR="008D461D" w:rsidRPr="00E20031">
              <w:rPr>
                <w:rFonts w:ascii="Arial Narrow" w:eastAsia="Calibri" w:hAnsi="Arial Narrow" w:cs="Calibri"/>
                <w:sz w:val="20"/>
                <w:szCs w:val="20"/>
              </w:rPr>
              <w:t>0.47, 0.01)</w:t>
            </w:r>
          </w:p>
        </w:tc>
        <w:tc>
          <w:tcPr>
            <w:tcW w:w="1651" w:type="dxa"/>
            <w:vAlign w:val="center"/>
          </w:tcPr>
          <w:p w14:paraId="20630940" w14:textId="598D7AB4" w:rsidR="008D461D" w:rsidRPr="00E20031" w:rsidRDefault="00397B07">
            <w:pPr>
              <w:jc w:val="center"/>
            </w:pPr>
            <w:r>
              <w:rPr>
                <w:rFonts w:ascii="Arial Narrow" w:eastAsia="Calibri" w:hAnsi="Arial Narrow" w:cs="Calibri"/>
                <w:sz w:val="20"/>
                <w:szCs w:val="20"/>
              </w:rPr>
              <w:noBreakHyphen/>
            </w:r>
            <w:r w:rsidR="008D461D" w:rsidRPr="00E20031">
              <w:rPr>
                <w:rFonts w:ascii="Arial Narrow" w:eastAsia="Calibri" w:hAnsi="Arial Narrow" w:cs="Calibri"/>
                <w:sz w:val="20"/>
                <w:szCs w:val="20"/>
              </w:rPr>
              <w:t>11.7%</w:t>
            </w:r>
          </w:p>
        </w:tc>
      </w:tr>
      <w:tr w:rsidR="008D461D" w:rsidRPr="00E20031" w14:paraId="1522316F" w14:textId="77777777">
        <w:trPr>
          <w:jc w:val="center"/>
        </w:trPr>
        <w:tc>
          <w:tcPr>
            <w:tcW w:w="1502" w:type="dxa"/>
            <w:vMerge/>
            <w:vAlign w:val="center"/>
          </w:tcPr>
          <w:p w14:paraId="04459D01" w14:textId="77777777" w:rsidR="008D461D" w:rsidRPr="00E20031" w:rsidRDefault="008D461D"/>
        </w:tc>
        <w:tc>
          <w:tcPr>
            <w:tcW w:w="1328" w:type="dxa"/>
            <w:vAlign w:val="center"/>
          </w:tcPr>
          <w:p w14:paraId="7DA4E1C9" w14:textId="77777777" w:rsidR="008D461D" w:rsidRPr="00E20031" w:rsidRDefault="008D461D">
            <w:r w:rsidRPr="00E20031">
              <w:rPr>
                <w:rFonts w:ascii="Arial Narrow" w:hAnsi="Arial Narrow" w:cs="Calibri"/>
                <w:sz w:val="20"/>
                <w:szCs w:val="20"/>
              </w:rPr>
              <w:t>PEOM</w:t>
            </w:r>
          </w:p>
        </w:tc>
        <w:tc>
          <w:tcPr>
            <w:tcW w:w="851" w:type="dxa"/>
            <w:vAlign w:val="center"/>
          </w:tcPr>
          <w:p w14:paraId="3976E597" w14:textId="77777777" w:rsidR="008D461D" w:rsidRPr="00E20031" w:rsidRDefault="008D461D">
            <w:pPr>
              <w:jc w:val="center"/>
            </w:pPr>
            <w:r w:rsidRPr="00E20031">
              <w:rPr>
                <w:rFonts w:ascii="Arial Narrow" w:eastAsia="Calibri" w:hAnsi="Arial Narrow" w:cs="Calibri"/>
                <w:sz w:val="20"/>
                <w:szCs w:val="20"/>
              </w:rPr>
              <w:t>199</w:t>
            </w:r>
          </w:p>
        </w:tc>
        <w:tc>
          <w:tcPr>
            <w:tcW w:w="1559" w:type="dxa"/>
            <w:vAlign w:val="center"/>
          </w:tcPr>
          <w:p w14:paraId="21529837" w14:textId="77777777" w:rsidR="008D461D" w:rsidRPr="00E20031" w:rsidRDefault="008D461D">
            <w:pPr>
              <w:jc w:val="center"/>
            </w:pPr>
            <w:r w:rsidRPr="00E20031">
              <w:rPr>
                <w:rFonts w:ascii="Arial Narrow" w:eastAsia="Calibri" w:hAnsi="Arial Narrow" w:cs="Calibri"/>
                <w:sz w:val="20"/>
                <w:szCs w:val="20"/>
              </w:rPr>
              <w:t>1.76 (0.07)</w:t>
            </w:r>
          </w:p>
        </w:tc>
        <w:tc>
          <w:tcPr>
            <w:tcW w:w="2126" w:type="dxa"/>
            <w:vAlign w:val="center"/>
          </w:tcPr>
          <w:p w14:paraId="78A63EF5" w14:textId="6BCCD299" w:rsidR="008D461D" w:rsidRPr="00E20031" w:rsidRDefault="00397B07">
            <w:pPr>
              <w:jc w:val="center"/>
              <w:rPr>
                <w:rFonts w:ascii="Arial Narrow" w:eastAsia="Calibri" w:hAnsi="Arial Narrow" w:cs="Calibri"/>
                <w:sz w:val="20"/>
                <w:szCs w:val="20"/>
              </w:rPr>
            </w:pPr>
            <w:r>
              <w:rPr>
                <w:rFonts w:ascii="Arial Narrow" w:eastAsia="Calibri" w:hAnsi="Arial Narrow" w:cs="Calibri"/>
                <w:sz w:val="20"/>
                <w:szCs w:val="20"/>
              </w:rPr>
              <w:noBreakHyphen/>
            </w:r>
            <w:r w:rsidR="008D461D" w:rsidRPr="00E20031">
              <w:rPr>
                <w:rFonts w:ascii="Arial Narrow" w:eastAsia="Calibri" w:hAnsi="Arial Narrow" w:cs="Calibri"/>
                <w:sz w:val="20"/>
                <w:szCs w:val="20"/>
              </w:rPr>
              <w:t>0.21 (</w:t>
            </w:r>
            <w:r>
              <w:rPr>
                <w:rFonts w:ascii="Arial Narrow" w:eastAsia="Calibri" w:hAnsi="Arial Narrow" w:cs="Calibri"/>
                <w:sz w:val="20"/>
                <w:szCs w:val="20"/>
              </w:rPr>
              <w:noBreakHyphen/>
            </w:r>
            <w:r w:rsidR="008D461D" w:rsidRPr="00E20031">
              <w:rPr>
                <w:rFonts w:ascii="Arial Narrow" w:eastAsia="Calibri" w:hAnsi="Arial Narrow" w:cs="Calibri"/>
                <w:sz w:val="20"/>
                <w:szCs w:val="20"/>
              </w:rPr>
              <w:t>0.44, 0.03)</w:t>
            </w:r>
          </w:p>
        </w:tc>
        <w:tc>
          <w:tcPr>
            <w:tcW w:w="1651" w:type="dxa"/>
            <w:vAlign w:val="center"/>
          </w:tcPr>
          <w:p w14:paraId="1CCA3A10" w14:textId="536F40B7" w:rsidR="008D461D" w:rsidRPr="00E20031" w:rsidRDefault="00397B07">
            <w:pPr>
              <w:jc w:val="center"/>
            </w:pPr>
            <w:r>
              <w:rPr>
                <w:rFonts w:ascii="Arial Narrow" w:eastAsia="Calibri" w:hAnsi="Arial Narrow" w:cs="Calibri"/>
                <w:sz w:val="20"/>
                <w:szCs w:val="20"/>
              </w:rPr>
              <w:noBreakHyphen/>
            </w:r>
            <w:r w:rsidR="008D461D" w:rsidRPr="00E20031">
              <w:rPr>
                <w:rFonts w:ascii="Arial Narrow" w:eastAsia="Calibri" w:hAnsi="Arial Narrow" w:cs="Calibri"/>
                <w:sz w:val="20"/>
                <w:szCs w:val="20"/>
              </w:rPr>
              <w:t>10.6%</w:t>
            </w:r>
          </w:p>
        </w:tc>
      </w:tr>
      <w:tr w:rsidR="008D461D" w:rsidRPr="00E20031" w14:paraId="2B1EF43F" w14:textId="77777777">
        <w:trPr>
          <w:jc w:val="center"/>
        </w:trPr>
        <w:tc>
          <w:tcPr>
            <w:tcW w:w="1502" w:type="dxa"/>
            <w:vMerge/>
            <w:vAlign w:val="center"/>
          </w:tcPr>
          <w:p w14:paraId="5BCF3CF3" w14:textId="77777777" w:rsidR="008D461D" w:rsidRPr="00E20031" w:rsidRDefault="008D461D"/>
        </w:tc>
        <w:tc>
          <w:tcPr>
            <w:tcW w:w="1328" w:type="dxa"/>
            <w:vAlign w:val="center"/>
          </w:tcPr>
          <w:p w14:paraId="38621703" w14:textId="77777777" w:rsidR="008D461D" w:rsidRPr="00E20031" w:rsidRDefault="008D461D">
            <w:r w:rsidRPr="00E20031">
              <w:rPr>
                <w:rFonts w:ascii="Arial Narrow" w:hAnsi="Arial Narrow" w:cs="Calibri"/>
                <w:sz w:val="20"/>
                <w:szCs w:val="20"/>
              </w:rPr>
              <w:t>Sham (pooled)</w:t>
            </w:r>
          </w:p>
        </w:tc>
        <w:tc>
          <w:tcPr>
            <w:tcW w:w="851" w:type="dxa"/>
            <w:vAlign w:val="center"/>
          </w:tcPr>
          <w:p w14:paraId="261994AD" w14:textId="77777777" w:rsidR="008D461D" w:rsidRPr="00E20031" w:rsidRDefault="008D461D">
            <w:pPr>
              <w:jc w:val="center"/>
            </w:pPr>
            <w:r w:rsidRPr="00E20031">
              <w:rPr>
                <w:rFonts w:ascii="Arial Narrow" w:eastAsia="Calibri" w:hAnsi="Arial Narrow" w:cs="Calibri"/>
                <w:sz w:val="20"/>
                <w:szCs w:val="20"/>
              </w:rPr>
              <w:t>193</w:t>
            </w:r>
          </w:p>
        </w:tc>
        <w:tc>
          <w:tcPr>
            <w:tcW w:w="1559" w:type="dxa"/>
            <w:vAlign w:val="center"/>
          </w:tcPr>
          <w:p w14:paraId="3E69685F" w14:textId="77777777" w:rsidR="008D461D" w:rsidRPr="00E20031" w:rsidRDefault="008D461D">
            <w:pPr>
              <w:jc w:val="center"/>
            </w:pPr>
            <w:r w:rsidRPr="00E20031">
              <w:rPr>
                <w:rFonts w:ascii="Arial Narrow" w:eastAsia="Calibri" w:hAnsi="Arial Narrow" w:cs="Calibri"/>
                <w:sz w:val="20"/>
                <w:szCs w:val="20"/>
              </w:rPr>
              <w:t>1.96 (0.10)</w:t>
            </w:r>
          </w:p>
        </w:tc>
        <w:tc>
          <w:tcPr>
            <w:tcW w:w="2126" w:type="dxa"/>
            <w:vAlign w:val="center"/>
          </w:tcPr>
          <w:p w14:paraId="6CD5CED7" w14:textId="77777777" w:rsidR="008D461D" w:rsidRPr="00E20031" w:rsidRDefault="008D461D">
            <w:pPr>
              <w:jc w:val="center"/>
            </w:pPr>
            <w:r w:rsidRPr="00E20031">
              <w:rPr>
                <w:rFonts w:ascii="Arial Narrow" w:hAnsi="Arial Narrow" w:cs="Calibri"/>
                <w:sz w:val="20"/>
                <w:szCs w:val="20"/>
              </w:rPr>
              <w:t>NA</w:t>
            </w:r>
          </w:p>
        </w:tc>
        <w:tc>
          <w:tcPr>
            <w:tcW w:w="1651" w:type="dxa"/>
            <w:vAlign w:val="center"/>
          </w:tcPr>
          <w:p w14:paraId="616CEF23" w14:textId="77777777" w:rsidR="008D461D" w:rsidRPr="00E20031" w:rsidRDefault="008D461D">
            <w:pPr>
              <w:jc w:val="center"/>
            </w:pPr>
            <w:r w:rsidRPr="00E20031">
              <w:rPr>
                <w:rFonts w:ascii="Arial Narrow" w:hAnsi="Arial Narrow" w:cs="Calibri"/>
                <w:sz w:val="20"/>
                <w:szCs w:val="20"/>
              </w:rPr>
              <w:t>NA</w:t>
            </w:r>
          </w:p>
        </w:tc>
      </w:tr>
      <w:tr w:rsidR="008D461D" w:rsidRPr="00E20031" w14:paraId="34B5A992" w14:textId="77777777">
        <w:trPr>
          <w:jc w:val="center"/>
        </w:trPr>
        <w:tc>
          <w:tcPr>
            <w:tcW w:w="1502" w:type="dxa"/>
            <w:vMerge w:val="restart"/>
            <w:vAlign w:val="center"/>
          </w:tcPr>
          <w:p w14:paraId="5D8CE941" w14:textId="77777777" w:rsidR="008D461D" w:rsidRPr="00E20031" w:rsidRDefault="008D461D">
            <w:pPr>
              <w:jc w:val="center"/>
              <w:rPr>
                <w:rFonts w:ascii="Arial Narrow" w:hAnsi="Arial Narrow"/>
                <w:sz w:val="20"/>
                <w:szCs w:val="20"/>
              </w:rPr>
            </w:pPr>
            <w:r w:rsidRPr="00E20031">
              <w:rPr>
                <w:rFonts w:ascii="Arial Narrow" w:hAnsi="Arial Narrow"/>
                <w:sz w:val="20"/>
                <w:szCs w:val="20"/>
              </w:rPr>
              <w:t>OAKS</w:t>
            </w:r>
          </w:p>
        </w:tc>
        <w:tc>
          <w:tcPr>
            <w:tcW w:w="1328" w:type="dxa"/>
            <w:vAlign w:val="center"/>
          </w:tcPr>
          <w:p w14:paraId="01DD50B0" w14:textId="77777777" w:rsidR="008D461D" w:rsidRPr="00E20031" w:rsidRDefault="008D461D">
            <w:r w:rsidRPr="00E20031">
              <w:rPr>
                <w:rFonts w:ascii="Arial Narrow" w:hAnsi="Arial Narrow" w:cs="Calibri"/>
                <w:sz w:val="20"/>
                <w:szCs w:val="20"/>
              </w:rPr>
              <w:t>PM</w:t>
            </w:r>
          </w:p>
        </w:tc>
        <w:tc>
          <w:tcPr>
            <w:tcW w:w="851" w:type="dxa"/>
            <w:vAlign w:val="center"/>
          </w:tcPr>
          <w:p w14:paraId="226D1CE6" w14:textId="77777777" w:rsidR="008D461D" w:rsidRPr="00E20031" w:rsidRDefault="008D461D">
            <w:pPr>
              <w:jc w:val="center"/>
            </w:pPr>
            <w:r w:rsidRPr="00E20031">
              <w:rPr>
                <w:rFonts w:ascii="Arial Narrow" w:hAnsi="Arial Narrow" w:cs="Calibri"/>
                <w:sz w:val="20"/>
                <w:szCs w:val="20"/>
              </w:rPr>
              <w:t>202</w:t>
            </w:r>
          </w:p>
        </w:tc>
        <w:tc>
          <w:tcPr>
            <w:tcW w:w="1559" w:type="dxa"/>
            <w:vAlign w:val="center"/>
          </w:tcPr>
          <w:p w14:paraId="4EFA566F" w14:textId="77777777" w:rsidR="008D461D" w:rsidRPr="00E20031" w:rsidRDefault="008D461D">
            <w:pPr>
              <w:jc w:val="center"/>
            </w:pPr>
            <w:r w:rsidRPr="00E20031">
              <w:rPr>
                <w:rFonts w:ascii="Arial Narrow" w:hAnsi="Arial Narrow" w:cs="Calibri"/>
                <w:b/>
                <w:bCs/>
                <w:sz w:val="20"/>
                <w:szCs w:val="20"/>
              </w:rPr>
              <w:t>1.56 (0.08)</w:t>
            </w:r>
          </w:p>
        </w:tc>
        <w:tc>
          <w:tcPr>
            <w:tcW w:w="2126" w:type="dxa"/>
            <w:vAlign w:val="center"/>
          </w:tcPr>
          <w:p w14:paraId="74D2B79D" w14:textId="5D3F2A73" w:rsidR="008D461D" w:rsidRPr="00E20031" w:rsidRDefault="00397B07">
            <w:pPr>
              <w:jc w:val="center"/>
              <w:rPr>
                <w:rFonts w:ascii="Arial Narrow" w:hAnsi="Arial Narrow" w:cs="Calibri"/>
                <w:b/>
                <w:bCs/>
                <w:sz w:val="20"/>
                <w:szCs w:val="20"/>
              </w:rPr>
            </w:pPr>
            <w:r>
              <w:rPr>
                <w:rFonts w:ascii="Arial Narrow" w:hAnsi="Arial Narrow" w:cs="Calibri"/>
                <w:b/>
                <w:bCs/>
                <w:sz w:val="20"/>
                <w:szCs w:val="20"/>
              </w:rPr>
              <w:noBreakHyphen/>
            </w:r>
            <w:r w:rsidR="008D461D" w:rsidRPr="00E20031">
              <w:rPr>
                <w:rFonts w:ascii="Arial Narrow" w:hAnsi="Arial Narrow" w:cs="Calibri"/>
                <w:b/>
                <w:bCs/>
                <w:sz w:val="20"/>
                <w:szCs w:val="20"/>
              </w:rPr>
              <w:t>0.41 (</w:t>
            </w:r>
            <w:r>
              <w:rPr>
                <w:rFonts w:ascii="Arial Narrow" w:hAnsi="Arial Narrow" w:cs="Calibri"/>
                <w:b/>
                <w:bCs/>
                <w:sz w:val="20"/>
                <w:szCs w:val="20"/>
              </w:rPr>
              <w:noBreakHyphen/>
            </w:r>
            <w:r w:rsidR="008D461D" w:rsidRPr="00E20031">
              <w:rPr>
                <w:rFonts w:ascii="Arial Narrow" w:hAnsi="Arial Narrow" w:cs="Calibri"/>
                <w:b/>
                <w:bCs/>
                <w:sz w:val="20"/>
                <w:szCs w:val="20"/>
              </w:rPr>
              <w:t xml:space="preserve">0.64, </w:t>
            </w:r>
            <w:r>
              <w:rPr>
                <w:rFonts w:ascii="Arial Narrow" w:hAnsi="Arial Narrow" w:cs="Calibri"/>
                <w:b/>
                <w:bCs/>
                <w:sz w:val="20"/>
                <w:szCs w:val="20"/>
              </w:rPr>
              <w:noBreakHyphen/>
            </w:r>
            <w:r w:rsidR="008D461D" w:rsidRPr="00E20031">
              <w:rPr>
                <w:rFonts w:ascii="Arial Narrow" w:hAnsi="Arial Narrow" w:cs="Calibri"/>
                <w:b/>
                <w:bCs/>
                <w:sz w:val="20"/>
                <w:szCs w:val="20"/>
              </w:rPr>
              <w:t>0.18)</w:t>
            </w:r>
          </w:p>
        </w:tc>
        <w:tc>
          <w:tcPr>
            <w:tcW w:w="1651" w:type="dxa"/>
            <w:vAlign w:val="center"/>
          </w:tcPr>
          <w:p w14:paraId="52DAF353" w14:textId="1BD84DEB"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20.9%</w:t>
            </w:r>
          </w:p>
        </w:tc>
      </w:tr>
      <w:tr w:rsidR="008D461D" w:rsidRPr="00E20031" w14:paraId="0DA90306" w14:textId="77777777">
        <w:trPr>
          <w:jc w:val="center"/>
        </w:trPr>
        <w:tc>
          <w:tcPr>
            <w:tcW w:w="1502" w:type="dxa"/>
            <w:vMerge/>
            <w:vAlign w:val="center"/>
          </w:tcPr>
          <w:p w14:paraId="38370787" w14:textId="77777777" w:rsidR="008D461D" w:rsidRPr="00E20031" w:rsidRDefault="008D461D"/>
        </w:tc>
        <w:tc>
          <w:tcPr>
            <w:tcW w:w="1328" w:type="dxa"/>
            <w:vAlign w:val="center"/>
          </w:tcPr>
          <w:p w14:paraId="32289671" w14:textId="77777777" w:rsidR="008D461D" w:rsidRPr="00E20031" w:rsidRDefault="008D461D">
            <w:r w:rsidRPr="00E20031">
              <w:rPr>
                <w:rFonts w:ascii="Arial Narrow" w:hAnsi="Arial Narrow" w:cs="Calibri"/>
                <w:sz w:val="20"/>
                <w:szCs w:val="20"/>
              </w:rPr>
              <w:t>PEOM</w:t>
            </w:r>
          </w:p>
        </w:tc>
        <w:tc>
          <w:tcPr>
            <w:tcW w:w="851" w:type="dxa"/>
            <w:vAlign w:val="center"/>
          </w:tcPr>
          <w:p w14:paraId="5A204311" w14:textId="77777777" w:rsidR="008D461D" w:rsidRPr="00E20031" w:rsidRDefault="008D461D">
            <w:pPr>
              <w:jc w:val="center"/>
            </w:pPr>
            <w:r w:rsidRPr="00E20031">
              <w:rPr>
                <w:rFonts w:ascii="Arial Narrow" w:hAnsi="Arial Narrow" w:cs="Calibri"/>
                <w:sz w:val="20"/>
                <w:szCs w:val="20"/>
              </w:rPr>
              <w:t>204</w:t>
            </w:r>
          </w:p>
        </w:tc>
        <w:tc>
          <w:tcPr>
            <w:tcW w:w="1559" w:type="dxa"/>
            <w:vAlign w:val="center"/>
          </w:tcPr>
          <w:p w14:paraId="22B9D119" w14:textId="77777777" w:rsidR="008D461D" w:rsidRPr="00E20031" w:rsidRDefault="008D461D">
            <w:pPr>
              <w:jc w:val="center"/>
            </w:pPr>
            <w:r w:rsidRPr="00E20031">
              <w:rPr>
                <w:rFonts w:ascii="Arial Narrow" w:hAnsi="Arial Narrow" w:cs="Calibri"/>
                <w:b/>
                <w:bCs/>
                <w:sz w:val="20"/>
                <w:szCs w:val="20"/>
              </w:rPr>
              <w:t>1.65 (0.08)</w:t>
            </w:r>
          </w:p>
        </w:tc>
        <w:tc>
          <w:tcPr>
            <w:tcW w:w="2126" w:type="dxa"/>
            <w:vAlign w:val="center"/>
          </w:tcPr>
          <w:p w14:paraId="4D977177" w14:textId="12FE9E24" w:rsidR="008D461D" w:rsidRPr="00E20031" w:rsidRDefault="00397B07">
            <w:pPr>
              <w:jc w:val="center"/>
              <w:rPr>
                <w:rFonts w:ascii="Arial Narrow" w:hAnsi="Arial Narrow" w:cs="Calibri"/>
                <w:b/>
                <w:bCs/>
                <w:sz w:val="20"/>
                <w:szCs w:val="20"/>
              </w:rPr>
            </w:pPr>
            <w:r>
              <w:rPr>
                <w:rFonts w:ascii="Arial Narrow" w:hAnsi="Arial Narrow" w:cs="Calibri"/>
                <w:b/>
                <w:bCs/>
                <w:sz w:val="20"/>
                <w:szCs w:val="20"/>
              </w:rPr>
              <w:noBreakHyphen/>
            </w:r>
            <w:r w:rsidR="008D461D" w:rsidRPr="00E20031">
              <w:rPr>
                <w:rFonts w:ascii="Arial Narrow" w:hAnsi="Arial Narrow" w:cs="Calibri"/>
                <w:b/>
                <w:bCs/>
                <w:sz w:val="20"/>
                <w:szCs w:val="20"/>
              </w:rPr>
              <w:t>0.32 (</w:t>
            </w:r>
            <w:r>
              <w:rPr>
                <w:rFonts w:ascii="Arial Narrow" w:hAnsi="Arial Narrow" w:cs="Calibri"/>
                <w:b/>
                <w:bCs/>
                <w:sz w:val="20"/>
                <w:szCs w:val="20"/>
              </w:rPr>
              <w:noBreakHyphen/>
            </w:r>
            <w:r w:rsidR="008D461D" w:rsidRPr="00E20031">
              <w:rPr>
                <w:rFonts w:ascii="Arial Narrow" w:hAnsi="Arial Narrow" w:cs="Calibri"/>
                <w:b/>
                <w:bCs/>
                <w:sz w:val="20"/>
                <w:szCs w:val="20"/>
              </w:rPr>
              <w:t xml:space="preserve">0.54, </w:t>
            </w:r>
            <w:r>
              <w:rPr>
                <w:rFonts w:ascii="Arial Narrow" w:hAnsi="Arial Narrow" w:cs="Calibri"/>
                <w:b/>
                <w:bCs/>
                <w:sz w:val="20"/>
                <w:szCs w:val="20"/>
              </w:rPr>
              <w:noBreakHyphen/>
            </w:r>
            <w:r w:rsidR="008D461D" w:rsidRPr="00E20031">
              <w:rPr>
                <w:rFonts w:ascii="Arial Narrow" w:hAnsi="Arial Narrow" w:cs="Calibri"/>
                <w:b/>
                <w:bCs/>
                <w:sz w:val="20"/>
                <w:szCs w:val="20"/>
              </w:rPr>
              <w:t>0.09)</w:t>
            </w:r>
          </w:p>
        </w:tc>
        <w:tc>
          <w:tcPr>
            <w:tcW w:w="1651" w:type="dxa"/>
            <w:vAlign w:val="center"/>
          </w:tcPr>
          <w:p w14:paraId="45E8C3B6" w14:textId="696A0183"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16.1%</w:t>
            </w:r>
          </w:p>
        </w:tc>
      </w:tr>
      <w:tr w:rsidR="008D461D" w:rsidRPr="00E20031" w14:paraId="095DCB20" w14:textId="77777777">
        <w:trPr>
          <w:jc w:val="center"/>
        </w:trPr>
        <w:tc>
          <w:tcPr>
            <w:tcW w:w="1502" w:type="dxa"/>
            <w:vMerge/>
            <w:vAlign w:val="center"/>
          </w:tcPr>
          <w:p w14:paraId="27E5B1DB" w14:textId="77777777" w:rsidR="008D461D" w:rsidRPr="00E20031" w:rsidRDefault="008D461D"/>
        </w:tc>
        <w:tc>
          <w:tcPr>
            <w:tcW w:w="1328" w:type="dxa"/>
            <w:vAlign w:val="center"/>
          </w:tcPr>
          <w:p w14:paraId="31E4ECA3" w14:textId="77777777" w:rsidR="008D461D" w:rsidRPr="00E20031" w:rsidRDefault="008D461D">
            <w:r w:rsidRPr="00E20031">
              <w:rPr>
                <w:rFonts w:ascii="Arial Narrow" w:hAnsi="Arial Narrow" w:cs="Calibri"/>
                <w:sz w:val="20"/>
                <w:szCs w:val="20"/>
              </w:rPr>
              <w:t>Sham (pooled)</w:t>
            </w:r>
          </w:p>
        </w:tc>
        <w:tc>
          <w:tcPr>
            <w:tcW w:w="851" w:type="dxa"/>
            <w:vAlign w:val="center"/>
          </w:tcPr>
          <w:p w14:paraId="3656E708" w14:textId="77777777" w:rsidR="008D461D" w:rsidRPr="00E20031" w:rsidRDefault="008D461D">
            <w:pPr>
              <w:jc w:val="center"/>
            </w:pPr>
            <w:r w:rsidRPr="00E20031">
              <w:rPr>
                <w:rFonts w:ascii="Arial Narrow" w:eastAsia="Calibri" w:hAnsi="Arial Narrow" w:cs="Calibri"/>
                <w:sz w:val="20"/>
                <w:szCs w:val="20"/>
              </w:rPr>
              <w:t>205</w:t>
            </w:r>
          </w:p>
        </w:tc>
        <w:tc>
          <w:tcPr>
            <w:tcW w:w="1559" w:type="dxa"/>
            <w:vAlign w:val="center"/>
          </w:tcPr>
          <w:p w14:paraId="3EE9F220" w14:textId="77777777" w:rsidR="008D461D" w:rsidRPr="00E20031" w:rsidRDefault="008D461D">
            <w:pPr>
              <w:jc w:val="center"/>
            </w:pPr>
            <w:r w:rsidRPr="00E20031">
              <w:rPr>
                <w:rFonts w:ascii="Arial Narrow" w:eastAsia="Calibri" w:hAnsi="Arial Narrow" w:cs="Calibri"/>
                <w:sz w:val="20"/>
                <w:szCs w:val="20"/>
              </w:rPr>
              <w:t>1.97 (0.08)</w:t>
            </w:r>
          </w:p>
        </w:tc>
        <w:tc>
          <w:tcPr>
            <w:tcW w:w="2126" w:type="dxa"/>
            <w:vAlign w:val="center"/>
          </w:tcPr>
          <w:p w14:paraId="2FFA95C2" w14:textId="77777777" w:rsidR="008D461D" w:rsidRPr="00E20031" w:rsidRDefault="008D461D">
            <w:pPr>
              <w:jc w:val="center"/>
            </w:pPr>
            <w:r w:rsidRPr="00E20031">
              <w:rPr>
                <w:rFonts w:ascii="Arial Narrow" w:hAnsi="Arial Narrow" w:cs="Calibri"/>
                <w:sz w:val="20"/>
                <w:szCs w:val="20"/>
              </w:rPr>
              <w:t>NA</w:t>
            </w:r>
          </w:p>
        </w:tc>
        <w:tc>
          <w:tcPr>
            <w:tcW w:w="1651" w:type="dxa"/>
            <w:vAlign w:val="center"/>
          </w:tcPr>
          <w:p w14:paraId="3B500F0A" w14:textId="77777777" w:rsidR="008D461D" w:rsidRPr="00E20031" w:rsidRDefault="008D461D">
            <w:pPr>
              <w:jc w:val="center"/>
            </w:pPr>
            <w:r w:rsidRPr="00E20031">
              <w:rPr>
                <w:rFonts w:ascii="Arial Narrow" w:hAnsi="Arial Narrow" w:cs="Calibri"/>
                <w:sz w:val="20"/>
                <w:szCs w:val="20"/>
              </w:rPr>
              <w:t>NA</w:t>
            </w:r>
          </w:p>
        </w:tc>
      </w:tr>
      <w:tr w:rsidR="008D461D" w:rsidRPr="00E20031" w14:paraId="451E1E63" w14:textId="77777777">
        <w:trPr>
          <w:jc w:val="center"/>
        </w:trPr>
        <w:tc>
          <w:tcPr>
            <w:tcW w:w="9017" w:type="dxa"/>
            <w:gridSpan w:val="6"/>
          </w:tcPr>
          <w:p w14:paraId="6E4651F4" w14:textId="77777777" w:rsidR="008D461D" w:rsidRPr="00E20031" w:rsidRDefault="008D461D">
            <w:pPr>
              <w:rPr>
                <w:rFonts w:ascii="Arial Narrow" w:hAnsi="Arial Narrow"/>
                <w:b/>
                <w:sz w:val="20"/>
                <w:szCs w:val="20"/>
              </w:rPr>
            </w:pPr>
            <w:r w:rsidRPr="00E20031">
              <w:rPr>
                <w:rFonts w:ascii="Arial Narrow" w:hAnsi="Arial Narrow"/>
                <w:b/>
                <w:sz w:val="20"/>
                <w:szCs w:val="20"/>
              </w:rPr>
              <w:t xml:space="preserve">Secondary outcomes: </w:t>
            </w:r>
          </w:p>
          <w:p w14:paraId="1AC2FAD9" w14:textId="77777777" w:rsidR="008D461D" w:rsidRPr="00E20031" w:rsidRDefault="008D461D">
            <w:r w:rsidRPr="00E20031">
              <w:rPr>
                <w:rFonts w:ascii="Arial Narrow" w:hAnsi="Arial Narrow"/>
                <w:b/>
                <w:sz w:val="20"/>
                <w:szCs w:val="20"/>
              </w:rPr>
              <w:t>Change from baseline in total area of GA lesion(s) (mm</w:t>
            </w:r>
            <w:r w:rsidRPr="00E20031">
              <w:rPr>
                <w:rFonts w:ascii="Arial Narrow" w:hAnsi="Arial Narrow"/>
                <w:b/>
                <w:sz w:val="20"/>
                <w:szCs w:val="20"/>
                <w:vertAlign w:val="superscript"/>
              </w:rPr>
              <w:t>2</w:t>
            </w:r>
            <w:r w:rsidRPr="00E20031">
              <w:rPr>
                <w:rFonts w:ascii="Arial Narrow" w:hAnsi="Arial Narrow"/>
                <w:b/>
                <w:sz w:val="20"/>
                <w:szCs w:val="20"/>
              </w:rPr>
              <w:t>) (FAF) at month 24</w:t>
            </w:r>
          </w:p>
        </w:tc>
      </w:tr>
      <w:tr w:rsidR="008D461D" w:rsidRPr="00E20031" w14:paraId="2D842E05" w14:textId="77777777">
        <w:trPr>
          <w:jc w:val="center"/>
        </w:trPr>
        <w:tc>
          <w:tcPr>
            <w:tcW w:w="1502" w:type="dxa"/>
            <w:vMerge w:val="restart"/>
            <w:vAlign w:val="center"/>
          </w:tcPr>
          <w:p w14:paraId="2F80A7B7" w14:textId="77777777" w:rsidR="008D461D" w:rsidRPr="00E20031" w:rsidRDefault="008D461D">
            <w:pPr>
              <w:jc w:val="center"/>
            </w:pPr>
            <w:r w:rsidRPr="00E20031">
              <w:rPr>
                <w:rFonts w:ascii="Arial Narrow" w:hAnsi="Arial Narrow" w:cs="Calibri"/>
                <w:sz w:val="20"/>
                <w:szCs w:val="20"/>
              </w:rPr>
              <w:t>DERBY</w:t>
            </w:r>
          </w:p>
        </w:tc>
        <w:tc>
          <w:tcPr>
            <w:tcW w:w="1328" w:type="dxa"/>
            <w:vAlign w:val="center"/>
          </w:tcPr>
          <w:p w14:paraId="75AED299" w14:textId="77777777" w:rsidR="008D461D" w:rsidRPr="00E20031" w:rsidRDefault="008D461D">
            <w:r w:rsidRPr="00E20031">
              <w:rPr>
                <w:rFonts w:ascii="Arial Narrow" w:hAnsi="Arial Narrow" w:cs="Calibri"/>
                <w:sz w:val="20"/>
                <w:szCs w:val="20"/>
              </w:rPr>
              <w:t>PM</w:t>
            </w:r>
          </w:p>
        </w:tc>
        <w:tc>
          <w:tcPr>
            <w:tcW w:w="851" w:type="dxa"/>
            <w:vAlign w:val="center"/>
          </w:tcPr>
          <w:p w14:paraId="4ED21D7C" w14:textId="77777777" w:rsidR="008D461D" w:rsidRPr="00E20031" w:rsidRDefault="008D461D">
            <w:pPr>
              <w:jc w:val="center"/>
            </w:pPr>
            <w:r w:rsidRPr="00E20031">
              <w:rPr>
                <w:rFonts w:ascii="Arial Narrow" w:eastAsia="Calibri" w:hAnsi="Arial Narrow" w:cs="Calibri"/>
                <w:sz w:val="20"/>
                <w:szCs w:val="20"/>
              </w:rPr>
              <w:t>200</w:t>
            </w:r>
          </w:p>
        </w:tc>
        <w:tc>
          <w:tcPr>
            <w:tcW w:w="1559" w:type="dxa"/>
            <w:vAlign w:val="center"/>
          </w:tcPr>
          <w:p w14:paraId="6DC1F915" w14:textId="77777777" w:rsidR="008D461D" w:rsidRPr="00E20031" w:rsidRDefault="008D461D">
            <w:pPr>
              <w:jc w:val="center"/>
            </w:pPr>
            <w:r w:rsidRPr="00E20031">
              <w:rPr>
                <w:rFonts w:ascii="Arial Narrow" w:eastAsia="Calibri" w:hAnsi="Arial Narrow" w:cs="Calibri"/>
                <w:b/>
                <w:bCs/>
                <w:sz w:val="20"/>
                <w:szCs w:val="20"/>
              </w:rPr>
              <w:t>3.23 (0.12)</w:t>
            </w:r>
          </w:p>
        </w:tc>
        <w:tc>
          <w:tcPr>
            <w:tcW w:w="2126" w:type="dxa"/>
            <w:vAlign w:val="center"/>
          </w:tcPr>
          <w:p w14:paraId="457D8F11" w14:textId="5286BD5E" w:rsidR="008D461D" w:rsidRPr="00E20031" w:rsidRDefault="00397B07">
            <w:pPr>
              <w:jc w:val="center"/>
              <w:rPr>
                <w:rFonts w:ascii="Arial Narrow" w:eastAsia="Calibri" w:hAnsi="Arial Narrow" w:cs="Calibri"/>
                <w:b/>
                <w:bCs/>
                <w:sz w:val="20"/>
                <w:szCs w:val="20"/>
              </w:rPr>
            </w:pPr>
            <w:r>
              <w:rPr>
                <w:rFonts w:ascii="Arial Narrow" w:eastAsia="Calibri" w:hAnsi="Arial Narrow" w:cs="Calibri"/>
                <w:b/>
                <w:bCs/>
                <w:sz w:val="20"/>
                <w:szCs w:val="20"/>
              </w:rPr>
              <w:noBreakHyphen/>
            </w:r>
            <w:r w:rsidR="008D461D" w:rsidRPr="00E20031">
              <w:rPr>
                <w:rFonts w:ascii="Arial Narrow" w:eastAsia="Calibri" w:hAnsi="Arial Narrow" w:cs="Calibri"/>
                <w:b/>
                <w:bCs/>
                <w:sz w:val="20"/>
                <w:szCs w:val="20"/>
              </w:rPr>
              <w:t>0.75 (</w:t>
            </w:r>
            <w:r>
              <w:rPr>
                <w:rFonts w:ascii="Arial Narrow" w:eastAsia="Calibri" w:hAnsi="Arial Narrow" w:cs="Calibri"/>
                <w:b/>
                <w:bCs/>
                <w:sz w:val="20"/>
                <w:szCs w:val="20"/>
              </w:rPr>
              <w:noBreakHyphen/>
            </w:r>
            <w:r w:rsidR="008D461D" w:rsidRPr="00E20031">
              <w:rPr>
                <w:rFonts w:ascii="Arial Narrow" w:eastAsia="Calibri" w:hAnsi="Arial Narrow" w:cs="Calibri"/>
                <w:b/>
                <w:bCs/>
                <w:sz w:val="20"/>
                <w:szCs w:val="20"/>
              </w:rPr>
              <w:t xml:space="preserve">1.15, </w:t>
            </w:r>
            <w:r>
              <w:rPr>
                <w:rFonts w:ascii="Arial Narrow" w:eastAsia="Calibri" w:hAnsi="Arial Narrow" w:cs="Calibri"/>
                <w:b/>
                <w:bCs/>
                <w:sz w:val="20"/>
                <w:szCs w:val="20"/>
              </w:rPr>
              <w:noBreakHyphen/>
            </w:r>
            <w:r w:rsidR="008D461D" w:rsidRPr="00E20031">
              <w:rPr>
                <w:rFonts w:ascii="Arial Narrow" w:eastAsia="Calibri" w:hAnsi="Arial Narrow" w:cs="Calibri"/>
                <w:b/>
                <w:bCs/>
                <w:sz w:val="20"/>
                <w:szCs w:val="20"/>
              </w:rPr>
              <w:t>0.34)</w:t>
            </w:r>
          </w:p>
        </w:tc>
        <w:tc>
          <w:tcPr>
            <w:tcW w:w="1651" w:type="dxa"/>
            <w:vAlign w:val="center"/>
          </w:tcPr>
          <w:p w14:paraId="7CE66380" w14:textId="3D05255B"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18.8%</w:t>
            </w:r>
          </w:p>
        </w:tc>
      </w:tr>
      <w:tr w:rsidR="008D461D" w:rsidRPr="00E20031" w14:paraId="0D5F4BF3" w14:textId="77777777">
        <w:trPr>
          <w:jc w:val="center"/>
        </w:trPr>
        <w:tc>
          <w:tcPr>
            <w:tcW w:w="1502" w:type="dxa"/>
            <w:vMerge/>
            <w:vAlign w:val="center"/>
          </w:tcPr>
          <w:p w14:paraId="42E64DDB" w14:textId="77777777" w:rsidR="008D461D" w:rsidRPr="00E20031" w:rsidRDefault="008D461D">
            <w:pPr>
              <w:jc w:val="center"/>
            </w:pPr>
          </w:p>
        </w:tc>
        <w:tc>
          <w:tcPr>
            <w:tcW w:w="1328" w:type="dxa"/>
            <w:vAlign w:val="center"/>
          </w:tcPr>
          <w:p w14:paraId="1845B4CF" w14:textId="77777777" w:rsidR="008D461D" w:rsidRPr="00E20031" w:rsidRDefault="008D461D">
            <w:r w:rsidRPr="00E20031">
              <w:rPr>
                <w:rFonts w:ascii="Arial Narrow" w:hAnsi="Arial Narrow" w:cs="Calibri"/>
                <w:sz w:val="20"/>
                <w:szCs w:val="20"/>
              </w:rPr>
              <w:t>PEOM</w:t>
            </w:r>
          </w:p>
        </w:tc>
        <w:tc>
          <w:tcPr>
            <w:tcW w:w="851" w:type="dxa"/>
            <w:vAlign w:val="center"/>
          </w:tcPr>
          <w:p w14:paraId="45363267" w14:textId="77777777" w:rsidR="008D461D" w:rsidRPr="00E20031" w:rsidRDefault="008D461D">
            <w:pPr>
              <w:jc w:val="center"/>
            </w:pPr>
            <w:r w:rsidRPr="00E20031">
              <w:rPr>
                <w:rFonts w:ascii="Arial Narrow" w:eastAsia="Calibri" w:hAnsi="Arial Narrow" w:cs="Calibri"/>
                <w:sz w:val="20"/>
                <w:szCs w:val="20"/>
              </w:rPr>
              <w:t>200</w:t>
            </w:r>
          </w:p>
        </w:tc>
        <w:tc>
          <w:tcPr>
            <w:tcW w:w="1559" w:type="dxa"/>
            <w:vAlign w:val="center"/>
          </w:tcPr>
          <w:p w14:paraId="4B388504" w14:textId="77777777" w:rsidR="008D461D" w:rsidRPr="00E20031" w:rsidRDefault="008D461D">
            <w:pPr>
              <w:jc w:val="center"/>
            </w:pPr>
            <w:r w:rsidRPr="00E20031">
              <w:rPr>
                <w:rFonts w:ascii="Arial Narrow" w:eastAsia="Calibri" w:hAnsi="Arial Narrow" w:cs="Calibri"/>
                <w:b/>
                <w:bCs/>
                <w:sz w:val="20"/>
                <w:szCs w:val="20"/>
              </w:rPr>
              <w:t>3.34 (0.13)</w:t>
            </w:r>
          </w:p>
        </w:tc>
        <w:tc>
          <w:tcPr>
            <w:tcW w:w="2126" w:type="dxa"/>
            <w:vAlign w:val="center"/>
          </w:tcPr>
          <w:p w14:paraId="5253BDFF" w14:textId="72A61AC6" w:rsidR="008D461D" w:rsidRPr="00E20031" w:rsidRDefault="00397B07">
            <w:pPr>
              <w:jc w:val="center"/>
              <w:rPr>
                <w:rFonts w:ascii="Arial Narrow" w:eastAsia="Calibri" w:hAnsi="Arial Narrow" w:cs="Calibri"/>
                <w:b/>
                <w:bCs/>
                <w:sz w:val="20"/>
                <w:szCs w:val="20"/>
              </w:rPr>
            </w:pPr>
            <w:r>
              <w:rPr>
                <w:rFonts w:ascii="Arial Narrow" w:eastAsia="Calibri" w:hAnsi="Arial Narrow" w:cs="Calibri"/>
                <w:b/>
                <w:bCs/>
                <w:sz w:val="20"/>
                <w:szCs w:val="20"/>
              </w:rPr>
              <w:noBreakHyphen/>
            </w:r>
            <w:r w:rsidR="008D461D" w:rsidRPr="00E20031">
              <w:rPr>
                <w:rFonts w:ascii="Arial Narrow" w:eastAsia="Calibri" w:hAnsi="Arial Narrow" w:cs="Calibri"/>
                <w:b/>
                <w:bCs/>
                <w:sz w:val="20"/>
                <w:szCs w:val="20"/>
              </w:rPr>
              <w:t>0.63 (</w:t>
            </w:r>
            <w:r>
              <w:rPr>
                <w:rFonts w:ascii="Arial Narrow" w:eastAsia="Calibri" w:hAnsi="Arial Narrow" w:cs="Calibri"/>
                <w:b/>
                <w:bCs/>
                <w:sz w:val="20"/>
                <w:szCs w:val="20"/>
              </w:rPr>
              <w:noBreakHyphen/>
            </w:r>
            <w:r w:rsidR="008D461D" w:rsidRPr="00E20031">
              <w:rPr>
                <w:rFonts w:ascii="Arial Narrow" w:eastAsia="Calibri" w:hAnsi="Arial Narrow" w:cs="Calibri"/>
                <w:b/>
                <w:bCs/>
                <w:sz w:val="20"/>
                <w:szCs w:val="20"/>
              </w:rPr>
              <w:t xml:space="preserve">1.05, </w:t>
            </w:r>
            <w:r>
              <w:rPr>
                <w:rFonts w:ascii="Arial Narrow" w:eastAsia="Calibri" w:hAnsi="Arial Narrow" w:cs="Calibri"/>
                <w:b/>
                <w:bCs/>
                <w:sz w:val="20"/>
                <w:szCs w:val="20"/>
              </w:rPr>
              <w:noBreakHyphen/>
            </w:r>
            <w:r w:rsidR="008D461D" w:rsidRPr="00E20031">
              <w:rPr>
                <w:rFonts w:ascii="Arial Narrow" w:eastAsia="Calibri" w:hAnsi="Arial Narrow" w:cs="Calibri"/>
                <w:b/>
                <w:bCs/>
                <w:sz w:val="20"/>
                <w:szCs w:val="20"/>
              </w:rPr>
              <w:t>0.22)</w:t>
            </w:r>
          </w:p>
        </w:tc>
        <w:tc>
          <w:tcPr>
            <w:tcW w:w="1651" w:type="dxa"/>
            <w:vAlign w:val="center"/>
          </w:tcPr>
          <w:p w14:paraId="71ACCDC7" w14:textId="58C5868C"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15.9%</w:t>
            </w:r>
          </w:p>
        </w:tc>
      </w:tr>
      <w:tr w:rsidR="008D461D" w:rsidRPr="00E20031" w14:paraId="2F005D85" w14:textId="77777777">
        <w:trPr>
          <w:jc w:val="center"/>
        </w:trPr>
        <w:tc>
          <w:tcPr>
            <w:tcW w:w="1502" w:type="dxa"/>
            <w:vMerge/>
            <w:vAlign w:val="center"/>
          </w:tcPr>
          <w:p w14:paraId="1BF1581C" w14:textId="77777777" w:rsidR="008D461D" w:rsidRPr="00E20031" w:rsidRDefault="008D461D">
            <w:pPr>
              <w:jc w:val="center"/>
            </w:pPr>
          </w:p>
        </w:tc>
        <w:tc>
          <w:tcPr>
            <w:tcW w:w="1328" w:type="dxa"/>
            <w:vAlign w:val="center"/>
          </w:tcPr>
          <w:p w14:paraId="14CDF1CE" w14:textId="77777777" w:rsidR="008D461D" w:rsidRPr="00E20031" w:rsidRDefault="008D461D">
            <w:r w:rsidRPr="00E20031">
              <w:rPr>
                <w:rFonts w:ascii="Arial Narrow" w:hAnsi="Arial Narrow" w:cs="Calibri"/>
                <w:sz w:val="20"/>
                <w:szCs w:val="20"/>
              </w:rPr>
              <w:t>Sham (pooled)</w:t>
            </w:r>
          </w:p>
        </w:tc>
        <w:tc>
          <w:tcPr>
            <w:tcW w:w="851" w:type="dxa"/>
            <w:vAlign w:val="center"/>
          </w:tcPr>
          <w:p w14:paraId="3BC23830" w14:textId="77777777" w:rsidR="008D461D" w:rsidRPr="00E20031" w:rsidRDefault="008D461D">
            <w:pPr>
              <w:jc w:val="center"/>
            </w:pPr>
            <w:r w:rsidRPr="00E20031">
              <w:rPr>
                <w:rFonts w:ascii="Arial Narrow" w:hAnsi="Arial Narrow" w:cs="Calibri"/>
                <w:sz w:val="20"/>
                <w:szCs w:val="20"/>
              </w:rPr>
              <w:t>194</w:t>
            </w:r>
          </w:p>
        </w:tc>
        <w:tc>
          <w:tcPr>
            <w:tcW w:w="1559" w:type="dxa"/>
            <w:vAlign w:val="center"/>
          </w:tcPr>
          <w:p w14:paraId="24F266CD" w14:textId="77777777" w:rsidR="008D461D" w:rsidRPr="00E20031" w:rsidRDefault="008D461D">
            <w:pPr>
              <w:jc w:val="center"/>
            </w:pPr>
            <w:r w:rsidRPr="00E20031">
              <w:rPr>
                <w:rFonts w:ascii="Arial Narrow" w:hAnsi="Arial Narrow" w:cs="Calibri"/>
                <w:sz w:val="20"/>
                <w:szCs w:val="20"/>
              </w:rPr>
              <w:t>3.97 (0.17)</w:t>
            </w:r>
          </w:p>
        </w:tc>
        <w:tc>
          <w:tcPr>
            <w:tcW w:w="2126" w:type="dxa"/>
            <w:vAlign w:val="center"/>
          </w:tcPr>
          <w:p w14:paraId="025E8664" w14:textId="77777777" w:rsidR="008D461D" w:rsidRPr="00E20031" w:rsidRDefault="008D461D">
            <w:pPr>
              <w:jc w:val="center"/>
            </w:pPr>
            <w:r w:rsidRPr="00E20031">
              <w:rPr>
                <w:rFonts w:ascii="Arial Narrow" w:hAnsi="Arial Narrow" w:cs="Calibri"/>
                <w:sz w:val="20"/>
                <w:szCs w:val="20"/>
              </w:rPr>
              <w:t>NA</w:t>
            </w:r>
          </w:p>
        </w:tc>
        <w:tc>
          <w:tcPr>
            <w:tcW w:w="1651" w:type="dxa"/>
            <w:vAlign w:val="center"/>
          </w:tcPr>
          <w:p w14:paraId="7F565B7A" w14:textId="77777777" w:rsidR="008D461D" w:rsidRPr="00E20031" w:rsidRDefault="008D461D">
            <w:pPr>
              <w:jc w:val="center"/>
            </w:pPr>
            <w:r w:rsidRPr="00E20031">
              <w:rPr>
                <w:rFonts w:ascii="Arial Narrow" w:hAnsi="Arial Narrow" w:cs="Calibri"/>
                <w:sz w:val="20"/>
                <w:szCs w:val="20"/>
              </w:rPr>
              <w:t>NA</w:t>
            </w:r>
          </w:p>
        </w:tc>
      </w:tr>
      <w:tr w:rsidR="008D461D" w:rsidRPr="00E20031" w14:paraId="17C50E8A" w14:textId="77777777">
        <w:trPr>
          <w:jc w:val="center"/>
        </w:trPr>
        <w:tc>
          <w:tcPr>
            <w:tcW w:w="1502" w:type="dxa"/>
            <w:vMerge w:val="restart"/>
            <w:vAlign w:val="center"/>
          </w:tcPr>
          <w:p w14:paraId="3C108E02" w14:textId="77777777" w:rsidR="008D461D" w:rsidRPr="00E20031" w:rsidRDefault="008D461D">
            <w:pPr>
              <w:jc w:val="center"/>
            </w:pPr>
            <w:r w:rsidRPr="00E20031">
              <w:rPr>
                <w:rFonts w:ascii="Arial Narrow" w:hAnsi="Arial Narrow"/>
                <w:sz w:val="20"/>
                <w:szCs w:val="20"/>
              </w:rPr>
              <w:t>OAKS</w:t>
            </w:r>
          </w:p>
        </w:tc>
        <w:tc>
          <w:tcPr>
            <w:tcW w:w="1328" w:type="dxa"/>
            <w:vAlign w:val="center"/>
          </w:tcPr>
          <w:p w14:paraId="6224C2A2" w14:textId="77777777" w:rsidR="008D461D" w:rsidRPr="00E20031" w:rsidRDefault="008D461D">
            <w:r w:rsidRPr="00E20031">
              <w:rPr>
                <w:rFonts w:ascii="Arial Narrow" w:hAnsi="Arial Narrow" w:cs="Calibri"/>
                <w:sz w:val="20"/>
                <w:szCs w:val="20"/>
              </w:rPr>
              <w:t>PM</w:t>
            </w:r>
          </w:p>
        </w:tc>
        <w:tc>
          <w:tcPr>
            <w:tcW w:w="851" w:type="dxa"/>
            <w:vAlign w:val="center"/>
          </w:tcPr>
          <w:p w14:paraId="374BADE0" w14:textId="77777777" w:rsidR="008D461D" w:rsidRPr="00E20031" w:rsidRDefault="008D461D">
            <w:pPr>
              <w:jc w:val="center"/>
            </w:pPr>
            <w:r w:rsidRPr="00E20031">
              <w:rPr>
                <w:rFonts w:ascii="Arial Narrow" w:hAnsi="Arial Narrow" w:cs="Calibri"/>
                <w:sz w:val="20"/>
                <w:szCs w:val="20"/>
              </w:rPr>
              <w:t>202</w:t>
            </w:r>
          </w:p>
        </w:tc>
        <w:tc>
          <w:tcPr>
            <w:tcW w:w="1559" w:type="dxa"/>
            <w:vAlign w:val="center"/>
          </w:tcPr>
          <w:p w14:paraId="6D5A28DD" w14:textId="77777777" w:rsidR="008D461D" w:rsidRPr="00E20031" w:rsidRDefault="008D461D">
            <w:pPr>
              <w:jc w:val="center"/>
            </w:pPr>
            <w:r w:rsidRPr="00E20031">
              <w:rPr>
                <w:rFonts w:ascii="Arial Narrow" w:hAnsi="Arial Narrow" w:cs="Calibri"/>
                <w:b/>
                <w:bCs/>
                <w:sz w:val="20"/>
                <w:szCs w:val="20"/>
              </w:rPr>
              <w:t>3.12 (0.14)</w:t>
            </w:r>
          </w:p>
        </w:tc>
        <w:tc>
          <w:tcPr>
            <w:tcW w:w="2126" w:type="dxa"/>
            <w:vAlign w:val="center"/>
          </w:tcPr>
          <w:p w14:paraId="36DE92DB" w14:textId="4986C8CF" w:rsidR="008D461D" w:rsidRPr="00E20031" w:rsidRDefault="00397B07">
            <w:pPr>
              <w:jc w:val="center"/>
              <w:rPr>
                <w:rFonts w:ascii="Arial Narrow" w:hAnsi="Arial Narrow" w:cs="Calibri"/>
                <w:b/>
                <w:bCs/>
                <w:sz w:val="20"/>
                <w:szCs w:val="20"/>
              </w:rPr>
            </w:pPr>
            <w:r>
              <w:rPr>
                <w:rFonts w:ascii="Arial Narrow" w:hAnsi="Arial Narrow" w:cs="Calibri"/>
                <w:b/>
                <w:bCs/>
                <w:sz w:val="20"/>
                <w:szCs w:val="20"/>
              </w:rPr>
              <w:noBreakHyphen/>
            </w:r>
            <w:r w:rsidR="008D461D" w:rsidRPr="00E20031">
              <w:rPr>
                <w:rFonts w:ascii="Arial Narrow" w:hAnsi="Arial Narrow" w:cs="Calibri"/>
                <w:b/>
                <w:bCs/>
                <w:sz w:val="20"/>
                <w:szCs w:val="20"/>
              </w:rPr>
              <w:t>0.90 (</w:t>
            </w:r>
            <w:r>
              <w:rPr>
                <w:rFonts w:ascii="Arial Narrow" w:hAnsi="Arial Narrow" w:cs="Calibri"/>
                <w:b/>
                <w:bCs/>
                <w:sz w:val="20"/>
                <w:szCs w:val="20"/>
              </w:rPr>
              <w:noBreakHyphen/>
            </w:r>
            <w:r w:rsidR="008D461D" w:rsidRPr="00E20031">
              <w:rPr>
                <w:rFonts w:ascii="Arial Narrow" w:hAnsi="Arial Narrow" w:cs="Calibri"/>
                <w:b/>
                <w:bCs/>
                <w:sz w:val="20"/>
                <w:szCs w:val="20"/>
              </w:rPr>
              <w:t xml:space="preserve">1.30, </w:t>
            </w:r>
            <w:r>
              <w:rPr>
                <w:rFonts w:ascii="Arial Narrow" w:hAnsi="Arial Narrow" w:cs="Calibri"/>
                <w:b/>
                <w:bCs/>
                <w:sz w:val="20"/>
                <w:szCs w:val="20"/>
              </w:rPr>
              <w:noBreakHyphen/>
            </w:r>
            <w:r w:rsidR="008D461D" w:rsidRPr="00E20031">
              <w:rPr>
                <w:rFonts w:ascii="Arial Narrow" w:hAnsi="Arial Narrow" w:cs="Calibri"/>
                <w:b/>
                <w:bCs/>
                <w:sz w:val="20"/>
                <w:szCs w:val="20"/>
              </w:rPr>
              <w:t>0.50)</w:t>
            </w:r>
          </w:p>
        </w:tc>
        <w:tc>
          <w:tcPr>
            <w:tcW w:w="1651" w:type="dxa"/>
            <w:vAlign w:val="center"/>
          </w:tcPr>
          <w:p w14:paraId="13B4BD0B" w14:textId="6F1DD8A0"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22.4%</w:t>
            </w:r>
          </w:p>
        </w:tc>
      </w:tr>
      <w:tr w:rsidR="008D461D" w:rsidRPr="00E20031" w14:paraId="25318E04" w14:textId="77777777">
        <w:trPr>
          <w:jc w:val="center"/>
        </w:trPr>
        <w:tc>
          <w:tcPr>
            <w:tcW w:w="1502" w:type="dxa"/>
            <w:vMerge/>
            <w:vAlign w:val="center"/>
          </w:tcPr>
          <w:p w14:paraId="7DCB78CE" w14:textId="77777777" w:rsidR="008D461D" w:rsidRPr="00E20031" w:rsidRDefault="008D461D"/>
        </w:tc>
        <w:tc>
          <w:tcPr>
            <w:tcW w:w="1328" w:type="dxa"/>
            <w:vAlign w:val="center"/>
          </w:tcPr>
          <w:p w14:paraId="01E66B47" w14:textId="77777777" w:rsidR="008D461D" w:rsidRPr="00E20031" w:rsidRDefault="008D461D">
            <w:r w:rsidRPr="00E20031">
              <w:rPr>
                <w:rFonts w:ascii="Arial Narrow" w:hAnsi="Arial Narrow" w:cs="Calibri"/>
                <w:sz w:val="20"/>
                <w:szCs w:val="20"/>
              </w:rPr>
              <w:t>PEOM</w:t>
            </w:r>
          </w:p>
        </w:tc>
        <w:tc>
          <w:tcPr>
            <w:tcW w:w="851" w:type="dxa"/>
            <w:vAlign w:val="center"/>
          </w:tcPr>
          <w:p w14:paraId="7FAE40C1" w14:textId="77777777" w:rsidR="008D461D" w:rsidRPr="00E20031" w:rsidRDefault="008D461D">
            <w:pPr>
              <w:jc w:val="center"/>
            </w:pPr>
            <w:r w:rsidRPr="00E20031">
              <w:rPr>
                <w:rFonts w:ascii="Arial Narrow" w:hAnsi="Arial Narrow" w:cs="Calibri"/>
                <w:sz w:val="20"/>
                <w:szCs w:val="20"/>
              </w:rPr>
              <w:t>204</w:t>
            </w:r>
          </w:p>
        </w:tc>
        <w:tc>
          <w:tcPr>
            <w:tcW w:w="1559" w:type="dxa"/>
            <w:vAlign w:val="center"/>
          </w:tcPr>
          <w:p w14:paraId="5AF734A2" w14:textId="77777777" w:rsidR="008D461D" w:rsidRPr="00E20031" w:rsidRDefault="008D461D">
            <w:pPr>
              <w:jc w:val="center"/>
            </w:pPr>
            <w:r w:rsidRPr="00E20031">
              <w:rPr>
                <w:rFonts w:ascii="Arial Narrow" w:hAnsi="Arial Narrow" w:cs="Calibri"/>
                <w:b/>
                <w:bCs/>
                <w:sz w:val="20"/>
                <w:szCs w:val="20"/>
              </w:rPr>
              <w:t>3.28 (0.13)</w:t>
            </w:r>
          </w:p>
        </w:tc>
        <w:tc>
          <w:tcPr>
            <w:tcW w:w="2126" w:type="dxa"/>
            <w:vAlign w:val="center"/>
          </w:tcPr>
          <w:p w14:paraId="58AB19D2" w14:textId="12BA17CF" w:rsidR="008D461D" w:rsidRPr="00E20031" w:rsidRDefault="00397B07">
            <w:pPr>
              <w:jc w:val="center"/>
              <w:rPr>
                <w:rFonts w:ascii="Arial Narrow" w:hAnsi="Arial Narrow" w:cs="Calibri"/>
                <w:b/>
                <w:bCs/>
                <w:sz w:val="20"/>
                <w:szCs w:val="20"/>
              </w:rPr>
            </w:pPr>
            <w:r>
              <w:rPr>
                <w:rFonts w:ascii="Arial Narrow" w:hAnsi="Arial Narrow" w:cs="Calibri"/>
                <w:b/>
                <w:bCs/>
                <w:sz w:val="20"/>
                <w:szCs w:val="20"/>
              </w:rPr>
              <w:noBreakHyphen/>
            </w:r>
            <w:r w:rsidR="008D461D" w:rsidRPr="00E20031">
              <w:rPr>
                <w:rFonts w:ascii="Arial Narrow" w:hAnsi="Arial Narrow" w:cs="Calibri"/>
                <w:b/>
                <w:bCs/>
                <w:sz w:val="20"/>
                <w:szCs w:val="20"/>
              </w:rPr>
              <w:t>0.74 (</w:t>
            </w:r>
            <w:r>
              <w:rPr>
                <w:rFonts w:ascii="Arial Narrow" w:hAnsi="Arial Narrow" w:cs="Calibri"/>
                <w:b/>
                <w:bCs/>
                <w:sz w:val="20"/>
                <w:szCs w:val="20"/>
              </w:rPr>
              <w:noBreakHyphen/>
            </w:r>
            <w:r w:rsidR="008D461D" w:rsidRPr="00E20031">
              <w:rPr>
                <w:rFonts w:ascii="Arial Narrow" w:hAnsi="Arial Narrow" w:cs="Calibri"/>
                <w:b/>
                <w:bCs/>
                <w:sz w:val="20"/>
                <w:szCs w:val="20"/>
              </w:rPr>
              <w:t xml:space="preserve">1.13, </w:t>
            </w:r>
            <w:r>
              <w:rPr>
                <w:rFonts w:ascii="Arial Narrow" w:hAnsi="Arial Narrow" w:cs="Calibri"/>
                <w:b/>
                <w:bCs/>
                <w:sz w:val="20"/>
                <w:szCs w:val="20"/>
              </w:rPr>
              <w:noBreakHyphen/>
            </w:r>
            <w:r w:rsidR="008D461D" w:rsidRPr="00E20031">
              <w:rPr>
                <w:rFonts w:ascii="Arial Narrow" w:hAnsi="Arial Narrow" w:cs="Calibri"/>
                <w:b/>
                <w:bCs/>
                <w:sz w:val="20"/>
                <w:szCs w:val="20"/>
              </w:rPr>
              <w:t>0.36)</w:t>
            </w:r>
          </w:p>
        </w:tc>
        <w:tc>
          <w:tcPr>
            <w:tcW w:w="1651" w:type="dxa"/>
            <w:vAlign w:val="center"/>
          </w:tcPr>
          <w:p w14:paraId="370A6781" w14:textId="3727C8C1"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18.4%</w:t>
            </w:r>
          </w:p>
        </w:tc>
      </w:tr>
      <w:tr w:rsidR="008D461D" w:rsidRPr="00E20031" w14:paraId="2C83CC8A" w14:textId="77777777">
        <w:trPr>
          <w:jc w:val="center"/>
        </w:trPr>
        <w:tc>
          <w:tcPr>
            <w:tcW w:w="1502" w:type="dxa"/>
            <w:vMerge/>
            <w:vAlign w:val="center"/>
          </w:tcPr>
          <w:p w14:paraId="7921F43C" w14:textId="77777777" w:rsidR="008D461D" w:rsidRPr="00E20031" w:rsidRDefault="008D461D"/>
        </w:tc>
        <w:tc>
          <w:tcPr>
            <w:tcW w:w="1328" w:type="dxa"/>
            <w:vAlign w:val="center"/>
          </w:tcPr>
          <w:p w14:paraId="26A39843" w14:textId="77777777" w:rsidR="008D461D" w:rsidRPr="00E20031" w:rsidRDefault="008D461D">
            <w:r w:rsidRPr="00E20031">
              <w:rPr>
                <w:rFonts w:ascii="Arial Narrow" w:hAnsi="Arial Narrow" w:cs="Calibri"/>
                <w:sz w:val="20"/>
                <w:szCs w:val="20"/>
              </w:rPr>
              <w:t>Sham (pooled)</w:t>
            </w:r>
          </w:p>
        </w:tc>
        <w:tc>
          <w:tcPr>
            <w:tcW w:w="851" w:type="dxa"/>
            <w:vAlign w:val="center"/>
          </w:tcPr>
          <w:p w14:paraId="6D14FC8F" w14:textId="77777777" w:rsidR="008D461D" w:rsidRPr="00E20031" w:rsidRDefault="008D461D">
            <w:pPr>
              <w:jc w:val="center"/>
            </w:pPr>
            <w:r w:rsidRPr="00E20031">
              <w:rPr>
                <w:rFonts w:ascii="Arial Narrow" w:hAnsi="Arial Narrow" w:cs="Calibri"/>
                <w:sz w:val="20"/>
                <w:szCs w:val="20"/>
              </w:rPr>
              <w:t>206</w:t>
            </w:r>
          </w:p>
        </w:tc>
        <w:tc>
          <w:tcPr>
            <w:tcW w:w="1559" w:type="dxa"/>
            <w:vAlign w:val="center"/>
          </w:tcPr>
          <w:p w14:paraId="5929D8F5" w14:textId="77777777" w:rsidR="008D461D" w:rsidRPr="00E20031" w:rsidRDefault="008D461D">
            <w:pPr>
              <w:jc w:val="center"/>
            </w:pPr>
            <w:r w:rsidRPr="00E20031">
              <w:rPr>
                <w:rFonts w:ascii="Arial Narrow" w:hAnsi="Arial Narrow" w:cs="Calibri"/>
                <w:sz w:val="20"/>
                <w:szCs w:val="20"/>
              </w:rPr>
              <w:t>4.03 (0.15)</w:t>
            </w:r>
          </w:p>
        </w:tc>
        <w:tc>
          <w:tcPr>
            <w:tcW w:w="2126" w:type="dxa"/>
            <w:vAlign w:val="center"/>
          </w:tcPr>
          <w:p w14:paraId="35751522" w14:textId="77777777" w:rsidR="008D461D" w:rsidRPr="00E20031" w:rsidRDefault="008D461D">
            <w:pPr>
              <w:jc w:val="center"/>
            </w:pPr>
            <w:r w:rsidRPr="00E20031">
              <w:rPr>
                <w:rFonts w:ascii="Arial Narrow" w:hAnsi="Arial Narrow" w:cs="Calibri"/>
                <w:sz w:val="20"/>
                <w:szCs w:val="20"/>
              </w:rPr>
              <w:t>NA</w:t>
            </w:r>
          </w:p>
        </w:tc>
        <w:tc>
          <w:tcPr>
            <w:tcW w:w="1651" w:type="dxa"/>
            <w:vAlign w:val="center"/>
          </w:tcPr>
          <w:p w14:paraId="67B882EE" w14:textId="77777777" w:rsidR="008D461D" w:rsidRPr="00E20031" w:rsidRDefault="008D461D">
            <w:pPr>
              <w:jc w:val="center"/>
            </w:pPr>
            <w:r w:rsidRPr="00E20031">
              <w:rPr>
                <w:rFonts w:ascii="Arial Narrow" w:hAnsi="Arial Narrow" w:cs="Calibri"/>
                <w:sz w:val="20"/>
                <w:szCs w:val="20"/>
              </w:rPr>
              <w:t>NA</w:t>
            </w:r>
          </w:p>
        </w:tc>
      </w:tr>
      <w:tr w:rsidR="008D461D" w:rsidRPr="00E20031" w14:paraId="6179678E" w14:textId="77777777">
        <w:trPr>
          <w:jc w:val="center"/>
        </w:trPr>
        <w:tc>
          <w:tcPr>
            <w:tcW w:w="9017" w:type="dxa"/>
            <w:gridSpan w:val="6"/>
          </w:tcPr>
          <w:p w14:paraId="574A8912" w14:textId="0F9FF0EA" w:rsidR="008D461D" w:rsidRPr="00E20031" w:rsidRDefault="008D461D">
            <w:r w:rsidRPr="00E20031">
              <w:rPr>
                <w:rFonts w:ascii="Arial Narrow" w:hAnsi="Arial Narrow" w:cs="Calibri"/>
                <w:b/>
                <w:bCs/>
                <w:sz w:val="20"/>
                <w:szCs w:val="20"/>
              </w:rPr>
              <w:t>C</w:t>
            </w:r>
            <w:r w:rsidRPr="00E20031">
              <w:rPr>
                <w:rFonts w:ascii="Arial Narrow" w:hAnsi="Arial Narrow"/>
                <w:b/>
                <w:sz w:val="20"/>
                <w:szCs w:val="20"/>
              </w:rPr>
              <w:t>hange from baseline</w:t>
            </w:r>
            <w:r w:rsidRPr="00E20031">
              <w:rPr>
                <w:rFonts w:ascii="Arial Narrow" w:hAnsi="Arial Narrow" w:cs="Calibri"/>
                <w:b/>
                <w:bCs/>
                <w:sz w:val="20"/>
                <w:szCs w:val="20"/>
              </w:rPr>
              <w:t xml:space="preserve"> in NL</w:t>
            </w:r>
            <w:r w:rsidR="00397B07">
              <w:rPr>
                <w:rFonts w:ascii="Arial Narrow" w:hAnsi="Arial Narrow" w:cs="Calibri"/>
                <w:b/>
                <w:bCs/>
                <w:sz w:val="20"/>
                <w:szCs w:val="20"/>
              </w:rPr>
              <w:noBreakHyphen/>
            </w:r>
            <w:r w:rsidRPr="00E20031">
              <w:rPr>
                <w:rFonts w:ascii="Arial Narrow" w:hAnsi="Arial Narrow" w:cs="Calibri"/>
                <w:b/>
                <w:bCs/>
                <w:sz w:val="20"/>
                <w:szCs w:val="20"/>
              </w:rPr>
              <w:t>BCVA score (ETDRS letters) at month 24</w:t>
            </w:r>
          </w:p>
        </w:tc>
      </w:tr>
      <w:tr w:rsidR="008D461D" w:rsidRPr="00E20031" w14:paraId="3AE7247E" w14:textId="77777777">
        <w:trPr>
          <w:jc w:val="center"/>
        </w:trPr>
        <w:tc>
          <w:tcPr>
            <w:tcW w:w="1502" w:type="dxa"/>
            <w:vMerge w:val="restart"/>
            <w:vAlign w:val="center"/>
          </w:tcPr>
          <w:p w14:paraId="0986A1A2" w14:textId="77777777" w:rsidR="008D461D" w:rsidRPr="00E20031" w:rsidRDefault="008D461D">
            <w:pPr>
              <w:jc w:val="center"/>
            </w:pPr>
            <w:r w:rsidRPr="00E20031">
              <w:rPr>
                <w:rFonts w:ascii="Arial Narrow" w:hAnsi="Arial Narrow" w:cs="Calibri"/>
                <w:sz w:val="20"/>
                <w:szCs w:val="20"/>
              </w:rPr>
              <w:t>DERBY</w:t>
            </w:r>
          </w:p>
        </w:tc>
        <w:tc>
          <w:tcPr>
            <w:tcW w:w="1328" w:type="dxa"/>
            <w:vAlign w:val="center"/>
          </w:tcPr>
          <w:p w14:paraId="0CF37EAC" w14:textId="77777777" w:rsidR="008D461D" w:rsidRPr="00E20031" w:rsidRDefault="008D461D">
            <w:r w:rsidRPr="00E20031">
              <w:rPr>
                <w:rFonts w:ascii="Arial Narrow" w:hAnsi="Arial Narrow" w:cs="Calibri"/>
                <w:sz w:val="20"/>
                <w:szCs w:val="20"/>
              </w:rPr>
              <w:t>PM</w:t>
            </w:r>
          </w:p>
        </w:tc>
        <w:tc>
          <w:tcPr>
            <w:tcW w:w="851" w:type="dxa"/>
            <w:vAlign w:val="center"/>
          </w:tcPr>
          <w:p w14:paraId="744F5683" w14:textId="77777777" w:rsidR="008D461D" w:rsidRPr="00E20031" w:rsidRDefault="008D461D">
            <w:pPr>
              <w:jc w:val="center"/>
            </w:pPr>
            <w:r w:rsidRPr="00E20031">
              <w:rPr>
                <w:rFonts w:ascii="Arial Narrow" w:hAnsi="Arial Narrow" w:cs="Calibri"/>
                <w:sz w:val="20"/>
                <w:szCs w:val="20"/>
              </w:rPr>
              <w:t>201</w:t>
            </w:r>
          </w:p>
        </w:tc>
        <w:tc>
          <w:tcPr>
            <w:tcW w:w="1559" w:type="dxa"/>
            <w:vAlign w:val="center"/>
          </w:tcPr>
          <w:p w14:paraId="22B6CB1D" w14:textId="7AEAAF80" w:rsidR="008D461D" w:rsidRPr="00E20031" w:rsidRDefault="00397B07">
            <w:pPr>
              <w:jc w:val="center"/>
            </w:pPr>
            <w:r>
              <w:rPr>
                <w:rFonts w:ascii="Arial Narrow" w:hAnsi="Arial Narrow"/>
                <w:sz w:val="20"/>
                <w:szCs w:val="20"/>
              </w:rPr>
              <w:noBreakHyphen/>
            </w:r>
            <w:r w:rsidR="008D461D" w:rsidRPr="00E20031">
              <w:rPr>
                <w:rFonts w:ascii="Arial Narrow" w:hAnsi="Arial Narrow"/>
                <w:sz w:val="20"/>
                <w:szCs w:val="20"/>
              </w:rPr>
              <w:t>8.13 (1.02)</w:t>
            </w:r>
          </w:p>
        </w:tc>
        <w:tc>
          <w:tcPr>
            <w:tcW w:w="2126" w:type="dxa"/>
            <w:vAlign w:val="center"/>
          </w:tcPr>
          <w:p w14:paraId="599AE430" w14:textId="57FEB043" w:rsidR="008D461D" w:rsidRPr="00E20031" w:rsidRDefault="00397B07">
            <w:pPr>
              <w:jc w:val="center"/>
              <w:rPr>
                <w:rFonts w:ascii="Arial Narrow" w:hAnsi="Arial Narrow" w:cs="Calibri"/>
                <w:sz w:val="20"/>
                <w:szCs w:val="20"/>
              </w:rPr>
            </w:pPr>
            <w:r>
              <w:rPr>
                <w:rFonts w:ascii="Arial Narrow" w:hAnsi="Arial Narrow" w:cs="Calibri"/>
                <w:sz w:val="20"/>
                <w:szCs w:val="20"/>
              </w:rPr>
              <w:noBreakHyphen/>
            </w:r>
            <w:r w:rsidR="008D461D" w:rsidRPr="00E20031">
              <w:rPr>
                <w:rFonts w:ascii="Arial Narrow" w:hAnsi="Arial Narrow" w:cs="Calibri"/>
                <w:sz w:val="20"/>
                <w:szCs w:val="20"/>
              </w:rPr>
              <w:t>1.91 (</w:t>
            </w:r>
            <w:r>
              <w:rPr>
                <w:rFonts w:ascii="Arial Narrow" w:hAnsi="Arial Narrow" w:cs="Calibri"/>
                <w:sz w:val="20"/>
                <w:szCs w:val="20"/>
              </w:rPr>
              <w:noBreakHyphen/>
            </w:r>
            <w:r w:rsidR="008D461D" w:rsidRPr="00E20031">
              <w:rPr>
                <w:rFonts w:ascii="Arial Narrow" w:hAnsi="Arial Narrow" w:cs="Calibri"/>
                <w:sz w:val="20"/>
                <w:szCs w:val="20"/>
              </w:rPr>
              <w:t>4.70, 0.83)</w:t>
            </w:r>
          </w:p>
        </w:tc>
        <w:tc>
          <w:tcPr>
            <w:tcW w:w="1651" w:type="dxa"/>
            <w:vAlign w:val="center"/>
          </w:tcPr>
          <w:p w14:paraId="2630D84F" w14:textId="77777777" w:rsidR="008D461D" w:rsidRPr="00E20031" w:rsidRDefault="008D461D">
            <w:pPr>
              <w:jc w:val="center"/>
            </w:pPr>
            <w:r w:rsidRPr="00E20031">
              <w:rPr>
                <w:rFonts w:ascii="Arial Narrow" w:hAnsi="Arial Narrow" w:cs="Calibri"/>
                <w:sz w:val="20"/>
                <w:szCs w:val="20"/>
              </w:rPr>
              <w:t>NR</w:t>
            </w:r>
          </w:p>
        </w:tc>
      </w:tr>
      <w:tr w:rsidR="008D461D" w:rsidRPr="00E20031" w14:paraId="14B33D5D" w14:textId="77777777">
        <w:trPr>
          <w:jc w:val="center"/>
        </w:trPr>
        <w:tc>
          <w:tcPr>
            <w:tcW w:w="1502" w:type="dxa"/>
            <w:vMerge/>
            <w:vAlign w:val="center"/>
          </w:tcPr>
          <w:p w14:paraId="506FCECA" w14:textId="77777777" w:rsidR="008D461D" w:rsidRPr="00E20031" w:rsidRDefault="008D461D">
            <w:pPr>
              <w:jc w:val="center"/>
            </w:pPr>
          </w:p>
        </w:tc>
        <w:tc>
          <w:tcPr>
            <w:tcW w:w="1328" w:type="dxa"/>
            <w:vAlign w:val="center"/>
          </w:tcPr>
          <w:p w14:paraId="6C5CED21" w14:textId="77777777" w:rsidR="008D461D" w:rsidRPr="00E20031" w:rsidRDefault="008D461D">
            <w:r w:rsidRPr="00E20031">
              <w:rPr>
                <w:rFonts w:ascii="Arial Narrow" w:hAnsi="Arial Narrow" w:cs="Calibri"/>
                <w:sz w:val="20"/>
                <w:szCs w:val="20"/>
              </w:rPr>
              <w:t>PEOM</w:t>
            </w:r>
          </w:p>
        </w:tc>
        <w:tc>
          <w:tcPr>
            <w:tcW w:w="851" w:type="dxa"/>
            <w:vAlign w:val="center"/>
          </w:tcPr>
          <w:p w14:paraId="4401EB59" w14:textId="77777777" w:rsidR="008D461D" w:rsidRPr="00E20031" w:rsidRDefault="008D461D">
            <w:pPr>
              <w:jc w:val="center"/>
            </w:pPr>
            <w:r w:rsidRPr="00E20031">
              <w:rPr>
                <w:rFonts w:ascii="Arial Narrow" w:hAnsi="Arial Narrow" w:cs="Calibri"/>
                <w:sz w:val="20"/>
                <w:szCs w:val="20"/>
              </w:rPr>
              <w:t>201</w:t>
            </w:r>
          </w:p>
        </w:tc>
        <w:tc>
          <w:tcPr>
            <w:tcW w:w="1559" w:type="dxa"/>
            <w:vAlign w:val="center"/>
          </w:tcPr>
          <w:p w14:paraId="18AE7F97" w14:textId="494F816C" w:rsidR="008D461D" w:rsidRPr="00E20031" w:rsidRDefault="00397B07">
            <w:pPr>
              <w:jc w:val="center"/>
            </w:pPr>
            <w:r>
              <w:rPr>
                <w:rFonts w:ascii="Arial Narrow" w:hAnsi="Arial Narrow"/>
                <w:sz w:val="20"/>
                <w:szCs w:val="20"/>
              </w:rPr>
              <w:noBreakHyphen/>
            </w:r>
            <w:r w:rsidR="008D461D" w:rsidRPr="00E20031">
              <w:rPr>
                <w:rFonts w:ascii="Arial Narrow" w:hAnsi="Arial Narrow"/>
                <w:sz w:val="20"/>
                <w:szCs w:val="20"/>
              </w:rPr>
              <w:t>8.95 (1.03)</w:t>
            </w:r>
          </w:p>
        </w:tc>
        <w:tc>
          <w:tcPr>
            <w:tcW w:w="2126" w:type="dxa"/>
            <w:vAlign w:val="center"/>
          </w:tcPr>
          <w:p w14:paraId="7961778E" w14:textId="125A9C89" w:rsidR="008D461D" w:rsidRPr="00E20031" w:rsidRDefault="00397B07">
            <w:pPr>
              <w:jc w:val="center"/>
              <w:rPr>
                <w:rFonts w:ascii="Arial Narrow" w:hAnsi="Arial Narrow" w:cs="Calibri"/>
                <w:sz w:val="20"/>
                <w:szCs w:val="20"/>
              </w:rPr>
            </w:pPr>
            <w:r>
              <w:rPr>
                <w:rFonts w:ascii="Arial Narrow" w:hAnsi="Arial Narrow" w:cs="Calibri"/>
                <w:sz w:val="20"/>
                <w:szCs w:val="20"/>
              </w:rPr>
              <w:noBreakHyphen/>
            </w:r>
            <w:r w:rsidR="008D461D" w:rsidRPr="00E20031">
              <w:rPr>
                <w:rFonts w:ascii="Arial Narrow" w:hAnsi="Arial Narrow" w:cs="Calibri"/>
                <w:sz w:val="20"/>
                <w:szCs w:val="20"/>
              </w:rPr>
              <w:t>2.73 (</w:t>
            </w:r>
            <w:r>
              <w:rPr>
                <w:rFonts w:ascii="Arial Narrow" w:hAnsi="Arial Narrow" w:cs="Calibri"/>
                <w:sz w:val="20"/>
                <w:szCs w:val="20"/>
              </w:rPr>
              <w:noBreakHyphen/>
            </w:r>
            <w:r w:rsidR="008D461D" w:rsidRPr="00E20031">
              <w:rPr>
                <w:rFonts w:ascii="Arial Narrow" w:hAnsi="Arial Narrow" w:cs="Calibri"/>
                <w:sz w:val="20"/>
                <w:szCs w:val="20"/>
              </w:rPr>
              <w:t>5.57, 0.11)</w:t>
            </w:r>
          </w:p>
        </w:tc>
        <w:tc>
          <w:tcPr>
            <w:tcW w:w="1651" w:type="dxa"/>
            <w:vAlign w:val="center"/>
          </w:tcPr>
          <w:p w14:paraId="2B34692A" w14:textId="77777777" w:rsidR="008D461D" w:rsidRPr="00E20031" w:rsidRDefault="008D461D">
            <w:pPr>
              <w:jc w:val="center"/>
            </w:pPr>
            <w:r w:rsidRPr="00E20031">
              <w:rPr>
                <w:rFonts w:ascii="Arial Narrow" w:hAnsi="Arial Narrow" w:cs="Calibri"/>
                <w:sz w:val="20"/>
                <w:szCs w:val="20"/>
              </w:rPr>
              <w:t>NR</w:t>
            </w:r>
          </w:p>
        </w:tc>
      </w:tr>
      <w:tr w:rsidR="008D461D" w:rsidRPr="00E20031" w14:paraId="1C32C3F0" w14:textId="77777777">
        <w:trPr>
          <w:jc w:val="center"/>
        </w:trPr>
        <w:tc>
          <w:tcPr>
            <w:tcW w:w="1502" w:type="dxa"/>
            <w:vMerge/>
            <w:vAlign w:val="center"/>
          </w:tcPr>
          <w:p w14:paraId="3B45C8BD" w14:textId="77777777" w:rsidR="008D461D" w:rsidRPr="00E20031" w:rsidRDefault="008D461D">
            <w:pPr>
              <w:jc w:val="center"/>
            </w:pPr>
          </w:p>
        </w:tc>
        <w:tc>
          <w:tcPr>
            <w:tcW w:w="1328" w:type="dxa"/>
            <w:vAlign w:val="center"/>
          </w:tcPr>
          <w:p w14:paraId="7F32DE16" w14:textId="77777777" w:rsidR="008D461D" w:rsidRPr="00E20031" w:rsidRDefault="008D461D">
            <w:r w:rsidRPr="00E20031">
              <w:rPr>
                <w:rFonts w:ascii="Arial Narrow" w:hAnsi="Arial Narrow" w:cs="Calibri"/>
                <w:sz w:val="20"/>
                <w:szCs w:val="20"/>
              </w:rPr>
              <w:t>Sham (pooled)</w:t>
            </w:r>
          </w:p>
        </w:tc>
        <w:tc>
          <w:tcPr>
            <w:tcW w:w="851" w:type="dxa"/>
            <w:vAlign w:val="center"/>
          </w:tcPr>
          <w:p w14:paraId="5D7EF39E" w14:textId="77777777" w:rsidR="008D461D" w:rsidRPr="00E20031" w:rsidRDefault="008D461D">
            <w:pPr>
              <w:jc w:val="center"/>
            </w:pPr>
            <w:r w:rsidRPr="00E20031">
              <w:rPr>
                <w:rFonts w:ascii="Arial Narrow" w:hAnsi="Arial Narrow" w:cs="Calibri"/>
                <w:sz w:val="20"/>
                <w:szCs w:val="20"/>
              </w:rPr>
              <w:t>195</w:t>
            </w:r>
          </w:p>
        </w:tc>
        <w:tc>
          <w:tcPr>
            <w:tcW w:w="1559" w:type="dxa"/>
            <w:vAlign w:val="center"/>
          </w:tcPr>
          <w:p w14:paraId="6A54D787" w14:textId="1ABC0536" w:rsidR="008D461D" w:rsidRPr="00E20031" w:rsidRDefault="00397B07">
            <w:pPr>
              <w:jc w:val="center"/>
            </w:pPr>
            <w:r>
              <w:rPr>
                <w:rFonts w:ascii="Arial Narrow" w:hAnsi="Arial Narrow"/>
                <w:sz w:val="20"/>
                <w:szCs w:val="20"/>
              </w:rPr>
              <w:noBreakHyphen/>
            </w:r>
            <w:r w:rsidR="008D461D" w:rsidRPr="00E20031">
              <w:rPr>
                <w:rFonts w:ascii="Arial Narrow" w:hAnsi="Arial Narrow"/>
                <w:sz w:val="20"/>
                <w:szCs w:val="20"/>
              </w:rPr>
              <w:t>6.22 (1.02)</w:t>
            </w:r>
          </w:p>
        </w:tc>
        <w:tc>
          <w:tcPr>
            <w:tcW w:w="2126" w:type="dxa"/>
            <w:vAlign w:val="center"/>
          </w:tcPr>
          <w:p w14:paraId="53DD3BCB" w14:textId="77777777" w:rsidR="008D461D" w:rsidRPr="00E20031" w:rsidRDefault="008D461D">
            <w:pPr>
              <w:jc w:val="center"/>
            </w:pPr>
            <w:r w:rsidRPr="00E20031">
              <w:rPr>
                <w:rFonts w:ascii="Arial Narrow" w:hAnsi="Arial Narrow" w:cs="Calibri"/>
                <w:sz w:val="20"/>
                <w:szCs w:val="20"/>
              </w:rPr>
              <w:t>NA</w:t>
            </w:r>
          </w:p>
        </w:tc>
        <w:tc>
          <w:tcPr>
            <w:tcW w:w="1651" w:type="dxa"/>
            <w:vAlign w:val="center"/>
          </w:tcPr>
          <w:p w14:paraId="694BCE35" w14:textId="77777777" w:rsidR="008D461D" w:rsidRPr="00E20031" w:rsidRDefault="008D461D">
            <w:pPr>
              <w:jc w:val="center"/>
            </w:pPr>
            <w:r w:rsidRPr="00E20031">
              <w:rPr>
                <w:rFonts w:ascii="Arial Narrow" w:hAnsi="Arial Narrow" w:cs="Calibri"/>
                <w:sz w:val="20"/>
                <w:szCs w:val="20"/>
              </w:rPr>
              <w:t>NA</w:t>
            </w:r>
          </w:p>
        </w:tc>
      </w:tr>
      <w:tr w:rsidR="008D461D" w:rsidRPr="00E20031" w14:paraId="0549C57E" w14:textId="77777777">
        <w:trPr>
          <w:jc w:val="center"/>
        </w:trPr>
        <w:tc>
          <w:tcPr>
            <w:tcW w:w="1502" w:type="dxa"/>
            <w:vMerge w:val="restart"/>
            <w:vAlign w:val="center"/>
          </w:tcPr>
          <w:p w14:paraId="62938B41" w14:textId="77777777" w:rsidR="008D461D" w:rsidRPr="00E20031" w:rsidRDefault="008D461D">
            <w:pPr>
              <w:jc w:val="center"/>
            </w:pPr>
            <w:r w:rsidRPr="00E20031">
              <w:rPr>
                <w:rFonts w:ascii="Arial Narrow" w:hAnsi="Arial Narrow"/>
                <w:sz w:val="20"/>
                <w:szCs w:val="20"/>
              </w:rPr>
              <w:t>OAKS</w:t>
            </w:r>
          </w:p>
        </w:tc>
        <w:tc>
          <w:tcPr>
            <w:tcW w:w="1328" w:type="dxa"/>
            <w:vAlign w:val="center"/>
          </w:tcPr>
          <w:p w14:paraId="515217E0" w14:textId="77777777" w:rsidR="008D461D" w:rsidRPr="00E20031" w:rsidRDefault="008D461D">
            <w:r w:rsidRPr="00E20031">
              <w:rPr>
                <w:rFonts w:ascii="Arial Narrow" w:hAnsi="Arial Narrow" w:cs="Calibri"/>
                <w:sz w:val="20"/>
                <w:szCs w:val="20"/>
              </w:rPr>
              <w:t>PM</w:t>
            </w:r>
          </w:p>
        </w:tc>
        <w:tc>
          <w:tcPr>
            <w:tcW w:w="851" w:type="dxa"/>
            <w:vAlign w:val="center"/>
          </w:tcPr>
          <w:p w14:paraId="556ACF5B" w14:textId="77777777" w:rsidR="008D461D" w:rsidRPr="00E20031" w:rsidRDefault="008D461D">
            <w:pPr>
              <w:jc w:val="center"/>
            </w:pPr>
            <w:r w:rsidRPr="00E20031">
              <w:rPr>
                <w:rFonts w:ascii="Arial Narrow" w:hAnsi="Arial Narrow" w:cs="Calibri"/>
                <w:sz w:val="20"/>
                <w:szCs w:val="20"/>
              </w:rPr>
              <w:t>202</w:t>
            </w:r>
          </w:p>
        </w:tc>
        <w:tc>
          <w:tcPr>
            <w:tcW w:w="1559" w:type="dxa"/>
            <w:vAlign w:val="center"/>
          </w:tcPr>
          <w:p w14:paraId="7DA1ADDF" w14:textId="12C8B719" w:rsidR="008D461D" w:rsidRPr="00E20031" w:rsidRDefault="00397B07">
            <w:pPr>
              <w:jc w:val="center"/>
            </w:pPr>
            <w:r>
              <w:rPr>
                <w:rFonts w:ascii="Arial Narrow" w:hAnsi="Arial Narrow"/>
                <w:sz w:val="20"/>
                <w:szCs w:val="20"/>
              </w:rPr>
              <w:noBreakHyphen/>
            </w:r>
            <w:r w:rsidR="008D461D" w:rsidRPr="00E20031">
              <w:rPr>
                <w:rFonts w:ascii="Arial Narrow" w:hAnsi="Arial Narrow"/>
                <w:sz w:val="20"/>
                <w:szCs w:val="20"/>
              </w:rPr>
              <w:t>7.48 (1.05)</w:t>
            </w:r>
          </w:p>
        </w:tc>
        <w:tc>
          <w:tcPr>
            <w:tcW w:w="2126" w:type="dxa"/>
            <w:vAlign w:val="center"/>
          </w:tcPr>
          <w:p w14:paraId="3E983FB8" w14:textId="58AED923" w:rsidR="008D461D" w:rsidRPr="00E20031" w:rsidRDefault="008D461D">
            <w:pPr>
              <w:jc w:val="center"/>
              <w:rPr>
                <w:rFonts w:ascii="Arial Narrow" w:hAnsi="Arial Narrow" w:cs="Calibri"/>
                <w:sz w:val="20"/>
                <w:szCs w:val="20"/>
              </w:rPr>
            </w:pPr>
            <w:r w:rsidRPr="00E20031">
              <w:rPr>
                <w:rFonts w:ascii="Arial Narrow" w:hAnsi="Arial Narrow" w:cs="Calibri"/>
                <w:sz w:val="20"/>
                <w:szCs w:val="20"/>
              </w:rPr>
              <w:t>0.18 (</w:t>
            </w:r>
            <w:r w:rsidR="00397B07">
              <w:rPr>
                <w:rFonts w:ascii="Arial Narrow" w:hAnsi="Arial Narrow" w:cs="Calibri"/>
                <w:sz w:val="20"/>
                <w:szCs w:val="20"/>
              </w:rPr>
              <w:noBreakHyphen/>
            </w:r>
            <w:r w:rsidRPr="00E20031">
              <w:rPr>
                <w:rFonts w:ascii="Arial Narrow" w:hAnsi="Arial Narrow" w:cs="Calibri"/>
                <w:sz w:val="20"/>
                <w:szCs w:val="20"/>
              </w:rPr>
              <w:t>2.72, 3.09)</w:t>
            </w:r>
          </w:p>
        </w:tc>
        <w:tc>
          <w:tcPr>
            <w:tcW w:w="1651" w:type="dxa"/>
            <w:vAlign w:val="center"/>
          </w:tcPr>
          <w:p w14:paraId="71D14B7C" w14:textId="77777777" w:rsidR="008D461D" w:rsidRPr="00E20031" w:rsidRDefault="008D461D">
            <w:pPr>
              <w:jc w:val="center"/>
            </w:pPr>
            <w:r w:rsidRPr="00E20031">
              <w:rPr>
                <w:rFonts w:ascii="Arial Narrow" w:hAnsi="Arial Narrow" w:cs="Calibri"/>
                <w:sz w:val="20"/>
                <w:szCs w:val="20"/>
              </w:rPr>
              <w:t>NR</w:t>
            </w:r>
          </w:p>
        </w:tc>
      </w:tr>
      <w:tr w:rsidR="008D461D" w:rsidRPr="00E20031" w14:paraId="31D973DA" w14:textId="77777777">
        <w:trPr>
          <w:jc w:val="center"/>
        </w:trPr>
        <w:tc>
          <w:tcPr>
            <w:tcW w:w="1502" w:type="dxa"/>
            <w:vMerge/>
            <w:vAlign w:val="center"/>
          </w:tcPr>
          <w:p w14:paraId="7A2A268C" w14:textId="77777777" w:rsidR="008D461D" w:rsidRPr="00E20031" w:rsidRDefault="008D461D"/>
        </w:tc>
        <w:tc>
          <w:tcPr>
            <w:tcW w:w="1328" w:type="dxa"/>
            <w:vAlign w:val="center"/>
          </w:tcPr>
          <w:p w14:paraId="3E15B668" w14:textId="77777777" w:rsidR="008D461D" w:rsidRPr="00E20031" w:rsidRDefault="008D461D">
            <w:r w:rsidRPr="00E20031">
              <w:rPr>
                <w:rFonts w:ascii="Arial Narrow" w:hAnsi="Arial Narrow" w:cs="Calibri"/>
                <w:sz w:val="20"/>
                <w:szCs w:val="20"/>
              </w:rPr>
              <w:t>PEOM</w:t>
            </w:r>
          </w:p>
        </w:tc>
        <w:tc>
          <w:tcPr>
            <w:tcW w:w="851" w:type="dxa"/>
            <w:vAlign w:val="center"/>
          </w:tcPr>
          <w:p w14:paraId="62037CD6" w14:textId="77777777" w:rsidR="008D461D" w:rsidRPr="00E20031" w:rsidRDefault="008D461D">
            <w:pPr>
              <w:jc w:val="center"/>
            </w:pPr>
            <w:r w:rsidRPr="00E20031">
              <w:rPr>
                <w:rFonts w:ascii="Arial Narrow" w:hAnsi="Arial Narrow" w:cs="Calibri"/>
                <w:sz w:val="20"/>
                <w:szCs w:val="20"/>
              </w:rPr>
              <w:t>205</w:t>
            </w:r>
          </w:p>
        </w:tc>
        <w:tc>
          <w:tcPr>
            <w:tcW w:w="1559" w:type="dxa"/>
            <w:vAlign w:val="center"/>
          </w:tcPr>
          <w:p w14:paraId="3AD8FB67" w14:textId="41295695" w:rsidR="008D461D" w:rsidRPr="00E20031" w:rsidRDefault="00397B07">
            <w:pPr>
              <w:jc w:val="center"/>
            </w:pPr>
            <w:r>
              <w:rPr>
                <w:rFonts w:ascii="Arial Narrow" w:hAnsi="Arial Narrow"/>
                <w:sz w:val="20"/>
                <w:szCs w:val="20"/>
              </w:rPr>
              <w:noBreakHyphen/>
            </w:r>
            <w:r w:rsidR="008D461D" w:rsidRPr="00E20031">
              <w:rPr>
                <w:rFonts w:ascii="Arial Narrow" w:hAnsi="Arial Narrow"/>
                <w:sz w:val="20"/>
                <w:szCs w:val="20"/>
              </w:rPr>
              <w:t>8.53 (1.05)</w:t>
            </w:r>
          </w:p>
        </w:tc>
        <w:tc>
          <w:tcPr>
            <w:tcW w:w="2126" w:type="dxa"/>
            <w:vAlign w:val="center"/>
          </w:tcPr>
          <w:p w14:paraId="31317A35" w14:textId="71881771" w:rsidR="008D461D" w:rsidRPr="00E20031" w:rsidRDefault="00397B07">
            <w:pPr>
              <w:jc w:val="center"/>
              <w:rPr>
                <w:rFonts w:ascii="Arial Narrow" w:hAnsi="Arial Narrow" w:cs="Calibri"/>
                <w:sz w:val="20"/>
                <w:szCs w:val="20"/>
              </w:rPr>
            </w:pPr>
            <w:r>
              <w:rPr>
                <w:rFonts w:ascii="Arial Narrow" w:hAnsi="Arial Narrow" w:cs="Calibri"/>
                <w:sz w:val="20"/>
                <w:szCs w:val="20"/>
              </w:rPr>
              <w:noBreakHyphen/>
            </w:r>
            <w:r w:rsidR="008D461D" w:rsidRPr="00E20031">
              <w:rPr>
                <w:rFonts w:ascii="Arial Narrow" w:hAnsi="Arial Narrow" w:cs="Calibri"/>
                <w:sz w:val="20"/>
                <w:szCs w:val="20"/>
              </w:rPr>
              <w:t>0.87 (</w:t>
            </w:r>
            <w:r>
              <w:rPr>
                <w:rFonts w:ascii="Arial Narrow" w:hAnsi="Arial Narrow" w:cs="Calibri"/>
                <w:sz w:val="20"/>
                <w:szCs w:val="20"/>
              </w:rPr>
              <w:noBreakHyphen/>
            </w:r>
            <w:r w:rsidR="008D461D" w:rsidRPr="00E20031">
              <w:rPr>
                <w:rFonts w:ascii="Arial Narrow" w:hAnsi="Arial Narrow" w:cs="Calibri"/>
                <w:sz w:val="20"/>
                <w:szCs w:val="20"/>
              </w:rPr>
              <w:t>3.79, 2.06)</w:t>
            </w:r>
          </w:p>
        </w:tc>
        <w:tc>
          <w:tcPr>
            <w:tcW w:w="1651" w:type="dxa"/>
            <w:vAlign w:val="center"/>
          </w:tcPr>
          <w:p w14:paraId="522A0A49" w14:textId="77777777" w:rsidR="008D461D" w:rsidRPr="00E20031" w:rsidRDefault="008D461D">
            <w:pPr>
              <w:jc w:val="center"/>
            </w:pPr>
            <w:r w:rsidRPr="00E20031">
              <w:rPr>
                <w:rFonts w:ascii="Arial Narrow" w:hAnsi="Arial Narrow" w:cs="Calibri"/>
                <w:sz w:val="20"/>
                <w:szCs w:val="20"/>
              </w:rPr>
              <w:t>NR</w:t>
            </w:r>
          </w:p>
        </w:tc>
      </w:tr>
      <w:tr w:rsidR="008D461D" w:rsidRPr="00E20031" w14:paraId="4BF6D8A2" w14:textId="77777777">
        <w:trPr>
          <w:jc w:val="center"/>
        </w:trPr>
        <w:tc>
          <w:tcPr>
            <w:tcW w:w="1502" w:type="dxa"/>
            <w:vMerge/>
            <w:vAlign w:val="center"/>
          </w:tcPr>
          <w:p w14:paraId="7E3E4A28" w14:textId="77777777" w:rsidR="008D461D" w:rsidRPr="00E20031" w:rsidRDefault="008D461D"/>
        </w:tc>
        <w:tc>
          <w:tcPr>
            <w:tcW w:w="1328" w:type="dxa"/>
            <w:vAlign w:val="center"/>
          </w:tcPr>
          <w:p w14:paraId="36AFEA2D" w14:textId="77777777" w:rsidR="008D461D" w:rsidRPr="00E20031" w:rsidRDefault="008D461D">
            <w:r w:rsidRPr="00E20031">
              <w:rPr>
                <w:rFonts w:ascii="Arial Narrow" w:hAnsi="Arial Narrow" w:cs="Calibri"/>
                <w:sz w:val="20"/>
                <w:szCs w:val="20"/>
              </w:rPr>
              <w:t>Sham (pooled)</w:t>
            </w:r>
          </w:p>
        </w:tc>
        <w:tc>
          <w:tcPr>
            <w:tcW w:w="851" w:type="dxa"/>
            <w:vAlign w:val="center"/>
          </w:tcPr>
          <w:p w14:paraId="15B78DC0" w14:textId="77777777" w:rsidR="008D461D" w:rsidRPr="00E20031" w:rsidRDefault="008D461D">
            <w:pPr>
              <w:jc w:val="center"/>
            </w:pPr>
            <w:r w:rsidRPr="00E20031">
              <w:rPr>
                <w:rFonts w:ascii="Arial Narrow" w:hAnsi="Arial Narrow" w:cs="Calibri"/>
                <w:sz w:val="20"/>
                <w:szCs w:val="20"/>
              </w:rPr>
              <w:t>207</w:t>
            </w:r>
          </w:p>
        </w:tc>
        <w:tc>
          <w:tcPr>
            <w:tcW w:w="1559" w:type="dxa"/>
            <w:vAlign w:val="center"/>
          </w:tcPr>
          <w:p w14:paraId="3DC5CA94" w14:textId="2A2909AD" w:rsidR="008D461D" w:rsidRPr="00E20031" w:rsidRDefault="00397B07">
            <w:pPr>
              <w:jc w:val="center"/>
            </w:pPr>
            <w:r>
              <w:rPr>
                <w:rFonts w:ascii="Arial Narrow" w:hAnsi="Arial Narrow"/>
                <w:sz w:val="20"/>
                <w:szCs w:val="20"/>
              </w:rPr>
              <w:noBreakHyphen/>
            </w:r>
            <w:r w:rsidR="008D461D" w:rsidRPr="00E20031">
              <w:rPr>
                <w:rFonts w:ascii="Arial Narrow" w:hAnsi="Arial Narrow"/>
                <w:sz w:val="20"/>
                <w:szCs w:val="20"/>
              </w:rPr>
              <w:t>7.66 (1.07)</w:t>
            </w:r>
          </w:p>
        </w:tc>
        <w:tc>
          <w:tcPr>
            <w:tcW w:w="2126" w:type="dxa"/>
            <w:vAlign w:val="center"/>
          </w:tcPr>
          <w:p w14:paraId="67F962B6" w14:textId="77777777" w:rsidR="008D461D" w:rsidRPr="00E20031" w:rsidRDefault="008D461D">
            <w:pPr>
              <w:jc w:val="center"/>
            </w:pPr>
            <w:r w:rsidRPr="00E20031">
              <w:rPr>
                <w:rFonts w:ascii="Arial Narrow" w:hAnsi="Arial Narrow" w:cs="Calibri"/>
                <w:sz w:val="20"/>
                <w:szCs w:val="20"/>
              </w:rPr>
              <w:t>NA</w:t>
            </w:r>
          </w:p>
        </w:tc>
        <w:tc>
          <w:tcPr>
            <w:tcW w:w="1651" w:type="dxa"/>
            <w:vAlign w:val="center"/>
          </w:tcPr>
          <w:p w14:paraId="654CBCE0" w14:textId="77777777" w:rsidR="008D461D" w:rsidRPr="00E20031" w:rsidRDefault="008D461D">
            <w:pPr>
              <w:jc w:val="center"/>
            </w:pPr>
            <w:r w:rsidRPr="00E20031">
              <w:rPr>
                <w:rFonts w:ascii="Arial Narrow" w:hAnsi="Arial Narrow" w:cs="Calibri"/>
                <w:sz w:val="20"/>
                <w:szCs w:val="20"/>
              </w:rPr>
              <w:t>NA</w:t>
            </w:r>
          </w:p>
        </w:tc>
      </w:tr>
      <w:tr w:rsidR="008D461D" w:rsidRPr="00E20031" w14:paraId="03837D4C" w14:textId="77777777">
        <w:trPr>
          <w:jc w:val="center"/>
        </w:trPr>
        <w:tc>
          <w:tcPr>
            <w:tcW w:w="9017" w:type="dxa"/>
            <w:gridSpan w:val="6"/>
          </w:tcPr>
          <w:p w14:paraId="57E190F9" w14:textId="52D7FAA4" w:rsidR="008D461D" w:rsidRPr="00E20031" w:rsidRDefault="008D461D">
            <w:r w:rsidRPr="00E20031">
              <w:rPr>
                <w:rFonts w:ascii="Arial Narrow" w:hAnsi="Arial Narrow" w:cs="Calibri"/>
                <w:b/>
                <w:bCs/>
                <w:sz w:val="20"/>
                <w:szCs w:val="20"/>
              </w:rPr>
              <w:t>C</w:t>
            </w:r>
            <w:r w:rsidRPr="00E20031">
              <w:rPr>
                <w:rFonts w:ascii="Arial Narrow" w:hAnsi="Arial Narrow"/>
                <w:b/>
                <w:sz w:val="20"/>
                <w:szCs w:val="20"/>
              </w:rPr>
              <w:t>hange from baseline</w:t>
            </w:r>
            <w:r w:rsidRPr="00E20031">
              <w:rPr>
                <w:rFonts w:ascii="Arial Narrow" w:hAnsi="Arial Narrow" w:cs="Calibri"/>
                <w:b/>
                <w:bCs/>
                <w:sz w:val="20"/>
                <w:szCs w:val="20"/>
              </w:rPr>
              <w:t xml:space="preserve"> in NEI VFQ</w:t>
            </w:r>
            <w:r w:rsidR="00397B07">
              <w:rPr>
                <w:rFonts w:ascii="Arial Narrow" w:hAnsi="Arial Narrow" w:cs="Calibri"/>
                <w:b/>
                <w:bCs/>
                <w:sz w:val="20"/>
                <w:szCs w:val="20"/>
              </w:rPr>
              <w:noBreakHyphen/>
            </w:r>
            <w:r w:rsidRPr="00E20031">
              <w:rPr>
                <w:rFonts w:ascii="Arial Narrow" w:hAnsi="Arial Narrow" w:cs="Calibri"/>
                <w:b/>
                <w:bCs/>
                <w:sz w:val="20"/>
                <w:szCs w:val="20"/>
              </w:rPr>
              <w:t>25 distance activity subscale score at month 24</w:t>
            </w:r>
          </w:p>
        </w:tc>
      </w:tr>
      <w:tr w:rsidR="008D461D" w:rsidRPr="00E20031" w14:paraId="3132F854" w14:textId="77777777">
        <w:trPr>
          <w:jc w:val="center"/>
        </w:trPr>
        <w:tc>
          <w:tcPr>
            <w:tcW w:w="1502" w:type="dxa"/>
            <w:vMerge w:val="restart"/>
            <w:vAlign w:val="center"/>
          </w:tcPr>
          <w:p w14:paraId="666A821B" w14:textId="77777777" w:rsidR="008D461D" w:rsidRPr="00E20031" w:rsidRDefault="008D461D">
            <w:pPr>
              <w:jc w:val="center"/>
            </w:pPr>
            <w:r w:rsidRPr="00E20031">
              <w:rPr>
                <w:rFonts w:ascii="Arial Narrow" w:hAnsi="Arial Narrow" w:cs="Calibri"/>
                <w:sz w:val="20"/>
                <w:szCs w:val="20"/>
              </w:rPr>
              <w:t>DERBY</w:t>
            </w:r>
          </w:p>
        </w:tc>
        <w:tc>
          <w:tcPr>
            <w:tcW w:w="1328" w:type="dxa"/>
            <w:vAlign w:val="center"/>
          </w:tcPr>
          <w:p w14:paraId="1F0E3A2D" w14:textId="77777777" w:rsidR="008D461D" w:rsidRPr="00E20031" w:rsidRDefault="008D461D">
            <w:r w:rsidRPr="00E20031">
              <w:rPr>
                <w:rFonts w:ascii="Arial Narrow" w:hAnsi="Arial Narrow" w:cs="Calibri"/>
                <w:sz w:val="20"/>
                <w:szCs w:val="20"/>
              </w:rPr>
              <w:t>PM</w:t>
            </w:r>
          </w:p>
        </w:tc>
        <w:tc>
          <w:tcPr>
            <w:tcW w:w="851" w:type="dxa"/>
            <w:vAlign w:val="center"/>
          </w:tcPr>
          <w:p w14:paraId="7FDA8731" w14:textId="77777777" w:rsidR="008D461D" w:rsidRPr="00E20031" w:rsidRDefault="008D461D">
            <w:pPr>
              <w:jc w:val="center"/>
            </w:pPr>
            <w:r w:rsidRPr="00E20031">
              <w:rPr>
                <w:rFonts w:ascii="Arial Narrow" w:hAnsi="Arial Narrow" w:cs="Calibri"/>
                <w:sz w:val="20"/>
                <w:szCs w:val="20"/>
              </w:rPr>
              <w:t>188</w:t>
            </w:r>
          </w:p>
        </w:tc>
        <w:tc>
          <w:tcPr>
            <w:tcW w:w="1559" w:type="dxa"/>
            <w:vAlign w:val="center"/>
          </w:tcPr>
          <w:p w14:paraId="7D816180" w14:textId="0A762424"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8.41 (1.86)</w:t>
            </w:r>
          </w:p>
        </w:tc>
        <w:tc>
          <w:tcPr>
            <w:tcW w:w="2126" w:type="dxa"/>
            <w:vAlign w:val="center"/>
          </w:tcPr>
          <w:p w14:paraId="678671B2" w14:textId="0CF1CAC9" w:rsidR="008D461D" w:rsidRPr="00E20031" w:rsidRDefault="00397B07">
            <w:pPr>
              <w:jc w:val="center"/>
              <w:rPr>
                <w:rFonts w:ascii="Arial Narrow" w:hAnsi="Arial Narrow" w:cs="Calibri"/>
                <w:sz w:val="20"/>
                <w:szCs w:val="20"/>
              </w:rPr>
            </w:pPr>
            <w:r>
              <w:rPr>
                <w:rFonts w:ascii="Arial Narrow" w:hAnsi="Arial Narrow" w:cs="Calibri"/>
                <w:sz w:val="20"/>
                <w:szCs w:val="20"/>
              </w:rPr>
              <w:noBreakHyphen/>
            </w:r>
            <w:r w:rsidR="008D461D" w:rsidRPr="00E20031">
              <w:rPr>
                <w:rFonts w:ascii="Arial Narrow" w:hAnsi="Arial Narrow" w:cs="Calibri"/>
                <w:sz w:val="20"/>
                <w:szCs w:val="20"/>
              </w:rPr>
              <w:t>1.88 (</w:t>
            </w:r>
            <w:r>
              <w:rPr>
                <w:rFonts w:ascii="Arial Narrow" w:hAnsi="Arial Narrow" w:cs="Calibri"/>
                <w:sz w:val="20"/>
                <w:szCs w:val="20"/>
              </w:rPr>
              <w:noBreakHyphen/>
            </w:r>
            <w:r w:rsidR="008D461D" w:rsidRPr="00E20031">
              <w:rPr>
                <w:rFonts w:ascii="Arial Narrow" w:hAnsi="Arial Narrow" w:cs="Calibri"/>
                <w:sz w:val="20"/>
                <w:szCs w:val="20"/>
              </w:rPr>
              <w:t>6.83, 3.07)</w:t>
            </w:r>
          </w:p>
        </w:tc>
        <w:tc>
          <w:tcPr>
            <w:tcW w:w="1651" w:type="dxa"/>
            <w:vAlign w:val="center"/>
          </w:tcPr>
          <w:p w14:paraId="2BC49FCB" w14:textId="77777777" w:rsidR="008D461D" w:rsidRPr="00E20031" w:rsidRDefault="008D461D">
            <w:pPr>
              <w:jc w:val="center"/>
            </w:pPr>
            <w:r w:rsidRPr="00E20031">
              <w:rPr>
                <w:rFonts w:ascii="Arial Narrow" w:hAnsi="Arial Narrow" w:cs="Calibri"/>
                <w:sz w:val="20"/>
                <w:szCs w:val="20"/>
              </w:rPr>
              <w:t>NR</w:t>
            </w:r>
          </w:p>
        </w:tc>
      </w:tr>
      <w:tr w:rsidR="008D461D" w:rsidRPr="00E20031" w14:paraId="29D84AB6" w14:textId="77777777">
        <w:trPr>
          <w:jc w:val="center"/>
        </w:trPr>
        <w:tc>
          <w:tcPr>
            <w:tcW w:w="1502" w:type="dxa"/>
            <w:vMerge/>
            <w:vAlign w:val="center"/>
          </w:tcPr>
          <w:p w14:paraId="0B6D703B" w14:textId="77777777" w:rsidR="008D461D" w:rsidRPr="00E20031" w:rsidRDefault="008D461D">
            <w:pPr>
              <w:jc w:val="center"/>
            </w:pPr>
          </w:p>
        </w:tc>
        <w:tc>
          <w:tcPr>
            <w:tcW w:w="1328" w:type="dxa"/>
            <w:vAlign w:val="center"/>
          </w:tcPr>
          <w:p w14:paraId="00774661" w14:textId="77777777" w:rsidR="008D461D" w:rsidRPr="00E20031" w:rsidRDefault="008D461D">
            <w:r w:rsidRPr="00E20031">
              <w:rPr>
                <w:rFonts w:ascii="Arial Narrow" w:hAnsi="Arial Narrow" w:cs="Calibri"/>
                <w:sz w:val="20"/>
                <w:szCs w:val="20"/>
              </w:rPr>
              <w:t>PEOM</w:t>
            </w:r>
          </w:p>
        </w:tc>
        <w:tc>
          <w:tcPr>
            <w:tcW w:w="851" w:type="dxa"/>
            <w:vAlign w:val="center"/>
          </w:tcPr>
          <w:p w14:paraId="7AD39A87" w14:textId="77777777" w:rsidR="008D461D" w:rsidRPr="00E20031" w:rsidRDefault="008D461D">
            <w:pPr>
              <w:jc w:val="center"/>
            </w:pPr>
            <w:r w:rsidRPr="00E20031">
              <w:rPr>
                <w:rFonts w:ascii="Arial Narrow" w:hAnsi="Arial Narrow" w:cs="Calibri"/>
                <w:sz w:val="20"/>
                <w:szCs w:val="20"/>
              </w:rPr>
              <w:t>188</w:t>
            </w:r>
          </w:p>
        </w:tc>
        <w:tc>
          <w:tcPr>
            <w:tcW w:w="1559" w:type="dxa"/>
            <w:vAlign w:val="center"/>
          </w:tcPr>
          <w:p w14:paraId="22DC1C17" w14:textId="357DAD33"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6.64 (1.82)</w:t>
            </w:r>
          </w:p>
        </w:tc>
        <w:tc>
          <w:tcPr>
            <w:tcW w:w="2126" w:type="dxa"/>
            <w:vAlign w:val="center"/>
          </w:tcPr>
          <w:p w14:paraId="712E64B6" w14:textId="4A1BB8B6" w:rsidR="008D461D" w:rsidRPr="00E20031" w:rsidRDefault="00397B07">
            <w:pPr>
              <w:jc w:val="center"/>
              <w:rPr>
                <w:rFonts w:ascii="Arial Narrow" w:hAnsi="Arial Narrow" w:cs="Calibri"/>
                <w:sz w:val="20"/>
                <w:szCs w:val="20"/>
              </w:rPr>
            </w:pPr>
            <w:r>
              <w:rPr>
                <w:rFonts w:ascii="Arial Narrow" w:hAnsi="Arial Narrow" w:cs="Calibri"/>
                <w:sz w:val="20"/>
                <w:szCs w:val="20"/>
              </w:rPr>
              <w:noBreakHyphen/>
            </w:r>
            <w:r w:rsidR="008D461D" w:rsidRPr="00E20031">
              <w:rPr>
                <w:rFonts w:ascii="Arial Narrow" w:hAnsi="Arial Narrow" w:cs="Calibri"/>
                <w:sz w:val="20"/>
                <w:szCs w:val="20"/>
              </w:rPr>
              <w:t>0.11 (</w:t>
            </w:r>
            <w:r>
              <w:rPr>
                <w:rFonts w:ascii="Arial Narrow" w:hAnsi="Arial Narrow" w:cs="Calibri"/>
                <w:sz w:val="20"/>
                <w:szCs w:val="20"/>
              </w:rPr>
              <w:noBreakHyphen/>
            </w:r>
            <w:r w:rsidR="008D461D" w:rsidRPr="00E20031">
              <w:rPr>
                <w:rFonts w:ascii="Arial Narrow" w:hAnsi="Arial Narrow" w:cs="Calibri"/>
                <w:sz w:val="20"/>
                <w:szCs w:val="20"/>
              </w:rPr>
              <w:t>4.92, 4.70)</w:t>
            </w:r>
          </w:p>
        </w:tc>
        <w:tc>
          <w:tcPr>
            <w:tcW w:w="1651" w:type="dxa"/>
            <w:vAlign w:val="center"/>
          </w:tcPr>
          <w:p w14:paraId="1BDA8977" w14:textId="77777777" w:rsidR="008D461D" w:rsidRPr="00E20031" w:rsidRDefault="008D461D">
            <w:pPr>
              <w:jc w:val="center"/>
            </w:pPr>
            <w:r w:rsidRPr="00E20031">
              <w:rPr>
                <w:rFonts w:ascii="Arial Narrow" w:hAnsi="Arial Narrow" w:cs="Calibri"/>
                <w:sz w:val="20"/>
                <w:szCs w:val="20"/>
              </w:rPr>
              <w:t>NR</w:t>
            </w:r>
          </w:p>
        </w:tc>
      </w:tr>
      <w:tr w:rsidR="008D461D" w:rsidRPr="00E20031" w14:paraId="25B66355" w14:textId="77777777">
        <w:trPr>
          <w:jc w:val="center"/>
        </w:trPr>
        <w:tc>
          <w:tcPr>
            <w:tcW w:w="1502" w:type="dxa"/>
            <w:vMerge/>
            <w:vAlign w:val="center"/>
          </w:tcPr>
          <w:p w14:paraId="69B6EF99" w14:textId="77777777" w:rsidR="008D461D" w:rsidRPr="00E20031" w:rsidRDefault="008D461D">
            <w:pPr>
              <w:jc w:val="center"/>
            </w:pPr>
          </w:p>
        </w:tc>
        <w:tc>
          <w:tcPr>
            <w:tcW w:w="1328" w:type="dxa"/>
            <w:vAlign w:val="center"/>
          </w:tcPr>
          <w:p w14:paraId="2A12A55D" w14:textId="77777777" w:rsidR="008D461D" w:rsidRPr="00E20031" w:rsidRDefault="008D461D">
            <w:r w:rsidRPr="00E20031">
              <w:rPr>
                <w:rFonts w:ascii="Arial Narrow" w:hAnsi="Arial Narrow" w:cs="Calibri"/>
                <w:sz w:val="20"/>
                <w:szCs w:val="20"/>
              </w:rPr>
              <w:t>Sham (pooled)</w:t>
            </w:r>
          </w:p>
        </w:tc>
        <w:tc>
          <w:tcPr>
            <w:tcW w:w="851" w:type="dxa"/>
            <w:vAlign w:val="center"/>
          </w:tcPr>
          <w:p w14:paraId="285EA007" w14:textId="77777777" w:rsidR="008D461D" w:rsidRPr="00E20031" w:rsidRDefault="008D461D">
            <w:pPr>
              <w:jc w:val="center"/>
            </w:pPr>
            <w:r w:rsidRPr="00E20031">
              <w:rPr>
                <w:rFonts w:ascii="Arial Narrow" w:hAnsi="Arial Narrow" w:cs="Calibri"/>
                <w:sz w:val="20"/>
                <w:szCs w:val="20"/>
              </w:rPr>
              <w:t>182</w:t>
            </w:r>
          </w:p>
        </w:tc>
        <w:tc>
          <w:tcPr>
            <w:tcW w:w="1559" w:type="dxa"/>
            <w:vAlign w:val="center"/>
          </w:tcPr>
          <w:p w14:paraId="512DEBB5" w14:textId="5E1F4AF9"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6.53 (1.91)</w:t>
            </w:r>
          </w:p>
        </w:tc>
        <w:tc>
          <w:tcPr>
            <w:tcW w:w="2126" w:type="dxa"/>
            <w:vAlign w:val="center"/>
          </w:tcPr>
          <w:p w14:paraId="69B85D50" w14:textId="77777777" w:rsidR="008D461D" w:rsidRPr="00E20031" w:rsidRDefault="008D461D">
            <w:pPr>
              <w:jc w:val="center"/>
            </w:pPr>
            <w:r w:rsidRPr="00E20031">
              <w:rPr>
                <w:rFonts w:ascii="Arial Narrow" w:hAnsi="Arial Narrow" w:cs="Calibri"/>
                <w:sz w:val="20"/>
                <w:szCs w:val="20"/>
              </w:rPr>
              <w:t>NA</w:t>
            </w:r>
          </w:p>
        </w:tc>
        <w:tc>
          <w:tcPr>
            <w:tcW w:w="1651" w:type="dxa"/>
            <w:vAlign w:val="center"/>
          </w:tcPr>
          <w:p w14:paraId="60E0A8BE" w14:textId="77777777" w:rsidR="008D461D" w:rsidRPr="00E20031" w:rsidRDefault="008D461D">
            <w:pPr>
              <w:jc w:val="center"/>
            </w:pPr>
            <w:r w:rsidRPr="00E20031">
              <w:rPr>
                <w:rFonts w:ascii="Arial Narrow" w:hAnsi="Arial Narrow" w:cs="Calibri"/>
                <w:sz w:val="20"/>
                <w:szCs w:val="20"/>
              </w:rPr>
              <w:t>NA</w:t>
            </w:r>
          </w:p>
        </w:tc>
      </w:tr>
      <w:tr w:rsidR="008D461D" w:rsidRPr="00E20031" w14:paraId="2D5B28D9" w14:textId="77777777">
        <w:trPr>
          <w:jc w:val="center"/>
        </w:trPr>
        <w:tc>
          <w:tcPr>
            <w:tcW w:w="1502" w:type="dxa"/>
            <w:vMerge w:val="restart"/>
            <w:vAlign w:val="center"/>
          </w:tcPr>
          <w:p w14:paraId="610D7357" w14:textId="77777777" w:rsidR="008D461D" w:rsidRPr="00E20031" w:rsidRDefault="008D461D">
            <w:pPr>
              <w:jc w:val="center"/>
            </w:pPr>
            <w:r w:rsidRPr="00E20031">
              <w:rPr>
                <w:rFonts w:ascii="Arial Narrow" w:hAnsi="Arial Narrow"/>
                <w:sz w:val="20"/>
                <w:szCs w:val="20"/>
              </w:rPr>
              <w:t>OAKS</w:t>
            </w:r>
          </w:p>
        </w:tc>
        <w:tc>
          <w:tcPr>
            <w:tcW w:w="1328" w:type="dxa"/>
            <w:vAlign w:val="center"/>
          </w:tcPr>
          <w:p w14:paraId="5C0ECB09" w14:textId="77777777" w:rsidR="008D461D" w:rsidRPr="00E20031" w:rsidRDefault="008D461D">
            <w:r w:rsidRPr="00E20031">
              <w:rPr>
                <w:rFonts w:ascii="Arial Narrow" w:hAnsi="Arial Narrow" w:cs="Calibri"/>
                <w:sz w:val="20"/>
                <w:szCs w:val="20"/>
              </w:rPr>
              <w:t>PM</w:t>
            </w:r>
          </w:p>
        </w:tc>
        <w:tc>
          <w:tcPr>
            <w:tcW w:w="851" w:type="dxa"/>
            <w:vAlign w:val="center"/>
          </w:tcPr>
          <w:p w14:paraId="3E9010D4" w14:textId="77777777" w:rsidR="008D461D" w:rsidRPr="00E20031" w:rsidRDefault="008D461D">
            <w:pPr>
              <w:jc w:val="center"/>
            </w:pPr>
            <w:r w:rsidRPr="00E20031">
              <w:rPr>
                <w:rFonts w:ascii="Arial Narrow" w:hAnsi="Arial Narrow" w:cs="Calibri"/>
                <w:sz w:val="20"/>
                <w:szCs w:val="20"/>
              </w:rPr>
              <w:t>187</w:t>
            </w:r>
          </w:p>
        </w:tc>
        <w:tc>
          <w:tcPr>
            <w:tcW w:w="1559" w:type="dxa"/>
            <w:vAlign w:val="center"/>
          </w:tcPr>
          <w:p w14:paraId="37E278D2" w14:textId="2775521E"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7.98 (1.68)</w:t>
            </w:r>
          </w:p>
        </w:tc>
        <w:tc>
          <w:tcPr>
            <w:tcW w:w="2126" w:type="dxa"/>
            <w:vAlign w:val="center"/>
          </w:tcPr>
          <w:p w14:paraId="0641E809" w14:textId="28447405" w:rsidR="008D461D" w:rsidRPr="00E20031" w:rsidRDefault="00397B07">
            <w:pPr>
              <w:jc w:val="center"/>
              <w:rPr>
                <w:rFonts w:ascii="Arial Narrow" w:hAnsi="Arial Narrow" w:cs="Calibri"/>
                <w:sz w:val="20"/>
                <w:szCs w:val="20"/>
              </w:rPr>
            </w:pPr>
            <w:r>
              <w:rPr>
                <w:rFonts w:ascii="Arial Narrow" w:hAnsi="Arial Narrow" w:cs="Calibri"/>
                <w:sz w:val="20"/>
                <w:szCs w:val="20"/>
              </w:rPr>
              <w:noBreakHyphen/>
            </w:r>
            <w:r w:rsidR="008D461D" w:rsidRPr="00E20031">
              <w:rPr>
                <w:rFonts w:ascii="Arial Narrow" w:hAnsi="Arial Narrow" w:cs="Calibri"/>
                <w:sz w:val="20"/>
                <w:szCs w:val="20"/>
              </w:rPr>
              <w:t>0.22 (</w:t>
            </w:r>
            <w:r>
              <w:rPr>
                <w:rFonts w:ascii="Arial Narrow" w:hAnsi="Arial Narrow" w:cs="Calibri"/>
                <w:sz w:val="20"/>
                <w:szCs w:val="20"/>
              </w:rPr>
              <w:noBreakHyphen/>
            </w:r>
            <w:r w:rsidR="008D461D" w:rsidRPr="00E20031">
              <w:rPr>
                <w:rFonts w:ascii="Arial Narrow" w:hAnsi="Arial Narrow" w:cs="Calibri"/>
                <w:sz w:val="20"/>
                <w:szCs w:val="20"/>
              </w:rPr>
              <w:t>4.55, 4.12)</w:t>
            </w:r>
          </w:p>
        </w:tc>
        <w:tc>
          <w:tcPr>
            <w:tcW w:w="1651" w:type="dxa"/>
            <w:vAlign w:val="center"/>
          </w:tcPr>
          <w:p w14:paraId="296F4948" w14:textId="77777777" w:rsidR="008D461D" w:rsidRPr="00E20031" w:rsidRDefault="008D461D">
            <w:pPr>
              <w:jc w:val="center"/>
            </w:pPr>
            <w:r w:rsidRPr="00E20031">
              <w:rPr>
                <w:rFonts w:ascii="Arial Narrow" w:hAnsi="Arial Narrow" w:cs="Calibri"/>
                <w:sz w:val="20"/>
                <w:szCs w:val="20"/>
              </w:rPr>
              <w:t>NR</w:t>
            </w:r>
          </w:p>
        </w:tc>
      </w:tr>
      <w:tr w:rsidR="008D461D" w:rsidRPr="00E20031" w14:paraId="7B0A81E1" w14:textId="77777777">
        <w:trPr>
          <w:jc w:val="center"/>
        </w:trPr>
        <w:tc>
          <w:tcPr>
            <w:tcW w:w="1502" w:type="dxa"/>
            <w:vMerge/>
            <w:vAlign w:val="center"/>
          </w:tcPr>
          <w:p w14:paraId="1D3AD092" w14:textId="77777777" w:rsidR="008D461D" w:rsidRPr="00E20031" w:rsidRDefault="008D461D"/>
        </w:tc>
        <w:tc>
          <w:tcPr>
            <w:tcW w:w="1328" w:type="dxa"/>
            <w:vAlign w:val="center"/>
          </w:tcPr>
          <w:p w14:paraId="74602C4E" w14:textId="77777777" w:rsidR="008D461D" w:rsidRPr="00E20031" w:rsidRDefault="008D461D">
            <w:r w:rsidRPr="00E20031">
              <w:rPr>
                <w:rFonts w:ascii="Arial Narrow" w:hAnsi="Arial Narrow" w:cs="Calibri"/>
                <w:sz w:val="20"/>
                <w:szCs w:val="20"/>
              </w:rPr>
              <w:t>PEOM</w:t>
            </w:r>
          </w:p>
        </w:tc>
        <w:tc>
          <w:tcPr>
            <w:tcW w:w="851" w:type="dxa"/>
            <w:vAlign w:val="center"/>
          </w:tcPr>
          <w:p w14:paraId="2890A02D" w14:textId="77777777" w:rsidR="008D461D" w:rsidRPr="00E20031" w:rsidRDefault="008D461D">
            <w:pPr>
              <w:jc w:val="center"/>
            </w:pPr>
            <w:r w:rsidRPr="00E20031">
              <w:rPr>
                <w:rFonts w:ascii="Arial Narrow" w:hAnsi="Arial Narrow" w:cs="Calibri"/>
                <w:sz w:val="20"/>
                <w:szCs w:val="20"/>
              </w:rPr>
              <w:t>192</w:t>
            </w:r>
          </w:p>
        </w:tc>
        <w:tc>
          <w:tcPr>
            <w:tcW w:w="1559" w:type="dxa"/>
            <w:vAlign w:val="center"/>
          </w:tcPr>
          <w:p w14:paraId="4F5DB14B" w14:textId="2660B104"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7.81 (1.50)</w:t>
            </w:r>
          </w:p>
        </w:tc>
        <w:tc>
          <w:tcPr>
            <w:tcW w:w="2126" w:type="dxa"/>
            <w:vAlign w:val="center"/>
          </w:tcPr>
          <w:p w14:paraId="58676702" w14:textId="72271845" w:rsidR="008D461D" w:rsidRPr="00E20031" w:rsidRDefault="00397B07">
            <w:pPr>
              <w:jc w:val="center"/>
              <w:rPr>
                <w:rFonts w:ascii="Arial Narrow" w:hAnsi="Arial Narrow" w:cs="Calibri"/>
                <w:sz w:val="20"/>
                <w:szCs w:val="20"/>
              </w:rPr>
            </w:pPr>
            <w:r>
              <w:rPr>
                <w:rFonts w:ascii="Arial Narrow" w:hAnsi="Arial Narrow" w:cs="Calibri"/>
                <w:sz w:val="20"/>
                <w:szCs w:val="20"/>
              </w:rPr>
              <w:noBreakHyphen/>
            </w:r>
            <w:r w:rsidR="008D461D" w:rsidRPr="00E20031">
              <w:rPr>
                <w:rFonts w:ascii="Arial Narrow" w:hAnsi="Arial Narrow" w:cs="Calibri"/>
                <w:sz w:val="20"/>
                <w:szCs w:val="20"/>
              </w:rPr>
              <w:t>0.04 (</w:t>
            </w:r>
            <w:r>
              <w:rPr>
                <w:rFonts w:ascii="Arial Narrow" w:hAnsi="Arial Narrow" w:cs="Calibri"/>
                <w:sz w:val="20"/>
                <w:szCs w:val="20"/>
              </w:rPr>
              <w:noBreakHyphen/>
            </w:r>
            <w:r w:rsidR="008D461D" w:rsidRPr="00E20031">
              <w:rPr>
                <w:rFonts w:ascii="Arial Narrow" w:hAnsi="Arial Narrow" w:cs="Calibri"/>
                <w:sz w:val="20"/>
                <w:szCs w:val="20"/>
              </w:rPr>
              <w:t>4.18, 4.11)</w:t>
            </w:r>
          </w:p>
        </w:tc>
        <w:tc>
          <w:tcPr>
            <w:tcW w:w="1651" w:type="dxa"/>
            <w:vAlign w:val="center"/>
          </w:tcPr>
          <w:p w14:paraId="11E78CA0" w14:textId="77777777" w:rsidR="008D461D" w:rsidRPr="00E20031" w:rsidRDefault="008D461D">
            <w:pPr>
              <w:jc w:val="center"/>
            </w:pPr>
            <w:r w:rsidRPr="00E20031">
              <w:rPr>
                <w:rFonts w:ascii="Arial Narrow" w:hAnsi="Arial Narrow" w:cs="Calibri"/>
                <w:sz w:val="20"/>
                <w:szCs w:val="20"/>
              </w:rPr>
              <w:t>NR</w:t>
            </w:r>
          </w:p>
        </w:tc>
      </w:tr>
      <w:tr w:rsidR="008D461D" w:rsidRPr="00E20031" w14:paraId="3E5BACDE" w14:textId="77777777">
        <w:trPr>
          <w:jc w:val="center"/>
        </w:trPr>
        <w:tc>
          <w:tcPr>
            <w:tcW w:w="1502" w:type="dxa"/>
            <w:vMerge/>
            <w:vAlign w:val="center"/>
          </w:tcPr>
          <w:p w14:paraId="5D2597F0" w14:textId="77777777" w:rsidR="008D461D" w:rsidRPr="00E20031" w:rsidRDefault="008D461D"/>
        </w:tc>
        <w:tc>
          <w:tcPr>
            <w:tcW w:w="1328" w:type="dxa"/>
            <w:vAlign w:val="center"/>
          </w:tcPr>
          <w:p w14:paraId="0642AE21" w14:textId="77777777" w:rsidR="008D461D" w:rsidRPr="00E20031" w:rsidRDefault="008D461D">
            <w:r w:rsidRPr="00E20031">
              <w:rPr>
                <w:rFonts w:ascii="Arial Narrow" w:hAnsi="Arial Narrow" w:cs="Calibri"/>
                <w:sz w:val="20"/>
                <w:szCs w:val="20"/>
              </w:rPr>
              <w:t>Sham (pooled)</w:t>
            </w:r>
          </w:p>
        </w:tc>
        <w:tc>
          <w:tcPr>
            <w:tcW w:w="851" w:type="dxa"/>
            <w:vAlign w:val="center"/>
          </w:tcPr>
          <w:p w14:paraId="471ED698" w14:textId="77777777" w:rsidR="008D461D" w:rsidRPr="00E20031" w:rsidRDefault="008D461D">
            <w:pPr>
              <w:jc w:val="center"/>
            </w:pPr>
            <w:r w:rsidRPr="00E20031">
              <w:rPr>
                <w:rFonts w:ascii="Arial Narrow" w:hAnsi="Arial Narrow" w:cs="Calibri"/>
                <w:sz w:val="20"/>
                <w:szCs w:val="20"/>
              </w:rPr>
              <w:t>194</w:t>
            </w:r>
          </w:p>
        </w:tc>
        <w:tc>
          <w:tcPr>
            <w:tcW w:w="1559" w:type="dxa"/>
            <w:vAlign w:val="center"/>
          </w:tcPr>
          <w:p w14:paraId="051B5E50" w14:textId="4F0DDA01" w:rsidR="008D461D" w:rsidRPr="00E20031" w:rsidRDefault="00397B07">
            <w:pPr>
              <w:jc w:val="center"/>
            </w:pPr>
            <w:r>
              <w:rPr>
                <w:rFonts w:ascii="Arial Narrow" w:hAnsi="Arial Narrow" w:cs="Calibri"/>
                <w:sz w:val="20"/>
                <w:szCs w:val="20"/>
              </w:rPr>
              <w:noBreakHyphen/>
            </w:r>
            <w:r w:rsidR="008D461D" w:rsidRPr="00E20031">
              <w:rPr>
                <w:rFonts w:ascii="Arial Narrow" w:hAnsi="Arial Narrow" w:cs="Calibri"/>
                <w:sz w:val="20"/>
                <w:szCs w:val="20"/>
              </w:rPr>
              <w:t>7.77 (1.68)</w:t>
            </w:r>
          </w:p>
        </w:tc>
        <w:tc>
          <w:tcPr>
            <w:tcW w:w="2126" w:type="dxa"/>
            <w:vAlign w:val="center"/>
          </w:tcPr>
          <w:p w14:paraId="05FDD56B" w14:textId="77777777" w:rsidR="008D461D" w:rsidRPr="00E20031" w:rsidRDefault="008D461D">
            <w:pPr>
              <w:jc w:val="center"/>
            </w:pPr>
            <w:r w:rsidRPr="00E20031">
              <w:rPr>
                <w:rFonts w:ascii="Arial Narrow" w:hAnsi="Arial Narrow" w:cs="Calibri"/>
                <w:sz w:val="20"/>
                <w:szCs w:val="20"/>
              </w:rPr>
              <w:t>NA</w:t>
            </w:r>
          </w:p>
        </w:tc>
        <w:tc>
          <w:tcPr>
            <w:tcW w:w="1651" w:type="dxa"/>
            <w:vAlign w:val="center"/>
          </w:tcPr>
          <w:p w14:paraId="75F11FBE" w14:textId="77777777" w:rsidR="008D461D" w:rsidRPr="00E20031" w:rsidRDefault="008D461D">
            <w:pPr>
              <w:jc w:val="center"/>
            </w:pPr>
            <w:r w:rsidRPr="00E20031">
              <w:rPr>
                <w:rFonts w:ascii="Arial Narrow" w:hAnsi="Arial Narrow" w:cs="Calibri"/>
                <w:sz w:val="20"/>
                <w:szCs w:val="20"/>
              </w:rPr>
              <w:t>NA</w:t>
            </w:r>
          </w:p>
        </w:tc>
      </w:tr>
    </w:tbl>
    <w:p w14:paraId="5E038967" w14:textId="77777777" w:rsidR="008D461D" w:rsidRPr="00E20031" w:rsidRDefault="008D461D" w:rsidP="008D461D">
      <w:pPr>
        <w:pStyle w:val="FooterTableFigure"/>
        <w:rPr>
          <w:sz w:val="20"/>
        </w:rPr>
      </w:pPr>
      <w:r w:rsidRPr="00E20031">
        <w:t>Source: Table 37, p117, Table 45, p126, Table 51, p135, and Table 58, p141 of the submission.</w:t>
      </w:r>
    </w:p>
    <w:p w14:paraId="48BB1C91" w14:textId="03E1EFD2" w:rsidR="008D461D" w:rsidRPr="00E20031" w:rsidRDefault="008D461D" w:rsidP="008D461D">
      <w:pPr>
        <w:pStyle w:val="FooterTableFigure"/>
        <w:rPr>
          <w:rFonts w:eastAsia="Calibri"/>
        </w:rPr>
      </w:pPr>
      <w:r w:rsidRPr="00E20031">
        <w:rPr>
          <w:rFonts w:eastAsia="Calibri"/>
        </w:rPr>
        <w:t xml:space="preserve">CI = confidence interval; EDTRS = </w:t>
      </w:r>
      <w:r w:rsidRPr="00E20031">
        <w:t>Early Treatment Diabetic Retinopathy Study;</w:t>
      </w:r>
      <w:r w:rsidRPr="00E20031">
        <w:rPr>
          <w:rFonts w:eastAsia="Calibri"/>
        </w:rPr>
        <w:t xml:space="preserve"> FAF = </w:t>
      </w:r>
      <w:r w:rsidRPr="00E20031">
        <w:t>fundus autofluorescence;</w:t>
      </w:r>
      <w:r w:rsidRPr="00E20031">
        <w:rPr>
          <w:rFonts w:eastAsia="Calibri"/>
        </w:rPr>
        <w:t xml:space="preserve"> GA = geographic atrophy;</w:t>
      </w:r>
      <w:r w:rsidRPr="00E20031">
        <w:t xml:space="preserve"> LS = least square;</w:t>
      </w:r>
      <w:r w:rsidRPr="00E20031">
        <w:rPr>
          <w:rFonts w:eastAsia="Calibri"/>
        </w:rPr>
        <w:t xml:space="preserve"> mITT = modified intention to treat population; MM</w:t>
      </w:r>
      <w:r w:rsidR="00624525">
        <w:rPr>
          <w:rFonts w:eastAsia="Calibri"/>
        </w:rPr>
        <w:t>R</w:t>
      </w:r>
      <w:r w:rsidRPr="00E20031">
        <w:rPr>
          <w:rFonts w:eastAsia="Calibri"/>
        </w:rPr>
        <w:t xml:space="preserve">M = </w:t>
      </w:r>
      <w:r w:rsidRPr="00E20031">
        <w:t>mixed</w:t>
      </w:r>
      <w:r w:rsidR="00397B07">
        <w:noBreakHyphen/>
      </w:r>
      <w:r w:rsidRPr="00E20031">
        <w:t>effect model for repeated measures;</w:t>
      </w:r>
      <w:r w:rsidRPr="00E20031">
        <w:rPr>
          <w:rFonts w:eastAsia="Calibri"/>
        </w:rPr>
        <w:t xml:space="preserve"> n = number of participants with event; N = total participants in group; NA = not applicable; </w:t>
      </w:r>
      <w:r w:rsidRPr="00E20031">
        <w:t>NEI VFQ</w:t>
      </w:r>
      <w:r w:rsidR="00397B07">
        <w:noBreakHyphen/>
      </w:r>
      <w:r w:rsidRPr="00E20031">
        <w:t>25 = National Eye Institute 25</w:t>
      </w:r>
      <w:r w:rsidR="00397B07">
        <w:noBreakHyphen/>
      </w:r>
      <w:r w:rsidRPr="00E20031">
        <w:t>Item Visual Function Questionnaire; NL</w:t>
      </w:r>
      <w:r w:rsidR="00397B07">
        <w:noBreakHyphen/>
      </w:r>
      <w:r w:rsidRPr="00E20031">
        <w:t>BCVA = normal</w:t>
      </w:r>
      <w:r w:rsidR="00397B07">
        <w:noBreakHyphen/>
      </w:r>
      <w:r w:rsidRPr="00E20031">
        <w:t>luminance best</w:t>
      </w:r>
      <w:r w:rsidR="00397B07">
        <w:noBreakHyphen/>
      </w:r>
      <w:r w:rsidRPr="00E20031">
        <w:t>corrected visual acuity;</w:t>
      </w:r>
      <w:r w:rsidRPr="00E20031">
        <w:rPr>
          <w:rFonts w:eastAsia="Calibri"/>
        </w:rPr>
        <w:t xml:space="preserve"> NR = not reported; PEOM = pegcetacoplan every other month; PM = pegcetacoplan monthly; </w:t>
      </w:r>
    </w:p>
    <w:p w14:paraId="4D43D2F2" w14:textId="77777777" w:rsidR="008D461D" w:rsidRPr="00E20031" w:rsidRDefault="008D461D" w:rsidP="008D461D">
      <w:pPr>
        <w:pStyle w:val="FooterTableFigure"/>
        <w:rPr>
          <w:rFonts w:eastAsia="Calibri"/>
        </w:rPr>
      </w:pPr>
      <w:r w:rsidRPr="00E20031">
        <w:rPr>
          <w:rFonts w:eastAsia="Calibri"/>
          <w:b/>
          <w:bCs/>
        </w:rPr>
        <w:t>Bold</w:t>
      </w:r>
      <w:r w:rsidRPr="00E20031">
        <w:rPr>
          <w:rFonts w:eastAsia="Calibri"/>
        </w:rPr>
        <w:t xml:space="preserve"> indicates statistically significant results.</w:t>
      </w:r>
    </w:p>
    <w:p w14:paraId="3E0079D0" w14:textId="77777777" w:rsidR="008D461D" w:rsidRPr="00D04A0A" w:rsidRDefault="008D461D" w:rsidP="008D461D">
      <w:pPr>
        <w:pStyle w:val="3-BodyText"/>
        <w:rPr>
          <w:color w:val="000000" w:themeColor="text1"/>
        </w:rPr>
      </w:pPr>
      <w:r w:rsidRPr="00E20031">
        <w:rPr>
          <w:color w:val="000000" w:themeColor="text1"/>
        </w:rPr>
        <w:t xml:space="preserve">The DERBY and OAKS trials dosed pegcetacoplan both monthly and every other month. However, the approved product information only includes pegcetacoplan dosed once every other month (approximately every 60 days). </w:t>
      </w:r>
      <w:r w:rsidRPr="00D04A0A">
        <w:rPr>
          <w:color w:val="000000" w:themeColor="text1"/>
        </w:rPr>
        <w:t>As such, it is the PEOM results that are most relevant to the proposed PBS population.</w:t>
      </w:r>
    </w:p>
    <w:p w14:paraId="334DE99E" w14:textId="67B13E4C" w:rsidR="008D461D" w:rsidRPr="00E20031" w:rsidRDefault="008D461D" w:rsidP="008D461D">
      <w:pPr>
        <w:pStyle w:val="3-BodyText"/>
        <w:rPr>
          <w:i/>
          <w:iCs/>
          <w:color w:val="000000" w:themeColor="text1"/>
        </w:rPr>
      </w:pPr>
      <w:r w:rsidRPr="00E20031">
        <w:t>All efficacy outcomes in the trials were analysed using the modified intention</w:t>
      </w:r>
      <w:r w:rsidR="00397B07">
        <w:noBreakHyphen/>
      </w:r>
      <w:r w:rsidRPr="00E20031">
        <w:t>to</w:t>
      </w:r>
      <w:r w:rsidR="00397B07">
        <w:noBreakHyphen/>
      </w:r>
      <w:r w:rsidRPr="00E20031">
        <w:t xml:space="preserve">treat (mITT) population, which consisted of all participants assigned to treatment who </w:t>
      </w:r>
      <w:r w:rsidRPr="00E20031">
        <w:lastRenderedPageBreak/>
        <w:t>received at least one injection of pegcetacoplan or sham and had at least one post</w:t>
      </w:r>
      <w:r w:rsidR="00397B07">
        <w:noBreakHyphen/>
      </w:r>
      <w:r w:rsidRPr="00E20031">
        <w:t>baseline value of GA lesion area in the study eye as assessed by fundus autofluorescence (FAF).</w:t>
      </w:r>
    </w:p>
    <w:p w14:paraId="4F08300F" w14:textId="5CF4A085" w:rsidR="008D461D" w:rsidRPr="00E20031" w:rsidRDefault="008D461D" w:rsidP="008D461D">
      <w:pPr>
        <w:pStyle w:val="3-BodyText"/>
        <w:rPr>
          <w:color w:val="000000" w:themeColor="text1"/>
        </w:rPr>
      </w:pPr>
      <w:r w:rsidRPr="00E20031">
        <w:rPr>
          <w:color w:val="000000" w:themeColor="text1"/>
        </w:rPr>
        <w:t xml:space="preserve">For the primary outcome of change from baseline (CFB) in total area of GA lesion size at 12 months, statistical significance was achieved in the OAKS trial, which showed a difference in least squares (LS) mean </w:t>
      </w:r>
      <w:r w:rsidR="00397B07">
        <w:rPr>
          <w:color w:val="000000" w:themeColor="text1"/>
        </w:rPr>
        <w:noBreakHyphen/>
      </w:r>
      <w:r w:rsidRPr="00E20031">
        <w:rPr>
          <w:color w:val="000000" w:themeColor="text1"/>
        </w:rPr>
        <w:t>0</w:t>
      </w:r>
      <w:r w:rsidR="003F4002">
        <w:rPr>
          <w:color w:val="000000" w:themeColor="text1"/>
        </w:rPr>
        <w:t>.</w:t>
      </w:r>
      <w:r w:rsidRPr="00E20031">
        <w:rPr>
          <w:color w:val="000000" w:themeColor="text1"/>
        </w:rPr>
        <w:t xml:space="preserve">41 (95% confidence interval[CI]: </w:t>
      </w:r>
      <w:r w:rsidR="00397B07">
        <w:rPr>
          <w:color w:val="000000" w:themeColor="text1"/>
        </w:rPr>
        <w:noBreakHyphen/>
      </w:r>
      <w:r w:rsidRPr="00E20031">
        <w:rPr>
          <w:color w:val="000000" w:themeColor="text1"/>
        </w:rPr>
        <w:t xml:space="preserve">0.64, </w:t>
      </w:r>
      <w:r w:rsidR="00397B07">
        <w:rPr>
          <w:color w:val="000000" w:themeColor="text1"/>
        </w:rPr>
        <w:noBreakHyphen/>
      </w:r>
      <w:r w:rsidRPr="00E20031">
        <w:rPr>
          <w:color w:val="000000" w:themeColor="text1"/>
        </w:rPr>
        <w:t xml:space="preserve">0.18) in the PM arm, and a difference in LS mean of </w:t>
      </w:r>
      <w:r w:rsidR="00397B07">
        <w:rPr>
          <w:color w:val="000000" w:themeColor="text1"/>
        </w:rPr>
        <w:noBreakHyphen/>
      </w:r>
      <w:r w:rsidRPr="00E20031">
        <w:rPr>
          <w:color w:val="000000" w:themeColor="text1"/>
        </w:rPr>
        <w:t xml:space="preserve">0.32 (95% CI: </w:t>
      </w:r>
      <w:r w:rsidR="00397B07">
        <w:rPr>
          <w:color w:val="000000" w:themeColor="text1"/>
        </w:rPr>
        <w:noBreakHyphen/>
      </w:r>
      <w:r w:rsidRPr="00E20031">
        <w:rPr>
          <w:color w:val="000000" w:themeColor="text1"/>
        </w:rPr>
        <w:t xml:space="preserve">0.54, </w:t>
      </w:r>
      <w:r w:rsidR="00397B07">
        <w:rPr>
          <w:color w:val="000000" w:themeColor="text1"/>
        </w:rPr>
        <w:noBreakHyphen/>
      </w:r>
      <w:r w:rsidRPr="00E20031">
        <w:rPr>
          <w:color w:val="000000" w:themeColor="text1"/>
        </w:rPr>
        <w:t xml:space="preserve">0.09) in the PEOM arm, corresponding to a difference of </w:t>
      </w:r>
      <w:r w:rsidR="00397B07">
        <w:rPr>
          <w:color w:val="000000" w:themeColor="text1"/>
        </w:rPr>
        <w:noBreakHyphen/>
      </w:r>
      <w:r w:rsidRPr="00E20031">
        <w:rPr>
          <w:color w:val="000000" w:themeColor="text1"/>
        </w:rPr>
        <w:t xml:space="preserve">20.9% and </w:t>
      </w:r>
      <w:r w:rsidR="00397B07">
        <w:rPr>
          <w:color w:val="000000" w:themeColor="text1"/>
        </w:rPr>
        <w:noBreakHyphen/>
      </w:r>
      <w:r w:rsidRPr="00E20031">
        <w:rPr>
          <w:color w:val="000000" w:themeColor="text1"/>
        </w:rPr>
        <w:t>16.1% in the PM and PEOM groups respectively, compared to sham (pooled). The DERBY trial did not demonstrate a statistically significant difference for the primary outcome in either the PM or PEOM groups.</w:t>
      </w:r>
      <w:r w:rsidR="00403A58">
        <w:rPr>
          <w:color w:val="000000" w:themeColor="text1"/>
        </w:rPr>
        <w:t xml:space="preserve"> </w:t>
      </w:r>
    </w:p>
    <w:p w14:paraId="08288B3D" w14:textId="3C4A97AE" w:rsidR="008D461D" w:rsidRPr="00E55282" w:rsidRDefault="008D461D" w:rsidP="008D461D">
      <w:pPr>
        <w:pStyle w:val="3-BodyText"/>
        <w:rPr>
          <w:color w:val="000000" w:themeColor="text1"/>
        </w:rPr>
      </w:pPr>
      <w:r w:rsidRPr="00E20031">
        <w:rPr>
          <w:color w:val="000000" w:themeColor="text1"/>
        </w:rPr>
        <w:t>The submission stated that there were several imbalances across the treatment groups and carried out a post</w:t>
      </w:r>
      <w:r w:rsidR="00397B07">
        <w:rPr>
          <w:color w:val="000000" w:themeColor="text1"/>
        </w:rPr>
        <w:noBreakHyphen/>
      </w:r>
      <w:r w:rsidRPr="00E20031">
        <w:rPr>
          <w:color w:val="000000" w:themeColor="text1"/>
        </w:rPr>
        <w:t xml:space="preserve">hoc </w:t>
      </w:r>
      <w:r w:rsidR="534F34DC" w:rsidRPr="00E20031">
        <w:rPr>
          <w:color w:val="000000" w:themeColor="text1"/>
        </w:rPr>
        <w:t>covariate adjusted</w:t>
      </w:r>
      <w:r w:rsidRPr="00E20031">
        <w:rPr>
          <w:color w:val="000000" w:themeColor="text1"/>
        </w:rPr>
        <w:t xml:space="preserve"> analysis to account for these. The identified imbalances in the DERBY trials were </w:t>
      </w:r>
      <w:r w:rsidRPr="00E20031">
        <w:t>more subjects in the pegcetacoplan treatment groups than in the sham pooled group had multifocal lesions and ≤20 intermediate/large drusen. In the OAKS trial more subjects in the pegcetacoplan treatment groups had non</w:t>
      </w:r>
      <w:r w:rsidR="00397B07">
        <w:noBreakHyphen/>
      </w:r>
      <w:r w:rsidRPr="00E20031">
        <w:t xml:space="preserve">subfoveal lesions at baseline than in the sham pooled group. When adjusted for these baseline characteristics, an increase was shown in the estimated treatment effect for the PM groups vs sham pooled from −10.6% to −14.4% in DERBY, and from −16.1% to −17.1% in OAKS when compared with the main MMRM analysis without any adjustments. </w:t>
      </w:r>
      <w:r w:rsidRPr="00D04A0A">
        <w:t xml:space="preserve">Importantly, these adjustments resulted in the DERBY trials reporting a statistically significant difference between </w:t>
      </w:r>
      <w:r w:rsidR="00100805">
        <w:t xml:space="preserve">PM and sham </w:t>
      </w:r>
      <w:r w:rsidR="00D372EE">
        <w:br/>
      </w:r>
      <w:r w:rsidR="00100805">
        <w:t>(</w:t>
      </w:r>
      <w:r w:rsidR="00397B07">
        <w:noBreakHyphen/>
      </w:r>
      <w:r w:rsidR="00100805">
        <w:t>0.31</w:t>
      </w:r>
      <w:r w:rsidR="00362A2F">
        <w:t xml:space="preserve">, 95% CI: </w:t>
      </w:r>
      <w:r w:rsidR="00397B07">
        <w:noBreakHyphen/>
      </w:r>
      <w:r w:rsidR="00362A2F">
        <w:t xml:space="preserve">0.54, </w:t>
      </w:r>
      <w:r w:rsidR="00397B07">
        <w:noBreakHyphen/>
      </w:r>
      <w:r w:rsidR="00362A2F">
        <w:t xml:space="preserve">0.087) and also </w:t>
      </w:r>
      <w:r w:rsidR="00866F0A">
        <w:t xml:space="preserve">between </w:t>
      </w:r>
      <w:r w:rsidRPr="00D04A0A">
        <w:t>PEOM and sham (</w:t>
      </w:r>
      <w:r w:rsidR="00397B07">
        <w:noBreakHyphen/>
      </w:r>
      <w:r w:rsidRPr="00D04A0A">
        <w:t xml:space="preserve">0.29, 95% CI: </w:t>
      </w:r>
      <w:r w:rsidR="00397B07">
        <w:noBreakHyphen/>
      </w:r>
      <w:r w:rsidRPr="00D04A0A">
        <w:t xml:space="preserve">0.51, </w:t>
      </w:r>
      <w:r w:rsidR="00397B07">
        <w:noBreakHyphen/>
      </w:r>
      <w:r w:rsidRPr="00D04A0A">
        <w:t>0.07)</w:t>
      </w:r>
      <w:r w:rsidR="00866F0A">
        <w:t>,</w:t>
      </w:r>
      <w:r w:rsidRPr="00D04A0A">
        <w:t xml:space="preserve"> while the unadjusted results were not statistically significant.</w:t>
      </w:r>
      <w:r w:rsidR="009D051B">
        <w:t xml:space="preserve"> </w:t>
      </w:r>
    </w:p>
    <w:p w14:paraId="2009C4DF" w14:textId="26AABB93" w:rsidR="00E55282" w:rsidRPr="00D04A0A" w:rsidRDefault="00E55282" w:rsidP="008D461D">
      <w:pPr>
        <w:pStyle w:val="3-BodyText"/>
        <w:rPr>
          <w:color w:val="000000" w:themeColor="text1"/>
        </w:rPr>
      </w:pPr>
      <w:bookmarkStart w:id="43" w:name="_Ref211432952"/>
      <w:r w:rsidRPr="006D69E4">
        <w:rPr>
          <w:iCs/>
          <w:color w:val="000000" w:themeColor="text1"/>
        </w:rPr>
        <w:t xml:space="preserve">The </w:t>
      </w:r>
      <w:r w:rsidR="009E451F">
        <w:rPr>
          <w:iCs/>
          <w:color w:val="000000" w:themeColor="text1"/>
        </w:rPr>
        <w:t>Pre-Sub-Committee Response (</w:t>
      </w:r>
      <w:r w:rsidRPr="006D69E4">
        <w:rPr>
          <w:iCs/>
          <w:color w:val="000000" w:themeColor="text1"/>
        </w:rPr>
        <w:t>PSCR</w:t>
      </w:r>
      <w:r w:rsidR="009E451F">
        <w:rPr>
          <w:iCs/>
          <w:color w:val="000000" w:themeColor="text1"/>
        </w:rPr>
        <w:t>)</w:t>
      </w:r>
      <w:r w:rsidRPr="006D69E4">
        <w:rPr>
          <w:iCs/>
          <w:color w:val="000000" w:themeColor="text1"/>
        </w:rPr>
        <w:t xml:space="preserve"> </w:t>
      </w:r>
      <w:r w:rsidR="007F4ED4" w:rsidRPr="006D69E4">
        <w:rPr>
          <w:iCs/>
          <w:color w:val="000000" w:themeColor="text1"/>
        </w:rPr>
        <w:t>noted that data from the</w:t>
      </w:r>
      <w:r w:rsidR="00F60363" w:rsidRPr="006D69E4">
        <w:rPr>
          <w:iCs/>
          <w:color w:val="000000" w:themeColor="text1"/>
        </w:rPr>
        <w:t xml:space="preserve"> GALE </w:t>
      </w:r>
      <w:r w:rsidR="00415552" w:rsidRPr="006D69E4">
        <w:rPr>
          <w:iCs/>
          <w:color w:val="000000" w:themeColor="text1"/>
        </w:rPr>
        <w:t>extension study</w:t>
      </w:r>
      <w:r w:rsidR="007F4ED4" w:rsidRPr="006D69E4">
        <w:rPr>
          <w:iCs/>
          <w:color w:val="000000" w:themeColor="text1"/>
        </w:rPr>
        <w:t xml:space="preserve"> of DERBY and </w:t>
      </w:r>
      <w:r w:rsidR="00CA0B82" w:rsidRPr="006D69E4">
        <w:rPr>
          <w:iCs/>
          <w:color w:val="000000" w:themeColor="text1"/>
        </w:rPr>
        <w:t>OAKs reported</w:t>
      </w:r>
      <w:r w:rsidR="00E05345" w:rsidRPr="006D69E4">
        <w:rPr>
          <w:iCs/>
          <w:color w:val="000000" w:themeColor="text1"/>
        </w:rPr>
        <w:t xml:space="preserve"> </w:t>
      </w:r>
      <w:r w:rsidR="00B17133" w:rsidRPr="006D69E4">
        <w:rPr>
          <w:iCs/>
          <w:color w:val="000000" w:themeColor="text1"/>
        </w:rPr>
        <w:t xml:space="preserve">a </w:t>
      </w:r>
      <w:r w:rsidR="00124A56" w:rsidRPr="006D69E4">
        <w:rPr>
          <w:iCs/>
          <w:color w:val="000000" w:themeColor="text1"/>
        </w:rPr>
        <w:t xml:space="preserve">percentage difference </w:t>
      </w:r>
      <w:r w:rsidR="000D0E8C" w:rsidRPr="006D69E4">
        <w:rPr>
          <w:iCs/>
          <w:color w:val="000000" w:themeColor="text1"/>
        </w:rPr>
        <w:t xml:space="preserve">of </w:t>
      </w:r>
      <w:r w:rsidR="00397B07">
        <w:rPr>
          <w:iCs/>
          <w:color w:val="000000" w:themeColor="text1"/>
        </w:rPr>
        <w:noBreakHyphen/>
      </w:r>
      <w:r w:rsidR="000D0E8C" w:rsidRPr="006D69E4">
        <w:rPr>
          <w:iCs/>
          <w:color w:val="000000" w:themeColor="text1"/>
        </w:rPr>
        <w:t xml:space="preserve">12.7% </w:t>
      </w:r>
      <w:r w:rsidR="00712DDE" w:rsidRPr="006D69E4">
        <w:rPr>
          <w:iCs/>
          <w:color w:val="000000" w:themeColor="text1"/>
        </w:rPr>
        <w:t xml:space="preserve">(difference in LS mean of </w:t>
      </w:r>
      <w:r w:rsidR="00397B07">
        <w:rPr>
          <w:iCs/>
          <w:color w:val="000000" w:themeColor="text1"/>
        </w:rPr>
        <w:noBreakHyphen/>
      </w:r>
      <w:r w:rsidR="00712DDE" w:rsidRPr="006D69E4">
        <w:rPr>
          <w:iCs/>
          <w:color w:val="000000" w:themeColor="text1"/>
        </w:rPr>
        <w:t>0.89</w:t>
      </w:r>
      <w:r w:rsidR="00E05345" w:rsidRPr="006D69E4">
        <w:rPr>
          <w:iCs/>
          <w:color w:val="000000" w:themeColor="text1"/>
        </w:rPr>
        <w:t xml:space="preserve"> [</w:t>
      </w:r>
      <w:r w:rsidR="00397B07">
        <w:rPr>
          <w:iCs/>
          <w:color w:val="000000" w:themeColor="text1"/>
        </w:rPr>
        <w:noBreakHyphen/>
      </w:r>
      <w:r w:rsidR="00E05345" w:rsidRPr="006D69E4">
        <w:rPr>
          <w:iCs/>
          <w:color w:val="000000" w:themeColor="text1"/>
        </w:rPr>
        <w:t xml:space="preserve">1.48 to </w:t>
      </w:r>
      <w:r w:rsidR="00397B07">
        <w:rPr>
          <w:iCs/>
          <w:color w:val="000000" w:themeColor="text1"/>
        </w:rPr>
        <w:noBreakHyphen/>
      </w:r>
      <w:r w:rsidR="00E05345" w:rsidRPr="006D69E4">
        <w:rPr>
          <w:iCs/>
          <w:color w:val="000000" w:themeColor="text1"/>
        </w:rPr>
        <w:t>0.31</w:t>
      </w:r>
      <w:r w:rsidR="000B6CBD" w:rsidRPr="006D69E4">
        <w:rPr>
          <w:iCs/>
          <w:color w:val="000000" w:themeColor="text1"/>
        </w:rPr>
        <w:t>]</w:t>
      </w:r>
      <w:r w:rsidR="00E05345" w:rsidRPr="006D69E4">
        <w:rPr>
          <w:iCs/>
          <w:color w:val="000000" w:themeColor="text1"/>
        </w:rPr>
        <w:t xml:space="preserve">) </w:t>
      </w:r>
      <w:r w:rsidR="00D27097" w:rsidRPr="006D69E4">
        <w:rPr>
          <w:iCs/>
          <w:color w:val="000000" w:themeColor="text1"/>
        </w:rPr>
        <w:t xml:space="preserve">in GA </w:t>
      </w:r>
      <w:r w:rsidR="00FE5D7F" w:rsidRPr="006D69E4">
        <w:rPr>
          <w:iCs/>
          <w:color w:val="000000" w:themeColor="text1"/>
        </w:rPr>
        <w:t xml:space="preserve">lesion size </w:t>
      </w:r>
      <w:r w:rsidR="000D0E8C" w:rsidRPr="006D69E4">
        <w:rPr>
          <w:iCs/>
          <w:color w:val="000000" w:themeColor="text1"/>
        </w:rPr>
        <w:t xml:space="preserve">for </w:t>
      </w:r>
      <w:r w:rsidR="00E05345" w:rsidRPr="006D69E4">
        <w:rPr>
          <w:iCs/>
          <w:color w:val="000000" w:themeColor="text1"/>
        </w:rPr>
        <w:t xml:space="preserve">the </w:t>
      </w:r>
      <w:r w:rsidR="000D0E8C" w:rsidRPr="006D69E4">
        <w:rPr>
          <w:iCs/>
          <w:color w:val="000000" w:themeColor="text1"/>
        </w:rPr>
        <w:t xml:space="preserve">PEOM to PEOM </w:t>
      </w:r>
      <w:r w:rsidR="00E05345" w:rsidRPr="006D69E4">
        <w:rPr>
          <w:iCs/>
          <w:color w:val="000000" w:themeColor="text1"/>
        </w:rPr>
        <w:t>group (n</w:t>
      </w:r>
      <w:r w:rsidR="00AA6AC5" w:rsidRPr="006D69E4">
        <w:rPr>
          <w:iCs/>
          <w:color w:val="000000" w:themeColor="text1"/>
        </w:rPr>
        <w:t>=267) at integrated month 48.</w:t>
      </w:r>
      <w:r w:rsidR="000B6CBD" w:rsidRPr="006D69E4">
        <w:rPr>
          <w:iCs/>
          <w:color w:val="000000" w:themeColor="text1"/>
        </w:rPr>
        <w:t xml:space="preserve"> </w:t>
      </w:r>
      <w:r w:rsidR="006C74C8" w:rsidRPr="006D69E4">
        <w:rPr>
          <w:iCs/>
          <w:color w:val="000000" w:themeColor="text1"/>
        </w:rPr>
        <w:t xml:space="preserve">The ESC </w:t>
      </w:r>
      <w:r w:rsidR="004B6CC8" w:rsidRPr="006D69E4">
        <w:rPr>
          <w:iCs/>
          <w:color w:val="000000" w:themeColor="text1"/>
        </w:rPr>
        <w:t xml:space="preserve">agreed with the PSCR that these results </w:t>
      </w:r>
      <w:r w:rsidR="00866F0A">
        <w:rPr>
          <w:iCs/>
          <w:color w:val="000000" w:themeColor="text1"/>
        </w:rPr>
        <w:t>were consistent with</w:t>
      </w:r>
      <w:r w:rsidR="00866F0A" w:rsidRPr="006D69E4">
        <w:rPr>
          <w:iCs/>
          <w:color w:val="000000" w:themeColor="text1"/>
        </w:rPr>
        <w:t xml:space="preserve"> </w:t>
      </w:r>
      <w:r w:rsidR="004B6CC8" w:rsidRPr="006D69E4">
        <w:rPr>
          <w:iCs/>
          <w:color w:val="000000" w:themeColor="text1"/>
        </w:rPr>
        <w:t>a continued treatment effect on GA lesion</w:t>
      </w:r>
      <w:r w:rsidR="00430C17" w:rsidRPr="006D69E4">
        <w:rPr>
          <w:iCs/>
          <w:color w:val="000000" w:themeColor="text1"/>
        </w:rPr>
        <w:t>s out to 48 months.</w:t>
      </w:r>
      <w:bookmarkEnd w:id="43"/>
      <w:r w:rsidR="00C3151C" w:rsidRPr="006D69E4">
        <w:rPr>
          <w:iCs/>
          <w:color w:val="000000" w:themeColor="text1"/>
        </w:rPr>
        <w:t xml:space="preserve"> </w:t>
      </w:r>
    </w:p>
    <w:p w14:paraId="16726A32" w14:textId="2766D086" w:rsidR="008D461D" w:rsidRPr="00E20031" w:rsidRDefault="008D461D" w:rsidP="008D461D">
      <w:pPr>
        <w:pStyle w:val="3-BodyText"/>
        <w:rPr>
          <w:color w:val="000000" w:themeColor="text1"/>
        </w:rPr>
      </w:pPr>
      <w:r w:rsidRPr="00E20031">
        <w:rPr>
          <w:color w:val="000000" w:themeColor="text1"/>
        </w:rPr>
        <w:t>Neither the DERBY nor OAKS trials demonstrated statistically significant changes in the visual function outcomes of</w:t>
      </w:r>
      <w:r w:rsidR="003F4002">
        <w:rPr>
          <w:color w:val="000000" w:themeColor="text1"/>
        </w:rPr>
        <w:t xml:space="preserve"> normal luminance</w:t>
      </w:r>
      <w:r w:rsidRPr="00E20031">
        <w:rPr>
          <w:color w:val="000000" w:themeColor="text1"/>
        </w:rPr>
        <w:t xml:space="preserve"> best corrected visual acuity (</w:t>
      </w:r>
      <w:r w:rsidR="003F4002">
        <w:rPr>
          <w:color w:val="000000" w:themeColor="text1"/>
        </w:rPr>
        <w:t>NL</w:t>
      </w:r>
      <w:r w:rsidR="00397B07">
        <w:rPr>
          <w:color w:val="000000" w:themeColor="text1"/>
        </w:rPr>
        <w:noBreakHyphen/>
      </w:r>
      <w:r w:rsidRPr="00E20031">
        <w:rPr>
          <w:color w:val="000000" w:themeColor="text1"/>
        </w:rPr>
        <w:t>BCVA), monocular maximum reading speed, functional reading independence (FRI) score, or results on the National Eye Institute 25</w:t>
      </w:r>
      <w:r w:rsidR="00397B07">
        <w:rPr>
          <w:color w:val="000000" w:themeColor="text1"/>
        </w:rPr>
        <w:noBreakHyphen/>
      </w:r>
      <w:r w:rsidRPr="00E20031">
        <w:rPr>
          <w:color w:val="000000" w:themeColor="text1"/>
        </w:rPr>
        <w:t>Item Visual Function Questionnaire (NEI VFQ</w:t>
      </w:r>
      <w:r w:rsidR="00397B07">
        <w:rPr>
          <w:color w:val="000000" w:themeColor="text1"/>
        </w:rPr>
        <w:noBreakHyphen/>
      </w:r>
      <w:r w:rsidRPr="00E20031">
        <w:rPr>
          <w:color w:val="000000" w:themeColor="text1"/>
        </w:rPr>
        <w:t>25).</w:t>
      </w:r>
      <w:r w:rsidR="00E10A89">
        <w:rPr>
          <w:color w:val="000000" w:themeColor="text1"/>
        </w:rPr>
        <w:t xml:space="preserve"> </w:t>
      </w:r>
      <w:r w:rsidR="00E10A89" w:rsidRPr="006D69E4">
        <w:rPr>
          <w:iCs/>
        </w:rPr>
        <w:t>The ESC considered that</w:t>
      </w:r>
      <w:r w:rsidR="00866F0A">
        <w:rPr>
          <w:iCs/>
        </w:rPr>
        <w:t>,</w:t>
      </w:r>
      <w:r w:rsidR="00E10A89" w:rsidRPr="006D69E4">
        <w:rPr>
          <w:iCs/>
        </w:rPr>
        <w:t xml:space="preserve"> while pegcetacoplan may slow the progression of GA lesion growth, it is uncertain how this will translate into a delay in loss of usable vision required for independent activities of daily living.</w:t>
      </w:r>
    </w:p>
    <w:p w14:paraId="3E60BB22" w14:textId="5850AB84" w:rsidR="008D461D" w:rsidRPr="00D04A0A" w:rsidRDefault="008D461D" w:rsidP="008D461D">
      <w:pPr>
        <w:pStyle w:val="3-BodyText"/>
        <w:rPr>
          <w:color w:val="000000" w:themeColor="text1"/>
        </w:rPr>
      </w:pPr>
      <w:r w:rsidRPr="00D04A0A">
        <w:rPr>
          <w:color w:val="000000" w:themeColor="text1"/>
        </w:rPr>
        <w:t xml:space="preserve">It </w:t>
      </w:r>
      <w:r w:rsidR="002023C9">
        <w:rPr>
          <w:color w:val="000000" w:themeColor="text1"/>
        </w:rPr>
        <w:t xml:space="preserve">was </w:t>
      </w:r>
      <w:r w:rsidRPr="00D04A0A">
        <w:rPr>
          <w:color w:val="000000" w:themeColor="text1"/>
        </w:rPr>
        <w:t>also</w:t>
      </w:r>
      <w:r w:rsidRPr="00D04A0A" w:rsidDel="002023C9">
        <w:rPr>
          <w:color w:val="000000" w:themeColor="text1"/>
        </w:rPr>
        <w:t xml:space="preserve"> </w:t>
      </w:r>
      <w:r w:rsidRPr="00D04A0A">
        <w:rPr>
          <w:color w:val="000000" w:themeColor="text1"/>
        </w:rPr>
        <w:t xml:space="preserve">noted </w:t>
      </w:r>
      <w:r w:rsidR="002023C9">
        <w:rPr>
          <w:color w:val="000000" w:themeColor="text1"/>
        </w:rPr>
        <w:t xml:space="preserve">during the evaluation </w:t>
      </w:r>
      <w:r w:rsidRPr="00D04A0A">
        <w:rPr>
          <w:color w:val="000000" w:themeColor="text1"/>
        </w:rPr>
        <w:t>that the whole trials populations of the DERBY and OAKS trials do not align with the requested PBS populations as the whole trial populations included patients with subfoveal and non</w:t>
      </w:r>
      <w:r w:rsidR="00397B07">
        <w:rPr>
          <w:color w:val="000000" w:themeColor="text1"/>
        </w:rPr>
        <w:noBreakHyphen/>
      </w:r>
      <w:r w:rsidRPr="00D04A0A">
        <w:rPr>
          <w:color w:val="000000" w:themeColor="text1"/>
        </w:rPr>
        <w:t>subfoveal GA lesions at base line. As there are differences in the rate of lesion growth in subfoveal and non</w:t>
      </w:r>
      <w:r w:rsidR="00397B07">
        <w:rPr>
          <w:color w:val="000000" w:themeColor="text1"/>
        </w:rPr>
        <w:noBreakHyphen/>
      </w:r>
      <w:r w:rsidRPr="00D04A0A">
        <w:rPr>
          <w:color w:val="000000" w:themeColor="text1"/>
        </w:rPr>
        <w:t xml:space="preserve">subfoveal lesions, </w:t>
      </w:r>
      <w:r w:rsidR="00866F0A" w:rsidRPr="00D04A0A">
        <w:rPr>
          <w:color w:val="000000" w:themeColor="text1"/>
        </w:rPr>
        <w:t>the</w:t>
      </w:r>
      <w:r w:rsidR="00866F0A">
        <w:rPr>
          <w:color w:val="000000" w:themeColor="text1"/>
        </w:rPr>
        <w:t xml:space="preserve"> overall trial</w:t>
      </w:r>
      <w:r w:rsidR="00866F0A" w:rsidRPr="00D04A0A">
        <w:rPr>
          <w:color w:val="000000" w:themeColor="text1"/>
        </w:rPr>
        <w:t xml:space="preserve"> </w:t>
      </w:r>
      <w:r w:rsidRPr="00D04A0A">
        <w:rPr>
          <w:color w:val="000000" w:themeColor="text1"/>
        </w:rPr>
        <w:t>results may not be applicable to the proposed PBS population.</w:t>
      </w:r>
      <w:r w:rsidR="00122F9F">
        <w:rPr>
          <w:color w:val="000000" w:themeColor="text1"/>
        </w:rPr>
        <w:t xml:space="preserve"> </w:t>
      </w:r>
    </w:p>
    <w:p w14:paraId="1FF7DF52" w14:textId="68F8D78C" w:rsidR="008D461D" w:rsidRPr="00E20031" w:rsidRDefault="008D461D" w:rsidP="008D461D">
      <w:pPr>
        <w:pStyle w:val="3-BodyText"/>
        <w:rPr>
          <w:i/>
          <w:iCs/>
          <w:color w:val="000000" w:themeColor="text1"/>
        </w:rPr>
      </w:pPr>
      <w:r w:rsidRPr="00E20031">
        <w:rPr>
          <w:color w:val="000000" w:themeColor="text1"/>
        </w:rPr>
        <w:lastRenderedPageBreak/>
        <w:t xml:space="preserve">The OAKS trial used microperimetry to map and track areas of retinal sensitivity, with areas of the retina affected by GA lesions having reduced sensitivity to light. Using this, the submission analysed the number of patients who had their central 4 or central 16 microperimetry points, which corresponded to the fovea, converted to scotoma over the course of 24 months. </w:t>
      </w:r>
    </w:p>
    <w:p w14:paraId="739D131E" w14:textId="696A8F46" w:rsidR="00E53266" w:rsidRPr="00E20031" w:rsidRDefault="00E53266" w:rsidP="008D461D">
      <w:pPr>
        <w:pStyle w:val="3-BodyText"/>
        <w:rPr>
          <w:color w:val="000000" w:themeColor="text1"/>
        </w:rPr>
      </w:pPr>
      <w:r w:rsidRPr="00E20031">
        <w:rPr>
          <w:color w:val="000000" w:themeColor="text1"/>
        </w:rPr>
        <w:t>Microperimetry is a psychophysical visual function test used to spatially map retinal sensitivity or the level of response of the retina to light stimuli. During a microperimetry test, light stimuli of various intensities are altered to determine the lowest level at which the participant can detect the light. Stimulus intensity is measured in decibels (dB), where a higher score indicates detection of a dimmer stimulus and thus higher retinal sensitivity; a score of 0 dB signifies an absolute scotoma, reflecting a failure to detect the brightest stimulus available on the instrument.</w:t>
      </w:r>
    </w:p>
    <w:p w14:paraId="033F09B6" w14:textId="434E0F83" w:rsidR="008D461D" w:rsidRPr="00E20031" w:rsidRDefault="008D461D" w:rsidP="008D461D">
      <w:pPr>
        <w:pStyle w:val="TableFigureHeading"/>
        <w:rPr>
          <w:rStyle w:val="CommentReference"/>
          <w:b/>
          <w:szCs w:val="24"/>
        </w:rPr>
      </w:pPr>
      <w:r w:rsidRPr="00E20031">
        <w:rPr>
          <w:rStyle w:val="CommentReference"/>
          <w:b/>
          <w:szCs w:val="24"/>
        </w:rPr>
        <w:t xml:space="preserve">Table </w:t>
      </w:r>
      <w:r w:rsidRPr="00E20031">
        <w:rPr>
          <w:rStyle w:val="CommentReference"/>
          <w:b/>
          <w:szCs w:val="24"/>
        </w:rPr>
        <w:fldChar w:fldCharType="begin"/>
      </w:r>
      <w:r w:rsidRPr="00E20031">
        <w:rPr>
          <w:rStyle w:val="CommentReference"/>
          <w:b/>
          <w:szCs w:val="24"/>
        </w:rPr>
        <w:instrText xml:space="preserve"> SEQ Table \* ARABIC </w:instrText>
      </w:r>
      <w:r w:rsidRPr="00E20031">
        <w:rPr>
          <w:rStyle w:val="CommentReference"/>
          <w:b/>
          <w:szCs w:val="24"/>
        </w:rPr>
        <w:fldChar w:fldCharType="separate"/>
      </w:r>
      <w:r w:rsidR="00333CFE">
        <w:rPr>
          <w:rStyle w:val="CommentReference"/>
          <w:b/>
          <w:noProof/>
          <w:szCs w:val="24"/>
        </w:rPr>
        <w:t>5</w:t>
      </w:r>
      <w:r w:rsidRPr="00E20031">
        <w:rPr>
          <w:rStyle w:val="CommentReference"/>
          <w:b/>
          <w:szCs w:val="24"/>
        </w:rPr>
        <w:fldChar w:fldCharType="end"/>
      </w:r>
      <w:r w:rsidRPr="00E20031">
        <w:rPr>
          <w:rStyle w:val="CommentReference"/>
          <w:b/>
          <w:szCs w:val="24"/>
        </w:rPr>
        <w:t>: Analysis of conversion of all 4 or all 16 central microperimetry points to scotoma in the study eye in OAKS from baseline through to month 24. (mITT)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Analysis of conversion of all 4 or all 16 central microperimetry points to scotoma in the study eye in OAKS from baseline through to month 24. (mITT)"/>
      </w:tblPr>
      <w:tblGrid>
        <w:gridCol w:w="1981"/>
        <w:gridCol w:w="2977"/>
        <w:gridCol w:w="2126"/>
        <w:gridCol w:w="1933"/>
      </w:tblGrid>
      <w:tr w:rsidR="008D461D" w:rsidRPr="00E20031" w14:paraId="094010AD" w14:textId="77777777">
        <w:trPr>
          <w:cantSplit/>
          <w:tblHeader/>
        </w:trPr>
        <w:tc>
          <w:tcPr>
            <w:tcW w:w="1098" w:type="pct"/>
            <w:vAlign w:val="center"/>
          </w:tcPr>
          <w:p w14:paraId="24643215" w14:textId="77777777" w:rsidR="008D461D" w:rsidRPr="00E20031" w:rsidRDefault="008D461D" w:rsidP="00077D48">
            <w:pPr>
              <w:pStyle w:val="In-tableHeading"/>
            </w:pPr>
            <w:r w:rsidRPr="00E20031">
              <w:t>OAKS</w:t>
            </w:r>
          </w:p>
        </w:tc>
        <w:tc>
          <w:tcPr>
            <w:tcW w:w="1651" w:type="pct"/>
            <w:vAlign w:val="center"/>
          </w:tcPr>
          <w:p w14:paraId="32E2147E" w14:textId="77777777" w:rsidR="008D461D" w:rsidRPr="00E20031" w:rsidRDefault="008D461D" w:rsidP="00077D48">
            <w:pPr>
              <w:pStyle w:val="In-tableHeading"/>
            </w:pPr>
            <w:r w:rsidRPr="00E20031">
              <w:t>PEOM</w:t>
            </w:r>
          </w:p>
        </w:tc>
        <w:tc>
          <w:tcPr>
            <w:tcW w:w="1179" w:type="pct"/>
            <w:vAlign w:val="center"/>
          </w:tcPr>
          <w:p w14:paraId="2638ED7B" w14:textId="77777777" w:rsidR="008D461D" w:rsidRPr="00E20031" w:rsidRDefault="008D461D" w:rsidP="00077D48">
            <w:pPr>
              <w:pStyle w:val="In-tableHeading"/>
            </w:pPr>
            <w:r w:rsidRPr="00E20031">
              <w:t>Sham</w:t>
            </w:r>
          </w:p>
        </w:tc>
        <w:tc>
          <w:tcPr>
            <w:tcW w:w="1072" w:type="pct"/>
            <w:vAlign w:val="center"/>
          </w:tcPr>
          <w:p w14:paraId="70FB5B00" w14:textId="77777777" w:rsidR="008D461D" w:rsidRPr="00E20031" w:rsidRDefault="008D461D" w:rsidP="00077D48">
            <w:pPr>
              <w:pStyle w:val="In-tableHeading"/>
            </w:pPr>
            <w:r w:rsidRPr="00E20031">
              <w:t>Hazard ratio (95% CI)</w:t>
            </w:r>
          </w:p>
          <w:p w14:paraId="75DF0E9A" w14:textId="77777777" w:rsidR="008D461D" w:rsidRPr="00E20031" w:rsidRDefault="008D461D" w:rsidP="00077D48">
            <w:pPr>
              <w:pStyle w:val="In-tableHeading"/>
            </w:pPr>
            <w:r w:rsidRPr="00E20031">
              <w:t>P value</w:t>
            </w:r>
          </w:p>
        </w:tc>
      </w:tr>
      <w:tr w:rsidR="008D461D" w:rsidRPr="00E20031" w14:paraId="13E7B126" w14:textId="77777777">
        <w:trPr>
          <w:cantSplit/>
        </w:trPr>
        <w:tc>
          <w:tcPr>
            <w:tcW w:w="1098" w:type="pct"/>
            <w:vAlign w:val="center"/>
          </w:tcPr>
          <w:p w14:paraId="79CC7185" w14:textId="77777777" w:rsidR="008D461D" w:rsidRPr="00E20031" w:rsidRDefault="008D461D">
            <w:pPr>
              <w:pStyle w:val="TableText0"/>
              <w:rPr>
                <w:b/>
                <w:bCs w:val="0"/>
              </w:rPr>
            </w:pPr>
            <w:r w:rsidRPr="00E20031">
              <w:t>Conversion of all 4 central points</w:t>
            </w:r>
          </w:p>
        </w:tc>
        <w:tc>
          <w:tcPr>
            <w:tcW w:w="1651" w:type="pct"/>
            <w:vAlign w:val="center"/>
          </w:tcPr>
          <w:p w14:paraId="332BEFC2" w14:textId="77777777" w:rsidR="008D461D" w:rsidRPr="00E20031" w:rsidRDefault="008D461D">
            <w:pPr>
              <w:pStyle w:val="TableText0"/>
              <w:jc w:val="center"/>
              <w:rPr>
                <w:b/>
                <w:bCs w:val="0"/>
              </w:rPr>
            </w:pPr>
            <w:r w:rsidRPr="00E20031">
              <w:t>59/152 (38.8%)</w:t>
            </w:r>
          </w:p>
        </w:tc>
        <w:tc>
          <w:tcPr>
            <w:tcW w:w="1179" w:type="pct"/>
            <w:vAlign w:val="center"/>
          </w:tcPr>
          <w:p w14:paraId="3799A371" w14:textId="77777777" w:rsidR="008D461D" w:rsidRPr="00E20031" w:rsidRDefault="008D461D">
            <w:pPr>
              <w:pStyle w:val="TableText0"/>
              <w:jc w:val="center"/>
              <w:rPr>
                <w:b/>
                <w:bCs w:val="0"/>
              </w:rPr>
            </w:pPr>
            <w:r w:rsidRPr="00E20031">
              <w:t>64/146 (43.8%)</w:t>
            </w:r>
          </w:p>
        </w:tc>
        <w:tc>
          <w:tcPr>
            <w:tcW w:w="1072" w:type="pct"/>
            <w:vAlign w:val="center"/>
          </w:tcPr>
          <w:p w14:paraId="1C200836" w14:textId="77777777" w:rsidR="008D461D" w:rsidRPr="00E20031" w:rsidRDefault="008D461D">
            <w:pPr>
              <w:pStyle w:val="TableText0"/>
              <w:jc w:val="center"/>
              <w:rPr>
                <w:b/>
                <w:bCs w:val="0"/>
              </w:rPr>
            </w:pPr>
            <w:r w:rsidRPr="00E20031">
              <w:rPr>
                <w:b/>
                <w:bCs w:val="0"/>
              </w:rPr>
              <w:t>0.64 (0.44, 0.92)</w:t>
            </w:r>
          </w:p>
        </w:tc>
      </w:tr>
      <w:tr w:rsidR="008D461D" w:rsidRPr="00E20031" w14:paraId="6A4F96A7" w14:textId="77777777">
        <w:trPr>
          <w:cantSplit/>
        </w:trPr>
        <w:tc>
          <w:tcPr>
            <w:tcW w:w="1098" w:type="pct"/>
            <w:vAlign w:val="center"/>
          </w:tcPr>
          <w:p w14:paraId="3A83B4C1" w14:textId="77777777" w:rsidR="008D461D" w:rsidRPr="00E20031" w:rsidRDefault="008D461D">
            <w:pPr>
              <w:pStyle w:val="TableText0"/>
              <w:rPr>
                <w:b/>
                <w:bCs w:val="0"/>
              </w:rPr>
            </w:pPr>
            <w:r w:rsidRPr="00E20031">
              <w:t>Conversion of all 16 central points</w:t>
            </w:r>
          </w:p>
        </w:tc>
        <w:tc>
          <w:tcPr>
            <w:tcW w:w="1651" w:type="pct"/>
            <w:vAlign w:val="center"/>
          </w:tcPr>
          <w:p w14:paraId="69BA218F" w14:textId="77777777" w:rsidR="008D461D" w:rsidRPr="00E20031" w:rsidRDefault="008D461D">
            <w:pPr>
              <w:pStyle w:val="TableText0"/>
              <w:jc w:val="center"/>
              <w:rPr>
                <w:b/>
                <w:bCs w:val="0"/>
              </w:rPr>
            </w:pPr>
            <w:r w:rsidRPr="00E20031">
              <w:t>28/184 (15.2%)</w:t>
            </w:r>
          </w:p>
        </w:tc>
        <w:tc>
          <w:tcPr>
            <w:tcW w:w="1179" w:type="pct"/>
            <w:vAlign w:val="center"/>
          </w:tcPr>
          <w:p w14:paraId="24A655CD" w14:textId="77777777" w:rsidR="008D461D" w:rsidRPr="00E20031" w:rsidRDefault="008D461D">
            <w:pPr>
              <w:pStyle w:val="TableText0"/>
              <w:jc w:val="center"/>
              <w:rPr>
                <w:b/>
                <w:bCs w:val="0"/>
              </w:rPr>
            </w:pPr>
            <w:r w:rsidRPr="00E20031">
              <w:t>39/181 (21.5%)</w:t>
            </w:r>
          </w:p>
        </w:tc>
        <w:tc>
          <w:tcPr>
            <w:tcW w:w="1072" w:type="pct"/>
            <w:vAlign w:val="center"/>
          </w:tcPr>
          <w:p w14:paraId="1C364DB3" w14:textId="77777777" w:rsidR="008D461D" w:rsidRPr="00E20031" w:rsidRDefault="008D461D">
            <w:pPr>
              <w:pStyle w:val="TableText0"/>
              <w:jc w:val="center"/>
              <w:rPr>
                <w:b/>
                <w:bCs w:val="0"/>
              </w:rPr>
            </w:pPr>
            <w:r w:rsidRPr="00E20031">
              <w:rPr>
                <w:b/>
                <w:bCs w:val="0"/>
              </w:rPr>
              <w:t>0.52 (0.32, 0.85)</w:t>
            </w:r>
          </w:p>
        </w:tc>
      </w:tr>
    </w:tbl>
    <w:p w14:paraId="0A538194" w14:textId="77777777" w:rsidR="008D461D" w:rsidRPr="00E20031" w:rsidRDefault="008D461D" w:rsidP="008D461D">
      <w:pPr>
        <w:pStyle w:val="FooterTableFigure"/>
        <w:rPr>
          <w:szCs w:val="18"/>
        </w:rPr>
      </w:pPr>
      <w:r w:rsidRPr="00E20031">
        <w:t xml:space="preserve">Source: </w:t>
      </w:r>
      <w:r w:rsidRPr="00E20031">
        <w:rPr>
          <w:szCs w:val="18"/>
        </w:rPr>
        <w:t>Table 61, p143 and Table 62, p145 of the submission</w:t>
      </w:r>
    </w:p>
    <w:p w14:paraId="409EB660" w14:textId="1B5F1ED9" w:rsidR="008D461D" w:rsidRPr="00E20031" w:rsidRDefault="008D461D" w:rsidP="008D461D">
      <w:pPr>
        <w:pStyle w:val="FooterTableFigure"/>
        <w:rPr>
          <w:szCs w:val="18"/>
        </w:rPr>
      </w:pPr>
      <w:r w:rsidRPr="00E20031">
        <w:rPr>
          <w:szCs w:val="18"/>
        </w:rPr>
        <w:t>CI = confidence interval GA = geographic atrophy; mITT = modified intention</w:t>
      </w:r>
      <w:r w:rsidR="00397B07">
        <w:rPr>
          <w:szCs w:val="18"/>
        </w:rPr>
        <w:noBreakHyphen/>
      </w:r>
      <w:r w:rsidRPr="00E20031">
        <w:rPr>
          <w:szCs w:val="18"/>
        </w:rPr>
        <w:t>to</w:t>
      </w:r>
      <w:r w:rsidR="00397B07">
        <w:rPr>
          <w:szCs w:val="18"/>
        </w:rPr>
        <w:noBreakHyphen/>
      </w:r>
      <w:r w:rsidRPr="00E20031">
        <w:rPr>
          <w:szCs w:val="18"/>
        </w:rPr>
        <w:t>treat; PEOM = pegcetacoplan every other month.</w:t>
      </w:r>
    </w:p>
    <w:p w14:paraId="23C74FC7" w14:textId="77777777" w:rsidR="008D461D" w:rsidRPr="00E20031" w:rsidRDefault="008D461D" w:rsidP="008D461D">
      <w:pPr>
        <w:pStyle w:val="FooterTableFigure"/>
        <w:rPr>
          <w:szCs w:val="18"/>
        </w:rPr>
      </w:pPr>
      <w:r w:rsidRPr="00E20031">
        <w:rPr>
          <w:szCs w:val="18"/>
        </w:rPr>
        <w:t>Note: Subjects censored on day 1 due to no postbaseline assessment or not at risk for the event were excluded from analysis. The first observed postbaseline assessment with 4 central scotomatous points of 16 central scotomatous points was counted as the event. Model included treatment + baseline GA lesion area (&lt;7.5 mm2 or ≥7.5 mm2) + baseline number of central 16 scotomatous points (categorical)</w:t>
      </w:r>
    </w:p>
    <w:p w14:paraId="304C4309" w14:textId="77777777" w:rsidR="008D461D" w:rsidRPr="00E20031" w:rsidRDefault="008D461D" w:rsidP="008D461D">
      <w:pPr>
        <w:pStyle w:val="FooterTableFigure"/>
      </w:pPr>
      <w:r w:rsidRPr="00E20031">
        <w:rPr>
          <w:b/>
          <w:bCs/>
          <w:szCs w:val="18"/>
        </w:rPr>
        <w:t>Bold</w:t>
      </w:r>
      <w:r w:rsidRPr="00E20031">
        <w:rPr>
          <w:szCs w:val="18"/>
        </w:rPr>
        <w:t xml:space="preserve"> = statistically significant.</w:t>
      </w:r>
    </w:p>
    <w:p w14:paraId="78B47D84" w14:textId="1ECA1CC3" w:rsidR="008D461D" w:rsidRPr="00E20031" w:rsidRDefault="008D461D" w:rsidP="008D461D">
      <w:pPr>
        <w:pStyle w:val="3-BodyText"/>
        <w:rPr>
          <w:color w:val="000000" w:themeColor="text1"/>
        </w:rPr>
      </w:pPr>
      <w:r w:rsidRPr="00E20031">
        <w:rPr>
          <w:color w:val="000000" w:themeColor="text1"/>
        </w:rPr>
        <w:t>Based on this analysis, the submission stated that treatment with pegcetacoplan every other month resulted in a statistically significant hazard reduction in patients experiencing a loss of both the central 4 points (Hazard ratio [HR]: 0.64, 95% CI: 0.44, 0.92) and the central 16 points (HR: 0.52. 95% CI: 0.32, 0.85) when compared to sham treated patients.</w:t>
      </w:r>
    </w:p>
    <w:p w14:paraId="3F403B92" w14:textId="4D0047F6" w:rsidR="008D461D" w:rsidRPr="00D04A0A" w:rsidRDefault="008D461D" w:rsidP="008D461D">
      <w:pPr>
        <w:pStyle w:val="3-BodyText"/>
        <w:rPr>
          <w:color w:val="000000" w:themeColor="text1"/>
        </w:rPr>
      </w:pPr>
      <w:bookmarkStart w:id="44" w:name="_Ref206431442"/>
      <w:r w:rsidRPr="00D04A0A">
        <w:rPr>
          <w:color w:val="000000" w:themeColor="text1"/>
        </w:rPr>
        <w:t>Although the results appear to support the claim of superior efficacy, it should be noted that it was not reported what the mean number of the central 4 or central 16 points the patients in each of the arms had already lost at baseline. As this was a post</w:t>
      </w:r>
      <w:r w:rsidR="00397B07">
        <w:rPr>
          <w:color w:val="000000" w:themeColor="text1"/>
        </w:rPr>
        <w:noBreakHyphen/>
      </w:r>
      <w:r w:rsidRPr="00D04A0A">
        <w:rPr>
          <w:color w:val="000000" w:themeColor="text1"/>
        </w:rPr>
        <w:t>hoc analysis and this was not a stratification factor, there is the potential for bias in these results.</w:t>
      </w:r>
      <w:bookmarkEnd w:id="44"/>
    </w:p>
    <w:p w14:paraId="1E3A2B61" w14:textId="506B9DD7" w:rsidR="008D461D" w:rsidRPr="00D04A0A" w:rsidRDefault="008D461D" w:rsidP="008D461D">
      <w:pPr>
        <w:pStyle w:val="3-BodyText"/>
        <w:rPr>
          <w:color w:val="000000" w:themeColor="text1"/>
        </w:rPr>
      </w:pPr>
      <w:bookmarkStart w:id="45" w:name="_Ref206431462"/>
      <w:r w:rsidRPr="00D04A0A">
        <w:rPr>
          <w:color w:val="000000" w:themeColor="text1"/>
        </w:rPr>
        <w:t>Additionally, this analysis was carried out in the whole trial population for OAKS and as such included patients with subfoveal GA lesions. This does not align with the proposed PBS population which is restricted to patients with non</w:t>
      </w:r>
      <w:r w:rsidR="00397B07">
        <w:rPr>
          <w:color w:val="000000" w:themeColor="text1"/>
        </w:rPr>
        <w:noBreakHyphen/>
      </w:r>
      <w:r w:rsidRPr="00D04A0A">
        <w:rPr>
          <w:color w:val="000000" w:themeColor="text1"/>
        </w:rPr>
        <w:t>subfoveal lesions.</w:t>
      </w:r>
      <w:bookmarkEnd w:id="45"/>
      <w:r w:rsidR="001A7F99">
        <w:rPr>
          <w:color w:val="000000" w:themeColor="text1"/>
        </w:rPr>
        <w:t xml:space="preserve"> </w:t>
      </w:r>
      <w:r w:rsidR="001A7F99" w:rsidRPr="00A272D3">
        <w:rPr>
          <w:iCs/>
          <w:color w:val="000000" w:themeColor="text1"/>
        </w:rPr>
        <w:t xml:space="preserve">The PSCR argued that despite the inclusion of patients with subfoveal lesions at baseline, microperimetry analyses still demonstrated </w:t>
      </w:r>
      <w:r w:rsidR="00327FA6" w:rsidRPr="00A272D3">
        <w:rPr>
          <w:iCs/>
          <w:color w:val="000000" w:themeColor="text1"/>
        </w:rPr>
        <w:t xml:space="preserve">a statistically significant </w:t>
      </w:r>
      <w:r w:rsidR="009F60AF" w:rsidRPr="00A272D3">
        <w:rPr>
          <w:iCs/>
          <w:color w:val="000000" w:themeColor="text1"/>
        </w:rPr>
        <w:t xml:space="preserve">reduction in </w:t>
      </w:r>
      <w:r w:rsidR="00AA3C55" w:rsidRPr="00A272D3">
        <w:rPr>
          <w:iCs/>
          <w:color w:val="000000" w:themeColor="text1"/>
        </w:rPr>
        <w:t>patients experiencing a loss of both the central 4 points a</w:t>
      </w:r>
      <w:r w:rsidR="005B225A" w:rsidRPr="00A272D3">
        <w:rPr>
          <w:iCs/>
          <w:color w:val="000000" w:themeColor="text1"/>
        </w:rPr>
        <w:t xml:space="preserve">nd the central 16 points. </w:t>
      </w:r>
    </w:p>
    <w:p w14:paraId="389EEBD3" w14:textId="2B5C45D7" w:rsidR="008D461D" w:rsidRPr="00E20031" w:rsidRDefault="008D461D" w:rsidP="008D461D">
      <w:pPr>
        <w:pStyle w:val="3-BodyText"/>
        <w:rPr>
          <w:color w:val="000000" w:themeColor="text1"/>
        </w:rPr>
      </w:pPr>
      <w:r w:rsidRPr="00E20031">
        <w:rPr>
          <w:color w:val="000000" w:themeColor="text1"/>
        </w:rPr>
        <w:lastRenderedPageBreak/>
        <w:t>To support the claim of superior efficacy for pegcetacoplan in the proposed PBS population, the submission provided a post</w:t>
      </w:r>
      <w:r w:rsidR="00397B07">
        <w:rPr>
          <w:color w:val="000000" w:themeColor="text1"/>
        </w:rPr>
        <w:noBreakHyphen/>
      </w:r>
      <w:r w:rsidRPr="00E20031">
        <w:rPr>
          <w:color w:val="000000" w:themeColor="text1"/>
        </w:rPr>
        <w:t>hoc subgroup analysis of patients with non</w:t>
      </w:r>
      <w:r w:rsidR="00397B07">
        <w:rPr>
          <w:color w:val="000000" w:themeColor="text1"/>
        </w:rPr>
        <w:noBreakHyphen/>
      </w:r>
      <w:r w:rsidRPr="00E20031">
        <w:rPr>
          <w:color w:val="000000" w:themeColor="text1"/>
        </w:rPr>
        <w:t>subfoveal GA lesions at baseline, pooling both the OAKS and DERBY trials. Non</w:t>
      </w:r>
      <w:r w:rsidR="00397B07">
        <w:rPr>
          <w:color w:val="000000" w:themeColor="text1"/>
        </w:rPr>
        <w:noBreakHyphen/>
      </w:r>
      <w:r w:rsidRPr="00E20031">
        <w:rPr>
          <w:color w:val="000000" w:themeColor="text1"/>
        </w:rPr>
        <w:t xml:space="preserve">subfoveal lesions were classified as </w:t>
      </w:r>
      <w:r w:rsidRPr="00E20031">
        <w:rPr>
          <w:rFonts w:cstheme="minorHAnsi"/>
          <w:color w:val="000000" w:themeColor="text1"/>
        </w:rPr>
        <w:t>≥</w:t>
      </w:r>
      <w:r w:rsidRPr="00E20031">
        <w:rPr>
          <w:color w:val="000000" w:themeColor="text1"/>
        </w:rPr>
        <w:t>1</w:t>
      </w:r>
      <w:r w:rsidRPr="00E20031">
        <w:rPr>
          <w:rFonts w:cstheme="minorHAnsi"/>
          <w:color w:val="000000" w:themeColor="text1"/>
        </w:rPr>
        <w:t>µ</w:t>
      </w:r>
      <w:r w:rsidRPr="00E20031">
        <w:rPr>
          <w:color w:val="000000" w:themeColor="text1"/>
        </w:rPr>
        <w:t>m away from the foveal central point.</w:t>
      </w:r>
    </w:p>
    <w:p w14:paraId="43C9D159" w14:textId="77777777" w:rsidR="008D461D" w:rsidRPr="00E20031" w:rsidRDefault="008D461D" w:rsidP="008D461D">
      <w:pPr>
        <w:pStyle w:val="3-BodyText"/>
        <w:rPr>
          <w:color w:val="000000" w:themeColor="text1"/>
        </w:rPr>
      </w:pPr>
      <w:r w:rsidRPr="00E20031">
        <w:rPr>
          <w:color w:val="000000" w:themeColor="text1"/>
        </w:rPr>
        <w:t>This analysis was performed using data from month 24 whereas the primary outcome of CFB in total area of GA lesion size was measured at 12 months.</w:t>
      </w:r>
    </w:p>
    <w:p w14:paraId="3071190D" w14:textId="77777777" w:rsidR="008D461D" w:rsidRPr="00E20031" w:rsidRDefault="008D461D" w:rsidP="008D461D">
      <w:pPr>
        <w:pStyle w:val="Caption"/>
        <w:keepLines w:val="0"/>
        <w:widowControl w:val="0"/>
      </w:pPr>
    </w:p>
    <w:p w14:paraId="7DDAD9C4" w14:textId="3C24B0F7" w:rsidR="008D461D" w:rsidRPr="00E20031" w:rsidRDefault="008D461D" w:rsidP="00173536">
      <w:pPr>
        <w:pStyle w:val="Caption"/>
        <w:widowControl w:val="0"/>
      </w:pPr>
      <w:r w:rsidRPr="00E20031">
        <w:t xml:space="preserve">Table </w:t>
      </w:r>
      <w:r w:rsidR="004C5F7F">
        <w:fldChar w:fldCharType="begin"/>
      </w:r>
      <w:r w:rsidR="004C5F7F">
        <w:instrText xml:space="preserve"> SEQ Table \* ARABIC </w:instrText>
      </w:r>
      <w:r w:rsidR="004C5F7F">
        <w:fldChar w:fldCharType="separate"/>
      </w:r>
      <w:r w:rsidR="00333CFE">
        <w:rPr>
          <w:noProof/>
        </w:rPr>
        <w:t>6</w:t>
      </w:r>
      <w:r w:rsidR="004C5F7F">
        <w:rPr>
          <w:noProof/>
        </w:rPr>
        <w:fldChar w:fldCharType="end"/>
      </w:r>
      <w:r w:rsidRPr="00E20031">
        <w:t>: Analyses of CFB in Total Area of GA Lesion(s) (mm2) in the Study Eye at Month 24 With MMRM Model in OAKS, DERBY, and Pooled Data by Study Eye GA Lesion Location at Baseline. mITT Population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Analyses of CFB in Total Area of GA Lesion(s) (mm2) in the Study Eye at Month 24 With MMRM Model in OAKS, DERBY, and Pooled Data by Study Eye GA Lesion Location at Baseline. mITT Population"/>
      </w:tblPr>
      <w:tblGrid>
        <w:gridCol w:w="2031"/>
        <w:gridCol w:w="941"/>
        <w:gridCol w:w="1843"/>
        <w:gridCol w:w="849"/>
        <w:gridCol w:w="1845"/>
        <w:gridCol w:w="1508"/>
      </w:tblGrid>
      <w:tr w:rsidR="008D461D" w:rsidRPr="00E20031" w14:paraId="1B91F975" w14:textId="77777777">
        <w:trPr>
          <w:trHeight w:val="274"/>
          <w:tblHeader/>
          <w:jc w:val="center"/>
        </w:trPr>
        <w:tc>
          <w:tcPr>
            <w:tcW w:w="1126" w:type="pct"/>
            <w:vMerge w:val="restart"/>
            <w:vAlign w:val="center"/>
          </w:tcPr>
          <w:p w14:paraId="4FE1306F" w14:textId="77777777" w:rsidR="008D461D" w:rsidRPr="00E20031" w:rsidRDefault="008D461D" w:rsidP="00077D48">
            <w:pPr>
              <w:pStyle w:val="In-tableHeading"/>
            </w:pPr>
            <w:r w:rsidRPr="00E20031">
              <w:t>Population</w:t>
            </w:r>
          </w:p>
        </w:tc>
        <w:tc>
          <w:tcPr>
            <w:tcW w:w="1544" w:type="pct"/>
            <w:gridSpan w:val="2"/>
            <w:vAlign w:val="center"/>
          </w:tcPr>
          <w:p w14:paraId="0D0BF276" w14:textId="77777777" w:rsidR="008D461D" w:rsidRPr="00E20031" w:rsidRDefault="008D461D" w:rsidP="00077D48">
            <w:pPr>
              <w:pStyle w:val="In-tableHeading"/>
              <w:rPr>
                <w:vertAlign w:val="superscript"/>
              </w:rPr>
            </w:pPr>
            <w:r w:rsidRPr="00E20031">
              <w:t>Pegcetacoplan every other month</w:t>
            </w:r>
          </w:p>
        </w:tc>
        <w:tc>
          <w:tcPr>
            <w:tcW w:w="1494" w:type="pct"/>
            <w:gridSpan w:val="2"/>
          </w:tcPr>
          <w:p w14:paraId="1E614E12" w14:textId="77777777" w:rsidR="008D461D" w:rsidRPr="00E20031" w:rsidRDefault="008D461D" w:rsidP="00077D48">
            <w:pPr>
              <w:pStyle w:val="In-tableHeading"/>
            </w:pPr>
            <w:r w:rsidRPr="00E20031">
              <w:t xml:space="preserve">Sham </w:t>
            </w:r>
          </w:p>
        </w:tc>
        <w:tc>
          <w:tcPr>
            <w:tcW w:w="836" w:type="pct"/>
            <w:vAlign w:val="center"/>
          </w:tcPr>
          <w:p w14:paraId="15FCBAAB" w14:textId="77777777" w:rsidR="008D461D" w:rsidRPr="00E20031" w:rsidRDefault="008D461D" w:rsidP="00077D48">
            <w:pPr>
              <w:pStyle w:val="In-tableHeading"/>
            </w:pPr>
          </w:p>
        </w:tc>
      </w:tr>
      <w:tr w:rsidR="008D461D" w:rsidRPr="00E20031" w14:paraId="237C3A95" w14:textId="77777777">
        <w:trPr>
          <w:tblHeader/>
          <w:jc w:val="center"/>
        </w:trPr>
        <w:tc>
          <w:tcPr>
            <w:tcW w:w="1126" w:type="pct"/>
            <w:vMerge/>
            <w:vAlign w:val="center"/>
          </w:tcPr>
          <w:p w14:paraId="4A1BADFB" w14:textId="77777777" w:rsidR="008D461D" w:rsidRPr="00E20031" w:rsidRDefault="008D461D" w:rsidP="00077D48">
            <w:pPr>
              <w:pStyle w:val="In-tableHeading"/>
            </w:pPr>
          </w:p>
        </w:tc>
        <w:tc>
          <w:tcPr>
            <w:tcW w:w="522" w:type="pct"/>
            <w:vAlign w:val="center"/>
          </w:tcPr>
          <w:p w14:paraId="22EE6408" w14:textId="77777777" w:rsidR="008D461D" w:rsidRPr="00E20031" w:rsidRDefault="008D461D" w:rsidP="00077D48">
            <w:pPr>
              <w:pStyle w:val="In-tableHeading"/>
            </w:pPr>
            <w:r w:rsidRPr="00E20031">
              <w:t>n</w:t>
            </w:r>
          </w:p>
        </w:tc>
        <w:tc>
          <w:tcPr>
            <w:tcW w:w="1022" w:type="pct"/>
            <w:vAlign w:val="center"/>
          </w:tcPr>
          <w:p w14:paraId="2E804553" w14:textId="77777777" w:rsidR="008D461D" w:rsidRPr="00E20031" w:rsidRDefault="008D461D" w:rsidP="00077D48">
            <w:pPr>
              <w:pStyle w:val="In-tableHeading"/>
            </w:pPr>
            <w:r w:rsidRPr="00E20031">
              <w:t>LS mean (SE) CFB in lesion area, mm2</w:t>
            </w:r>
          </w:p>
        </w:tc>
        <w:tc>
          <w:tcPr>
            <w:tcW w:w="471" w:type="pct"/>
            <w:vAlign w:val="center"/>
          </w:tcPr>
          <w:p w14:paraId="09F04065" w14:textId="77777777" w:rsidR="008D461D" w:rsidRPr="00E20031" w:rsidRDefault="008D461D" w:rsidP="00077D48">
            <w:pPr>
              <w:pStyle w:val="In-tableHeading"/>
            </w:pPr>
            <w:r w:rsidRPr="00E20031">
              <w:t>n</w:t>
            </w:r>
          </w:p>
        </w:tc>
        <w:tc>
          <w:tcPr>
            <w:tcW w:w="1023" w:type="pct"/>
            <w:vAlign w:val="center"/>
          </w:tcPr>
          <w:p w14:paraId="60E321DB" w14:textId="77777777" w:rsidR="008D461D" w:rsidRPr="00E20031" w:rsidRDefault="008D461D" w:rsidP="00077D48">
            <w:pPr>
              <w:pStyle w:val="In-tableHeading"/>
            </w:pPr>
            <w:r w:rsidRPr="00E20031">
              <w:t>LS mean (SE) CFB in lesion area, mm2</w:t>
            </w:r>
          </w:p>
        </w:tc>
        <w:tc>
          <w:tcPr>
            <w:tcW w:w="836" w:type="pct"/>
            <w:vAlign w:val="center"/>
          </w:tcPr>
          <w:p w14:paraId="0496AD1F" w14:textId="77777777" w:rsidR="008D461D" w:rsidRPr="00E20031" w:rsidRDefault="008D461D" w:rsidP="00077D48">
            <w:pPr>
              <w:pStyle w:val="In-tableHeading"/>
            </w:pPr>
            <w:r w:rsidRPr="00E20031">
              <w:t>Difference (95% CI) in LS mean CFB in lesion area vs sham pooled group, mm2</w:t>
            </w:r>
          </w:p>
        </w:tc>
      </w:tr>
      <w:tr w:rsidR="008D461D" w:rsidRPr="00E20031" w14:paraId="0487F25F" w14:textId="77777777">
        <w:trPr>
          <w:jc w:val="center"/>
        </w:trPr>
        <w:tc>
          <w:tcPr>
            <w:tcW w:w="5000" w:type="pct"/>
            <w:gridSpan w:val="6"/>
            <w:vAlign w:val="center"/>
          </w:tcPr>
          <w:p w14:paraId="6FE02212" w14:textId="77777777" w:rsidR="008D461D" w:rsidRPr="00E20031" w:rsidRDefault="008D461D" w:rsidP="00077D48">
            <w:pPr>
              <w:pStyle w:val="In-tableHeading"/>
            </w:pPr>
            <w:r w:rsidRPr="00E20031">
              <w:t>OAKS</w:t>
            </w:r>
          </w:p>
        </w:tc>
      </w:tr>
      <w:tr w:rsidR="008D461D" w:rsidRPr="00E20031" w14:paraId="581CD527" w14:textId="77777777">
        <w:trPr>
          <w:jc w:val="center"/>
        </w:trPr>
        <w:tc>
          <w:tcPr>
            <w:tcW w:w="1126" w:type="pct"/>
            <w:vAlign w:val="center"/>
          </w:tcPr>
          <w:p w14:paraId="6E69D44A" w14:textId="4CF897EF" w:rsidR="008D461D" w:rsidRPr="00E20031" w:rsidRDefault="008D461D" w:rsidP="00077D48">
            <w:pPr>
              <w:pStyle w:val="In-tableHeading"/>
            </w:pPr>
            <w:r w:rsidRPr="00E20031">
              <w:t>Non</w:t>
            </w:r>
            <w:r w:rsidR="00397B07">
              <w:noBreakHyphen/>
            </w:r>
            <w:r w:rsidRPr="00E20031">
              <w:t xml:space="preserve">subfoveal* </w:t>
            </w:r>
          </w:p>
        </w:tc>
        <w:tc>
          <w:tcPr>
            <w:tcW w:w="522" w:type="pct"/>
            <w:vAlign w:val="center"/>
          </w:tcPr>
          <w:p w14:paraId="6D021A69" w14:textId="77777777" w:rsidR="008D461D" w:rsidRPr="00E20031" w:rsidRDefault="008D461D" w:rsidP="00077D48">
            <w:pPr>
              <w:pStyle w:val="In-tableHeading"/>
            </w:pPr>
            <w:r w:rsidRPr="00E20031">
              <w:t>73</w:t>
            </w:r>
          </w:p>
        </w:tc>
        <w:tc>
          <w:tcPr>
            <w:tcW w:w="1022" w:type="pct"/>
            <w:vAlign w:val="center"/>
          </w:tcPr>
          <w:p w14:paraId="04BC0DFB" w14:textId="77777777" w:rsidR="008D461D" w:rsidRPr="00E20031" w:rsidRDefault="008D461D" w:rsidP="00077D48">
            <w:pPr>
              <w:pStyle w:val="In-tableHeading"/>
            </w:pPr>
            <w:r w:rsidRPr="00E20031">
              <w:t>4.29 (0.26)</w:t>
            </w:r>
          </w:p>
        </w:tc>
        <w:tc>
          <w:tcPr>
            <w:tcW w:w="471" w:type="pct"/>
            <w:vAlign w:val="center"/>
          </w:tcPr>
          <w:p w14:paraId="3D7115F3" w14:textId="77777777" w:rsidR="008D461D" w:rsidRPr="00E20031" w:rsidRDefault="008D461D" w:rsidP="00077D48">
            <w:pPr>
              <w:pStyle w:val="In-tableHeading"/>
            </w:pPr>
            <w:r w:rsidRPr="00E20031">
              <w:t>59</w:t>
            </w:r>
          </w:p>
        </w:tc>
        <w:tc>
          <w:tcPr>
            <w:tcW w:w="1023" w:type="pct"/>
            <w:vAlign w:val="center"/>
          </w:tcPr>
          <w:p w14:paraId="3663D4DC" w14:textId="77777777" w:rsidR="008D461D" w:rsidRPr="00E20031" w:rsidRDefault="008D461D" w:rsidP="00077D48">
            <w:pPr>
              <w:pStyle w:val="In-tableHeading"/>
            </w:pPr>
            <w:r w:rsidRPr="00E20031">
              <w:t>5.18 (0.28)</w:t>
            </w:r>
          </w:p>
        </w:tc>
        <w:tc>
          <w:tcPr>
            <w:tcW w:w="836" w:type="pct"/>
            <w:vAlign w:val="center"/>
          </w:tcPr>
          <w:p w14:paraId="2EE9BDA3" w14:textId="5950F93F" w:rsidR="008D461D" w:rsidRPr="00E20031" w:rsidRDefault="00397B07" w:rsidP="00077D48">
            <w:pPr>
              <w:pStyle w:val="In-tableHeading"/>
            </w:pPr>
            <w:r>
              <w:noBreakHyphen/>
            </w:r>
            <w:r w:rsidR="008D461D" w:rsidRPr="00E20031">
              <w:t>0.89 (</w:t>
            </w:r>
            <w:r>
              <w:noBreakHyphen/>
            </w:r>
            <w:r w:rsidR="008D461D" w:rsidRPr="00E20031">
              <w:t xml:space="preserve">1.64, </w:t>
            </w:r>
            <w:r>
              <w:noBreakHyphen/>
            </w:r>
            <w:r w:rsidR="008D461D" w:rsidRPr="00E20031">
              <w:t>0.15)</w:t>
            </w:r>
          </w:p>
        </w:tc>
      </w:tr>
      <w:tr w:rsidR="008D461D" w:rsidRPr="00E20031" w14:paraId="0468B12A" w14:textId="77777777">
        <w:trPr>
          <w:jc w:val="center"/>
        </w:trPr>
        <w:tc>
          <w:tcPr>
            <w:tcW w:w="1126" w:type="pct"/>
            <w:vAlign w:val="center"/>
          </w:tcPr>
          <w:p w14:paraId="652A292F" w14:textId="77777777" w:rsidR="008D461D" w:rsidRPr="00E20031" w:rsidRDefault="008D461D" w:rsidP="00077D48">
            <w:pPr>
              <w:pStyle w:val="In-tableHeading"/>
            </w:pPr>
            <w:r w:rsidRPr="00E20031">
              <w:t>Subfoveal</w:t>
            </w:r>
          </w:p>
        </w:tc>
        <w:tc>
          <w:tcPr>
            <w:tcW w:w="522" w:type="pct"/>
            <w:vAlign w:val="center"/>
          </w:tcPr>
          <w:p w14:paraId="1D7ADF1F" w14:textId="77777777" w:rsidR="008D461D" w:rsidRPr="00E20031" w:rsidRDefault="008D461D" w:rsidP="00077D48">
            <w:pPr>
              <w:pStyle w:val="In-tableHeading"/>
            </w:pPr>
            <w:r w:rsidRPr="00E20031">
              <w:t>131</w:t>
            </w:r>
          </w:p>
        </w:tc>
        <w:tc>
          <w:tcPr>
            <w:tcW w:w="1022" w:type="pct"/>
            <w:vAlign w:val="center"/>
          </w:tcPr>
          <w:p w14:paraId="0DCE6315" w14:textId="77777777" w:rsidR="008D461D" w:rsidRPr="00E20031" w:rsidRDefault="008D461D" w:rsidP="00077D48">
            <w:pPr>
              <w:pStyle w:val="In-tableHeading"/>
            </w:pPr>
            <w:r w:rsidRPr="00E20031">
              <w:t>2.76 (0.13)</w:t>
            </w:r>
          </w:p>
        </w:tc>
        <w:tc>
          <w:tcPr>
            <w:tcW w:w="471" w:type="pct"/>
            <w:vAlign w:val="center"/>
          </w:tcPr>
          <w:p w14:paraId="41BBE6A9" w14:textId="77777777" w:rsidR="008D461D" w:rsidRPr="00E20031" w:rsidRDefault="008D461D" w:rsidP="00077D48">
            <w:pPr>
              <w:pStyle w:val="In-tableHeading"/>
            </w:pPr>
            <w:r w:rsidRPr="00E20031">
              <w:t>147</w:t>
            </w:r>
          </w:p>
        </w:tc>
        <w:tc>
          <w:tcPr>
            <w:tcW w:w="1023" w:type="pct"/>
            <w:vAlign w:val="center"/>
          </w:tcPr>
          <w:p w14:paraId="608CA68D" w14:textId="77777777" w:rsidR="008D461D" w:rsidRPr="00E20031" w:rsidRDefault="008D461D" w:rsidP="00077D48">
            <w:pPr>
              <w:pStyle w:val="In-tableHeading"/>
            </w:pPr>
            <w:r w:rsidRPr="00E20031">
              <w:t>3.54 (0.15)</w:t>
            </w:r>
          </w:p>
        </w:tc>
        <w:tc>
          <w:tcPr>
            <w:tcW w:w="836" w:type="pct"/>
            <w:vAlign w:val="center"/>
          </w:tcPr>
          <w:p w14:paraId="0EDE622A" w14:textId="4295E08A" w:rsidR="008D461D" w:rsidRPr="00E20031" w:rsidRDefault="00397B07" w:rsidP="00077D48">
            <w:pPr>
              <w:pStyle w:val="In-tableHeading"/>
            </w:pPr>
            <w:r>
              <w:noBreakHyphen/>
            </w:r>
            <w:r w:rsidR="008D461D" w:rsidRPr="00E20031">
              <w:t>0.79 (</w:t>
            </w:r>
            <w:r>
              <w:noBreakHyphen/>
            </w:r>
            <w:r w:rsidR="008D461D" w:rsidRPr="00E20031">
              <w:t xml:space="preserve">1.18, </w:t>
            </w:r>
            <w:r>
              <w:noBreakHyphen/>
            </w:r>
            <w:r w:rsidR="008D461D" w:rsidRPr="00E20031">
              <w:t>0.39)</w:t>
            </w:r>
          </w:p>
        </w:tc>
      </w:tr>
      <w:tr w:rsidR="008D461D" w:rsidRPr="00E20031" w14:paraId="12A61CD8" w14:textId="77777777">
        <w:trPr>
          <w:jc w:val="center"/>
        </w:trPr>
        <w:tc>
          <w:tcPr>
            <w:tcW w:w="5000" w:type="pct"/>
            <w:gridSpan w:val="6"/>
            <w:vAlign w:val="center"/>
          </w:tcPr>
          <w:p w14:paraId="3F614BCF" w14:textId="77777777" w:rsidR="008D461D" w:rsidRPr="00E20031" w:rsidRDefault="008D461D" w:rsidP="00077D48">
            <w:pPr>
              <w:pStyle w:val="In-tableHeading"/>
            </w:pPr>
            <w:r w:rsidRPr="00E20031">
              <w:t>DERBY</w:t>
            </w:r>
          </w:p>
        </w:tc>
      </w:tr>
      <w:tr w:rsidR="008D461D" w:rsidRPr="00E20031" w14:paraId="1502D2A1" w14:textId="77777777">
        <w:trPr>
          <w:jc w:val="center"/>
        </w:trPr>
        <w:tc>
          <w:tcPr>
            <w:tcW w:w="1126" w:type="pct"/>
            <w:vAlign w:val="center"/>
          </w:tcPr>
          <w:p w14:paraId="09AD3961" w14:textId="7C43A679" w:rsidR="008D461D" w:rsidRPr="00E20031" w:rsidRDefault="008D461D" w:rsidP="00077D48">
            <w:pPr>
              <w:pStyle w:val="In-tableHeading"/>
            </w:pPr>
            <w:r w:rsidRPr="00E20031">
              <w:t>Non</w:t>
            </w:r>
            <w:r w:rsidR="00397B07">
              <w:noBreakHyphen/>
            </w:r>
            <w:r w:rsidRPr="00E20031">
              <w:t xml:space="preserve">subfoveal* </w:t>
            </w:r>
          </w:p>
        </w:tc>
        <w:tc>
          <w:tcPr>
            <w:tcW w:w="522" w:type="pct"/>
            <w:vAlign w:val="center"/>
          </w:tcPr>
          <w:p w14:paraId="557EE679" w14:textId="77777777" w:rsidR="008D461D" w:rsidRPr="00E20031" w:rsidRDefault="008D461D" w:rsidP="00077D48">
            <w:pPr>
              <w:pStyle w:val="In-tableHeading"/>
            </w:pPr>
            <w:r w:rsidRPr="00E20031">
              <w:t>81</w:t>
            </w:r>
          </w:p>
        </w:tc>
        <w:tc>
          <w:tcPr>
            <w:tcW w:w="1022" w:type="pct"/>
            <w:vAlign w:val="center"/>
          </w:tcPr>
          <w:p w14:paraId="005C9E8E" w14:textId="77777777" w:rsidR="008D461D" w:rsidRPr="00E20031" w:rsidRDefault="008D461D" w:rsidP="00077D48">
            <w:pPr>
              <w:pStyle w:val="In-tableHeading"/>
            </w:pPr>
            <w:r w:rsidRPr="00E20031">
              <w:t>3.66 (0.19)</w:t>
            </w:r>
          </w:p>
        </w:tc>
        <w:tc>
          <w:tcPr>
            <w:tcW w:w="471" w:type="pct"/>
            <w:vAlign w:val="center"/>
          </w:tcPr>
          <w:p w14:paraId="7C3B64F4" w14:textId="77777777" w:rsidR="008D461D" w:rsidRPr="00E20031" w:rsidRDefault="008D461D" w:rsidP="00077D48">
            <w:pPr>
              <w:pStyle w:val="In-tableHeading"/>
            </w:pPr>
            <w:r w:rsidRPr="00E20031">
              <w:t>72</w:t>
            </w:r>
          </w:p>
        </w:tc>
        <w:tc>
          <w:tcPr>
            <w:tcW w:w="1023" w:type="pct"/>
            <w:vAlign w:val="center"/>
          </w:tcPr>
          <w:p w14:paraId="0D9CEDC4" w14:textId="77777777" w:rsidR="008D461D" w:rsidRPr="00E20031" w:rsidRDefault="008D461D" w:rsidP="00077D48">
            <w:pPr>
              <w:pStyle w:val="In-tableHeading"/>
            </w:pPr>
            <w:r w:rsidRPr="00E20031">
              <w:t>4.94 (0.33)</w:t>
            </w:r>
          </w:p>
        </w:tc>
        <w:tc>
          <w:tcPr>
            <w:tcW w:w="836" w:type="pct"/>
            <w:vAlign w:val="center"/>
          </w:tcPr>
          <w:p w14:paraId="585A2323" w14:textId="0E0B5E25" w:rsidR="008D461D" w:rsidRPr="00E20031" w:rsidRDefault="00397B07" w:rsidP="00077D48">
            <w:pPr>
              <w:pStyle w:val="In-tableHeading"/>
            </w:pPr>
            <w:r>
              <w:noBreakHyphen/>
            </w:r>
            <w:r w:rsidR="008D461D" w:rsidRPr="00E20031">
              <w:t>1.28 (</w:t>
            </w:r>
            <w:r>
              <w:noBreakHyphen/>
            </w:r>
            <w:r w:rsidR="008D461D" w:rsidRPr="00E20031">
              <w:t xml:space="preserve">2.04, </w:t>
            </w:r>
            <w:r>
              <w:noBreakHyphen/>
            </w:r>
            <w:r w:rsidR="008D461D" w:rsidRPr="00E20031">
              <w:t>0.53)</w:t>
            </w:r>
          </w:p>
        </w:tc>
      </w:tr>
      <w:tr w:rsidR="008D461D" w:rsidRPr="00E20031" w14:paraId="7BBAC366" w14:textId="77777777">
        <w:trPr>
          <w:jc w:val="center"/>
        </w:trPr>
        <w:tc>
          <w:tcPr>
            <w:tcW w:w="1126" w:type="pct"/>
            <w:vAlign w:val="center"/>
          </w:tcPr>
          <w:p w14:paraId="285726F5" w14:textId="77777777" w:rsidR="008D461D" w:rsidRPr="00E20031" w:rsidRDefault="008D461D" w:rsidP="00077D48">
            <w:pPr>
              <w:pStyle w:val="In-tableHeading"/>
            </w:pPr>
            <w:r w:rsidRPr="00E20031">
              <w:t>Subfoveal</w:t>
            </w:r>
          </w:p>
        </w:tc>
        <w:tc>
          <w:tcPr>
            <w:tcW w:w="522" w:type="pct"/>
            <w:vAlign w:val="center"/>
          </w:tcPr>
          <w:p w14:paraId="327E4EE2" w14:textId="77777777" w:rsidR="008D461D" w:rsidRPr="00E20031" w:rsidRDefault="008D461D" w:rsidP="00077D48">
            <w:pPr>
              <w:pStyle w:val="In-tableHeading"/>
            </w:pPr>
            <w:r w:rsidRPr="00E20031">
              <w:t>119</w:t>
            </w:r>
          </w:p>
        </w:tc>
        <w:tc>
          <w:tcPr>
            <w:tcW w:w="1022" w:type="pct"/>
            <w:vAlign w:val="center"/>
          </w:tcPr>
          <w:p w14:paraId="32A511B0" w14:textId="77777777" w:rsidR="008D461D" w:rsidRPr="00E20031" w:rsidRDefault="008D461D" w:rsidP="00077D48">
            <w:pPr>
              <w:pStyle w:val="In-tableHeading"/>
            </w:pPr>
            <w:r w:rsidRPr="00E20031">
              <w:t>3.13 (0.18)</w:t>
            </w:r>
          </w:p>
        </w:tc>
        <w:tc>
          <w:tcPr>
            <w:tcW w:w="471" w:type="pct"/>
            <w:vAlign w:val="center"/>
          </w:tcPr>
          <w:p w14:paraId="01A461C3" w14:textId="77777777" w:rsidR="008D461D" w:rsidRPr="00E20031" w:rsidRDefault="008D461D" w:rsidP="00077D48">
            <w:pPr>
              <w:pStyle w:val="In-tableHeading"/>
            </w:pPr>
            <w:r w:rsidRPr="00E20031">
              <w:t>122</w:t>
            </w:r>
          </w:p>
        </w:tc>
        <w:tc>
          <w:tcPr>
            <w:tcW w:w="1023" w:type="pct"/>
            <w:vAlign w:val="center"/>
          </w:tcPr>
          <w:p w14:paraId="1A471AA2" w14:textId="77777777" w:rsidR="008D461D" w:rsidRPr="00E20031" w:rsidRDefault="008D461D" w:rsidP="00077D48">
            <w:pPr>
              <w:pStyle w:val="In-tableHeading"/>
            </w:pPr>
            <w:r w:rsidRPr="00E20031">
              <w:t>3.39 (0.16)</w:t>
            </w:r>
          </w:p>
        </w:tc>
        <w:tc>
          <w:tcPr>
            <w:tcW w:w="836" w:type="pct"/>
            <w:vAlign w:val="center"/>
          </w:tcPr>
          <w:p w14:paraId="34D57373" w14:textId="54152BDC" w:rsidR="008D461D" w:rsidRPr="00E20031" w:rsidRDefault="00397B07" w:rsidP="00077D48">
            <w:pPr>
              <w:pStyle w:val="In-tableHeading"/>
            </w:pPr>
            <w:r>
              <w:noBreakHyphen/>
            </w:r>
            <w:r w:rsidR="008D461D" w:rsidRPr="00E20031">
              <w:t>0.27 (</w:t>
            </w:r>
            <w:r>
              <w:noBreakHyphen/>
            </w:r>
            <w:r w:rsidR="008D461D" w:rsidRPr="00E20031">
              <w:t>0.73, 0.20)</w:t>
            </w:r>
          </w:p>
        </w:tc>
      </w:tr>
      <w:tr w:rsidR="008D461D" w:rsidRPr="00E20031" w14:paraId="2CC03AC2" w14:textId="77777777">
        <w:trPr>
          <w:jc w:val="center"/>
        </w:trPr>
        <w:tc>
          <w:tcPr>
            <w:tcW w:w="5000" w:type="pct"/>
            <w:gridSpan w:val="6"/>
            <w:vAlign w:val="center"/>
          </w:tcPr>
          <w:p w14:paraId="46E72697" w14:textId="77777777" w:rsidR="008D461D" w:rsidRPr="00E20031" w:rsidRDefault="008D461D" w:rsidP="00077D48">
            <w:pPr>
              <w:pStyle w:val="In-tableHeading"/>
            </w:pPr>
            <w:r w:rsidRPr="00E20031">
              <w:t>POOLED</w:t>
            </w:r>
          </w:p>
        </w:tc>
      </w:tr>
      <w:tr w:rsidR="008D461D" w:rsidRPr="00E20031" w14:paraId="2DC16E50" w14:textId="77777777">
        <w:trPr>
          <w:jc w:val="center"/>
        </w:trPr>
        <w:tc>
          <w:tcPr>
            <w:tcW w:w="1126" w:type="pct"/>
            <w:vAlign w:val="center"/>
          </w:tcPr>
          <w:p w14:paraId="659AFE63" w14:textId="011EC6EE" w:rsidR="008D461D" w:rsidRPr="00E20031" w:rsidRDefault="008D461D" w:rsidP="00077D48">
            <w:pPr>
              <w:pStyle w:val="In-tableHeading"/>
            </w:pPr>
            <w:r w:rsidRPr="00E20031">
              <w:t>Non</w:t>
            </w:r>
            <w:r w:rsidR="00397B07">
              <w:noBreakHyphen/>
            </w:r>
            <w:r w:rsidRPr="00E20031">
              <w:t xml:space="preserve">subfoveal* </w:t>
            </w:r>
          </w:p>
        </w:tc>
        <w:tc>
          <w:tcPr>
            <w:tcW w:w="522" w:type="pct"/>
            <w:vAlign w:val="center"/>
          </w:tcPr>
          <w:p w14:paraId="061E1AF9" w14:textId="77777777" w:rsidR="008D461D" w:rsidRPr="00E20031" w:rsidRDefault="008D461D" w:rsidP="00077D48">
            <w:pPr>
              <w:pStyle w:val="In-tableHeading"/>
            </w:pPr>
            <w:r w:rsidRPr="00E20031">
              <w:t>154</w:t>
            </w:r>
          </w:p>
        </w:tc>
        <w:tc>
          <w:tcPr>
            <w:tcW w:w="1022" w:type="pct"/>
            <w:vAlign w:val="center"/>
          </w:tcPr>
          <w:p w14:paraId="4BFD715D" w14:textId="77777777" w:rsidR="008D461D" w:rsidRPr="00E20031" w:rsidRDefault="008D461D" w:rsidP="00077D48">
            <w:pPr>
              <w:pStyle w:val="In-tableHeading"/>
            </w:pPr>
            <w:r w:rsidRPr="00E20031">
              <w:t>3.92 (0.16)</w:t>
            </w:r>
          </w:p>
        </w:tc>
        <w:tc>
          <w:tcPr>
            <w:tcW w:w="471" w:type="pct"/>
            <w:vAlign w:val="center"/>
          </w:tcPr>
          <w:p w14:paraId="54F2CB62" w14:textId="77777777" w:rsidR="008D461D" w:rsidRPr="00E20031" w:rsidRDefault="008D461D" w:rsidP="00077D48">
            <w:pPr>
              <w:pStyle w:val="In-tableHeading"/>
            </w:pPr>
            <w:r w:rsidRPr="00E20031">
              <w:t>131</w:t>
            </w:r>
          </w:p>
        </w:tc>
        <w:tc>
          <w:tcPr>
            <w:tcW w:w="1023" w:type="pct"/>
            <w:vAlign w:val="center"/>
          </w:tcPr>
          <w:p w14:paraId="01715D33" w14:textId="77777777" w:rsidR="008D461D" w:rsidRPr="00E20031" w:rsidRDefault="008D461D" w:rsidP="00077D48">
            <w:pPr>
              <w:pStyle w:val="In-tableHeading"/>
            </w:pPr>
            <w:r w:rsidRPr="00E20031">
              <w:t>5.03 (0.23)</w:t>
            </w:r>
          </w:p>
        </w:tc>
        <w:tc>
          <w:tcPr>
            <w:tcW w:w="836" w:type="pct"/>
            <w:vAlign w:val="center"/>
          </w:tcPr>
          <w:p w14:paraId="751124E5" w14:textId="3F5077BF" w:rsidR="008D461D" w:rsidRPr="00E20031" w:rsidRDefault="00397B07" w:rsidP="00077D48">
            <w:pPr>
              <w:pStyle w:val="In-tableHeading"/>
            </w:pPr>
            <w:r>
              <w:noBreakHyphen/>
            </w:r>
            <w:r w:rsidR="008D461D" w:rsidRPr="00E20031">
              <w:t>1.11 (</w:t>
            </w:r>
            <w:r>
              <w:noBreakHyphen/>
            </w:r>
            <w:r w:rsidR="008D461D" w:rsidRPr="00E20031">
              <w:t xml:space="preserve">1.66, </w:t>
            </w:r>
            <w:r>
              <w:noBreakHyphen/>
            </w:r>
            <w:r w:rsidR="008D461D" w:rsidRPr="00E20031">
              <w:t>0.57)</w:t>
            </w:r>
          </w:p>
        </w:tc>
      </w:tr>
      <w:tr w:rsidR="008D461D" w:rsidRPr="00E20031" w14:paraId="16310C29" w14:textId="77777777">
        <w:trPr>
          <w:jc w:val="center"/>
        </w:trPr>
        <w:tc>
          <w:tcPr>
            <w:tcW w:w="1126" w:type="pct"/>
            <w:vAlign w:val="center"/>
          </w:tcPr>
          <w:p w14:paraId="70B1C183" w14:textId="77777777" w:rsidR="008D461D" w:rsidRPr="00E20031" w:rsidRDefault="008D461D" w:rsidP="00077D48">
            <w:pPr>
              <w:pStyle w:val="In-tableHeading"/>
            </w:pPr>
            <w:r w:rsidRPr="00E20031">
              <w:t>Subfoveal</w:t>
            </w:r>
          </w:p>
        </w:tc>
        <w:tc>
          <w:tcPr>
            <w:tcW w:w="522" w:type="pct"/>
            <w:vAlign w:val="center"/>
          </w:tcPr>
          <w:p w14:paraId="6E599F3F" w14:textId="77777777" w:rsidR="008D461D" w:rsidRPr="00E20031" w:rsidRDefault="008D461D" w:rsidP="00077D48">
            <w:pPr>
              <w:pStyle w:val="In-tableHeading"/>
            </w:pPr>
            <w:r w:rsidRPr="00E20031">
              <w:t>250</w:t>
            </w:r>
          </w:p>
        </w:tc>
        <w:tc>
          <w:tcPr>
            <w:tcW w:w="1022" w:type="pct"/>
            <w:vAlign w:val="center"/>
          </w:tcPr>
          <w:p w14:paraId="7F3F1A03" w14:textId="77777777" w:rsidR="008D461D" w:rsidRPr="00E20031" w:rsidRDefault="008D461D" w:rsidP="00077D48">
            <w:pPr>
              <w:pStyle w:val="In-tableHeading"/>
            </w:pPr>
            <w:r w:rsidRPr="00E20031">
              <w:t>2.90 (0.11)</w:t>
            </w:r>
          </w:p>
        </w:tc>
        <w:tc>
          <w:tcPr>
            <w:tcW w:w="471" w:type="pct"/>
            <w:vAlign w:val="center"/>
          </w:tcPr>
          <w:p w14:paraId="32D5D51C" w14:textId="77777777" w:rsidR="008D461D" w:rsidRPr="00E20031" w:rsidRDefault="008D461D" w:rsidP="00077D48">
            <w:pPr>
              <w:pStyle w:val="In-tableHeading"/>
            </w:pPr>
            <w:r w:rsidRPr="00E20031">
              <w:t>269</w:t>
            </w:r>
          </w:p>
        </w:tc>
        <w:tc>
          <w:tcPr>
            <w:tcW w:w="1023" w:type="pct"/>
            <w:vAlign w:val="center"/>
          </w:tcPr>
          <w:p w14:paraId="505D5BED" w14:textId="77777777" w:rsidR="008D461D" w:rsidRPr="00E20031" w:rsidRDefault="008D461D" w:rsidP="00077D48">
            <w:pPr>
              <w:pStyle w:val="In-tableHeading"/>
            </w:pPr>
            <w:r w:rsidRPr="00E20031">
              <w:t>3.46 (0.11)</w:t>
            </w:r>
          </w:p>
        </w:tc>
        <w:tc>
          <w:tcPr>
            <w:tcW w:w="836" w:type="pct"/>
            <w:vAlign w:val="center"/>
          </w:tcPr>
          <w:p w14:paraId="289C7B40" w14:textId="75737B91" w:rsidR="008D461D" w:rsidRPr="00E20031" w:rsidRDefault="00397B07" w:rsidP="00077D48">
            <w:pPr>
              <w:pStyle w:val="In-tableHeading"/>
            </w:pPr>
            <w:r>
              <w:noBreakHyphen/>
            </w:r>
            <w:r w:rsidR="008D461D" w:rsidRPr="00E20031">
              <w:t>0.56 (</w:t>
            </w:r>
            <w:r>
              <w:noBreakHyphen/>
            </w:r>
            <w:r w:rsidR="008D461D" w:rsidRPr="00E20031">
              <w:t xml:space="preserve">0.87, </w:t>
            </w:r>
            <w:r>
              <w:noBreakHyphen/>
            </w:r>
            <w:r w:rsidR="008D461D" w:rsidRPr="00E20031">
              <w:t>0.26)</w:t>
            </w:r>
          </w:p>
        </w:tc>
      </w:tr>
    </w:tbl>
    <w:p w14:paraId="72AC466D" w14:textId="5C10D800" w:rsidR="008D461D" w:rsidRPr="00E20031" w:rsidRDefault="008D461D" w:rsidP="00173536">
      <w:pPr>
        <w:pStyle w:val="FooterTableFigure"/>
        <w:keepNext/>
        <w:keepLines/>
        <w:widowControl w:val="0"/>
      </w:pPr>
      <w:r w:rsidRPr="00E20031">
        <w:t>Source: Table 30, pp145</w:t>
      </w:r>
      <w:r w:rsidR="00397B07">
        <w:noBreakHyphen/>
      </w:r>
      <w:r w:rsidRPr="00E20031">
        <w:t>146 of Attachment A2.8_DERBY_OAKS_Pooled summary of Clinical Efficacy.</w:t>
      </w:r>
    </w:p>
    <w:p w14:paraId="5616B304" w14:textId="22EB6CA2" w:rsidR="008D461D" w:rsidRPr="00E20031" w:rsidRDefault="008D461D" w:rsidP="00173536">
      <w:pPr>
        <w:pStyle w:val="FooterTableFigure"/>
        <w:keepNext/>
        <w:keepLines/>
        <w:widowControl w:val="0"/>
      </w:pPr>
      <w:r w:rsidRPr="00E20031">
        <w:t>CFB = change from baseline; CNV = choroidal neovascularization; CSR = clinical study report; FAF = fundus autofluorescence; GA = geographic atrophy; LS = least</w:t>
      </w:r>
      <w:r w:rsidR="00397B07">
        <w:noBreakHyphen/>
      </w:r>
      <w:r w:rsidRPr="00E20031">
        <w:t>square; mITT = modified intent</w:t>
      </w:r>
      <w:r w:rsidR="00397B07">
        <w:noBreakHyphen/>
      </w:r>
      <w:r w:rsidRPr="00E20031">
        <w:t>to</w:t>
      </w:r>
      <w:r w:rsidR="00397B07">
        <w:noBreakHyphen/>
      </w:r>
      <w:r w:rsidRPr="00E20031">
        <w:t>treat; MMRM = mixed</w:t>
      </w:r>
      <w:r w:rsidR="00397B07">
        <w:noBreakHyphen/>
      </w:r>
      <w:r w:rsidRPr="00E20031">
        <w:t>effect model for repeated measures; NA = not applicable; PEOM = pegcetacoplan every other month; PM = pegcetacoplan monthly.</w:t>
      </w:r>
    </w:p>
    <w:p w14:paraId="3FDE7E30" w14:textId="1F9063C1" w:rsidR="008D461D" w:rsidRPr="00E20031" w:rsidRDefault="008D461D" w:rsidP="00173536">
      <w:pPr>
        <w:pStyle w:val="FooterTableFigure"/>
        <w:keepNext/>
        <w:keepLines/>
        <w:widowControl w:val="0"/>
      </w:pPr>
      <w:r w:rsidRPr="00E20031">
        <w:t xml:space="preserve">Notes: Baseline is defined as the last available, </w:t>
      </w:r>
      <w:r w:rsidR="00CB5D72" w:rsidRPr="00E20031">
        <w:t>non</w:t>
      </w:r>
      <w:r w:rsidR="00CB5D72">
        <w:t>-</w:t>
      </w:r>
      <w:r w:rsidR="00CB5D72" w:rsidRPr="00E20031">
        <w:t>missing</w:t>
      </w:r>
      <w:r w:rsidRPr="00E20031">
        <w:t xml:space="preserve"> observation prior to first study drug administration. Percentage difference is derived as the difference in LS means between the arms divided by the comparison group LS means.</w:t>
      </w:r>
    </w:p>
    <w:p w14:paraId="559BDA31" w14:textId="77777777" w:rsidR="008D461D" w:rsidRPr="00E20031" w:rsidRDefault="008D461D" w:rsidP="00414BDF">
      <w:pPr>
        <w:pStyle w:val="FooterTableFigure"/>
        <w:keepNext/>
        <w:widowControl w:val="0"/>
      </w:pPr>
      <w:r w:rsidRPr="00E20031">
        <w:rPr>
          <w:b/>
          <w:bCs/>
        </w:rPr>
        <w:t>Bold</w:t>
      </w:r>
      <w:r w:rsidRPr="00E20031">
        <w:t xml:space="preserve"> = statistically significant.</w:t>
      </w:r>
    </w:p>
    <w:p w14:paraId="570E7313" w14:textId="479048A1" w:rsidR="008D461D" w:rsidRPr="00E20031" w:rsidRDefault="008D461D" w:rsidP="008D461D">
      <w:pPr>
        <w:pStyle w:val="FooterTableFigure"/>
        <w:widowControl w:val="0"/>
      </w:pPr>
      <w:r w:rsidRPr="00E20031">
        <w:t>* The non</w:t>
      </w:r>
      <w:r w:rsidR="00397B07">
        <w:noBreakHyphen/>
      </w:r>
      <w:r w:rsidRPr="00E20031">
        <w:t>subfoveal subgroup aligns with the proposed PBS population for the treated eye.</w:t>
      </w:r>
    </w:p>
    <w:p w14:paraId="6061819B" w14:textId="61400BC2" w:rsidR="008D461D" w:rsidRPr="00E20031" w:rsidRDefault="008D461D" w:rsidP="008D461D">
      <w:pPr>
        <w:pStyle w:val="3-BodyText"/>
        <w:rPr>
          <w:color w:val="000000" w:themeColor="text1"/>
        </w:rPr>
      </w:pPr>
      <w:r w:rsidRPr="00E20031">
        <w:rPr>
          <w:color w:val="000000" w:themeColor="text1"/>
        </w:rPr>
        <w:t>The pooled data demonstrated a numerically greater treatment effect in participants with non</w:t>
      </w:r>
      <w:r w:rsidR="00397B07">
        <w:rPr>
          <w:color w:val="000000" w:themeColor="text1"/>
        </w:rPr>
        <w:noBreakHyphen/>
      </w:r>
      <w:r w:rsidRPr="00E20031">
        <w:rPr>
          <w:color w:val="000000" w:themeColor="text1"/>
        </w:rPr>
        <w:t>subfoveal involvement at baseline compared to those with subfoveal involvement at baseline.</w:t>
      </w:r>
    </w:p>
    <w:p w14:paraId="17B6121E" w14:textId="0A67583D" w:rsidR="008D461D" w:rsidRPr="00E20031" w:rsidRDefault="008D461D" w:rsidP="008D461D">
      <w:pPr>
        <w:pStyle w:val="3-BodyText"/>
        <w:rPr>
          <w:color w:val="000000" w:themeColor="text1"/>
        </w:rPr>
      </w:pPr>
      <w:r w:rsidRPr="00E20031">
        <w:t>For patients with non</w:t>
      </w:r>
      <w:r w:rsidR="00397B07">
        <w:noBreakHyphen/>
      </w:r>
      <w:r w:rsidRPr="00E20031">
        <w:t>subfoveal lesions at baseline, the observed mean change in lesion size was 3.92 mm</w:t>
      </w:r>
      <w:r w:rsidRPr="00E20031">
        <w:rPr>
          <w:rStyle w:val="FootnoteReference"/>
        </w:rPr>
        <w:t>2</w:t>
      </w:r>
      <w:r w:rsidRPr="00E20031">
        <w:t xml:space="preserve"> for pooled PEOM and 5.03 mm</w:t>
      </w:r>
      <w:r w:rsidRPr="00E20031">
        <w:rPr>
          <w:rStyle w:val="FootnoteReference"/>
        </w:rPr>
        <w:t>2</w:t>
      </w:r>
      <w:r w:rsidRPr="00E20031">
        <w:t xml:space="preserve"> for pooled sham, for a relative difference of −1.11 mm</w:t>
      </w:r>
      <w:r w:rsidRPr="00E20031">
        <w:rPr>
          <w:rStyle w:val="FootnoteReference"/>
        </w:rPr>
        <w:t>2</w:t>
      </w:r>
      <w:r w:rsidRPr="00E20031">
        <w:t xml:space="preserve"> (95% CI: −1.66, −0.57). This corresponds to a percentage difference of −22.1% for PEOM when compared to sham.</w:t>
      </w:r>
    </w:p>
    <w:p w14:paraId="3EE1D793" w14:textId="5192D56F" w:rsidR="008D461D" w:rsidRPr="00E20031" w:rsidRDefault="008D461D" w:rsidP="008D461D">
      <w:pPr>
        <w:pStyle w:val="3-BodyText"/>
        <w:rPr>
          <w:color w:val="000000" w:themeColor="text1"/>
        </w:rPr>
      </w:pPr>
      <w:r w:rsidRPr="00E20031">
        <w:t>For patients with subfoveal lesions at baseline, the observed mean change in lesion size was 2.90 mm</w:t>
      </w:r>
      <w:r w:rsidRPr="00E20031">
        <w:rPr>
          <w:rStyle w:val="FootnoteReference"/>
        </w:rPr>
        <w:t xml:space="preserve">2 </w:t>
      </w:r>
      <w:r w:rsidRPr="00E20031">
        <w:t>for pooled PEOM and 3.46 mm</w:t>
      </w:r>
      <w:r w:rsidRPr="00E20031">
        <w:rPr>
          <w:rStyle w:val="FootnoteReference"/>
        </w:rPr>
        <w:t>2</w:t>
      </w:r>
      <w:r w:rsidRPr="00E20031">
        <w:t xml:space="preserve"> for pooled sham, for a relative </w:t>
      </w:r>
      <w:r w:rsidRPr="00E20031">
        <w:lastRenderedPageBreak/>
        <w:t xml:space="preserve">difference of </w:t>
      </w:r>
      <w:r w:rsidR="00397B07">
        <w:noBreakHyphen/>
      </w:r>
      <w:r w:rsidRPr="00E20031">
        <w:t>0.56 mm</w:t>
      </w:r>
      <w:r w:rsidRPr="00E20031">
        <w:rPr>
          <w:rStyle w:val="FootnoteReference"/>
        </w:rPr>
        <w:t>2</w:t>
      </w:r>
      <w:r w:rsidRPr="00E20031">
        <w:t xml:space="preserve"> (95% CI −0.87 to −0.26) for PEOM compared to sham. This corresponds to a percentage difference of −16.3% for PEOM when compared to sham.</w:t>
      </w:r>
    </w:p>
    <w:p w14:paraId="616C1B95" w14:textId="5A336253" w:rsidR="004B6BBF" w:rsidRPr="004B6BBF" w:rsidRDefault="008D461D" w:rsidP="004B6BBF">
      <w:pPr>
        <w:pStyle w:val="3-BodyText"/>
        <w:rPr>
          <w:color w:val="000000" w:themeColor="text1"/>
        </w:rPr>
      </w:pPr>
      <w:r w:rsidRPr="00D04A0A">
        <w:t>The pooled results for PEOM in patients with non</w:t>
      </w:r>
      <w:r w:rsidR="00397B07">
        <w:noBreakHyphen/>
      </w:r>
      <w:r w:rsidRPr="00D04A0A">
        <w:t>subfoveal GA lesions at baseline for the outcome of CFB in GA lesion size supports the claim of superior efficacy for pegcetacoplan over BSC. However, results were not presented for functional outcomes in the non</w:t>
      </w:r>
      <w:r w:rsidR="00397B07">
        <w:noBreakHyphen/>
      </w:r>
      <w:r w:rsidRPr="00D04A0A">
        <w:t xml:space="preserve">subfoveal subgroup. As such, </w:t>
      </w:r>
      <w:r w:rsidR="000B61E2" w:rsidRPr="00D04A0A">
        <w:t xml:space="preserve">the extent of benefit to patients in terms of visual acuity </w:t>
      </w:r>
      <w:r w:rsidRPr="00D04A0A">
        <w:t xml:space="preserve">is </w:t>
      </w:r>
      <w:r w:rsidR="00063A99" w:rsidRPr="00D04A0A">
        <w:t>uncertain.</w:t>
      </w:r>
      <w:r w:rsidR="00653EBB">
        <w:t xml:space="preserve"> </w:t>
      </w:r>
    </w:p>
    <w:p w14:paraId="2EB99CD8" w14:textId="7EB3514A" w:rsidR="00B67138" w:rsidRPr="004B6BBF" w:rsidRDefault="00B67138" w:rsidP="004B6BBF">
      <w:pPr>
        <w:pStyle w:val="3-BodyText"/>
        <w:rPr>
          <w:rStyle w:val="CommentReference"/>
          <w:rFonts w:asciiTheme="minorHAnsi" w:hAnsiTheme="minorHAnsi"/>
          <w:b w:val="0"/>
          <w:color w:val="000000" w:themeColor="text1"/>
          <w:sz w:val="24"/>
          <w:szCs w:val="22"/>
        </w:rPr>
      </w:pPr>
      <w:r w:rsidRPr="00D04A0A">
        <w:t>Additionally, the continuation criteria in the proposed PBS listing that patients must have non</w:t>
      </w:r>
      <w:r w:rsidR="00397B07">
        <w:noBreakHyphen/>
      </w:r>
      <w:r w:rsidRPr="00D04A0A">
        <w:t>subfoveal lesions (defined as lesions ≥1 µm from the foveal centre point) was not in the key trials. As such, the results from the trials may not represent clinical practice as patients in the trial may have continued</w:t>
      </w:r>
      <w:r w:rsidR="000B61E2">
        <w:t xml:space="preserve"> pegcetacoplan</w:t>
      </w:r>
      <w:r w:rsidRPr="00D04A0A">
        <w:t xml:space="preserve"> despite developing subfoveal lesions.</w:t>
      </w:r>
      <w:r w:rsidR="00653EBB">
        <w:t xml:space="preserve"> </w:t>
      </w:r>
      <w:r w:rsidR="00653EBB" w:rsidRPr="00A272D3">
        <w:rPr>
          <w:iCs/>
        </w:rPr>
        <w:t>The PSCR stated that although the trial did not incorporate a stopping rule for incident subfoveal geographic atrophy (GA) lesions, subgroup analyses demonstrated significant benefit in patient with non</w:t>
      </w:r>
      <w:r w:rsidR="00397B07">
        <w:rPr>
          <w:iCs/>
        </w:rPr>
        <w:noBreakHyphen/>
      </w:r>
      <w:r w:rsidR="00653EBB" w:rsidRPr="00A272D3">
        <w:rPr>
          <w:iCs/>
        </w:rPr>
        <w:t>subfoveal lesions at baseline.</w:t>
      </w:r>
      <w:r w:rsidR="00D57511" w:rsidRPr="00A272D3">
        <w:rPr>
          <w:iCs/>
        </w:rPr>
        <w:t xml:space="preserve"> The PSCR </w:t>
      </w:r>
      <w:r w:rsidR="00465EAE">
        <w:rPr>
          <w:iCs/>
        </w:rPr>
        <w:t>went</w:t>
      </w:r>
      <w:r w:rsidR="00D57511" w:rsidRPr="00A272D3">
        <w:rPr>
          <w:iCs/>
        </w:rPr>
        <w:t xml:space="preserve"> on to state it was considered logical and evidence</w:t>
      </w:r>
      <w:r w:rsidR="00397B07">
        <w:rPr>
          <w:iCs/>
        </w:rPr>
        <w:noBreakHyphen/>
      </w:r>
      <w:r w:rsidR="00D57511" w:rsidRPr="00A272D3">
        <w:rPr>
          <w:iCs/>
        </w:rPr>
        <w:t>based to conclude that treatment benefit is substantially reduced once the fovea is no longer intact. The ESC discussed that</w:t>
      </w:r>
      <w:r w:rsidR="000A2C29">
        <w:rPr>
          <w:iCs/>
        </w:rPr>
        <w:t>,</w:t>
      </w:r>
      <w:r w:rsidR="00D57511" w:rsidRPr="00A272D3">
        <w:rPr>
          <w:iCs/>
        </w:rPr>
        <w:t xml:space="preserve"> as </w:t>
      </w:r>
      <w:r w:rsidR="000A2C29">
        <w:rPr>
          <w:iCs/>
        </w:rPr>
        <w:t xml:space="preserve">clinical assessment, visual acuity testing and </w:t>
      </w:r>
      <w:r w:rsidR="00D57511" w:rsidRPr="00A272D3">
        <w:rPr>
          <w:iCs/>
        </w:rPr>
        <w:t xml:space="preserve">Optical Coherence Tomography (OCT) will </w:t>
      </w:r>
      <w:r w:rsidR="000A2C29">
        <w:rPr>
          <w:iCs/>
        </w:rPr>
        <w:t xml:space="preserve">likely </w:t>
      </w:r>
      <w:r w:rsidR="00D57511" w:rsidRPr="00A272D3">
        <w:rPr>
          <w:iCs/>
        </w:rPr>
        <w:t xml:space="preserve">be performed whenever an intravitreal injection is administered, whether lesions remain </w:t>
      </w:r>
      <w:r w:rsidR="000A2C29">
        <w:rPr>
          <w:iCs/>
        </w:rPr>
        <w:t>non</w:t>
      </w:r>
      <w:r w:rsidR="00397B07">
        <w:rPr>
          <w:iCs/>
        </w:rPr>
        <w:noBreakHyphen/>
      </w:r>
      <w:r w:rsidR="00D57511" w:rsidRPr="00A272D3">
        <w:rPr>
          <w:iCs/>
        </w:rPr>
        <w:t>subfoveal will be monitored.</w:t>
      </w:r>
      <w:r w:rsidR="002F4C95">
        <w:rPr>
          <w:iCs/>
        </w:rPr>
        <w:t xml:space="preserve"> The pre</w:t>
      </w:r>
      <w:r w:rsidR="00397B07">
        <w:rPr>
          <w:iCs/>
        </w:rPr>
        <w:noBreakHyphen/>
      </w:r>
      <w:r w:rsidR="002F4C95">
        <w:rPr>
          <w:iCs/>
        </w:rPr>
        <w:t xml:space="preserve">PBAC response </w:t>
      </w:r>
      <w:r w:rsidR="00272C1A">
        <w:rPr>
          <w:iCs/>
        </w:rPr>
        <w:t xml:space="preserve">stated </w:t>
      </w:r>
      <w:r w:rsidR="00272C1A" w:rsidRPr="00272C1A">
        <w:rPr>
          <w:iCs/>
        </w:rPr>
        <w:t>clinical experts advise</w:t>
      </w:r>
      <w:r w:rsidR="00272C1A">
        <w:rPr>
          <w:iCs/>
        </w:rPr>
        <w:t>d</w:t>
      </w:r>
      <w:r w:rsidR="00272C1A" w:rsidRPr="00272C1A">
        <w:rPr>
          <w:iCs/>
        </w:rPr>
        <w:t xml:space="preserve"> that OCT may not occur at every visit but </w:t>
      </w:r>
      <w:r w:rsidR="000A2C29">
        <w:rPr>
          <w:iCs/>
        </w:rPr>
        <w:t>patient assessment for</w:t>
      </w:r>
      <w:r w:rsidR="00272C1A" w:rsidRPr="00272C1A">
        <w:rPr>
          <w:iCs/>
        </w:rPr>
        <w:t xml:space="preserve"> ongoing treatment eligibility</w:t>
      </w:r>
      <w:r w:rsidR="000A2C29">
        <w:rPr>
          <w:iCs/>
        </w:rPr>
        <w:t xml:space="preserve"> would be performed</w:t>
      </w:r>
      <w:r w:rsidR="00272C1A" w:rsidRPr="00272C1A">
        <w:rPr>
          <w:iCs/>
        </w:rPr>
        <w:t>.</w:t>
      </w:r>
    </w:p>
    <w:p w14:paraId="269C7A90" w14:textId="77777777" w:rsidR="008D461D" w:rsidRPr="00E20031" w:rsidRDefault="008D461D" w:rsidP="008D461D">
      <w:pPr>
        <w:pStyle w:val="4-SubsectionHeading"/>
      </w:pPr>
      <w:bookmarkStart w:id="46" w:name="_Toc22897642"/>
      <w:bookmarkStart w:id="47" w:name="_Toc202884176"/>
      <w:bookmarkStart w:id="48" w:name="_Toc206430836"/>
      <w:bookmarkStart w:id="49" w:name="_Toc208920194"/>
      <w:r w:rsidRPr="00E20031">
        <w:t>Comparative harms</w:t>
      </w:r>
      <w:bookmarkEnd w:id="46"/>
      <w:bookmarkEnd w:id="47"/>
      <w:bookmarkEnd w:id="48"/>
      <w:bookmarkEnd w:id="49"/>
    </w:p>
    <w:p w14:paraId="591FC942" w14:textId="77777777" w:rsidR="00333CFE" w:rsidRDefault="008D461D">
      <w:pPr>
        <w:jc w:val="left"/>
        <w:rPr>
          <w:rFonts w:ascii="Arial Narrow" w:eastAsiaTheme="majorEastAsia" w:hAnsi="Arial Narrow" w:cstheme="majorBidi"/>
          <w:b/>
          <w:bCs/>
          <w:sz w:val="20"/>
        </w:rPr>
      </w:pPr>
      <w:bookmarkStart w:id="50" w:name="_Hlk104801403"/>
      <w:r w:rsidRPr="00E20031">
        <w:t xml:space="preserve">A summary of key adverse events (AEs) for patients on treatment in DERBY and OAKS is presented in </w:t>
      </w:r>
      <w:r w:rsidRPr="00E20031">
        <w:fldChar w:fldCharType="begin"/>
      </w:r>
      <w:r w:rsidRPr="00E20031">
        <w:instrText xml:space="preserve"> REF _Ref205675762 \h </w:instrText>
      </w:r>
      <w:r w:rsidRPr="00E20031">
        <w:fldChar w:fldCharType="separate"/>
      </w:r>
      <w:r w:rsidR="00333CFE">
        <w:br w:type="page"/>
      </w:r>
    </w:p>
    <w:p w14:paraId="5C16A314" w14:textId="3A2D053B" w:rsidR="008D461D" w:rsidRPr="00E20031" w:rsidRDefault="00333CFE" w:rsidP="008D461D">
      <w:pPr>
        <w:pStyle w:val="3-BodyText"/>
        <w:rPr>
          <w:color w:val="0066FF"/>
        </w:rPr>
      </w:pPr>
      <w:r w:rsidRPr="00E20031">
        <w:t xml:space="preserve">Table </w:t>
      </w:r>
      <w:r>
        <w:rPr>
          <w:noProof/>
        </w:rPr>
        <w:t>7</w:t>
      </w:r>
      <w:r w:rsidR="008D461D" w:rsidRPr="00E20031">
        <w:fldChar w:fldCharType="end"/>
      </w:r>
      <w:r w:rsidR="008D461D" w:rsidRPr="00E20031">
        <w:t xml:space="preserve">. All AEs were considered </w:t>
      </w:r>
      <w:r w:rsidR="66E4CFAC" w:rsidRPr="00E20031">
        <w:t>treatment emergent</w:t>
      </w:r>
      <w:r w:rsidR="008D461D" w:rsidRPr="00E20031">
        <w:t xml:space="preserve"> if they either started after the first dose of pegcetacoplan or began before the dose but worsened in severity afterward.</w:t>
      </w:r>
      <w:r w:rsidR="008D461D" w:rsidRPr="00E20031">
        <w:rPr>
          <w:color w:val="0066FF"/>
        </w:rPr>
        <w:t xml:space="preserve"> </w:t>
      </w:r>
      <w:bookmarkEnd w:id="50"/>
    </w:p>
    <w:p w14:paraId="00B71744" w14:textId="77777777" w:rsidR="00111E32" w:rsidRDefault="00111E32">
      <w:pPr>
        <w:jc w:val="left"/>
        <w:rPr>
          <w:rFonts w:ascii="Arial Narrow" w:eastAsiaTheme="majorEastAsia" w:hAnsi="Arial Narrow" w:cstheme="majorBidi"/>
          <w:b/>
          <w:bCs/>
          <w:sz w:val="20"/>
        </w:rPr>
      </w:pPr>
      <w:bookmarkStart w:id="51" w:name="_Ref205675762"/>
      <w:r>
        <w:br w:type="page"/>
      </w:r>
    </w:p>
    <w:p w14:paraId="6B7B1C04" w14:textId="192E7761" w:rsidR="008D461D" w:rsidRPr="00E20031" w:rsidRDefault="008D461D" w:rsidP="008D461D">
      <w:pPr>
        <w:pStyle w:val="TableFigureHeading"/>
        <w:rPr>
          <w:rStyle w:val="CommentReference"/>
          <w:b/>
          <w:szCs w:val="24"/>
        </w:rPr>
      </w:pPr>
      <w:r w:rsidRPr="00E20031">
        <w:lastRenderedPageBreak/>
        <w:t xml:space="preserve">Table </w:t>
      </w:r>
      <w:r w:rsidR="004C5F7F">
        <w:fldChar w:fldCharType="begin"/>
      </w:r>
      <w:r w:rsidR="004C5F7F">
        <w:instrText xml:space="preserve"> SEQ Table \* ARABIC </w:instrText>
      </w:r>
      <w:r w:rsidR="004C5F7F">
        <w:fldChar w:fldCharType="separate"/>
      </w:r>
      <w:r w:rsidR="00333CFE">
        <w:rPr>
          <w:noProof/>
        </w:rPr>
        <w:t>7</w:t>
      </w:r>
      <w:r w:rsidR="004C5F7F">
        <w:rPr>
          <w:noProof/>
        </w:rPr>
        <w:fldChar w:fldCharType="end"/>
      </w:r>
      <w:bookmarkEnd w:id="51"/>
      <w:r w:rsidRPr="00E20031">
        <w:t xml:space="preserve">: </w:t>
      </w:r>
      <w:r w:rsidRPr="00E20031">
        <w:rPr>
          <w:rStyle w:val="CommentReference"/>
          <w:b/>
          <w:szCs w:val="24"/>
        </w:rPr>
        <w:t>Summary of key adverse events in the trials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key adverse events in the trials"/>
      </w:tblPr>
      <w:tblGrid>
        <w:gridCol w:w="2123"/>
        <w:gridCol w:w="1841"/>
        <w:gridCol w:w="1701"/>
        <w:gridCol w:w="1702"/>
        <w:gridCol w:w="1650"/>
      </w:tblGrid>
      <w:tr w:rsidR="008D461D" w:rsidRPr="00E20031" w14:paraId="1F9D2A10" w14:textId="77777777">
        <w:trPr>
          <w:cantSplit/>
          <w:tblHeader/>
        </w:trPr>
        <w:tc>
          <w:tcPr>
            <w:tcW w:w="1177" w:type="pct"/>
            <w:vAlign w:val="center"/>
          </w:tcPr>
          <w:p w14:paraId="6CEEB8EA" w14:textId="77777777" w:rsidR="008D461D" w:rsidRPr="00E20031" w:rsidRDefault="008D461D" w:rsidP="00077D48">
            <w:pPr>
              <w:pStyle w:val="In-tableHeading"/>
            </w:pPr>
            <w:bookmarkStart w:id="52" w:name="_Hlk155263390"/>
            <w:r w:rsidRPr="00E20031">
              <w:t>Trial ID</w:t>
            </w:r>
          </w:p>
        </w:tc>
        <w:tc>
          <w:tcPr>
            <w:tcW w:w="1021" w:type="pct"/>
            <w:vAlign w:val="center"/>
          </w:tcPr>
          <w:p w14:paraId="1D38E5C4" w14:textId="77777777" w:rsidR="008D461D" w:rsidRPr="00E20031" w:rsidRDefault="008D461D" w:rsidP="00077D48">
            <w:pPr>
              <w:pStyle w:val="In-tableHeading"/>
              <w:rPr>
                <w:vertAlign w:val="superscript"/>
              </w:rPr>
            </w:pPr>
            <w:r w:rsidRPr="00E20031">
              <w:t>Pegcetacoplan pooled</w:t>
            </w:r>
            <w:r w:rsidRPr="00E20031">
              <w:rPr>
                <w:vertAlign w:val="superscript"/>
              </w:rPr>
              <w:t>a</w:t>
            </w:r>
          </w:p>
          <w:p w14:paraId="2AD35451" w14:textId="77777777" w:rsidR="008D461D" w:rsidRPr="00E20031" w:rsidRDefault="008D461D" w:rsidP="00077D48">
            <w:pPr>
              <w:pStyle w:val="In-tableHeading"/>
            </w:pPr>
            <w:r w:rsidRPr="00E20031">
              <w:t>n with event/ N (%)</w:t>
            </w:r>
          </w:p>
        </w:tc>
        <w:tc>
          <w:tcPr>
            <w:tcW w:w="943" w:type="pct"/>
            <w:vAlign w:val="center"/>
          </w:tcPr>
          <w:p w14:paraId="08565F2D" w14:textId="77777777" w:rsidR="008D461D" w:rsidRPr="00E20031" w:rsidRDefault="008D461D" w:rsidP="00077D48">
            <w:pPr>
              <w:pStyle w:val="In-tableHeading"/>
            </w:pPr>
            <w:r w:rsidRPr="00E20031">
              <w:t>Sham pooled</w:t>
            </w:r>
          </w:p>
          <w:p w14:paraId="748DFA37" w14:textId="77777777" w:rsidR="008D461D" w:rsidRPr="00E20031" w:rsidRDefault="008D461D" w:rsidP="00077D48">
            <w:pPr>
              <w:pStyle w:val="In-tableHeading"/>
            </w:pPr>
            <w:r w:rsidRPr="00E20031">
              <w:t>n with event/N (%)</w:t>
            </w:r>
          </w:p>
        </w:tc>
        <w:tc>
          <w:tcPr>
            <w:tcW w:w="944" w:type="pct"/>
            <w:vAlign w:val="center"/>
          </w:tcPr>
          <w:p w14:paraId="05C50B04" w14:textId="3AD84E16" w:rsidR="008D461D" w:rsidRPr="00BC0511" w:rsidRDefault="008D461D" w:rsidP="00077D48">
            <w:pPr>
              <w:pStyle w:val="In-tableHeading"/>
              <w:rPr>
                <w:vertAlign w:val="superscript"/>
              </w:rPr>
            </w:pPr>
            <w:r w:rsidRPr="00BC0511">
              <w:t>RD (95% CI)</w:t>
            </w:r>
            <w:r w:rsidR="00A64C98" w:rsidRPr="00BC0511">
              <w:rPr>
                <w:vertAlign w:val="superscript"/>
              </w:rPr>
              <w:t>b</w:t>
            </w:r>
          </w:p>
        </w:tc>
        <w:tc>
          <w:tcPr>
            <w:tcW w:w="915" w:type="pct"/>
            <w:vAlign w:val="center"/>
          </w:tcPr>
          <w:p w14:paraId="734455D1" w14:textId="173873BE" w:rsidR="008D461D" w:rsidRPr="00BC0511" w:rsidRDefault="008D461D" w:rsidP="00077D48">
            <w:pPr>
              <w:pStyle w:val="In-tableHeading"/>
              <w:rPr>
                <w:vertAlign w:val="superscript"/>
              </w:rPr>
            </w:pPr>
            <w:r w:rsidRPr="00BC0511">
              <w:t>RR (95% CI)</w:t>
            </w:r>
            <w:r w:rsidR="00A64C98" w:rsidRPr="00BC0511">
              <w:rPr>
                <w:vertAlign w:val="superscript"/>
              </w:rPr>
              <w:t>b</w:t>
            </w:r>
          </w:p>
        </w:tc>
      </w:tr>
      <w:tr w:rsidR="008D461D" w:rsidRPr="00E20031" w14:paraId="41DEEEA4" w14:textId="77777777">
        <w:trPr>
          <w:cantSplit/>
        </w:trPr>
        <w:tc>
          <w:tcPr>
            <w:tcW w:w="4085" w:type="pct"/>
            <w:gridSpan w:val="4"/>
            <w:vAlign w:val="center"/>
          </w:tcPr>
          <w:p w14:paraId="6B637A75" w14:textId="77777777" w:rsidR="008D461D" w:rsidRPr="00BC0511" w:rsidRDefault="008D461D">
            <w:pPr>
              <w:pStyle w:val="TableText0"/>
              <w:rPr>
                <w:b/>
                <w:bCs w:val="0"/>
              </w:rPr>
            </w:pPr>
            <w:r w:rsidRPr="00BC0511">
              <w:rPr>
                <w:b/>
                <w:bCs w:val="0"/>
              </w:rPr>
              <w:t>DERBY</w:t>
            </w:r>
          </w:p>
        </w:tc>
        <w:tc>
          <w:tcPr>
            <w:tcW w:w="915" w:type="pct"/>
            <w:vAlign w:val="center"/>
          </w:tcPr>
          <w:p w14:paraId="625DC1C1" w14:textId="77777777" w:rsidR="008D461D" w:rsidRPr="00BC0511" w:rsidRDefault="008D461D">
            <w:pPr>
              <w:pStyle w:val="TableText0"/>
              <w:rPr>
                <w:b/>
                <w:bCs w:val="0"/>
              </w:rPr>
            </w:pPr>
          </w:p>
        </w:tc>
      </w:tr>
      <w:tr w:rsidR="008D461D" w:rsidRPr="00E20031" w14:paraId="0C668A2C" w14:textId="77777777">
        <w:trPr>
          <w:cantSplit/>
        </w:trPr>
        <w:tc>
          <w:tcPr>
            <w:tcW w:w="1177" w:type="pct"/>
            <w:vAlign w:val="center"/>
          </w:tcPr>
          <w:p w14:paraId="2075E824" w14:textId="77777777" w:rsidR="008D461D" w:rsidRPr="00E20031" w:rsidRDefault="008D461D">
            <w:pPr>
              <w:pStyle w:val="TableText0"/>
              <w:rPr>
                <w:b/>
                <w:bCs w:val="0"/>
              </w:rPr>
            </w:pPr>
            <w:r w:rsidRPr="00E20031">
              <w:t>All AEs</w:t>
            </w:r>
          </w:p>
        </w:tc>
        <w:tc>
          <w:tcPr>
            <w:tcW w:w="1021" w:type="pct"/>
            <w:vAlign w:val="center"/>
          </w:tcPr>
          <w:p w14:paraId="66576965" w14:textId="77777777" w:rsidR="008D461D" w:rsidRPr="00E20031" w:rsidRDefault="008D461D">
            <w:pPr>
              <w:pStyle w:val="TableText0"/>
              <w:jc w:val="center"/>
              <w:rPr>
                <w:b/>
                <w:bCs w:val="0"/>
              </w:rPr>
            </w:pPr>
            <w:r w:rsidRPr="00E20031">
              <w:t xml:space="preserve">358/414 (86.5) </w:t>
            </w:r>
          </w:p>
        </w:tc>
        <w:tc>
          <w:tcPr>
            <w:tcW w:w="943" w:type="pct"/>
            <w:vAlign w:val="center"/>
          </w:tcPr>
          <w:p w14:paraId="427329FF" w14:textId="77777777" w:rsidR="008D461D" w:rsidRPr="00E20031" w:rsidRDefault="008D461D">
            <w:pPr>
              <w:pStyle w:val="TableText0"/>
              <w:jc w:val="center"/>
              <w:rPr>
                <w:b/>
                <w:bCs w:val="0"/>
              </w:rPr>
            </w:pPr>
            <w:r w:rsidRPr="00E20031">
              <w:t xml:space="preserve">169/206 (82.0) </w:t>
            </w:r>
          </w:p>
        </w:tc>
        <w:tc>
          <w:tcPr>
            <w:tcW w:w="944" w:type="pct"/>
            <w:vAlign w:val="center"/>
          </w:tcPr>
          <w:p w14:paraId="571F0177" w14:textId="72FD5993" w:rsidR="008D461D" w:rsidRPr="00BC0511" w:rsidRDefault="008D461D">
            <w:pPr>
              <w:pStyle w:val="TableText0"/>
              <w:jc w:val="center"/>
              <w:rPr>
                <w:b/>
                <w:bCs w:val="0"/>
              </w:rPr>
            </w:pPr>
            <w:r w:rsidRPr="00BC0511">
              <w:t>0.04 (</w:t>
            </w:r>
            <w:r w:rsidR="00397B07">
              <w:noBreakHyphen/>
            </w:r>
            <w:r w:rsidRPr="00BC0511">
              <w:t>0.02, 0.11)</w:t>
            </w:r>
          </w:p>
        </w:tc>
        <w:tc>
          <w:tcPr>
            <w:tcW w:w="915" w:type="pct"/>
            <w:vAlign w:val="center"/>
          </w:tcPr>
          <w:p w14:paraId="5B88064C" w14:textId="77777777" w:rsidR="008D461D" w:rsidRPr="00BC0511" w:rsidRDefault="008D461D">
            <w:pPr>
              <w:pStyle w:val="TableText0"/>
              <w:jc w:val="center"/>
            </w:pPr>
            <w:r w:rsidRPr="00BC0511">
              <w:t>1.05 (0.98, 1.14)</w:t>
            </w:r>
          </w:p>
        </w:tc>
      </w:tr>
      <w:tr w:rsidR="008D461D" w:rsidRPr="00E20031" w14:paraId="2F1BB5CF" w14:textId="77777777">
        <w:trPr>
          <w:cantSplit/>
        </w:trPr>
        <w:tc>
          <w:tcPr>
            <w:tcW w:w="1177" w:type="pct"/>
            <w:vAlign w:val="center"/>
          </w:tcPr>
          <w:p w14:paraId="54CF776D" w14:textId="1AD1B17F" w:rsidR="008D461D" w:rsidRPr="00E20031" w:rsidRDefault="008D461D">
            <w:pPr>
              <w:pStyle w:val="TableText0"/>
              <w:rPr>
                <w:b/>
                <w:bCs w:val="0"/>
              </w:rPr>
            </w:pPr>
            <w:r w:rsidRPr="00E20031">
              <w:t>Study eye</w:t>
            </w:r>
            <w:r w:rsidR="00D6747B">
              <w:t xml:space="preserve"> AEs</w:t>
            </w:r>
          </w:p>
        </w:tc>
        <w:tc>
          <w:tcPr>
            <w:tcW w:w="1021" w:type="pct"/>
            <w:vAlign w:val="center"/>
          </w:tcPr>
          <w:p w14:paraId="36256857" w14:textId="77777777" w:rsidR="008D461D" w:rsidRPr="00E20031" w:rsidRDefault="008D461D">
            <w:pPr>
              <w:pStyle w:val="TableText0"/>
              <w:jc w:val="center"/>
              <w:rPr>
                <w:b/>
                <w:bCs w:val="0"/>
              </w:rPr>
            </w:pPr>
            <w:r w:rsidRPr="00E20031">
              <w:t xml:space="preserve">233/414 (56.3) </w:t>
            </w:r>
          </w:p>
        </w:tc>
        <w:tc>
          <w:tcPr>
            <w:tcW w:w="943" w:type="pct"/>
            <w:vAlign w:val="center"/>
          </w:tcPr>
          <w:p w14:paraId="54209FFB" w14:textId="77777777" w:rsidR="008D461D" w:rsidRPr="00E20031" w:rsidRDefault="008D461D">
            <w:pPr>
              <w:pStyle w:val="TableText0"/>
              <w:jc w:val="center"/>
              <w:rPr>
                <w:b/>
                <w:bCs w:val="0"/>
              </w:rPr>
            </w:pPr>
            <w:r w:rsidRPr="00E20031">
              <w:t>95/206 (46.1)</w:t>
            </w:r>
          </w:p>
        </w:tc>
        <w:tc>
          <w:tcPr>
            <w:tcW w:w="944" w:type="pct"/>
            <w:vAlign w:val="center"/>
          </w:tcPr>
          <w:p w14:paraId="02A639E0" w14:textId="77777777" w:rsidR="008D461D" w:rsidRPr="00BC0511" w:rsidRDefault="008D461D">
            <w:pPr>
              <w:pStyle w:val="TableText0"/>
              <w:jc w:val="center"/>
              <w:rPr>
                <w:b/>
                <w:bCs w:val="0"/>
              </w:rPr>
            </w:pPr>
            <w:r w:rsidRPr="00BC0511">
              <w:rPr>
                <w:b/>
                <w:bCs w:val="0"/>
              </w:rPr>
              <w:t>0.10 (0.02, 0.19)</w:t>
            </w:r>
          </w:p>
        </w:tc>
        <w:tc>
          <w:tcPr>
            <w:tcW w:w="915" w:type="pct"/>
            <w:vAlign w:val="center"/>
          </w:tcPr>
          <w:p w14:paraId="3E070A1C" w14:textId="77777777" w:rsidR="008D461D" w:rsidRPr="00BC0511" w:rsidRDefault="008D461D">
            <w:pPr>
              <w:pStyle w:val="TableText0"/>
              <w:jc w:val="center"/>
              <w:rPr>
                <w:b/>
                <w:bCs w:val="0"/>
              </w:rPr>
            </w:pPr>
            <w:r w:rsidRPr="00BC0511">
              <w:rPr>
                <w:b/>
                <w:bCs w:val="0"/>
              </w:rPr>
              <w:t>1.22 (1.03, 1.45)</w:t>
            </w:r>
          </w:p>
        </w:tc>
      </w:tr>
      <w:tr w:rsidR="008D461D" w:rsidRPr="00E20031" w14:paraId="4FCF2CC5" w14:textId="77777777">
        <w:trPr>
          <w:cantSplit/>
        </w:trPr>
        <w:tc>
          <w:tcPr>
            <w:tcW w:w="1177" w:type="pct"/>
            <w:vAlign w:val="center"/>
          </w:tcPr>
          <w:p w14:paraId="551A8450" w14:textId="77AE5BAC" w:rsidR="008D461D" w:rsidRPr="00E20031" w:rsidRDefault="008D461D">
            <w:pPr>
              <w:pStyle w:val="TableText0"/>
              <w:rPr>
                <w:b/>
                <w:bCs w:val="0"/>
              </w:rPr>
            </w:pPr>
            <w:r w:rsidRPr="00E20031">
              <w:t>Fellow eye</w:t>
            </w:r>
            <w:r w:rsidR="00D6747B">
              <w:t xml:space="preserve"> AEs</w:t>
            </w:r>
          </w:p>
        </w:tc>
        <w:tc>
          <w:tcPr>
            <w:tcW w:w="1021" w:type="pct"/>
            <w:vAlign w:val="center"/>
          </w:tcPr>
          <w:p w14:paraId="7552E127" w14:textId="77777777" w:rsidR="008D461D" w:rsidRPr="00E20031" w:rsidRDefault="008D461D">
            <w:pPr>
              <w:pStyle w:val="TableText0"/>
              <w:jc w:val="center"/>
              <w:rPr>
                <w:b/>
                <w:bCs w:val="0"/>
              </w:rPr>
            </w:pPr>
            <w:r w:rsidRPr="00E20031">
              <w:t>155/414 (37.4)</w:t>
            </w:r>
          </w:p>
        </w:tc>
        <w:tc>
          <w:tcPr>
            <w:tcW w:w="943" w:type="pct"/>
            <w:vAlign w:val="center"/>
          </w:tcPr>
          <w:p w14:paraId="07948B2F" w14:textId="77777777" w:rsidR="008D461D" w:rsidRPr="00E20031" w:rsidRDefault="008D461D">
            <w:pPr>
              <w:pStyle w:val="TableText0"/>
              <w:jc w:val="center"/>
              <w:rPr>
                <w:b/>
                <w:bCs w:val="0"/>
              </w:rPr>
            </w:pPr>
            <w:r w:rsidRPr="00E20031">
              <w:t>75/206 (36.4)</w:t>
            </w:r>
          </w:p>
        </w:tc>
        <w:tc>
          <w:tcPr>
            <w:tcW w:w="944" w:type="pct"/>
            <w:vAlign w:val="center"/>
          </w:tcPr>
          <w:p w14:paraId="68AC40D8" w14:textId="6425BC73" w:rsidR="008D461D" w:rsidRPr="00BC0511" w:rsidRDefault="008D461D">
            <w:pPr>
              <w:pStyle w:val="TableText0"/>
              <w:jc w:val="center"/>
              <w:rPr>
                <w:b/>
                <w:bCs w:val="0"/>
              </w:rPr>
            </w:pPr>
            <w:r w:rsidRPr="00BC0511">
              <w:t>0.01 (</w:t>
            </w:r>
            <w:r w:rsidR="00397B07">
              <w:noBreakHyphen/>
            </w:r>
            <w:r w:rsidRPr="00BC0511">
              <w:t>0.07, 0.09)</w:t>
            </w:r>
          </w:p>
        </w:tc>
        <w:tc>
          <w:tcPr>
            <w:tcW w:w="915" w:type="pct"/>
            <w:vAlign w:val="center"/>
          </w:tcPr>
          <w:p w14:paraId="33409635" w14:textId="77777777" w:rsidR="008D461D" w:rsidRPr="00BC0511" w:rsidRDefault="008D461D">
            <w:pPr>
              <w:pStyle w:val="TableText0"/>
              <w:jc w:val="center"/>
            </w:pPr>
            <w:r w:rsidRPr="00BC0511">
              <w:t>1.03 (0.83, 1.28)</w:t>
            </w:r>
          </w:p>
        </w:tc>
      </w:tr>
      <w:tr w:rsidR="008D461D" w:rsidRPr="00E20031" w14:paraId="3F48F134" w14:textId="77777777">
        <w:trPr>
          <w:cantSplit/>
        </w:trPr>
        <w:tc>
          <w:tcPr>
            <w:tcW w:w="1177" w:type="pct"/>
            <w:vAlign w:val="center"/>
          </w:tcPr>
          <w:p w14:paraId="59F56046" w14:textId="3259C57F" w:rsidR="008D461D" w:rsidRPr="00E20031" w:rsidRDefault="008D461D">
            <w:pPr>
              <w:pStyle w:val="TableText0"/>
              <w:rPr>
                <w:b/>
                <w:bCs w:val="0"/>
              </w:rPr>
            </w:pPr>
            <w:r w:rsidRPr="00E20031">
              <w:t>Non</w:t>
            </w:r>
            <w:r w:rsidR="00397B07">
              <w:noBreakHyphen/>
            </w:r>
            <w:r w:rsidRPr="00E20031">
              <w:t>ocular</w:t>
            </w:r>
          </w:p>
        </w:tc>
        <w:tc>
          <w:tcPr>
            <w:tcW w:w="1021" w:type="pct"/>
            <w:vAlign w:val="center"/>
          </w:tcPr>
          <w:p w14:paraId="357B4E0C" w14:textId="77777777" w:rsidR="008D461D" w:rsidRPr="00E20031" w:rsidRDefault="008D461D">
            <w:pPr>
              <w:pStyle w:val="TableText0"/>
              <w:jc w:val="center"/>
              <w:rPr>
                <w:b/>
                <w:bCs w:val="0"/>
              </w:rPr>
            </w:pPr>
            <w:r w:rsidRPr="00E20031">
              <w:t>305/414 (73.7)</w:t>
            </w:r>
          </w:p>
        </w:tc>
        <w:tc>
          <w:tcPr>
            <w:tcW w:w="943" w:type="pct"/>
            <w:vAlign w:val="center"/>
          </w:tcPr>
          <w:p w14:paraId="566DFC6C" w14:textId="77777777" w:rsidR="008D461D" w:rsidRPr="00E20031" w:rsidRDefault="008D461D">
            <w:pPr>
              <w:pStyle w:val="TableText0"/>
              <w:jc w:val="center"/>
              <w:rPr>
                <w:b/>
                <w:bCs w:val="0"/>
              </w:rPr>
            </w:pPr>
            <w:r w:rsidRPr="00E20031">
              <w:t>146/206 (70.9)</w:t>
            </w:r>
          </w:p>
        </w:tc>
        <w:tc>
          <w:tcPr>
            <w:tcW w:w="944" w:type="pct"/>
            <w:vAlign w:val="center"/>
          </w:tcPr>
          <w:p w14:paraId="5479A1CF" w14:textId="791FC940" w:rsidR="008D461D" w:rsidRPr="00BC0511" w:rsidRDefault="008D461D">
            <w:pPr>
              <w:pStyle w:val="TableText0"/>
              <w:jc w:val="center"/>
              <w:rPr>
                <w:b/>
                <w:bCs w:val="0"/>
              </w:rPr>
            </w:pPr>
            <w:r w:rsidRPr="00BC0511">
              <w:t>0.03 (</w:t>
            </w:r>
            <w:r w:rsidR="00397B07">
              <w:noBreakHyphen/>
            </w:r>
            <w:r w:rsidRPr="00BC0511">
              <w:t>0.05, 0.10)</w:t>
            </w:r>
          </w:p>
        </w:tc>
        <w:tc>
          <w:tcPr>
            <w:tcW w:w="915" w:type="pct"/>
            <w:vAlign w:val="center"/>
          </w:tcPr>
          <w:p w14:paraId="59417596" w14:textId="77777777" w:rsidR="008D461D" w:rsidRPr="00BC0511" w:rsidRDefault="008D461D">
            <w:pPr>
              <w:pStyle w:val="TableText0"/>
              <w:jc w:val="center"/>
            </w:pPr>
            <w:r w:rsidRPr="00BC0511">
              <w:t>1.04 (0.94, 1.15)</w:t>
            </w:r>
          </w:p>
        </w:tc>
      </w:tr>
      <w:tr w:rsidR="008D461D" w:rsidRPr="00E20031" w14:paraId="5D40ACF0" w14:textId="77777777">
        <w:trPr>
          <w:cantSplit/>
        </w:trPr>
        <w:tc>
          <w:tcPr>
            <w:tcW w:w="0" w:type="auto"/>
            <w:gridSpan w:val="5"/>
            <w:vAlign w:val="center"/>
          </w:tcPr>
          <w:p w14:paraId="6C5A3F70" w14:textId="77777777" w:rsidR="008D461D" w:rsidRPr="00BC0511" w:rsidRDefault="008D461D">
            <w:pPr>
              <w:pStyle w:val="TableText0"/>
              <w:rPr>
                <w:b/>
                <w:bCs w:val="0"/>
              </w:rPr>
            </w:pPr>
            <w:r w:rsidRPr="00BC0511">
              <w:t>AE severity</w:t>
            </w:r>
          </w:p>
        </w:tc>
      </w:tr>
      <w:tr w:rsidR="008D461D" w:rsidRPr="00E20031" w14:paraId="53C9D6A7" w14:textId="77777777">
        <w:trPr>
          <w:cantSplit/>
        </w:trPr>
        <w:tc>
          <w:tcPr>
            <w:tcW w:w="1177" w:type="pct"/>
            <w:vAlign w:val="center"/>
          </w:tcPr>
          <w:p w14:paraId="153759C4" w14:textId="77777777" w:rsidR="008D461D" w:rsidRPr="00E20031" w:rsidRDefault="008D461D">
            <w:pPr>
              <w:pStyle w:val="TableText0"/>
              <w:rPr>
                <w:b/>
                <w:bCs w:val="0"/>
              </w:rPr>
            </w:pPr>
            <w:r w:rsidRPr="00E20031">
              <w:t>Mild</w:t>
            </w:r>
          </w:p>
        </w:tc>
        <w:tc>
          <w:tcPr>
            <w:tcW w:w="1021" w:type="pct"/>
            <w:vAlign w:val="center"/>
          </w:tcPr>
          <w:p w14:paraId="077B813C" w14:textId="77777777" w:rsidR="008D461D" w:rsidRPr="00E20031" w:rsidRDefault="008D461D">
            <w:pPr>
              <w:pStyle w:val="TableText0"/>
              <w:jc w:val="center"/>
              <w:rPr>
                <w:b/>
                <w:bCs w:val="0"/>
              </w:rPr>
            </w:pPr>
            <w:r w:rsidRPr="00E20031">
              <w:t>106/414 (25.6)</w:t>
            </w:r>
          </w:p>
        </w:tc>
        <w:tc>
          <w:tcPr>
            <w:tcW w:w="943" w:type="pct"/>
            <w:vAlign w:val="center"/>
          </w:tcPr>
          <w:p w14:paraId="281983C9" w14:textId="77777777" w:rsidR="008D461D" w:rsidRPr="00E20031" w:rsidRDefault="008D461D">
            <w:pPr>
              <w:pStyle w:val="TableText0"/>
              <w:jc w:val="center"/>
              <w:rPr>
                <w:b/>
                <w:bCs w:val="0"/>
              </w:rPr>
            </w:pPr>
            <w:r w:rsidRPr="00E20031">
              <w:t>56/206 (27.2)</w:t>
            </w:r>
          </w:p>
        </w:tc>
        <w:tc>
          <w:tcPr>
            <w:tcW w:w="944" w:type="pct"/>
            <w:vAlign w:val="center"/>
          </w:tcPr>
          <w:p w14:paraId="75E17734" w14:textId="518C68CE" w:rsidR="008D461D" w:rsidRPr="00BC0511" w:rsidRDefault="00397B07">
            <w:pPr>
              <w:pStyle w:val="TableText0"/>
              <w:jc w:val="center"/>
              <w:rPr>
                <w:b/>
                <w:bCs w:val="0"/>
              </w:rPr>
            </w:pPr>
            <w:r>
              <w:noBreakHyphen/>
            </w:r>
            <w:r w:rsidR="008D461D" w:rsidRPr="00BC0511">
              <w:t>0.02 (</w:t>
            </w:r>
            <w:r>
              <w:noBreakHyphen/>
            </w:r>
            <w:r w:rsidR="008D461D" w:rsidRPr="00BC0511">
              <w:t>0.09, 0.06)</w:t>
            </w:r>
          </w:p>
        </w:tc>
        <w:tc>
          <w:tcPr>
            <w:tcW w:w="915" w:type="pct"/>
            <w:vAlign w:val="center"/>
          </w:tcPr>
          <w:p w14:paraId="65A70724" w14:textId="77777777" w:rsidR="008D461D" w:rsidRPr="00BC0511" w:rsidRDefault="008D461D">
            <w:pPr>
              <w:pStyle w:val="TableText0"/>
              <w:jc w:val="center"/>
            </w:pPr>
            <w:r w:rsidRPr="00BC0511">
              <w:t>0.94 (0.71, 1.24)</w:t>
            </w:r>
          </w:p>
        </w:tc>
      </w:tr>
      <w:tr w:rsidR="008D461D" w:rsidRPr="00E20031" w14:paraId="54AF389B" w14:textId="77777777">
        <w:trPr>
          <w:cantSplit/>
        </w:trPr>
        <w:tc>
          <w:tcPr>
            <w:tcW w:w="1177" w:type="pct"/>
            <w:vAlign w:val="center"/>
          </w:tcPr>
          <w:p w14:paraId="013CB810" w14:textId="77777777" w:rsidR="008D461D" w:rsidRPr="00E20031" w:rsidRDefault="008D461D">
            <w:pPr>
              <w:pStyle w:val="TableText0"/>
              <w:rPr>
                <w:b/>
                <w:bCs w:val="0"/>
              </w:rPr>
            </w:pPr>
            <w:r w:rsidRPr="00E20031">
              <w:t>Moderate</w:t>
            </w:r>
          </w:p>
        </w:tc>
        <w:tc>
          <w:tcPr>
            <w:tcW w:w="1021" w:type="pct"/>
            <w:vAlign w:val="center"/>
          </w:tcPr>
          <w:p w14:paraId="116DE6CD" w14:textId="77777777" w:rsidR="008D461D" w:rsidRPr="00E20031" w:rsidRDefault="008D461D">
            <w:pPr>
              <w:pStyle w:val="TableText0"/>
              <w:jc w:val="center"/>
              <w:rPr>
                <w:b/>
                <w:bCs w:val="0"/>
              </w:rPr>
            </w:pPr>
            <w:r w:rsidRPr="00E20031">
              <w:t>154/414 (37.2)</w:t>
            </w:r>
          </w:p>
        </w:tc>
        <w:tc>
          <w:tcPr>
            <w:tcW w:w="943" w:type="pct"/>
            <w:vAlign w:val="center"/>
          </w:tcPr>
          <w:p w14:paraId="403C07A9" w14:textId="77777777" w:rsidR="008D461D" w:rsidRPr="00E20031" w:rsidRDefault="008D461D">
            <w:pPr>
              <w:pStyle w:val="TableText0"/>
              <w:jc w:val="center"/>
              <w:rPr>
                <w:b/>
                <w:bCs w:val="0"/>
              </w:rPr>
            </w:pPr>
            <w:r w:rsidRPr="00E20031">
              <w:t>67/206 (32.5)</w:t>
            </w:r>
          </w:p>
        </w:tc>
        <w:tc>
          <w:tcPr>
            <w:tcW w:w="944" w:type="pct"/>
            <w:vAlign w:val="center"/>
          </w:tcPr>
          <w:p w14:paraId="59FEC4C8" w14:textId="42D0B6D1" w:rsidR="008D461D" w:rsidRPr="00BC0511" w:rsidRDefault="008D461D">
            <w:pPr>
              <w:pStyle w:val="TableText0"/>
              <w:jc w:val="center"/>
              <w:rPr>
                <w:b/>
                <w:bCs w:val="0"/>
              </w:rPr>
            </w:pPr>
            <w:r w:rsidRPr="00BC0511">
              <w:t>0.05 (</w:t>
            </w:r>
            <w:r w:rsidR="00397B07">
              <w:noBreakHyphen/>
            </w:r>
            <w:r w:rsidRPr="00BC0511">
              <w:t>0.03, 0.13)</w:t>
            </w:r>
          </w:p>
        </w:tc>
        <w:tc>
          <w:tcPr>
            <w:tcW w:w="915" w:type="pct"/>
            <w:vAlign w:val="center"/>
          </w:tcPr>
          <w:p w14:paraId="1DD021D9" w14:textId="77777777" w:rsidR="008D461D" w:rsidRPr="00BC0511" w:rsidRDefault="008D461D">
            <w:pPr>
              <w:pStyle w:val="TableText0"/>
              <w:jc w:val="center"/>
            </w:pPr>
            <w:r w:rsidRPr="00BC0511">
              <w:t>1.14 (0.91, 1.44)</w:t>
            </w:r>
          </w:p>
        </w:tc>
      </w:tr>
      <w:tr w:rsidR="008D461D" w:rsidRPr="00E20031" w14:paraId="19DB73C2" w14:textId="77777777">
        <w:trPr>
          <w:cantSplit/>
        </w:trPr>
        <w:tc>
          <w:tcPr>
            <w:tcW w:w="1177" w:type="pct"/>
            <w:vAlign w:val="center"/>
          </w:tcPr>
          <w:p w14:paraId="611B63AE" w14:textId="77777777" w:rsidR="008D461D" w:rsidRPr="00E20031" w:rsidRDefault="008D461D">
            <w:pPr>
              <w:pStyle w:val="TableText0"/>
              <w:rPr>
                <w:b/>
                <w:bCs w:val="0"/>
              </w:rPr>
            </w:pPr>
            <w:r w:rsidRPr="00E20031">
              <w:t>Severe</w:t>
            </w:r>
          </w:p>
        </w:tc>
        <w:tc>
          <w:tcPr>
            <w:tcW w:w="1021" w:type="pct"/>
            <w:vAlign w:val="center"/>
          </w:tcPr>
          <w:p w14:paraId="72CBEE16" w14:textId="77777777" w:rsidR="008D461D" w:rsidRPr="00E20031" w:rsidRDefault="008D461D">
            <w:pPr>
              <w:pStyle w:val="TableText0"/>
              <w:jc w:val="center"/>
              <w:rPr>
                <w:b/>
                <w:bCs w:val="0"/>
              </w:rPr>
            </w:pPr>
            <w:r w:rsidRPr="00E20031">
              <w:t>98/414 (23.7)</w:t>
            </w:r>
          </w:p>
        </w:tc>
        <w:tc>
          <w:tcPr>
            <w:tcW w:w="943" w:type="pct"/>
            <w:vAlign w:val="center"/>
          </w:tcPr>
          <w:p w14:paraId="1479C711" w14:textId="77777777" w:rsidR="008D461D" w:rsidRPr="00E20031" w:rsidRDefault="008D461D">
            <w:pPr>
              <w:pStyle w:val="TableText0"/>
              <w:jc w:val="center"/>
              <w:rPr>
                <w:b/>
                <w:bCs w:val="0"/>
              </w:rPr>
            </w:pPr>
            <w:r w:rsidRPr="00E20031">
              <w:t>46/206 (22.3)</w:t>
            </w:r>
          </w:p>
        </w:tc>
        <w:tc>
          <w:tcPr>
            <w:tcW w:w="944" w:type="pct"/>
            <w:vAlign w:val="center"/>
          </w:tcPr>
          <w:p w14:paraId="1ED6A16F" w14:textId="5EE3153A" w:rsidR="008D461D" w:rsidRPr="00BC0511" w:rsidRDefault="008D461D">
            <w:pPr>
              <w:pStyle w:val="TableText0"/>
              <w:jc w:val="center"/>
              <w:rPr>
                <w:b/>
                <w:bCs w:val="0"/>
              </w:rPr>
            </w:pPr>
            <w:r w:rsidRPr="00BC0511">
              <w:t>0.01 (</w:t>
            </w:r>
            <w:r w:rsidR="00397B07">
              <w:noBreakHyphen/>
            </w:r>
            <w:r w:rsidRPr="00BC0511">
              <w:t>0.06, 0.08)</w:t>
            </w:r>
          </w:p>
        </w:tc>
        <w:tc>
          <w:tcPr>
            <w:tcW w:w="915" w:type="pct"/>
            <w:vAlign w:val="center"/>
          </w:tcPr>
          <w:p w14:paraId="2AFBD307" w14:textId="77777777" w:rsidR="008D461D" w:rsidRPr="00BC0511" w:rsidRDefault="008D461D">
            <w:pPr>
              <w:pStyle w:val="TableText0"/>
              <w:jc w:val="center"/>
            </w:pPr>
            <w:r w:rsidRPr="00BC0511">
              <w:t>1.06 (0.78, 1.44)</w:t>
            </w:r>
          </w:p>
        </w:tc>
      </w:tr>
      <w:tr w:rsidR="008D461D" w:rsidRPr="00E20031" w14:paraId="3354C1FE" w14:textId="77777777">
        <w:trPr>
          <w:cantSplit/>
        </w:trPr>
        <w:tc>
          <w:tcPr>
            <w:tcW w:w="1177" w:type="pct"/>
            <w:vAlign w:val="center"/>
          </w:tcPr>
          <w:p w14:paraId="12F4A682" w14:textId="77777777" w:rsidR="008D461D" w:rsidRPr="00E20031" w:rsidRDefault="008D461D">
            <w:pPr>
              <w:pStyle w:val="TableText0"/>
              <w:rPr>
                <w:b/>
                <w:bCs w:val="0"/>
              </w:rPr>
            </w:pPr>
            <w:r w:rsidRPr="00E20031">
              <w:t>SAEs</w:t>
            </w:r>
          </w:p>
        </w:tc>
        <w:tc>
          <w:tcPr>
            <w:tcW w:w="1021" w:type="pct"/>
            <w:vAlign w:val="center"/>
          </w:tcPr>
          <w:p w14:paraId="4EA47236" w14:textId="77777777" w:rsidR="008D461D" w:rsidRPr="00E20031" w:rsidRDefault="008D461D">
            <w:pPr>
              <w:pStyle w:val="TableText0"/>
              <w:jc w:val="center"/>
              <w:rPr>
                <w:b/>
                <w:bCs w:val="0"/>
              </w:rPr>
            </w:pPr>
            <w:r w:rsidRPr="00E20031">
              <w:t xml:space="preserve">112/414 (27.1) </w:t>
            </w:r>
          </w:p>
        </w:tc>
        <w:tc>
          <w:tcPr>
            <w:tcW w:w="943" w:type="pct"/>
            <w:vAlign w:val="center"/>
          </w:tcPr>
          <w:p w14:paraId="15BE692C" w14:textId="77777777" w:rsidR="008D461D" w:rsidRPr="00E20031" w:rsidRDefault="008D461D">
            <w:pPr>
              <w:pStyle w:val="TableText0"/>
              <w:jc w:val="center"/>
              <w:rPr>
                <w:b/>
                <w:bCs w:val="0"/>
              </w:rPr>
            </w:pPr>
            <w:r w:rsidRPr="00E20031">
              <w:t xml:space="preserve">54/206 (26.2) </w:t>
            </w:r>
          </w:p>
        </w:tc>
        <w:tc>
          <w:tcPr>
            <w:tcW w:w="944" w:type="pct"/>
            <w:vAlign w:val="center"/>
          </w:tcPr>
          <w:p w14:paraId="44D57182" w14:textId="78E35D70" w:rsidR="008D461D" w:rsidRPr="00BC0511" w:rsidRDefault="008D461D">
            <w:pPr>
              <w:pStyle w:val="TableText0"/>
              <w:jc w:val="center"/>
              <w:rPr>
                <w:b/>
                <w:bCs w:val="0"/>
              </w:rPr>
            </w:pPr>
            <w:r w:rsidRPr="00BC0511">
              <w:t>0.01 (</w:t>
            </w:r>
            <w:r w:rsidR="00397B07">
              <w:noBreakHyphen/>
            </w:r>
            <w:r w:rsidRPr="00BC0511">
              <w:t>0.07, 0.08)</w:t>
            </w:r>
          </w:p>
        </w:tc>
        <w:tc>
          <w:tcPr>
            <w:tcW w:w="915" w:type="pct"/>
            <w:vAlign w:val="center"/>
          </w:tcPr>
          <w:p w14:paraId="4B706EBA" w14:textId="77777777" w:rsidR="008D461D" w:rsidRPr="00BC0511" w:rsidRDefault="008D461D">
            <w:pPr>
              <w:pStyle w:val="TableText0"/>
              <w:jc w:val="center"/>
            </w:pPr>
            <w:r w:rsidRPr="00BC0511">
              <w:t>1.03 (0.78, 1.36)</w:t>
            </w:r>
          </w:p>
        </w:tc>
      </w:tr>
      <w:tr w:rsidR="008D461D" w:rsidRPr="00E20031" w14:paraId="69606033" w14:textId="77777777">
        <w:trPr>
          <w:cantSplit/>
        </w:trPr>
        <w:tc>
          <w:tcPr>
            <w:tcW w:w="0" w:type="auto"/>
            <w:gridSpan w:val="5"/>
            <w:vAlign w:val="center"/>
          </w:tcPr>
          <w:p w14:paraId="55A300BE" w14:textId="77777777" w:rsidR="008D461D" w:rsidRPr="00BC0511" w:rsidRDefault="008D461D">
            <w:pPr>
              <w:pStyle w:val="TableText0"/>
              <w:rPr>
                <w:b/>
                <w:bCs w:val="0"/>
              </w:rPr>
            </w:pPr>
            <w:r w:rsidRPr="00BC0511">
              <w:t>AEs of special interest in study eye</w:t>
            </w:r>
          </w:p>
        </w:tc>
      </w:tr>
      <w:tr w:rsidR="008D461D" w:rsidRPr="00E20031" w14:paraId="78868777" w14:textId="77777777">
        <w:trPr>
          <w:cantSplit/>
        </w:trPr>
        <w:tc>
          <w:tcPr>
            <w:tcW w:w="1177" w:type="pct"/>
            <w:vAlign w:val="center"/>
          </w:tcPr>
          <w:p w14:paraId="315762F0" w14:textId="77777777" w:rsidR="008D461D" w:rsidRPr="00E20031" w:rsidRDefault="008D461D">
            <w:pPr>
              <w:pStyle w:val="TableText0"/>
              <w:rPr>
                <w:b/>
                <w:bCs w:val="0"/>
              </w:rPr>
            </w:pPr>
            <w:r w:rsidRPr="00E20031">
              <w:t>nAMD</w:t>
            </w:r>
          </w:p>
        </w:tc>
        <w:tc>
          <w:tcPr>
            <w:tcW w:w="1021" w:type="pct"/>
            <w:vAlign w:val="center"/>
          </w:tcPr>
          <w:p w14:paraId="007B65F0" w14:textId="77777777" w:rsidR="008D461D" w:rsidRPr="00E20031" w:rsidRDefault="008D461D">
            <w:pPr>
              <w:pStyle w:val="TableText0"/>
              <w:jc w:val="center"/>
              <w:rPr>
                <w:b/>
                <w:bCs w:val="0"/>
              </w:rPr>
            </w:pPr>
            <w:r w:rsidRPr="00E20031">
              <w:t>31/414 (7.5)</w:t>
            </w:r>
          </w:p>
        </w:tc>
        <w:tc>
          <w:tcPr>
            <w:tcW w:w="943" w:type="pct"/>
            <w:vAlign w:val="center"/>
          </w:tcPr>
          <w:p w14:paraId="19024603" w14:textId="77777777" w:rsidR="008D461D" w:rsidRPr="00E20031" w:rsidRDefault="008D461D">
            <w:pPr>
              <w:pStyle w:val="TableText0"/>
              <w:jc w:val="center"/>
              <w:rPr>
                <w:b/>
                <w:bCs w:val="0"/>
              </w:rPr>
            </w:pPr>
            <w:r w:rsidRPr="00E20031">
              <w:t>5/206 (2.4)</w:t>
            </w:r>
          </w:p>
        </w:tc>
        <w:tc>
          <w:tcPr>
            <w:tcW w:w="944" w:type="pct"/>
            <w:vAlign w:val="center"/>
          </w:tcPr>
          <w:p w14:paraId="07449FCF" w14:textId="77777777" w:rsidR="008D461D" w:rsidRPr="00BC0511" w:rsidRDefault="008D461D">
            <w:pPr>
              <w:pStyle w:val="TableText0"/>
              <w:jc w:val="center"/>
              <w:rPr>
                <w:b/>
                <w:bCs w:val="0"/>
              </w:rPr>
            </w:pPr>
            <w:r w:rsidRPr="00BC0511">
              <w:rPr>
                <w:b/>
                <w:bCs w:val="0"/>
              </w:rPr>
              <w:t>0.05 (0.02, 0.08)</w:t>
            </w:r>
          </w:p>
        </w:tc>
        <w:tc>
          <w:tcPr>
            <w:tcW w:w="915" w:type="pct"/>
            <w:vAlign w:val="center"/>
          </w:tcPr>
          <w:p w14:paraId="6EB38873" w14:textId="77777777" w:rsidR="008D461D" w:rsidRPr="00BC0511" w:rsidRDefault="008D461D">
            <w:pPr>
              <w:pStyle w:val="TableText0"/>
              <w:jc w:val="center"/>
              <w:rPr>
                <w:b/>
                <w:bCs w:val="0"/>
              </w:rPr>
            </w:pPr>
            <w:r w:rsidRPr="00BC0511">
              <w:rPr>
                <w:b/>
                <w:bCs w:val="0"/>
              </w:rPr>
              <w:t>3.09 (1.22, 7.81)</w:t>
            </w:r>
          </w:p>
        </w:tc>
      </w:tr>
      <w:tr w:rsidR="008D461D" w:rsidRPr="00E20031" w14:paraId="0E7E9CB8" w14:textId="77777777">
        <w:trPr>
          <w:cantSplit/>
        </w:trPr>
        <w:tc>
          <w:tcPr>
            <w:tcW w:w="1177" w:type="pct"/>
            <w:vAlign w:val="center"/>
          </w:tcPr>
          <w:p w14:paraId="5C07E72D" w14:textId="77777777" w:rsidR="008D461D" w:rsidRPr="00E20031" w:rsidRDefault="008D461D">
            <w:pPr>
              <w:pStyle w:val="TableText0"/>
              <w:rPr>
                <w:b/>
                <w:bCs w:val="0"/>
              </w:rPr>
            </w:pPr>
            <w:r w:rsidRPr="00E20031">
              <w:t>Increased IOP</w:t>
            </w:r>
          </w:p>
        </w:tc>
        <w:tc>
          <w:tcPr>
            <w:tcW w:w="1021" w:type="pct"/>
            <w:vAlign w:val="center"/>
          </w:tcPr>
          <w:p w14:paraId="363C886F" w14:textId="77777777" w:rsidR="008D461D" w:rsidRPr="00E20031" w:rsidRDefault="008D461D">
            <w:pPr>
              <w:pStyle w:val="TableText0"/>
              <w:jc w:val="center"/>
              <w:rPr>
                <w:b/>
                <w:bCs w:val="0"/>
              </w:rPr>
            </w:pPr>
            <w:r w:rsidRPr="00E20031">
              <w:t>7/414 (1.7)</w:t>
            </w:r>
          </w:p>
        </w:tc>
        <w:tc>
          <w:tcPr>
            <w:tcW w:w="943" w:type="pct"/>
            <w:vAlign w:val="center"/>
          </w:tcPr>
          <w:p w14:paraId="4B4AD10E" w14:textId="77777777" w:rsidR="008D461D" w:rsidRPr="00E20031" w:rsidRDefault="008D461D">
            <w:pPr>
              <w:pStyle w:val="TableText0"/>
              <w:jc w:val="center"/>
              <w:rPr>
                <w:b/>
                <w:bCs w:val="0"/>
              </w:rPr>
            </w:pPr>
            <w:r w:rsidRPr="00E20031">
              <w:t>3/206 (1.5)</w:t>
            </w:r>
          </w:p>
        </w:tc>
        <w:tc>
          <w:tcPr>
            <w:tcW w:w="944" w:type="pct"/>
            <w:vAlign w:val="center"/>
          </w:tcPr>
          <w:p w14:paraId="1042F1E9" w14:textId="0ADD7DFE" w:rsidR="008D461D" w:rsidRPr="00BC0511" w:rsidRDefault="008D461D">
            <w:pPr>
              <w:pStyle w:val="TableText0"/>
              <w:jc w:val="center"/>
              <w:rPr>
                <w:b/>
                <w:bCs w:val="0"/>
              </w:rPr>
            </w:pPr>
            <w:r w:rsidRPr="00BC0511">
              <w:t>0.01 (</w:t>
            </w:r>
            <w:r w:rsidR="00397B07">
              <w:noBreakHyphen/>
            </w:r>
            <w:r w:rsidRPr="00BC0511">
              <w:t>0.02, 0.02)</w:t>
            </w:r>
          </w:p>
        </w:tc>
        <w:tc>
          <w:tcPr>
            <w:tcW w:w="915" w:type="pct"/>
            <w:vAlign w:val="center"/>
          </w:tcPr>
          <w:p w14:paraId="734739BA" w14:textId="77777777" w:rsidR="008D461D" w:rsidRPr="00BC0511" w:rsidRDefault="008D461D">
            <w:pPr>
              <w:pStyle w:val="TableText0"/>
              <w:jc w:val="center"/>
            </w:pPr>
            <w:r w:rsidRPr="00BC0511">
              <w:t>1.16 (0.30, 4.44)</w:t>
            </w:r>
          </w:p>
        </w:tc>
      </w:tr>
      <w:tr w:rsidR="008D461D" w:rsidRPr="00E20031" w14:paraId="40EC42DC" w14:textId="77777777">
        <w:trPr>
          <w:cantSplit/>
        </w:trPr>
        <w:tc>
          <w:tcPr>
            <w:tcW w:w="1177" w:type="pct"/>
            <w:vAlign w:val="center"/>
          </w:tcPr>
          <w:p w14:paraId="2A4EF3F8" w14:textId="77777777" w:rsidR="008D461D" w:rsidRPr="00E20031" w:rsidRDefault="008D461D">
            <w:pPr>
              <w:pStyle w:val="TableText0"/>
              <w:rPr>
                <w:b/>
                <w:bCs w:val="0"/>
              </w:rPr>
            </w:pPr>
            <w:r w:rsidRPr="00E20031">
              <w:t>Intraocular inflammation</w:t>
            </w:r>
          </w:p>
        </w:tc>
        <w:tc>
          <w:tcPr>
            <w:tcW w:w="1021" w:type="pct"/>
            <w:vAlign w:val="center"/>
          </w:tcPr>
          <w:p w14:paraId="31F2429E" w14:textId="77777777" w:rsidR="008D461D" w:rsidRPr="00E20031" w:rsidRDefault="008D461D">
            <w:pPr>
              <w:pStyle w:val="TableText0"/>
              <w:jc w:val="center"/>
              <w:rPr>
                <w:b/>
                <w:bCs w:val="0"/>
              </w:rPr>
            </w:pPr>
            <w:r w:rsidRPr="00E20031">
              <w:t>11/414 (2.7)</w:t>
            </w:r>
          </w:p>
        </w:tc>
        <w:tc>
          <w:tcPr>
            <w:tcW w:w="943" w:type="pct"/>
            <w:vAlign w:val="center"/>
          </w:tcPr>
          <w:p w14:paraId="35F272DA" w14:textId="77777777" w:rsidR="008D461D" w:rsidRPr="00E20031" w:rsidRDefault="008D461D">
            <w:pPr>
              <w:pStyle w:val="TableText0"/>
              <w:jc w:val="center"/>
              <w:rPr>
                <w:b/>
                <w:bCs w:val="0"/>
              </w:rPr>
            </w:pPr>
            <w:r w:rsidRPr="00E20031">
              <w:t>0/206 (0)</w:t>
            </w:r>
          </w:p>
        </w:tc>
        <w:tc>
          <w:tcPr>
            <w:tcW w:w="944" w:type="pct"/>
            <w:vAlign w:val="center"/>
          </w:tcPr>
          <w:p w14:paraId="312CEBAA" w14:textId="77777777" w:rsidR="008D461D" w:rsidRPr="00BC0511" w:rsidRDefault="008D461D">
            <w:pPr>
              <w:pStyle w:val="TableText0"/>
              <w:jc w:val="center"/>
              <w:rPr>
                <w:b/>
                <w:bCs w:val="0"/>
              </w:rPr>
            </w:pPr>
            <w:r w:rsidRPr="00BC0511">
              <w:rPr>
                <w:b/>
                <w:bCs w:val="0"/>
              </w:rPr>
              <w:t>0.03 (0.01, 0.04)</w:t>
            </w:r>
          </w:p>
        </w:tc>
        <w:tc>
          <w:tcPr>
            <w:tcW w:w="915" w:type="pct"/>
            <w:vAlign w:val="center"/>
          </w:tcPr>
          <w:p w14:paraId="2359A3C3" w14:textId="58321719" w:rsidR="008D461D" w:rsidRPr="00BC0511" w:rsidRDefault="00397B07">
            <w:pPr>
              <w:pStyle w:val="TableText0"/>
              <w:jc w:val="center"/>
            </w:pPr>
            <w:r>
              <w:noBreakHyphen/>
            </w:r>
          </w:p>
        </w:tc>
      </w:tr>
      <w:tr w:rsidR="008D461D" w:rsidRPr="00E20031" w14:paraId="1C0FB613" w14:textId="77777777">
        <w:trPr>
          <w:cantSplit/>
        </w:trPr>
        <w:tc>
          <w:tcPr>
            <w:tcW w:w="1177" w:type="pct"/>
            <w:vAlign w:val="center"/>
          </w:tcPr>
          <w:p w14:paraId="42CDD5A7" w14:textId="77777777" w:rsidR="008D461D" w:rsidRPr="00E20031" w:rsidRDefault="008D461D">
            <w:pPr>
              <w:pStyle w:val="TableText0"/>
              <w:rPr>
                <w:b/>
                <w:bCs w:val="0"/>
              </w:rPr>
            </w:pPr>
            <w:r w:rsidRPr="00E20031">
              <w:t>Endophthalmitis</w:t>
            </w:r>
          </w:p>
        </w:tc>
        <w:tc>
          <w:tcPr>
            <w:tcW w:w="1021" w:type="pct"/>
            <w:vAlign w:val="center"/>
          </w:tcPr>
          <w:p w14:paraId="6D8A3870" w14:textId="77777777" w:rsidR="008D461D" w:rsidRPr="00E20031" w:rsidRDefault="008D461D">
            <w:pPr>
              <w:pStyle w:val="TableText0"/>
              <w:jc w:val="center"/>
              <w:rPr>
                <w:b/>
                <w:bCs w:val="0"/>
              </w:rPr>
            </w:pPr>
            <w:r w:rsidRPr="00E20031">
              <w:t>0/414 (0)</w:t>
            </w:r>
          </w:p>
        </w:tc>
        <w:tc>
          <w:tcPr>
            <w:tcW w:w="943" w:type="pct"/>
            <w:vAlign w:val="center"/>
          </w:tcPr>
          <w:p w14:paraId="6AA4198B" w14:textId="77777777" w:rsidR="008D461D" w:rsidRPr="00E20031" w:rsidRDefault="008D461D">
            <w:pPr>
              <w:pStyle w:val="TableText0"/>
              <w:jc w:val="center"/>
              <w:rPr>
                <w:b/>
                <w:bCs w:val="0"/>
              </w:rPr>
            </w:pPr>
            <w:r w:rsidRPr="00E20031">
              <w:t>0/206 (0)</w:t>
            </w:r>
          </w:p>
        </w:tc>
        <w:tc>
          <w:tcPr>
            <w:tcW w:w="944" w:type="pct"/>
            <w:vAlign w:val="center"/>
          </w:tcPr>
          <w:p w14:paraId="3474E940" w14:textId="4CC297A0" w:rsidR="008D461D" w:rsidRPr="00BC0511" w:rsidRDefault="00397B07">
            <w:pPr>
              <w:pStyle w:val="TableText0"/>
              <w:jc w:val="center"/>
              <w:rPr>
                <w:b/>
                <w:bCs w:val="0"/>
              </w:rPr>
            </w:pPr>
            <w:r>
              <w:noBreakHyphen/>
            </w:r>
          </w:p>
        </w:tc>
        <w:tc>
          <w:tcPr>
            <w:tcW w:w="915" w:type="pct"/>
            <w:vAlign w:val="center"/>
          </w:tcPr>
          <w:p w14:paraId="04250A7B" w14:textId="0894EF79" w:rsidR="008D461D" w:rsidRPr="00BC0511" w:rsidRDefault="00397B07">
            <w:pPr>
              <w:pStyle w:val="TableText0"/>
              <w:jc w:val="center"/>
            </w:pPr>
            <w:r>
              <w:noBreakHyphen/>
            </w:r>
          </w:p>
        </w:tc>
      </w:tr>
      <w:tr w:rsidR="008D461D" w:rsidRPr="00E20031" w14:paraId="6ACE635C" w14:textId="77777777">
        <w:trPr>
          <w:cantSplit/>
        </w:trPr>
        <w:tc>
          <w:tcPr>
            <w:tcW w:w="1177" w:type="pct"/>
            <w:vAlign w:val="center"/>
          </w:tcPr>
          <w:p w14:paraId="21C8C2E2" w14:textId="77777777" w:rsidR="008D461D" w:rsidRPr="00E20031" w:rsidRDefault="008D461D">
            <w:pPr>
              <w:pStyle w:val="TableText0"/>
              <w:rPr>
                <w:b/>
                <w:bCs w:val="0"/>
              </w:rPr>
            </w:pPr>
            <w:r w:rsidRPr="00E20031">
              <w:t>AEs related to treatment</w:t>
            </w:r>
          </w:p>
        </w:tc>
        <w:tc>
          <w:tcPr>
            <w:tcW w:w="1021" w:type="pct"/>
            <w:vAlign w:val="center"/>
          </w:tcPr>
          <w:p w14:paraId="2DE9129F" w14:textId="77777777" w:rsidR="008D461D" w:rsidRPr="00E20031" w:rsidRDefault="008D461D">
            <w:pPr>
              <w:pStyle w:val="TableText0"/>
              <w:jc w:val="center"/>
              <w:rPr>
                <w:b/>
                <w:bCs w:val="0"/>
              </w:rPr>
            </w:pPr>
            <w:r w:rsidRPr="00E20031">
              <w:t xml:space="preserve">50/414 (12.1) </w:t>
            </w:r>
          </w:p>
        </w:tc>
        <w:tc>
          <w:tcPr>
            <w:tcW w:w="943" w:type="pct"/>
            <w:vAlign w:val="center"/>
          </w:tcPr>
          <w:p w14:paraId="617C3247" w14:textId="77777777" w:rsidR="008D461D" w:rsidRPr="00E20031" w:rsidRDefault="008D461D">
            <w:pPr>
              <w:pStyle w:val="TableText0"/>
              <w:jc w:val="center"/>
              <w:rPr>
                <w:b/>
                <w:bCs w:val="0"/>
              </w:rPr>
            </w:pPr>
            <w:r w:rsidRPr="00E20031">
              <w:t xml:space="preserve">8/206 (3.9) </w:t>
            </w:r>
          </w:p>
        </w:tc>
        <w:tc>
          <w:tcPr>
            <w:tcW w:w="944" w:type="pct"/>
            <w:vAlign w:val="center"/>
          </w:tcPr>
          <w:p w14:paraId="74A1C9CC" w14:textId="77777777" w:rsidR="008D461D" w:rsidRPr="00BC0511" w:rsidRDefault="008D461D">
            <w:pPr>
              <w:pStyle w:val="TableText0"/>
              <w:jc w:val="center"/>
              <w:rPr>
                <w:b/>
                <w:bCs w:val="0"/>
              </w:rPr>
            </w:pPr>
            <w:r w:rsidRPr="00BC0511">
              <w:rPr>
                <w:b/>
                <w:bCs w:val="0"/>
              </w:rPr>
              <w:t>0.08 (0.04, 0.12)</w:t>
            </w:r>
          </w:p>
        </w:tc>
        <w:tc>
          <w:tcPr>
            <w:tcW w:w="915" w:type="pct"/>
            <w:vAlign w:val="center"/>
          </w:tcPr>
          <w:p w14:paraId="7DC7888C" w14:textId="77777777" w:rsidR="008D461D" w:rsidRPr="00BC0511" w:rsidRDefault="008D461D">
            <w:pPr>
              <w:pStyle w:val="TableText0"/>
              <w:jc w:val="center"/>
              <w:rPr>
                <w:b/>
                <w:bCs w:val="0"/>
              </w:rPr>
            </w:pPr>
            <w:r w:rsidRPr="00BC0511">
              <w:rPr>
                <w:b/>
                <w:bCs w:val="0"/>
              </w:rPr>
              <w:t>3.11 (1.50, 6.44)</w:t>
            </w:r>
          </w:p>
        </w:tc>
      </w:tr>
      <w:tr w:rsidR="008D461D" w:rsidRPr="00E20031" w14:paraId="4093EBFD" w14:textId="77777777">
        <w:trPr>
          <w:cantSplit/>
        </w:trPr>
        <w:tc>
          <w:tcPr>
            <w:tcW w:w="1177" w:type="pct"/>
            <w:vAlign w:val="center"/>
          </w:tcPr>
          <w:p w14:paraId="0AC6AE0C" w14:textId="77777777" w:rsidR="008D461D" w:rsidRPr="00E20031" w:rsidRDefault="008D461D">
            <w:pPr>
              <w:pStyle w:val="TableText0"/>
              <w:rPr>
                <w:b/>
                <w:bCs w:val="0"/>
              </w:rPr>
            </w:pPr>
            <w:r w:rsidRPr="00E20031">
              <w:t>AEs related to injection procedure</w:t>
            </w:r>
          </w:p>
        </w:tc>
        <w:tc>
          <w:tcPr>
            <w:tcW w:w="1021" w:type="pct"/>
            <w:vAlign w:val="center"/>
          </w:tcPr>
          <w:p w14:paraId="030FABF3" w14:textId="77777777" w:rsidR="008D461D" w:rsidRPr="00E20031" w:rsidRDefault="008D461D">
            <w:pPr>
              <w:pStyle w:val="TableText0"/>
              <w:jc w:val="center"/>
              <w:rPr>
                <w:b/>
                <w:bCs w:val="0"/>
              </w:rPr>
            </w:pPr>
            <w:r w:rsidRPr="00E20031">
              <w:t xml:space="preserve">92/414 (22.2) </w:t>
            </w:r>
          </w:p>
        </w:tc>
        <w:tc>
          <w:tcPr>
            <w:tcW w:w="943" w:type="pct"/>
            <w:vAlign w:val="center"/>
          </w:tcPr>
          <w:p w14:paraId="0B44357D" w14:textId="77777777" w:rsidR="008D461D" w:rsidRPr="00E20031" w:rsidRDefault="008D461D">
            <w:pPr>
              <w:pStyle w:val="TableText0"/>
              <w:jc w:val="center"/>
              <w:rPr>
                <w:b/>
                <w:bCs w:val="0"/>
              </w:rPr>
            </w:pPr>
            <w:r w:rsidRPr="00E20031">
              <w:t xml:space="preserve">32/206 (15.5) </w:t>
            </w:r>
          </w:p>
        </w:tc>
        <w:tc>
          <w:tcPr>
            <w:tcW w:w="944" w:type="pct"/>
            <w:vAlign w:val="center"/>
          </w:tcPr>
          <w:p w14:paraId="52C4B655" w14:textId="77777777" w:rsidR="008D461D" w:rsidRPr="00BC0511" w:rsidRDefault="008D461D">
            <w:pPr>
              <w:pStyle w:val="TableText0"/>
              <w:jc w:val="center"/>
              <w:rPr>
                <w:b/>
                <w:bCs w:val="0"/>
              </w:rPr>
            </w:pPr>
            <w:r w:rsidRPr="00BC0511">
              <w:rPr>
                <w:b/>
                <w:bCs w:val="0"/>
              </w:rPr>
              <w:t>0.07 (0.01, 0.13)</w:t>
            </w:r>
          </w:p>
        </w:tc>
        <w:tc>
          <w:tcPr>
            <w:tcW w:w="915" w:type="pct"/>
            <w:vAlign w:val="center"/>
          </w:tcPr>
          <w:p w14:paraId="5F93B502" w14:textId="77777777" w:rsidR="008D461D" w:rsidRPr="00BC0511" w:rsidRDefault="008D461D">
            <w:pPr>
              <w:pStyle w:val="TableText0"/>
              <w:jc w:val="center"/>
            </w:pPr>
            <w:r w:rsidRPr="00BC0511">
              <w:t>1.43 (0.99, 2.06)</w:t>
            </w:r>
          </w:p>
        </w:tc>
      </w:tr>
      <w:tr w:rsidR="008D461D" w:rsidRPr="00E20031" w14:paraId="5E87BE84" w14:textId="77777777">
        <w:trPr>
          <w:cantSplit/>
        </w:trPr>
        <w:tc>
          <w:tcPr>
            <w:tcW w:w="1177" w:type="pct"/>
            <w:vAlign w:val="center"/>
          </w:tcPr>
          <w:p w14:paraId="05D10FB9" w14:textId="77777777" w:rsidR="008D461D" w:rsidRPr="00E20031" w:rsidRDefault="008D461D">
            <w:pPr>
              <w:pStyle w:val="TableText0"/>
              <w:rPr>
                <w:b/>
                <w:bCs w:val="0"/>
              </w:rPr>
            </w:pPr>
            <w:r w:rsidRPr="00E20031">
              <w:t>AEs leading to death</w:t>
            </w:r>
          </w:p>
        </w:tc>
        <w:tc>
          <w:tcPr>
            <w:tcW w:w="1021" w:type="pct"/>
            <w:vAlign w:val="center"/>
          </w:tcPr>
          <w:p w14:paraId="4054D245" w14:textId="77777777" w:rsidR="008D461D" w:rsidRPr="00E20031" w:rsidRDefault="008D461D">
            <w:pPr>
              <w:pStyle w:val="TableText0"/>
              <w:jc w:val="center"/>
              <w:rPr>
                <w:b/>
                <w:bCs w:val="0"/>
              </w:rPr>
            </w:pPr>
            <w:r w:rsidRPr="00E20031">
              <w:t xml:space="preserve">14/414 (3.4) </w:t>
            </w:r>
          </w:p>
        </w:tc>
        <w:tc>
          <w:tcPr>
            <w:tcW w:w="943" w:type="pct"/>
            <w:vAlign w:val="center"/>
          </w:tcPr>
          <w:p w14:paraId="11138566" w14:textId="77777777" w:rsidR="008D461D" w:rsidRPr="00E20031" w:rsidRDefault="008D461D">
            <w:pPr>
              <w:pStyle w:val="TableText0"/>
              <w:jc w:val="center"/>
              <w:rPr>
                <w:b/>
                <w:bCs w:val="0"/>
              </w:rPr>
            </w:pPr>
            <w:r w:rsidRPr="00E20031">
              <w:t xml:space="preserve">8/206 (3.9) </w:t>
            </w:r>
          </w:p>
        </w:tc>
        <w:tc>
          <w:tcPr>
            <w:tcW w:w="944" w:type="pct"/>
            <w:vAlign w:val="center"/>
          </w:tcPr>
          <w:p w14:paraId="34F155D9" w14:textId="75F8C776" w:rsidR="008D461D" w:rsidRPr="00BC0511" w:rsidRDefault="00397B07">
            <w:pPr>
              <w:pStyle w:val="TableText0"/>
              <w:jc w:val="center"/>
              <w:rPr>
                <w:b/>
                <w:bCs w:val="0"/>
              </w:rPr>
            </w:pPr>
            <w:r>
              <w:noBreakHyphen/>
            </w:r>
            <w:r w:rsidR="008D461D" w:rsidRPr="00BC0511">
              <w:t>0.01 (</w:t>
            </w:r>
            <w:r>
              <w:noBreakHyphen/>
            </w:r>
            <w:r w:rsidR="008D461D" w:rsidRPr="00BC0511">
              <w:t>0.04, 0.03)</w:t>
            </w:r>
          </w:p>
        </w:tc>
        <w:tc>
          <w:tcPr>
            <w:tcW w:w="915" w:type="pct"/>
            <w:vAlign w:val="center"/>
          </w:tcPr>
          <w:p w14:paraId="29773DBA" w14:textId="77777777" w:rsidR="008D461D" w:rsidRPr="00BC0511" w:rsidRDefault="008D461D">
            <w:pPr>
              <w:pStyle w:val="TableText0"/>
              <w:jc w:val="center"/>
            </w:pPr>
            <w:r w:rsidRPr="00BC0511">
              <w:t>0.87 (0.37, 2.04)</w:t>
            </w:r>
          </w:p>
        </w:tc>
      </w:tr>
      <w:tr w:rsidR="008D461D" w:rsidRPr="00E20031" w14:paraId="4FC6EA97" w14:textId="77777777">
        <w:trPr>
          <w:cantSplit/>
        </w:trPr>
        <w:tc>
          <w:tcPr>
            <w:tcW w:w="1177" w:type="pct"/>
            <w:vAlign w:val="center"/>
          </w:tcPr>
          <w:p w14:paraId="18A4C5C4" w14:textId="77777777" w:rsidR="008D461D" w:rsidRPr="00E20031" w:rsidRDefault="008D461D">
            <w:pPr>
              <w:pStyle w:val="TableText0"/>
              <w:rPr>
                <w:b/>
                <w:bCs w:val="0"/>
              </w:rPr>
            </w:pPr>
            <w:r w:rsidRPr="00E20031">
              <w:t>AEs leading to treatment discontinuation</w:t>
            </w:r>
          </w:p>
        </w:tc>
        <w:tc>
          <w:tcPr>
            <w:tcW w:w="1021" w:type="pct"/>
            <w:vAlign w:val="center"/>
          </w:tcPr>
          <w:p w14:paraId="0443B4B1" w14:textId="77777777" w:rsidR="008D461D" w:rsidRPr="00E20031" w:rsidRDefault="008D461D">
            <w:pPr>
              <w:pStyle w:val="TableText0"/>
              <w:jc w:val="center"/>
              <w:rPr>
                <w:b/>
                <w:bCs w:val="0"/>
              </w:rPr>
            </w:pPr>
            <w:r w:rsidRPr="00E20031">
              <w:t xml:space="preserve">30/414 (7.2) </w:t>
            </w:r>
          </w:p>
        </w:tc>
        <w:tc>
          <w:tcPr>
            <w:tcW w:w="943" w:type="pct"/>
            <w:vAlign w:val="center"/>
          </w:tcPr>
          <w:p w14:paraId="34779E87" w14:textId="77777777" w:rsidR="008D461D" w:rsidRPr="00E20031" w:rsidRDefault="008D461D">
            <w:pPr>
              <w:pStyle w:val="TableText0"/>
              <w:jc w:val="center"/>
              <w:rPr>
                <w:b/>
                <w:bCs w:val="0"/>
              </w:rPr>
            </w:pPr>
            <w:r w:rsidRPr="00E20031">
              <w:t xml:space="preserve">14/206 (6.8) </w:t>
            </w:r>
          </w:p>
        </w:tc>
        <w:tc>
          <w:tcPr>
            <w:tcW w:w="944" w:type="pct"/>
            <w:vAlign w:val="center"/>
          </w:tcPr>
          <w:p w14:paraId="6C096BAB" w14:textId="45E767E0" w:rsidR="008D461D" w:rsidRPr="00BC0511" w:rsidRDefault="008D461D">
            <w:pPr>
              <w:pStyle w:val="TableText0"/>
              <w:jc w:val="center"/>
              <w:rPr>
                <w:b/>
                <w:bCs w:val="0"/>
              </w:rPr>
            </w:pPr>
            <w:r w:rsidRPr="00BC0511">
              <w:t>0.01 (</w:t>
            </w:r>
            <w:r w:rsidR="00397B07">
              <w:noBreakHyphen/>
            </w:r>
            <w:r w:rsidRPr="00BC0511">
              <w:t>0.04, 0.05)</w:t>
            </w:r>
          </w:p>
        </w:tc>
        <w:tc>
          <w:tcPr>
            <w:tcW w:w="915" w:type="pct"/>
            <w:vAlign w:val="center"/>
          </w:tcPr>
          <w:p w14:paraId="40747C07" w14:textId="77777777" w:rsidR="008D461D" w:rsidRPr="00BC0511" w:rsidRDefault="008D461D">
            <w:pPr>
              <w:pStyle w:val="TableText0"/>
              <w:jc w:val="center"/>
            </w:pPr>
            <w:r w:rsidRPr="00BC0511">
              <w:t>1.07 (0.58, 1.97)</w:t>
            </w:r>
          </w:p>
        </w:tc>
      </w:tr>
      <w:tr w:rsidR="008D461D" w:rsidRPr="00E20031" w14:paraId="1FAC43C1" w14:textId="77777777">
        <w:trPr>
          <w:cantSplit/>
        </w:trPr>
        <w:tc>
          <w:tcPr>
            <w:tcW w:w="1177" w:type="pct"/>
            <w:vAlign w:val="center"/>
          </w:tcPr>
          <w:p w14:paraId="1D2278BA" w14:textId="77777777" w:rsidR="008D461D" w:rsidRPr="00E20031" w:rsidRDefault="008D461D">
            <w:pPr>
              <w:pStyle w:val="TableText0"/>
              <w:rPr>
                <w:b/>
                <w:bCs w:val="0"/>
              </w:rPr>
            </w:pPr>
            <w:r w:rsidRPr="00E20031">
              <w:t>AEs leading to study discontinuation</w:t>
            </w:r>
          </w:p>
        </w:tc>
        <w:tc>
          <w:tcPr>
            <w:tcW w:w="1021" w:type="pct"/>
            <w:vAlign w:val="center"/>
          </w:tcPr>
          <w:p w14:paraId="4E7E3131" w14:textId="77777777" w:rsidR="008D461D" w:rsidRPr="00E20031" w:rsidRDefault="008D461D">
            <w:pPr>
              <w:pStyle w:val="TableText0"/>
              <w:jc w:val="center"/>
              <w:rPr>
                <w:b/>
                <w:bCs w:val="0"/>
              </w:rPr>
            </w:pPr>
            <w:r w:rsidRPr="00E20031">
              <w:t xml:space="preserve">28/414 (6.8) </w:t>
            </w:r>
          </w:p>
        </w:tc>
        <w:tc>
          <w:tcPr>
            <w:tcW w:w="943" w:type="pct"/>
            <w:vAlign w:val="center"/>
          </w:tcPr>
          <w:p w14:paraId="5A31F26D" w14:textId="77777777" w:rsidR="008D461D" w:rsidRPr="00E20031" w:rsidRDefault="008D461D">
            <w:pPr>
              <w:pStyle w:val="TableText0"/>
              <w:jc w:val="center"/>
              <w:rPr>
                <w:b/>
                <w:bCs w:val="0"/>
              </w:rPr>
            </w:pPr>
            <w:r w:rsidRPr="00E20031">
              <w:t xml:space="preserve">15/206 (7.3) </w:t>
            </w:r>
          </w:p>
        </w:tc>
        <w:tc>
          <w:tcPr>
            <w:tcW w:w="944" w:type="pct"/>
            <w:vAlign w:val="center"/>
          </w:tcPr>
          <w:p w14:paraId="492E2054" w14:textId="2BD9FBC3" w:rsidR="008D461D" w:rsidRPr="00BC0511" w:rsidRDefault="00397B07">
            <w:pPr>
              <w:pStyle w:val="TableText0"/>
              <w:jc w:val="center"/>
              <w:rPr>
                <w:b/>
                <w:bCs w:val="0"/>
              </w:rPr>
            </w:pPr>
            <w:r>
              <w:noBreakHyphen/>
            </w:r>
            <w:r w:rsidR="008D461D" w:rsidRPr="00BC0511">
              <w:t>0.01 (</w:t>
            </w:r>
            <w:r>
              <w:noBreakHyphen/>
            </w:r>
            <w:r w:rsidR="008D461D" w:rsidRPr="00BC0511">
              <w:t>0.05, 0.04)</w:t>
            </w:r>
          </w:p>
        </w:tc>
        <w:tc>
          <w:tcPr>
            <w:tcW w:w="915" w:type="pct"/>
            <w:vAlign w:val="center"/>
          </w:tcPr>
          <w:p w14:paraId="099B2377" w14:textId="77777777" w:rsidR="008D461D" w:rsidRPr="00BC0511" w:rsidRDefault="008D461D">
            <w:pPr>
              <w:pStyle w:val="TableText0"/>
              <w:jc w:val="center"/>
            </w:pPr>
            <w:r w:rsidRPr="00BC0511">
              <w:t>0.93 (0.51, 1.70)</w:t>
            </w:r>
          </w:p>
        </w:tc>
      </w:tr>
      <w:tr w:rsidR="008D461D" w:rsidRPr="00E20031" w14:paraId="3697CD16" w14:textId="77777777">
        <w:trPr>
          <w:cantSplit/>
        </w:trPr>
        <w:tc>
          <w:tcPr>
            <w:tcW w:w="4085" w:type="pct"/>
            <w:gridSpan w:val="4"/>
            <w:vAlign w:val="center"/>
          </w:tcPr>
          <w:p w14:paraId="2EB00D72" w14:textId="77777777" w:rsidR="008D461D" w:rsidRPr="00BC0511" w:rsidRDefault="008D461D">
            <w:pPr>
              <w:pStyle w:val="TableText0"/>
              <w:rPr>
                <w:b/>
                <w:bCs w:val="0"/>
              </w:rPr>
            </w:pPr>
            <w:r w:rsidRPr="00BC0511">
              <w:rPr>
                <w:b/>
                <w:bCs w:val="0"/>
              </w:rPr>
              <w:t>OAKS</w:t>
            </w:r>
          </w:p>
        </w:tc>
        <w:tc>
          <w:tcPr>
            <w:tcW w:w="915" w:type="pct"/>
            <w:vAlign w:val="center"/>
          </w:tcPr>
          <w:p w14:paraId="33008916" w14:textId="77777777" w:rsidR="008D461D" w:rsidRPr="00BC0511" w:rsidRDefault="008D461D">
            <w:pPr>
              <w:pStyle w:val="TableText0"/>
              <w:rPr>
                <w:b/>
                <w:bCs w:val="0"/>
              </w:rPr>
            </w:pPr>
          </w:p>
        </w:tc>
      </w:tr>
      <w:tr w:rsidR="008D461D" w:rsidRPr="00E20031" w14:paraId="4CF120BB" w14:textId="77777777">
        <w:trPr>
          <w:cantSplit/>
        </w:trPr>
        <w:tc>
          <w:tcPr>
            <w:tcW w:w="1177" w:type="pct"/>
            <w:vAlign w:val="center"/>
          </w:tcPr>
          <w:p w14:paraId="78A39264" w14:textId="77777777" w:rsidR="008D461D" w:rsidRPr="00E20031" w:rsidRDefault="008D461D">
            <w:pPr>
              <w:pStyle w:val="TableText0"/>
              <w:rPr>
                <w:b/>
                <w:bCs w:val="0"/>
              </w:rPr>
            </w:pPr>
            <w:r w:rsidRPr="00E20031">
              <w:t>All AEs</w:t>
            </w:r>
          </w:p>
        </w:tc>
        <w:tc>
          <w:tcPr>
            <w:tcW w:w="1021" w:type="pct"/>
            <w:vAlign w:val="center"/>
          </w:tcPr>
          <w:p w14:paraId="3633F885" w14:textId="77777777" w:rsidR="008D461D" w:rsidRPr="00E20031" w:rsidRDefault="008D461D">
            <w:pPr>
              <w:pStyle w:val="TableText0"/>
              <w:jc w:val="center"/>
              <w:rPr>
                <w:b/>
                <w:bCs w:val="0"/>
              </w:rPr>
            </w:pPr>
            <w:r w:rsidRPr="00E20031">
              <w:t>379/425 (89.2)</w:t>
            </w:r>
          </w:p>
        </w:tc>
        <w:tc>
          <w:tcPr>
            <w:tcW w:w="943" w:type="pct"/>
            <w:vAlign w:val="center"/>
          </w:tcPr>
          <w:p w14:paraId="02D1D944" w14:textId="77777777" w:rsidR="008D461D" w:rsidRPr="00E20031" w:rsidRDefault="008D461D">
            <w:pPr>
              <w:pStyle w:val="TableText0"/>
              <w:jc w:val="center"/>
              <w:rPr>
                <w:b/>
                <w:bCs w:val="0"/>
              </w:rPr>
            </w:pPr>
            <w:r w:rsidRPr="00E20031">
              <w:t>175/211 (82.9)</w:t>
            </w:r>
          </w:p>
        </w:tc>
        <w:tc>
          <w:tcPr>
            <w:tcW w:w="944" w:type="pct"/>
            <w:vAlign w:val="center"/>
          </w:tcPr>
          <w:p w14:paraId="4788BC1A" w14:textId="77777777" w:rsidR="008D461D" w:rsidRPr="00BC0511" w:rsidRDefault="008D461D">
            <w:pPr>
              <w:pStyle w:val="TableText0"/>
              <w:jc w:val="center"/>
              <w:rPr>
                <w:b/>
                <w:bCs w:val="0"/>
              </w:rPr>
            </w:pPr>
            <w:r w:rsidRPr="00BC0511">
              <w:rPr>
                <w:b/>
                <w:bCs w:val="0"/>
              </w:rPr>
              <w:t>0.06 (0.01, 0.12)</w:t>
            </w:r>
          </w:p>
        </w:tc>
        <w:tc>
          <w:tcPr>
            <w:tcW w:w="915" w:type="pct"/>
            <w:vAlign w:val="center"/>
          </w:tcPr>
          <w:p w14:paraId="63A50657" w14:textId="77777777" w:rsidR="008D461D" w:rsidRPr="00BC0511" w:rsidRDefault="008D461D">
            <w:pPr>
              <w:pStyle w:val="TableText0"/>
              <w:jc w:val="center"/>
              <w:rPr>
                <w:b/>
                <w:bCs w:val="0"/>
              </w:rPr>
            </w:pPr>
            <w:r w:rsidRPr="00BC0511">
              <w:rPr>
                <w:b/>
                <w:bCs w:val="0"/>
              </w:rPr>
              <w:t>1.08 (1.00, 1.15)</w:t>
            </w:r>
          </w:p>
        </w:tc>
      </w:tr>
      <w:tr w:rsidR="008D461D" w:rsidRPr="00E20031" w14:paraId="0A4D7BE4" w14:textId="77777777">
        <w:trPr>
          <w:cantSplit/>
        </w:trPr>
        <w:tc>
          <w:tcPr>
            <w:tcW w:w="1177" w:type="pct"/>
            <w:vAlign w:val="center"/>
          </w:tcPr>
          <w:p w14:paraId="598179B4" w14:textId="12C326BA" w:rsidR="008D461D" w:rsidRPr="00E20031" w:rsidRDefault="008D461D">
            <w:pPr>
              <w:pStyle w:val="TableText0"/>
              <w:rPr>
                <w:b/>
                <w:bCs w:val="0"/>
              </w:rPr>
            </w:pPr>
            <w:r w:rsidRPr="00E20031">
              <w:t>Study eye</w:t>
            </w:r>
            <w:r w:rsidR="00A01FA4">
              <w:t xml:space="preserve"> AEs</w:t>
            </w:r>
          </w:p>
        </w:tc>
        <w:tc>
          <w:tcPr>
            <w:tcW w:w="1021" w:type="pct"/>
            <w:vAlign w:val="center"/>
          </w:tcPr>
          <w:p w14:paraId="5726CB13" w14:textId="77777777" w:rsidR="008D461D" w:rsidRPr="00E20031" w:rsidRDefault="008D461D">
            <w:pPr>
              <w:pStyle w:val="TableText0"/>
              <w:jc w:val="center"/>
              <w:rPr>
                <w:b/>
                <w:bCs w:val="0"/>
              </w:rPr>
            </w:pPr>
            <w:r w:rsidRPr="00E20031">
              <w:t>256/425 (60.2)</w:t>
            </w:r>
          </w:p>
        </w:tc>
        <w:tc>
          <w:tcPr>
            <w:tcW w:w="943" w:type="pct"/>
            <w:vAlign w:val="center"/>
          </w:tcPr>
          <w:p w14:paraId="06498C32" w14:textId="77777777" w:rsidR="008D461D" w:rsidRPr="00E20031" w:rsidRDefault="008D461D">
            <w:pPr>
              <w:pStyle w:val="TableText0"/>
              <w:jc w:val="center"/>
              <w:rPr>
                <w:b/>
                <w:bCs w:val="0"/>
              </w:rPr>
            </w:pPr>
            <w:r w:rsidRPr="00E20031">
              <w:t>98/211 (46.4)</w:t>
            </w:r>
          </w:p>
        </w:tc>
        <w:tc>
          <w:tcPr>
            <w:tcW w:w="944" w:type="pct"/>
            <w:vAlign w:val="center"/>
          </w:tcPr>
          <w:p w14:paraId="4E940A0B" w14:textId="77777777" w:rsidR="008D461D" w:rsidRPr="00BC0511" w:rsidRDefault="008D461D">
            <w:pPr>
              <w:pStyle w:val="TableText0"/>
              <w:jc w:val="center"/>
              <w:rPr>
                <w:b/>
                <w:bCs w:val="0"/>
              </w:rPr>
            </w:pPr>
            <w:r w:rsidRPr="00BC0511">
              <w:rPr>
                <w:b/>
                <w:bCs w:val="0"/>
              </w:rPr>
              <w:t>0.14 (0.06, 0.22)</w:t>
            </w:r>
          </w:p>
        </w:tc>
        <w:tc>
          <w:tcPr>
            <w:tcW w:w="915" w:type="pct"/>
            <w:vAlign w:val="center"/>
          </w:tcPr>
          <w:p w14:paraId="20522476" w14:textId="77777777" w:rsidR="008D461D" w:rsidRPr="00BC0511" w:rsidRDefault="008D461D">
            <w:pPr>
              <w:pStyle w:val="TableText0"/>
              <w:jc w:val="center"/>
              <w:rPr>
                <w:b/>
                <w:bCs w:val="0"/>
              </w:rPr>
            </w:pPr>
            <w:r w:rsidRPr="00BC0511">
              <w:rPr>
                <w:b/>
                <w:bCs w:val="0"/>
              </w:rPr>
              <w:t xml:space="preserve">1.30 (1.10, 1.52) </w:t>
            </w:r>
          </w:p>
        </w:tc>
      </w:tr>
      <w:tr w:rsidR="008D461D" w:rsidRPr="00E20031" w14:paraId="4EFBDE61" w14:textId="77777777">
        <w:trPr>
          <w:cantSplit/>
        </w:trPr>
        <w:tc>
          <w:tcPr>
            <w:tcW w:w="1177" w:type="pct"/>
            <w:vAlign w:val="center"/>
          </w:tcPr>
          <w:p w14:paraId="59969612" w14:textId="0DFE74BF" w:rsidR="008D461D" w:rsidRPr="00E20031" w:rsidRDefault="008D461D">
            <w:pPr>
              <w:pStyle w:val="TableText0"/>
              <w:rPr>
                <w:b/>
                <w:bCs w:val="0"/>
              </w:rPr>
            </w:pPr>
            <w:r w:rsidRPr="00E20031">
              <w:t>Fellow eye</w:t>
            </w:r>
            <w:r w:rsidR="00A01FA4">
              <w:t xml:space="preserve"> AEs</w:t>
            </w:r>
          </w:p>
        </w:tc>
        <w:tc>
          <w:tcPr>
            <w:tcW w:w="1021" w:type="pct"/>
            <w:vAlign w:val="center"/>
          </w:tcPr>
          <w:p w14:paraId="01080BE1" w14:textId="77777777" w:rsidR="008D461D" w:rsidRPr="00E20031" w:rsidRDefault="008D461D">
            <w:pPr>
              <w:pStyle w:val="TableText0"/>
              <w:jc w:val="center"/>
              <w:rPr>
                <w:b/>
                <w:bCs w:val="0"/>
              </w:rPr>
            </w:pPr>
            <w:r w:rsidRPr="00E20031">
              <w:t>180/425 (42.4)</w:t>
            </w:r>
          </w:p>
        </w:tc>
        <w:tc>
          <w:tcPr>
            <w:tcW w:w="943" w:type="pct"/>
            <w:vAlign w:val="center"/>
          </w:tcPr>
          <w:p w14:paraId="2CBC7A53" w14:textId="77777777" w:rsidR="008D461D" w:rsidRPr="00E20031" w:rsidRDefault="008D461D">
            <w:pPr>
              <w:pStyle w:val="TableText0"/>
              <w:jc w:val="center"/>
              <w:rPr>
                <w:b/>
                <w:bCs w:val="0"/>
              </w:rPr>
            </w:pPr>
            <w:r w:rsidRPr="00E20031">
              <w:t>94/211 (44.5)</w:t>
            </w:r>
          </w:p>
        </w:tc>
        <w:tc>
          <w:tcPr>
            <w:tcW w:w="944" w:type="pct"/>
            <w:vAlign w:val="center"/>
          </w:tcPr>
          <w:p w14:paraId="55AD95D9" w14:textId="34D9649C" w:rsidR="008D461D" w:rsidRPr="00BC0511" w:rsidRDefault="00397B07">
            <w:pPr>
              <w:pStyle w:val="TableText0"/>
              <w:jc w:val="center"/>
              <w:rPr>
                <w:b/>
                <w:bCs w:val="0"/>
              </w:rPr>
            </w:pPr>
            <w:r>
              <w:noBreakHyphen/>
            </w:r>
            <w:r w:rsidR="008D461D" w:rsidRPr="00BC0511">
              <w:t>0.02 (</w:t>
            </w:r>
            <w:r>
              <w:noBreakHyphen/>
            </w:r>
            <w:r w:rsidR="008D461D" w:rsidRPr="00BC0511">
              <w:t>0.10, 0.06)</w:t>
            </w:r>
          </w:p>
        </w:tc>
        <w:tc>
          <w:tcPr>
            <w:tcW w:w="915" w:type="pct"/>
            <w:vAlign w:val="center"/>
          </w:tcPr>
          <w:p w14:paraId="7F5A870C" w14:textId="77777777" w:rsidR="008D461D" w:rsidRPr="00BC0511" w:rsidRDefault="008D461D">
            <w:pPr>
              <w:pStyle w:val="TableText0"/>
              <w:jc w:val="center"/>
            </w:pPr>
            <w:r w:rsidRPr="00BC0511">
              <w:t>0.95 (0.79, 1.15)</w:t>
            </w:r>
          </w:p>
        </w:tc>
      </w:tr>
      <w:tr w:rsidR="008D461D" w:rsidRPr="00E20031" w14:paraId="108CE92E" w14:textId="77777777">
        <w:trPr>
          <w:cantSplit/>
        </w:trPr>
        <w:tc>
          <w:tcPr>
            <w:tcW w:w="1177" w:type="pct"/>
            <w:vAlign w:val="center"/>
          </w:tcPr>
          <w:p w14:paraId="2F8F155E" w14:textId="6DB753CF" w:rsidR="008D461D" w:rsidRPr="00E20031" w:rsidRDefault="008D461D">
            <w:pPr>
              <w:pStyle w:val="TableText0"/>
              <w:rPr>
                <w:b/>
                <w:bCs w:val="0"/>
              </w:rPr>
            </w:pPr>
            <w:r w:rsidRPr="00E20031">
              <w:t>Non</w:t>
            </w:r>
            <w:r w:rsidR="00397B07">
              <w:noBreakHyphen/>
            </w:r>
            <w:r w:rsidRPr="00E20031">
              <w:t>ocular</w:t>
            </w:r>
          </w:p>
        </w:tc>
        <w:tc>
          <w:tcPr>
            <w:tcW w:w="1021" w:type="pct"/>
            <w:vAlign w:val="center"/>
          </w:tcPr>
          <w:p w14:paraId="1F3380BB" w14:textId="77777777" w:rsidR="008D461D" w:rsidRPr="00E20031" w:rsidRDefault="008D461D">
            <w:pPr>
              <w:pStyle w:val="TableText0"/>
              <w:jc w:val="center"/>
              <w:rPr>
                <w:b/>
                <w:bCs w:val="0"/>
              </w:rPr>
            </w:pPr>
            <w:r w:rsidRPr="00E20031">
              <w:t>339/425 (79.8)</w:t>
            </w:r>
          </w:p>
        </w:tc>
        <w:tc>
          <w:tcPr>
            <w:tcW w:w="943" w:type="pct"/>
            <w:vAlign w:val="center"/>
          </w:tcPr>
          <w:p w14:paraId="15DE47A6" w14:textId="77777777" w:rsidR="008D461D" w:rsidRPr="00E20031" w:rsidRDefault="008D461D">
            <w:pPr>
              <w:pStyle w:val="TableText0"/>
              <w:jc w:val="center"/>
              <w:rPr>
                <w:b/>
                <w:bCs w:val="0"/>
              </w:rPr>
            </w:pPr>
            <w:r w:rsidRPr="00E20031">
              <w:t>154/211 (73.0)</w:t>
            </w:r>
          </w:p>
        </w:tc>
        <w:tc>
          <w:tcPr>
            <w:tcW w:w="944" w:type="pct"/>
            <w:vAlign w:val="center"/>
          </w:tcPr>
          <w:p w14:paraId="0B6F6A3F" w14:textId="69354972" w:rsidR="008D461D" w:rsidRPr="00BC0511" w:rsidRDefault="008D461D">
            <w:pPr>
              <w:pStyle w:val="TableText0"/>
              <w:jc w:val="center"/>
              <w:rPr>
                <w:b/>
                <w:bCs w:val="0"/>
              </w:rPr>
            </w:pPr>
            <w:r w:rsidRPr="00BC0511">
              <w:t>0.07 (</w:t>
            </w:r>
            <w:r w:rsidR="00397B07">
              <w:noBreakHyphen/>
            </w:r>
            <w:r w:rsidRPr="00BC0511">
              <w:t>0.01, 0.14)</w:t>
            </w:r>
          </w:p>
        </w:tc>
        <w:tc>
          <w:tcPr>
            <w:tcW w:w="915" w:type="pct"/>
            <w:vAlign w:val="center"/>
          </w:tcPr>
          <w:p w14:paraId="4C4BBC8A" w14:textId="77777777" w:rsidR="008D461D" w:rsidRPr="00BC0511" w:rsidRDefault="008D461D">
            <w:pPr>
              <w:pStyle w:val="TableText0"/>
              <w:jc w:val="center"/>
            </w:pPr>
            <w:r w:rsidRPr="00BC0511">
              <w:t>1.09 (0.99, 1.20)</w:t>
            </w:r>
          </w:p>
        </w:tc>
      </w:tr>
      <w:tr w:rsidR="008D461D" w:rsidRPr="00E20031" w14:paraId="3883DF70" w14:textId="77777777">
        <w:trPr>
          <w:cantSplit/>
        </w:trPr>
        <w:tc>
          <w:tcPr>
            <w:tcW w:w="0" w:type="auto"/>
            <w:gridSpan w:val="5"/>
            <w:vAlign w:val="center"/>
          </w:tcPr>
          <w:p w14:paraId="08DA4489" w14:textId="77777777" w:rsidR="008D461D" w:rsidRPr="00BC0511" w:rsidRDefault="008D461D">
            <w:pPr>
              <w:pStyle w:val="TableText0"/>
              <w:rPr>
                <w:b/>
                <w:bCs w:val="0"/>
              </w:rPr>
            </w:pPr>
            <w:r w:rsidRPr="00BC0511">
              <w:t>AE severity</w:t>
            </w:r>
          </w:p>
        </w:tc>
      </w:tr>
      <w:tr w:rsidR="008D461D" w:rsidRPr="00E20031" w14:paraId="5F027E91" w14:textId="77777777">
        <w:trPr>
          <w:cantSplit/>
        </w:trPr>
        <w:tc>
          <w:tcPr>
            <w:tcW w:w="1177" w:type="pct"/>
            <w:vAlign w:val="center"/>
          </w:tcPr>
          <w:p w14:paraId="361F90D9" w14:textId="77777777" w:rsidR="008D461D" w:rsidRPr="00E20031" w:rsidRDefault="008D461D">
            <w:pPr>
              <w:pStyle w:val="TableText0"/>
              <w:rPr>
                <w:b/>
                <w:bCs w:val="0"/>
              </w:rPr>
            </w:pPr>
            <w:r w:rsidRPr="00E20031">
              <w:t>Mild</w:t>
            </w:r>
          </w:p>
        </w:tc>
        <w:tc>
          <w:tcPr>
            <w:tcW w:w="1021" w:type="pct"/>
            <w:vAlign w:val="center"/>
          </w:tcPr>
          <w:p w14:paraId="7404A168" w14:textId="77777777" w:rsidR="008D461D" w:rsidRPr="00E20031" w:rsidRDefault="008D461D">
            <w:pPr>
              <w:pStyle w:val="TableText0"/>
              <w:jc w:val="center"/>
              <w:rPr>
                <w:b/>
                <w:bCs w:val="0"/>
              </w:rPr>
            </w:pPr>
            <w:r w:rsidRPr="00E20031">
              <w:t>100/425 (23.5)</w:t>
            </w:r>
          </w:p>
        </w:tc>
        <w:tc>
          <w:tcPr>
            <w:tcW w:w="943" w:type="pct"/>
            <w:vAlign w:val="center"/>
          </w:tcPr>
          <w:p w14:paraId="70B1050B" w14:textId="77777777" w:rsidR="008D461D" w:rsidRPr="00E20031" w:rsidRDefault="008D461D">
            <w:pPr>
              <w:pStyle w:val="TableText0"/>
              <w:jc w:val="center"/>
              <w:rPr>
                <w:b/>
                <w:bCs w:val="0"/>
              </w:rPr>
            </w:pPr>
            <w:r w:rsidRPr="00E20031">
              <w:t>56/211 (26.5)</w:t>
            </w:r>
          </w:p>
        </w:tc>
        <w:tc>
          <w:tcPr>
            <w:tcW w:w="944" w:type="pct"/>
            <w:vAlign w:val="center"/>
          </w:tcPr>
          <w:p w14:paraId="521B7759" w14:textId="746A0F73" w:rsidR="008D461D" w:rsidRPr="00BC0511" w:rsidRDefault="00397B07">
            <w:pPr>
              <w:pStyle w:val="TableText0"/>
              <w:jc w:val="center"/>
              <w:rPr>
                <w:b/>
                <w:bCs w:val="0"/>
              </w:rPr>
            </w:pPr>
            <w:r>
              <w:noBreakHyphen/>
            </w:r>
            <w:r w:rsidR="008D461D" w:rsidRPr="00BC0511">
              <w:t>0.03 (</w:t>
            </w:r>
            <w:r>
              <w:noBreakHyphen/>
            </w:r>
            <w:r w:rsidR="008D461D" w:rsidRPr="00BC0511">
              <w:t>0.10, 0.042)</w:t>
            </w:r>
          </w:p>
        </w:tc>
        <w:tc>
          <w:tcPr>
            <w:tcW w:w="915" w:type="pct"/>
            <w:vAlign w:val="center"/>
          </w:tcPr>
          <w:p w14:paraId="02BE7105" w14:textId="77777777" w:rsidR="008D461D" w:rsidRPr="00BC0511" w:rsidRDefault="008D461D">
            <w:pPr>
              <w:pStyle w:val="TableText0"/>
              <w:jc w:val="center"/>
            </w:pPr>
            <w:r w:rsidRPr="00BC0511">
              <w:t>0.89 (0.67, 1.18)</w:t>
            </w:r>
          </w:p>
        </w:tc>
      </w:tr>
      <w:tr w:rsidR="008D461D" w:rsidRPr="00E20031" w14:paraId="4D96D280" w14:textId="77777777">
        <w:trPr>
          <w:cantSplit/>
        </w:trPr>
        <w:tc>
          <w:tcPr>
            <w:tcW w:w="1177" w:type="pct"/>
            <w:vAlign w:val="center"/>
          </w:tcPr>
          <w:p w14:paraId="7DBE71E4" w14:textId="77777777" w:rsidR="008D461D" w:rsidRPr="00E20031" w:rsidRDefault="008D461D">
            <w:pPr>
              <w:pStyle w:val="TableText0"/>
              <w:rPr>
                <w:b/>
                <w:bCs w:val="0"/>
              </w:rPr>
            </w:pPr>
            <w:r w:rsidRPr="00E20031">
              <w:t>Moderate</w:t>
            </w:r>
          </w:p>
        </w:tc>
        <w:tc>
          <w:tcPr>
            <w:tcW w:w="1021" w:type="pct"/>
            <w:vAlign w:val="center"/>
          </w:tcPr>
          <w:p w14:paraId="0E243A48" w14:textId="77777777" w:rsidR="008D461D" w:rsidRPr="00E20031" w:rsidRDefault="008D461D">
            <w:pPr>
              <w:pStyle w:val="TableText0"/>
              <w:jc w:val="center"/>
              <w:rPr>
                <w:b/>
                <w:bCs w:val="0"/>
              </w:rPr>
            </w:pPr>
            <w:r w:rsidRPr="00E20031">
              <w:t>153/425 (36.0)</w:t>
            </w:r>
          </w:p>
        </w:tc>
        <w:tc>
          <w:tcPr>
            <w:tcW w:w="943" w:type="pct"/>
            <w:vAlign w:val="center"/>
          </w:tcPr>
          <w:p w14:paraId="1EDC98C7" w14:textId="77777777" w:rsidR="008D461D" w:rsidRPr="00E20031" w:rsidRDefault="008D461D">
            <w:pPr>
              <w:pStyle w:val="TableText0"/>
              <w:jc w:val="center"/>
              <w:rPr>
                <w:b/>
                <w:bCs w:val="0"/>
              </w:rPr>
            </w:pPr>
            <w:r w:rsidRPr="00E20031">
              <w:t>75/211 (35.5)</w:t>
            </w:r>
          </w:p>
        </w:tc>
        <w:tc>
          <w:tcPr>
            <w:tcW w:w="944" w:type="pct"/>
            <w:vAlign w:val="center"/>
          </w:tcPr>
          <w:p w14:paraId="0FDDBBC0" w14:textId="5409EA61" w:rsidR="008D461D" w:rsidRPr="00BC0511" w:rsidRDefault="008D461D">
            <w:pPr>
              <w:pStyle w:val="TableText0"/>
              <w:jc w:val="center"/>
              <w:rPr>
                <w:b/>
                <w:bCs w:val="0"/>
              </w:rPr>
            </w:pPr>
            <w:r w:rsidRPr="00BC0511">
              <w:t>0.01 (</w:t>
            </w:r>
            <w:r w:rsidR="00397B07">
              <w:noBreakHyphen/>
            </w:r>
            <w:r w:rsidRPr="00BC0511">
              <w:t>0.08, 0.08)</w:t>
            </w:r>
          </w:p>
        </w:tc>
        <w:tc>
          <w:tcPr>
            <w:tcW w:w="915" w:type="pct"/>
            <w:vAlign w:val="center"/>
          </w:tcPr>
          <w:p w14:paraId="487863BB" w14:textId="77777777" w:rsidR="008D461D" w:rsidRPr="00BC0511" w:rsidRDefault="008D461D">
            <w:pPr>
              <w:pStyle w:val="TableText0"/>
              <w:jc w:val="center"/>
            </w:pPr>
            <w:r w:rsidRPr="00BC0511">
              <w:t>1.01 (0.81, 1.26)</w:t>
            </w:r>
          </w:p>
        </w:tc>
      </w:tr>
      <w:tr w:rsidR="008D461D" w:rsidRPr="00E20031" w14:paraId="434E18DA" w14:textId="77777777">
        <w:trPr>
          <w:cantSplit/>
        </w:trPr>
        <w:tc>
          <w:tcPr>
            <w:tcW w:w="1177" w:type="pct"/>
            <w:vAlign w:val="center"/>
          </w:tcPr>
          <w:p w14:paraId="2E1662F9" w14:textId="77777777" w:rsidR="008D461D" w:rsidRPr="00E20031" w:rsidRDefault="008D461D">
            <w:pPr>
              <w:pStyle w:val="TableText0"/>
              <w:rPr>
                <w:b/>
                <w:bCs w:val="0"/>
              </w:rPr>
            </w:pPr>
            <w:r w:rsidRPr="00E20031">
              <w:t>Severe</w:t>
            </w:r>
          </w:p>
        </w:tc>
        <w:tc>
          <w:tcPr>
            <w:tcW w:w="1021" w:type="pct"/>
            <w:vAlign w:val="center"/>
          </w:tcPr>
          <w:p w14:paraId="2BDFC892" w14:textId="77777777" w:rsidR="008D461D" w:rsidRPr="00E20031" w:rsidRDefault="008D461D">
            <w:pPr>
              <w:pStyle w:val="TableText0"/>
              <w:jc w:val="center"/>
              <w:rPr>
                <w:b/>
                <w:bCs w:val="0"/>
              </w:rPr>
            </w:pPr>
            <w:r w:rsidRPr="00E20031">
              <w:t>126/425 (29.6)</w:t>
            </w:r>
          </w:p>
        </w:tc>
        <w:tc>
          <w:tcPr>
            <w:tcW w:w="943" w:type="pct"/>
            <w:vAlign w:val="center"/>
          </w:tcPr>
          <w:p w14:paraId="431E41E9" w14:textId="77777777" w:rsidR="008D461D" w:rsidRPr="00E20031" w:rsidRDefault="008D461D">
            <w:pPr>
              <w:pStyle w:val="TableText0"/>
              <w:jc w:val="center"/>
              <w:rPr>
                <w:b/>
                <w:bCs w:val="0"/>
              </w:rPr>
            </w:pPr>
            <w:r w:rsidRPr="00E20031">
              <w:t>44/211 (20.9)</w:t>
            </w:r>
          </w:p>
        </w:tc>
        <w:tc>
          <w:tcPr>
            <w:tcW w:w="944" w:type="pct"/>
            <w:vAlign w:val="center"/>
          </w:tcPr>
          <w:p w14:paraId="7AD35C4F" w14:textId="77777777" w:rsidR="008D461D" w:rsidRPr="00BC0511" w:rsidRDefault="008D461D">
            <w:pPr>
              <w:pStyle w:val="TableText0"/>
              <w:jc w:val="center"/>
              <w:rPr>
                <w:b/>
                <w:bCs w:val="0"/>
              </w:rPr>
            </w:pPr>
            <w:r w:rsidRPr="00BC0511">
              <w:rPr>
                <w:b/>
                <w:bCs w:val="0"/>
              </w:rPr>
              <w:t>0.09 (0.02, 0.16)</w:t>
            </w:r>
          </w:p>
        </w:tc>
        <w:tc>
          <w:tcPr>
            <w:tcW w:w="915" w:type="pct"/>
            <w:vAlign w:val="center"/>
          </w:tcPr>
          <w:p w14:paraId="19894CA5" w14:textId="77777777" w:rsidR="008D461D" w:rsidRPr="00BC0511" w:rsidRDefault="008D461D">
            <w:pPr>
              <w:pStyle w:val="TableText0"/>
              <w:jc w:val="center"/>
              <w:rPr>
                <w:b/>
                <w:bCs w:val="0"/>
              </w:rPr>
            </w:pPr>
            <w:r w:rsidRPr="00BC0511">
              <w:rPr>
                <w:b/>
                <w:bCs w:val="0"/>
              </w:rPr>
              <w:t>1.42 (1.05, 1.92)</w:t>
            </w:r>
          </w:p>
        </w:tc>
      </w:tr>
      <w:tr w:rsidR="008D461D" w:rsidRPr="00E20031" w14:paraId="59628383" w14:textId="77777777">
        <w:trPr>
          <w:cantSplit/>
        </w:trPr>
        <w:tc>
          <w:tcPr>
            <w:tcW w:w="1177" w:type="pct"/>
            <w:vAlign w:val="center"/>
          </w:tcPr>
          <w:p w14:paraId="261C44E7" w14:textId="77777777" w:rsidR="008D461D" w:rsidRPr="00E20031" w:rsidRDefault="008D461D">
            <w:pPr>
              <w:pStyle w:val="TableText0"/>
              <w:rPr>
                <w:b/>
                <w:bCs w:val="0"/>
              </w:rPr>
            </w:pPr>
            <w:r w:rsidRPr="00E20031">
              <w:t>SAEs</w:t>
            </w:r>
          </w:p>
        </w:tc>
        <w:tc>
          <w:tcPr>
            <w:tcW w:w="1021" w:type="pct"/>
            <w:vAlign w:val="center"/>
          </w:tcPr>
          <w:p w14:paraId="258C265D" w14:textId="77777777" w:rsidR="008D461D" w:rsidRPr="00E20031" w:rsidRDefault="008D461D">
            <w:pPr>
              <w:pStyle w:val="TableText0"/>
              <w:jc w:val="center"/>
              <w:rPr>
                <w:b/>
                <w:bCs w:val="0"/>
              </w:rPr>
            </w:pPr>
            <w:r w:rsidRPr="00E20031">
              <w:t xml:space="preserve">141/425 (33.2) </w:t>
            </w:r>
          </w:p>
        </w:tc>
        <w:tc>
          <w:tcPr>
            <w:tcW w:w="943" w:type="pct"/>
            <w:vAlign w:val="center"/>
          </w:tcPr>
          <w:p w14:paraId="0CA88C77" w14:textId="77777777" w:rsidR="008D461D" w:rsidRPr="00E20031" w:rsidRDefault="008D461D">
            <w:pPr>
              <w:pStyle w:val="TableText0"/>
              <w:jc w:val="center"/>
              <w:rPr>
                <w:b/>
                <w:bCs w:val="0"/>
              </w:rPr>
            </w:pPr>
            <w:r w:rsidRPr="00E20031">
              <w:t xml:space="preserve">58/211 (27.5) </w:t>
            </w:r>
          </w:p>
        </w:tc>
        <w:tc>
          <w:tcPr>
            <w:tcW w:w="944" w:type="pct"/>
            <w:vAlign w:val="center"/>
          </w:tcPr>
          <w:p w14:paraId="39215A11" w14:textId="6A8707AF" w:rsidR="008D461D" w:rsidRPr="00BC0511" w:rsidRDefault="008D461D">
            <w:pPr>
              <w:pStyle w:val="TableText0"/>
              <w:jc w:val="center"/>
              <w:rPr>
                <w:b/>
                <w:bCs w:val="0"/>
              </w:rPr>
            </w:pPr>
            <w:r w:rsidRPr="00BC0511">
              <w:t>0.06 (</w:t>
            </w:r>
            <w:r w:rsidR="00397B07">
              <w:noBreakHyphen/>
            </w:r>
            <w:r w:rsidRPr="00BC0511">
              <w:t>0.02, 0.13)</w:t>
            </w:r>
          </w:p>
        </w:tc>
        <w:tc>
          <w:tcPr>
            <w:tcW w:w="915" w:type="pct"/>
            <w:vAlign w:val="center"/>
          </w:tcPr>
          <w:p w14:paraId="4F8917CA" w14:textId="77777777" w:rsidR="008D461D" w:rsidRPr="00BC0511" w:rsidRDefault="008D461D">
            <w:pPr>
              <w:pStyle w:val="TableText0"/>
              <w:jc w:val="center"/>
            </w:pPr>
            <w:r w:rsidRPr="00BC0511">
              <w:t>1.21 (0.93, 1.56)</w:t>
            </w:r>
          </w:p>
        </w:tc>
      </w:tr>
      <w:tr w:rsidR="008D461D" w:rsidRPr="00E20031" w14:paraId="7004E311" w14:textId="77777777">
        <w:trPr>
          <w:cantSplit/>
        </w:trPr>
        <w:tc>
          <w:tcPr>
            <w:tcW w:w="0" w:type="auto"/>
            <w:gridSpan w:val="5"/>
            <w:vAlign w:val="center"/>
          </w:tcPr>
          <w:p w14:paraId="335C1E58" w14:textId="77777777" w:rsidR="008D461D" w:rsidRPr="00BC0511" w:rsidRDefault="008D461D">
            <w:pPr>
              <w:pStyle w:val="TableText0"/>
            </w:pPr>
            <w:r w:rsidRPr="00BC0511">
              <w:t>AEs of special interest in study eye</w:t>
            </w:r>
          </w:p>
        </w:tc>
      </w:tr>
      <w:tr w:rsidR="008D461D" w:rsidRPr="00E20031" w14:paraId="6DEA0933" w14:textId="77777777">
        <w:trPr>
          <w:cantSplit/>
        </w:trPr>
        <w:tc>
          <w:tcPr>
            <w:tcW w:w="1177" w:type="pct"/>
            <w:vAlign w:val="center"/>
          </w:tcPr>
          <w:p w14:paraId="0687FFDC" w14:textId="77777777" w:rsidR="008D461D" w:rsidRPr="00E20031" w:rsidRDefault="008D461D">
            <w:pPr>
              <w:pStyle w:val="TableText0"/>
              <w:rPr>
                <w:b/>
                <w:bCs w:val="0"/>
              </w:rPr>
            </w:pPr>
            <w:r w:rsidRPr="00E20031">
              <w:t>nAMD</w:t>
            </w:r>
          </w:p>
        </w:tc>
        <w:tc>
          <w:tcPr>
            <w:tcW w:w="1021" w:type="pct"/>
            <w:vAlign w:val="center"/>
          </w:tcPr>
          <w:p w14:paraId="2A6F57FD" w14:textId="77777777" w:rsidR="008D461D" w:rsidRPr="00E20031" w:rsidRDefault="008D461D">
            <w:pPr>
              <w:pStyle w:val="TableText0"/>
              <w:jc w:val="center"/>
              <w:rPr>
                <w:b/>
                <w:bCs w:val="0"/>
              </w:rPr>
            </w:pPr>
            <w:r w:rsidRPr="00E20031">
              <w:t>34/425 (8.0)</w:t>
            </w:r>
          </w:p>
        </w:tc>
        <w:tc>
          <w:tcPr>
            <w:tcW w:w="943" w:type="pct"/>
            <w:vAlign w:val="center"/>
          </w:tcPr>
          <w:p w14:paraId="0C8F602D" w14:textId="77777777" w:rsidR="008D461D" w:rsidRPr="00E20031" w:rsidRDefault="008D461D">
            <w:pPr>
              <w:pStyle w:val="TableText0"/>
              <w:jc w:val="center"/>
              <w:rPr>
                <w:b/>
                <w:bCs w:val="0"/>
              </w:rPr>
            </w:pPr>
            <w:r w:rsidRPr="00E20031">
              <w:t xml:space="preserve">3/211 (1.4) </w:t>
            </w:r>
          </w:p>
        </w:tc>
        <w:tc>
          <w:tcPr>
            <w:tcW w:w="944" w:type="pct"/>
            <w:vAlign w:val="center"/>
          </w:tcPr>
          <w:p w14:paraId="73695AF6" w14:textId="77777777" w:rsidR="008D461D" w:rsidRPr="00BC0511" w:rsidRDefault="008D461D">
            <w:pPr>
              <w:pStyle w:val="TableText0"/>
              <w:jc w:val="center"/>
              <w:rPr>
                <w:b/>
                <w:bCs w:val="0"/>
              </w:rPr>
            </w:pPr>
            <w:r w:rsidRPr="00BC0511">
              <w:rPr>
                <w:b/>
                <w:bCs w:val="0"/>
              </w:rPr>
              <w:t>0.07 (0.04, 0.10)</w:t>
            </w:r>
          </w:p>
        </w:tc>
        <w:tc>
          <w:tcPr>
            <w:tcW w:w="915" w:type="pct"/>
            <w:vAlign w:val="center"/>
          </w:tcPr>
          <w:p w14:paraId="2BD38D8C" w14:textId="77777777" w:rsidR="008D461D" w:rsidRPr="00BC0511" w:rsidRDefault="008D461D">
            <w:pPr>
              <w:pStyle w:val="TableText0"/>
              <w:jc w:val="center"/>
              <w:rPr>
                <w:b/>
                <w:bCs w:val="0"/>
              </w:rPr>
            </w:pPr>
            <w:r w:rsidRPr="00BC0511">
              <w:rPr>
                <w:b/>
                <w:bCs w:val="0"/>
              </w:rPr>
              <w:t>5.63 (1.75, 18.11)</w:t>
            </w:r>
          </w:p>
        </w:tc>
      </w:tr>
      <w:tr w:rsidR="008D461D" w:rsidRPr="00E20031" w14:paraId="09337433" w14:textId="77777777">
        <w:trPr>
          <w:cantSplit/>
        </w:trPr>
        <w:tc>
          <w:tcPr>
            <w:tcW w:w="1177" w:type="pct"/>
            <w:vAlign w:val="center"/>
          </w:tcPr>
          <w:p w14:paraId="466FE575" w14:textId="77777777" w:rsidR="008D461D" w:rsidRPr="00E20031" w:rsidRDefault="008D461D">
            <w:pPr>
              <w:pStyle w:val="TableText0"/>
              <w:rPr>
                <w:b/>
                <w:bCs w:val="0"/>
              </w:rPr>
            </w:pPr>
            <w:r w:rsidRPr="00E20031">
              <w:t>Increased IOP</w:t>
            </w:r>
          </w:p>
        </w:tc>
        <w:tc>
          <w:tcPr>
            <w:tcW w:w="1021" w:type="pct"/>
            <w:vAlign w:val="center"/>
          </w:tcPr>
          <w:p w14:paraId="4DC2A420" w14:textId="77777777" w:rsidR="008D461D" w:rsidRPr="00E20031" w:rsidRDefault="008D461D">
            <w:pPr>
              <w:pStyle w:val="TableText0"/>
              <w:jc w:val="center"/>
              <w:rPr>
                <w:b/>
                <w:bCs w:val="0"/>
              </w:rPr>
            </w:pPr>
            <w:r w:rsidRPr="00E20031">
              <w:t>13/425 (3.1)</w:t>
            </w:r>
          </w:p>
        </w:tc>
        <w:tc>
          <w:tcPr>
            <w:tcW w:w="943" w:type="pct"/>
            <w:vAlign w:val="center"/>
          </w:tcPr>
          <w:p w14:paraId="3F1F4BAC" w14:textId="77777777" w:rsidR="008D461D" w:rsidRPr="00E20031" w:rsidRDefault="008D461D">
            <w:pPr>
              <w:pStyle w:val="TableText0"/>
              <w:jc w:val="center"/>
              <w:rPr>
                <w:b/>
                <w:bCs w:val="0"/>
              </w:rPr>
            </w:pPr>
            <w:r w:rsidRPr="00E20031">
              <w:t>0/211 (0)</w:t>
            </w:r>
          </w:p>
        </w:tc>
        <w:tc>
          <w:tcPr>
            <w:tcW w:w="944" w:type="pct"/>
            <w:vAlign w:val="center"/>
          </w:tcPr>
          <w:p w14:paraId="2EA6DC7A" w14:textId="77777777" w:rsidR="008D461D" w:rsidRPr="00BC0511" w:rsidRDefault="008D461D">
            <w:pPr>
              <w:pStyle w:val="TableText0"/>
              <w:jc w:val="center"/>
              <w:rPr>
                <w:b/>
                <w:bCs w:val="0"/>
              </w:rPr>
            </w:pPr>
            <w:r w:rsidRPr="00BC0511">
              <w:t>0.03 (0.01, 0.05)</w:t>
            </w:r>
          </w:p>
        </w:tc>
        <w:tc>
          <w:tcPr>
            <w:tcW w:w="915" w:type="pct"/>
            <w:vAlign w:val="center"/>
          </w:tcPr>
          <w:p w14:paraId="526509BD" w14:textId="535B6E27" w:rsidR="008D461D" w:rsidRPr="00BC0511" w:rsidRDefault="00397B07">
            <w:pPr>
              <w:pStyle w:val="TableText0"/>
              <w:jc w:val="center"/>
            </w:pPr>
            <w:r>
              <w:noBreakHyphen/>
            </w:r>
          </w:p>
        </w:tc>
      </w:tr>
      <w:tr w:rsidR="008D461D" w:rsidRPr="00E20031" w14:paraId="247C234F" w14:textId="77777777">
        <w:trPr>
          <w:cantSplit/>
        </w:trPr>
        <w:tc>
          <w:tcPr>
            <w:tcW w:w="1177" w:type="pct"/>
            <w:vAlign w:val="center"/>
          </w:tcPr>
          <w:p w14:paraId="15FD8885" w14:textId="77777777" w:rsidR="008D461D" w:rsidRPr="00E20031" w:rsidRDefault="008D461D">
            <w:pPr>
              <w:pStyle w:val="TableText0"/>
              <w:rPr>
                <w:b/>
                <w:bCs w:val="0"/>
              </w:rPr>
            </w:pPr>
            <w:r w:rsidRPr="00E20031">
              <w:t>Intraocular inflammation</w:t>
            </w:r>
          </w:p>
        </w:tc>
        <w:tc>
          <w:tcPr>
            <w:tcW w:w="1021" w:type="pct"/>
            <w:vAlign w:val="center"/>
          </w:tcPr>
          <w:p w14:paraId="3A6B0E70" w14:textId="77777777" w:rsidR="008D461D" w:rsidRPr="00E20031" w:rsidRDefault="008D461D">
            <w:pPr>
              <w:pStyle w:val="TableText0"/>
              <w:jc w:val="center"/>
              <w:rPr>
                <w:b/>
                <w:bCs w:val="0"/>
              </w:rPr>
            </w:pPr>
            <w:r w:rsidRPr="00E20031">
              <w:t>13/425 (3.1)</w:t>
            </w:r>
          </w:p>
        </w:tc>
        <w:tc>
          <w:tcPr>
            <w:tcW w:w="943" w:type="pct"/>
            <w:vAlign w:val="center"/>
          </w:tcPr>
          <w:p w14:paraId="3815BA67" w14:textId="77777777" w:rsidR="008D461D" w:rsidRPr="00E20031" w:rsidRDefault="008D461D">
            <w:pPr>
              <w:pStyle w:val="TableText0"/>
              <w:jc w:val="center"/>
              <w:rPr>
                <w:b/>
                <w:bCs w:val="0"/>
              </w:rPr>
            </w:pPr>
            <w:r w:rsidRPr="00E20031">
              <w:t>1/211 (0.5)</w:t>
            </w:r>
          </w:p>
        </w:tc>
        <w:tc>
          <w:tcPr>
            <w:tcW w:w="944" w:type="pct"/>
            <w:vAlign w:val="center"/>
          </w:tcPr>
          <w:p w14:paraId="349CC17C" w14:textId="77777777" w:rsidR="008D461D" w:rsidRPr="00BC0511" w:rsidRDefault="008D461D">
            <w:pPr>
              <w:pStyle w:val="TableText0"/>
              <w:jc w:val="center"/>
              <w:rPr>
                <w:b/>
                <w:bCs w:val="0"/>
              </w:rPr>
            </w:pPr>
            <w:r w:rsidRPr="00BC0511">
              <w:t>0.03 (0.01, 0.05)</w:t>
            </w:r>
          </w:p>
        </w:tc>
        <w:tc>
          <w:tcPr>
            <w:tcW w:w="915" w:type="pct"/>
            <w:vAlign w:val="center"/>
          </w:tcPr>
          <w:p w14:paraId="7CB77122" w14:textId="77777777" w:rsidR="008D461D" w:rsidRPr="00BC0511" w:rsidRDefault="008D461D">
            <w:pPr>
              <w:pStyle w:val="TableText0"/>
              <w:jc w:val="center"/>
            </w:pPr>
            <w:r w:rsidRPr="00BC0511">
              <w:t>6.45 (0.85, 49.01)</w:t>
            </w:r>
          </w:p>
        </w:tc>
      </w:tr>
      <w:tr w:rsidR="008D461D" w:rsidRPr="00E20031" w14:paraId="24A649AF" w14:textId="77777777">
        <w:trPr>
          <w:cantSplit/>
        </w:trPr>
        <w:tc>
          <w:tcPr>
            <w:tcW w:w="1177" w:type="pct"/>
            <w:vAlign w:val="center"/>
          </w:tcPr>
          <w:p w14:paraId="49634E36" w14:textId="77777777" w:rsidR="008D461D" w:rsidRPr="00E20031" w:rsidRDefault="008D461D">
            <w:pPr>
              <w:pStyle w:val="TableText0"/>
              <w:rPr>
                <w:b/>
                <w:bCs w:val="0"/>
              </w:rPr>
            </w:pPr>
            <w:r w:rsidRPr="00E20031">
              <w:t>Endophthalmitis</w:t>
            </w:r>
          </w:p>
        </w:tc>
        <w:tc>
          <w:tcPr>
            <w:tcW w:w="1021" w:type="pct"/>
            <w:vAlign w:val="center"/>
          </w:tcPr>
          <w:p w14:paraId="01BC5685" w14:textId="77777777" w:rsidR="008D461D" w:rsidRPr="00E20031" w:rsidRDefault="008D461D">
            <w:pPr>
              <w:pStyle w:val="TableText0"/>
              <w:jc w:val="center"/>
              <w:rPr>
                <w:b/>
                <w:bCs w:val="0"/>
              </w:rPr>
            </w:pPr>
            <w:r w:rsidRPr="00E20031">
              <w:t>5/425 (1.2)</w:t>
            </w:r>
          </w:p>
        </w:tc>
        <w:tc>
          <w:tcPr>
            <w:tcW w:w="943" w:type="pct"/>
            <w:vAlign w:val="center"/>
          </w:tcPr>
          <w:p w14:paraId="314FEB2F" w14:textId="77777777" w:rsidR="008D461D" w:rsidRPr="00E20031" w:rsidRDefault="008D461D">
            <w:pPr>
              <w:pStyle w:val="TableText0"/>
              <w:jc w:val="center"/>
              <w:rPr>
                <w:b/>
                <w:bCs w:val="0"/>
              </w:rPr>
            </w:pPr>
            <w:r w:rsidRPr="00E20031">
              <w:t>0/211 (0)</w:t>
            </w:r>
          </w:p>
        </w:tc>
        <w:tc>
          <w:tcPr>
            <w:tcW w:w="944" w:type="pct"/>
            <w:vAlign w:val="center"/>
          </w:tcPr>
          <w:p w14:paraId="61FE2CC3" w14:textId="77777777" w:rsidR="008D461D" w:rsidRPr="00BC0511" w:rsidRDefault="008D461D">
            <w:pPr>
              <w:pStyle w:val="TableText0"/>
              <w:jc w:val="center"/>
              <w:rPr>
                <w:b/>
                <w:bCs w:val="0"/>
              </w:rPr>
            </w:pPr>
            <w:r w:rsidRPr="00BC0511">
              <w:t>0.01 (0.01, 0.022)</w:t>
            </w:r>
          </w:p>
        </w:tc>
        <w:tc>
          <w:tcPr>
            <w:tcW w:w="915" w:type="pct"/>
            <w:vAlign w:val="center"/>
          </w:tcPr>
          <w:p w14:paraId="6F0818A4" w14:textId="3C404687" w:rsidR="008D461D" w:rsidRPr="00BC0511" w:rsidRDefault="00397B07">
            <w:pPr>
              <w:pStyle w:val="TableText0"/>
              <w:jc w:val="center"/>
            </w:pPr>
            <w:r>
              <w:noBreakHyphen/>
            </w:r>
          </w:p>
        </w:tc>
      </w:tr>
      <w:tr w:rsidR="008D461D" w:rsidRPr="00E20031" w14:paraId="6EAC2D5B" w14:textId="77777777">
        <w:trPr>
          <w:cantSplit/>
        </w:trPr>
        <w:tc>
          <w:tcPr>
            <w:tcW w:w="1177" w:type="pct"/>
            <w:vAlign w:val="center"/>
          </w:tcPr>
          <w:p w14:paraId="1A658D07" w14:textId="77777777" w:rsidR="008D461D" w:rsidRPr="00E20031" w:rsidRDefault="008D461D">
            <w:pPr>
              <w:pStyle w:val="TableText0"/>
              <w:rPr>
                <w:b/>
                <w:bCs w:val="0"/>
              </w:rPr>
            </w:pPr>
            <w:r w:rsidRPr="00E20031">
              <w:t>AEs related to treatment</w:t>
            </w:r>
          </w:p>
        </w:tc>
        <w:tc>
          <w:tcPr>
            <w:tcW w:w="1021" w:type="pct"/>
            <w:vAlign w:val="center"/>
          </w:tcPr>
          <w:p w14:paraId="44DFFFD6" w14:textId="77777777" w:rsidR="008D461D" w:rsidRPr="00E20031" w:rsidRDefault="008D461D">
            <w:pPr>
              <w:pStyle w:val="TableText0"/>
              <w:jc w:val="center"/>
              <w:rPr>
                <w:b/>
                <w:bCs w:val="0"/>
              </w:rPr>
            </w:pPr>
            <w:r w:rsidRPr="00E20031">
              <w:t xml:space="preserve">44/425 (10.4) </w:t>
            </w:r>
          </w:p>
        </w:tc>
        <w:tc>
          <w:tcPr>
            <w:tcW w:w="943" w:type="pct"/>
            <w:vAlign w:val="center"/>
          </w:tcPr>
          <w:p w14:paraId="60669AB8" w14:textId="77777777" w:rsidR="008D461D" w:rsidRPr="00E20031" w:rsidRDefault="008D461D">
            <w:pPr>
              <w:pStyle w:val="TableText0"/>
              <w:jc w:val="center"/>
              <w:rPr>
                <w:b/>
                <w:bCs w:val="0"/>
              </w:rPr>
            </w:pPr>
            <w:r w:rsidRPr="00E20031">
              <w:t xml:space="preserve">11/211 (5.2) </w:t>
            </w:r>
          </w:p>
        </w:tc>
        <w:tc>
          <w:tcPr>
            <w:tcW w:w="944" w:type="pct"/>
            <w:vAlign w:val="center"/>
          </w:tcPr>
          <w:p w14:paraId="5B4A66D9" w14:textId="77777777" w:rsidR="008D461D" w:rsidRPr="00BC0511" w:rsidRDefault="008D461D">
            <w:pPr>
              <w:pStyle w:val="TableText0"/>
              <w:jc w:val="center"/>
              <w:rPr>
                <w:b/>
                <w:bCs w:val="0"/>
              </w:rPr>
            </w:pPr>
            <w:r w:rsidRPr="00BC0511">
              <w:rPr>
                <w:b/>
                <w:bCs w:val="0"/>
              </w:rPr>
              <w:t>0.05 (0.01, 0.09)</w:t>
            </w:r>
          </w:p>
        </w:tc>
        <w:tc>
          <w:tcPr>
            <w:tcW w:w="915" w:type="pct"/>
            <w:vAlign w:val="center"/>
          </w:tcPr>
          <w:p w14:paraId="50588326" w14:textId="77777777" w:rsidR="008D461D" w:rsidRPr="00BC0511" w:rsidRDefault="008D461D">
            <w:pPr>
              <w:pStyle w:val="TableText0"/>
              <w:jc w:val="center"/>
              <w:rPr>
                <w:b/>
                <w:bCs w:val="0"/>
              </w:rPr>
            </w:pPr>
            <w:r w:rsidRPr="00BC0511">
              <w:rPr>
                <w:b/>
                <w:bCs w:val="0"/>
              </w:rPr>
              <w:t>1.99 (1.05, 3.77)</w:t>
            </w:r>
          </w:p>
        </w:tc>
      </w:tr>
      <w:tr w:rsidR="008D461D" w:rsidRPr="00E20031" w14:paraId="19B9A7F8" w14:textId="77777777">
        <w:trPr>
          <w:cantSplit/>
        </w:trPr>
        <w:tc>
          <w:tcPr>
            <w:tcW w:w="1177" w:type="pct"/>
            <w:vAlign w:val="center"/>
          </w:tcPr>
          <w:p w14:paraId="5E54F31E" w14:textId="77777777" w:rsidR="008D461D" w:rsidRPr="00E20031" w:rsidRDefault="008D461D">
            <w:pPr>
              <w:pStyle w:val="TableText0"/>
              <w:rPr>
                <w:b/>
                <w:bCs w:val="0"/>
              </w:rPr>
            </w:pPr>
            <w:r w:rsidRPr="00E20031">
              <w:t>AEs related to injection procedure</w:t>
            </w:r>
          </w:p>
        </w:tc>
        <w:tc>
          <w:tcPr>
            <w:tcW w:w="1021" w:type="pct"/>
            <w:vAlign w:val="center"/>
          </w:tcPr>
          <w:p w14:paraId="7BFFB7DC" w14:textId="77777777" w:rsidR="008D461D" w:rsidRPr="00E20031" w:rsidRDefault="008D461D">
            <w:pPr>
              <w:pStyle w:val="TableText0"/>
              <w:jc w:val="center"/>
              <w:rPr>
                <w:b/>
                <w:bCs w:val="0"/>
              </w:rPr>
            </w:pPr>
            <w:r w:rsidRPr="00E20031">
              <w:t xml:space="preserve">112/425 (26.4) </w:t>
            </w:r>
          </w:p>
        </w:tc>
        <w:tc>
          <w:tcPr>
            <w:tcW w:w="943" w:type="pct"/>
            <w:vAlign w:val="center"/>
          </w:tcPr>
          <w:p w14:paraId="1C3D7DB1" w14:textId="77777777" w:rsidR="008D461D" w:rsidRPr="00E20031" w:rsidRDefault="008D461D">
            <w:pPr>
              <w:pStyle w:val="TableText0"/>
              <w:jc w:val="center"/>
              <w:rPr>
                <w:b/>
                <w:bCs w:val="0"/>
              </w:rPr>
            </w:pPr>
            <w:r w:rsidRPr="00E20031">
              <w:t xml:space="preserve">41/211 (19.4) </w:t>
            </w:r>
          </w:p>
        </w:tc>
        <w:tc>
          <w:tcPr>
            <w:tcW w:w="944" w:type="pct"/>
            <w:vAlign w:val="center"/>
          </w:tcPr>
          <w:p w14:paraId="7E0BB20F" w14:textId="77777777" w:rsidR="008D461D" w:rsidRPr="00BC0511" w:rsidRDefault="008D461D">
            <w:pPr>
              <w:pStyle w:val="TableText0"/>
              <w:jc w:val="center"/>
              <w:rPr>
                <w:b/>
                <w:bCs w:val="0"/>
              </w:rPr>
            </w:pPr>
            <w:r w:rsidRPr="00BC0511">
              <w:rPr>
                <w:b/>
                <w:bCs w:val="0"/>
              </w:rPr>
              <w:t>0.07 (0.01, 0.14)</w:t>
            </w:r>
          </w:p>
        </w:tc>
        <w:tc>
          <w:tcPr>
            <w:tcW w:w="915" w:type="pct"/>
            <w:vAlign w:val="center"/>
          </w:tcPr>
          <w:p w14:paraId="21BAE396" w14:textId="77777777" w:rsidR="008D461D" w:rsidRPr="00BC0511" w:rsidRDefault="008D461D">
            <w:pPr>
              <w:pStyle w:val="TableText0"/>
              <w:jc w:val="center"/>
            </w:pPr>
            <w:r w:rsidRPr="00BC0511">
              <w:t>1.36 (0.99, 1.86)</w:t>
            </w:r>
          </w:p>
        </w:tc>
      </w:tr>
      <w:tr w:rsidR="008D461D" w:rsidRPr="00E20031" w14:paraId="538A66D1" w14:textId="77777777">
        <w:trPr>
          <w:cantSplit/>
        </w:trPr>
        <w:tc>
          <w:tcPr>
            <w:tcW w:w="1177" w:type="pct"/>
            <w:vAlign w:val="center"/>
          </w:tcPr>
          <w:p w14:paraId="026D8A99" w14:textId="77777777" w:rsidR="008D461D" w:rsidRPr="00E20031" w:rsidRDefault="008D461D">
            <w:pPr>
              <w:pStyle w:val="TableText0"/>
              <w:rPr>
                <w:b/>
                <w:bCs w:val="0"/>
              </w:rPr>
            </w:pPr>
            <w:r w:rsidRPr="00E20031">
              <w:t>AEs leading to death</w:t>
            </w:r>
          </w:p>
        </w:tc>
        <w:tc>
          <w:tcPr>
            <w:tcW w:w="1021" w:type="pct"/>
            <w:vAlign w:val="center"/>
          </w:tcPr>
          <w:p w14:paraId="3F6AB738" w14:textId="77777777" w:rsidR="008D461D" w:rsidRPr="00E20031" w:rsidRDefault="008D461D">
            <w:pPr>
              <w:pStyle w:val="TableText0"/>
              <w:jc w:val="center"/>
              <w:rPr>
                <w:b/>
                <w:bCs w:val="0"/>
              </w:rPr>
            </w:pPr>
            <w:r w:rsidRPr="00E20031">
              <w:t xml:space="preserve">29/425 (6.8) </w:t>
            </w:r>
          </w:p>
        </w:tc>
        <w:tc>
          <w:tcPr>
            <w:tcW w:w="943" w:type="pct"/>
            <w:vAlign w:val="center"/>
          </w:tcPr>
          <w:p w14:paraId="7C03BC8E" w14:textId="77777777" w:rsidR="008D461D" w:rsidRPr="00E20031" w:rsidRDefault="008D461D">
            <w:pPr>
              <w:pStyle w:val="TableText0"/>
              <w:jc w:val="center"/>
              <w:rPr>
                <w:b/>
                <w:bCs w:val="0"/>
              </w:rPr>
            </w:pPr>
            <w:r w:rsidRPr="00E20031">
              <w:t xml:space="preserve">8/211 (3.8) </w:t>
            </w:r>
          </w:p>
        </w:tc>
        <w:tc>
          <w:tcPr>
            <w:tcW w:w="944" w:type="pct"/>
            <w:vAlign w:val="center"/>
          </w:tcPr>
          <w:p w14:paraId="366582EE" w14:textId="5BDFA34E" w:rsidR="008D461D" w:rsidRPr="00BC0511" w:rsidRDefault="008D461D">
            <w:pPr>
              <w:pStyle w:val="TableText0"/>
              <w:jc w:val="center"/>
              <w:rPr>
                <w:b/>
                <w:bCs w:val="0"/>
              </w:rPr>
            </w:pPr>
            <w:r w:rsidRPr="00BC0511">
              <w:t>0.03 (</w:t>
            </w:r>
            <w:r w:rsidR="00397B07">
              <w:noBreakHyphen/>
            </w:r>
            <w:r w:rsidRPr="00BC0511">
              <w:t>0.01, 0.07)</w:t>
            </w:r>
          </w:p>
        </w:tc>
        <w:tc>
          <w:tcPr>
            <w:tcW w:w="915" w:type="pct"/>
            <w:vAlign w:val="center"/>
          </w:tcPr>
          <w:p w14:paraId="6F5CBB4D" w14:textId="77777777" w:rsidR="008D461D" w:rsidRPr="00BC0511" w:rsidRDefault="008D461D">
            <w:pPr>
              <w:pStyle w:val="TableText0"/>
              <w:jc w:val="center"/>
            </w:pPr>
            <w:r w:rsidRPr="00BC0511">
              <w:t>1.80 (0.84, 3.87)</w:t>
            </w:r>
          </w:p>
        </w:tc>
      </w:tr>
      <w:tr w:rsidR="008D461D" w:rsidRPr="00E20031" w14:paraId="73B7AE04" w14:textId="77777777">
        <w:trPr>
          <w:cantSplit/>
        </w:trPr>
        <w:tc>
          <w:tcPr>
            <w:tcW w:w="1177" w:type="pct"/>
            <w:vAlign w:val="center"/>
          </w:tcPr>
          <w:p w14:paraId="7F9744DA" w14:textId="77777777" w:rsidR="008D461D" w:rsidRPr="00E20031" w:rsidRDefault="008D461D">
            <w:pPr>
              <w:pStyle w:val="TableText0"/>
              <w:rPr>
                <w:b/>
                <w:bCs w:val="0"/>
              </w:rPr>
            </w:pPr>
            <w:r w:rsidRPr="00E20031">
              <w:t>AEs leading to treatment discontinuation</w:t>
            </w:r>
          </w:p>
        </w:tc>
        <w:tc>
          <w:tcPr>
            <w:tcW w:w="1021" w:type="pct"/>
            <w:vAlign w:val="center"/>
          </w:tcPr>
          <w:p w14:paraId="693952BC" w14:textId="77777777" w:rsidR="008D461D" w:rsidRPr="00E20031" w:rsidRDefault="008D461D">
            <w:pPr>
              <w:pStyle w:val="TableText0"/>
              <w:jc w:val="center"/>
              <w:rPr>
                <w:b/>
                <w:bCs w:val="0"/>
              </w:rPr>
            </w:pPr>
            <w:r w:rsidRPr="00E20031">
              <w:t xml:space="preserve">49/425 (11.5) </w:t>
            </w:r>
          </w:p>
        </w:tc>
        <w:tc>
          <w:tcPr>
            <w:tcW w:w="943" w:type="pct"/>
            <w:vAlign w:val="center"/>
          </w:tcPr>
          <w:p w14:paraId="5727D3BB" w14:textId="77777777" w:rsidR="008D461D" w:rsidRPr="00E20031" w:rsidRDefault="008D461D">
            <w:pPr>
              <w:pStyle w:val="TableText0"/>
              <w:jc w:val="center"/>
              <w:rPr>
                <w:b/>
                <w:bCs w:val="0"/>
              </w:rPr>
            </w:pPr>
            <w:r w:rsidRPr="00E20031">
              <w:t xml:space="preserve">14/211 (6.6) </w:t>
            </w:r>
          </w:p>
        </w:tc>
        <w:tc>
          <w:tcPr>
            <w:tcW w:w="944" w:type="pct"/>
            <w:vAlign w:val="center"/>
          </w:tcPr>
          <w:p w14:paraId="2DF29A2E" w14:textId="77777777" w:rsidR="008D461D" w:rsidRPr="00BC0511" w:rsidRDefault="008D461D">
            <w:pPr>
              <w:pStyle w:val="TableText0"/>
              <w:jc w:val="center"/>
              <w:rPr>
                <w:b/>
                <w:bCs w:val="0"/>
              </w:rPr>
            </w:pPr>
            <w:r w:rsidRPr="00BC0511">
              <w:t>0.05 (0.01, 0.09)</w:t>
            </w:r>
          </w:p>
        </w:tc>
        <w:tc>
          <w:tcPr>
            <w:tcW w:w="915" w:type="pct"/>
            <w:vAlign w:val="center"/>
          </w:tcPr>
          <w:p w14:paraId="4F11AA1B" w14:textId="77777777" w:rsidR="008D461D" w:rsidRPr="00BC0511" w:rsidRDefault="008D461D">
            <w:pPr>
              <w:pStyle w:val="TableText0"/>
              <w:jc w:val="center"/>
            </w:pPr>
            <w:r w:rsidRPr="00BC0511">
              <w:t>1.74 (0.98, 3.07)</w:t>
            </w:r>
          </w:p>
        </w:tc>
      </w:tr>
      <w:tr w:rsidR="008D461D" w:rsidRPr="00E20031" w14:paraId="76BBEBF4" w14:textId="77777777">
        <w:trPr>
          <w:cantSplit/>
        </w:trPr>
        <w:tc>
          <w:tcPr>
            <w:tcW w:w="1177" w:type="pct"/>
            <w:vAlign w:val="center"/>
          </w:tcPr>
          <w:p w14:paraId="689BB1FB" w14:textId="77777777" w:rsidR="008D461D" w:rsidRPr="00E20031" w:rsidRDefault="008D461D">
            <w:pPr>
              <w:pStyle w:val="TableText0"/>
              <w:rPr>
                <w:b/>
                <w:bCs w:val="0"/>
              </w:rPr>
            </w:pPr>
            <w:r w:rsidRPr="00E20031">
              <w:t>AEs leading to study discontinuation</w:t>
            </w:r>
          </w:p>
        </w:tc>
        <w:tc>
          <w:tcPr>
            <w:tcW w:w="1021" w:type="pct"/>
            <w:vAlign w:val="center"/>
          </w:tcPr>
          <w:p w14:paraId="3807E4FE" w14:textId="77777777" w:rsidR="008D461D" w:rsidRPr="00E20031" w:rsidRDefault="008D461D">
            <w:pPr>
              <w:pStyle w:val="TableText0"/>
              <w:jc w:val="center"/>
              <w:rPr>
                <w:b/>
                <w:bCs w:val="0"/>
              </w:rPr>
            </w:pPr>
            <w:r w:rsidRPr="00E20031">
              <w:t xml:space="preserve">48/425 (11.3) </w:t>
            </w:r>
          </w:p>
        </w:tc>
        <w:tc>
          <w:tcPr>
            <w:tcW w:w="943" w:type="pct"/>
            <w:vAlign w:val="center"/>
          </w:tcPr>
          <w:p w14:paraId="21E8B2F3" w14:textId="77777777" w:rsidR="008D461D" w:rsidRPr="00E20031" w:rsidRDefault="008D461D">
            <w:pPr>
              <w:pStyle w:val="TableText0"/>
              <w:jc w:val="center"/>
              <w:rPr>
                <w:b/>
                <w:bCs w:val="0"/>
              </w:rPr>
            </w:pPr>
            <w:r w:rsidRPr="00E20031">
              <w:t xml:space="preserve">14/211 (6.6) </w:t>
            </w:r>
          </w:p>
        </w:tc>
        <w:tc>
          <w:tcPr>
            <w:tcW w:w="944" w:type="pct"/>
            <w:vAlign w:val="center"/>
          </w:tcPr>
          <w:p w14:paraId="7725E379" w14:textId="77777777" w:rsidR="008D461D" w:rsidRPr="00BC0511" w:rsidRDefault="008D461D">
            <w:pPr>
              <w:pStyle w:val="TableText0"/>
              <w:jc w:val="center"/>
              <w:rPr>
                <w:b/>
                <w:bCs w:val="0"/>
              </w:rPr>
            </w:pPr>
            <w:r w:rsidRPr="00BC0511">
              <w:t>0.05 (0.01, 0.09)</w:t>
            </w:r>
          </w:p>
        </w:tc>
        <w:tc>
          <w:tcPr>
            <w:tcW w:w="915" w:type="pct"/>
            <w:vAlign w:val="center"/>
          </w:tcPr>
          <w:p w14:paraId="039498F0" w14:textId="77777777" w:rsidR="008D461D" w:rsidRPr="00BC0511" w:rsidRDefault="008D461D">
            <w:pPr>
              <w:pStyle w:val="TableText0"/>
              <w:jc w:val="center"/>
            </w:pPr>
            <w:r w:rsidRPr="00BC0511">
              <w:t>1.70 (0.96, 3.02)</w:t>
            </w:r>
          </w:p>
        </w:tc>
      </w:tr>
    </w:tbl>
    <w:bookmarkEnd w:id="52"/>
    <w:p w14:paraId="2257D565" w14:textId="7CC218FE" w:rsidR="008D461D" w:rsidRPr="00E20031" w:rsidRDefault="008D461D" w:rsidP="008D461D">
      <w:pPr>
        <w:pStyle w:val="FooterTableFigure"/>
        <w:rPr>
          <w:sz w:val="20"/>
        </w:rPr>
      </w:pPr>
      <w:r w:rsidRPr="00E20031">
        <w:t>Source: Table 63, p147, and Table 65, pp149</w:t>
      </w:r>
      <w:r w:rsidR="00397B07">
        <w:noBreakHyphen/>
      </w:r>
      <w:r w:rsidRPr="00E20031">
        <w:t>150 of the submission.</w:t>
      </w:r>
    </w:p>
    <w:p w14:paraId="1EA250F2" w14:textId="38990889" w:rsidR="008D461D" w:rsidRPr="00E20031" w:rsidRDefault="008D461D" w:rsidP="008D461D">
      <w:pPr>
        <w:pStyle w:val="FooterTableFigure"/>
        <w:jc w:val="left"/>
        <w:rPr>
          <w:rFonts w:eastAsia="Calibri"/>
        </w:rPr>
      </w:pPr>
      <w:r w:rsidRPr="00E20031">
        <w:rPr>
          <w:rFonts w:eastAsia="Calibri"/>
        </w:rPr>
        <w:t>AE = adverse event; CI = confidence interval; IOP = intraocular pressure; n = number of subjects; N = total number of subjects in the group; nAMD = Neovascular age</w:t>
      </w:r>
      <w:r w:rsidR="00397B07">
        <w:rPr>
          <w:rFonts w:eastAsia="Calibri"/>
        </w:rPr>
        <w:noBreakHyphen/>
      </w:r>
      <w:r w:rsidRPr="00E20031">
        <w:rPr>
          <w:rFonts w:eastAsia="Calibri"/>
        </w:rPr>
        <w:t>related macular degeneration; RD = risk difference; RR = risk ratio; SAEs = serious adverse events</w:t>
      </w:r>
    </w:p>
    <w:p w14:paraId="540811CE" w14:textId="77777777" w:rsidR="008D461D" w:rsidRDefault="008D461D" w:rsidP="008D461D">
      <w:pPr>
        <w:pStyle w:val="FooterTableFigure"/>
        <w:jc w:val="left"/>
      </w:pPr>
      <w:r w:rsidRPr="00E20031">
        <w:rPr>
          <w:rFonts w:eastAsia="Calibri"/>
          <w:b/>
          <w:bCs/>
          <w:vertAlign w:val="superscript"/>
        </w:rPr>
        <w:lastRenderedPageBreak/>
        <w:t xml:space="preserve">a </w:t>
      </w:r>
      <w:r w:rsidRPr="00E20031">
        <w:t>Safety for pegcetacoplan included the pooled results of both monthly and every other monthly administration as this aligns with what the submission used for Sham safety.</w:t>
      </w:r>
    </w:p>
    <w:p w14:paraId="4BD05BEC" w14:textId="3CFB59E3" w:rsidR="00A64C98" w:rsidRPr="00A64C98" w:rsidRDefault="00A64C98" w:rsidP="008D461D">
      <w:pPr>
        <w:pStyle w:val="FooterTableFigure"/>
        <w:jc w:val="left"/>
        <w:rPr>
          <w:rFonts w:eastAsia="Calibri"/>
          <w:b/>
          <w:bCs/>
        </w:rPr>
      </w:pPr>
      <w:r>
        <w:rPr>
          <w:vertAlign w:val="superscript"/>
        </w:rPr>
        <w:t xml:space="preserve">b </w:t>
      </w:r>
      <w:r>
        <w:t>Calculated during the evaluation</w:t>
      </w:r>
    </w:p>
    <w:p w14:paraId="49E0BCC2" w14:textId="0E967AA0" w:rsidR="00644848" w:rsidRDefault="008D461D" w:rsidP="00644848">
      <w:pPr>
        <w:pStyle w:val="FooterTableFigure"/>
        <w:jc w:val="left"/>
        <w:rPr>
          <w:rFonts w:eastAsia="Calibri"/>
        </w:rPr>
      </w:pPr>
      <w:r w:rsidRPr="00E20031">
        <w:rPr>
          <w:rFonts w:eastAsia="Calibri"/>
          <w:b/>
          <w:bCs/>
        </w:rPr>
        <w:t xml:space="preserve">Bold </w:t>
      </w:r>
      <w:r w:rsidRPr="00E20031">
        <w:rPr>
          <w:rFonts w:eastAsia="Calibri"/>
        </w:rPr>
        <w:t>=</w:t>
      </w:r>
      <w:r w:rsidRPr="00E20031">
        <w:rPr>
          <w:rFonts w:eastAsia="Calibri"/>
          <w:b/>
          <w:bCs/>
        </w:rPr>
        <w:t xml:space="preserve"> </w:t>
      </w:r>
      <w:r w:rsidRPr="00E20031">
        <w:rPr>
          <w:rFonts w:eastAsia="Calibri"/>
        </w:rPr>
        <w:t>statistically significant</w:t>
      </w:r>
    </w:p>
    <w:p w14:paraId="51F70CBD" w14:textId="4B1635BC" w:rsidR="008D461D" w:rsidRPr="00E20031" w:rsidRDefault="008D461D" w:rsidP="00644848">
      <w:pPr>
        <w:pStyle w:val="3-BodyText"/>
      </w:pPr>
      <w:r w:rsidRPr="00E20031">
        <w:t xml:space="preserve">Overall, there was a higher reported incidence of AEs (including ocular AEs) in the pegcetacoplan treated groups compared to the sham injection groups, including AEs of special interest such as increased intraocular pressure, intraocular inflammation (including endophthalmitis) and </w:t>
      </w:r>
      <w:r w:rsidR="003F4002">
        <w:t>neovascular age related macular degeneration (nAMD)</w:t>
      </w:r>
      <w:r w:rsidRPr="00E20031">
        <w:t>. In both OAKS and DERBY, 2 and 3 times (respectively) more AEs related to treatment were recorded in the pegcetacoplan groups compared to sham groups. Additionally, the sponsor has received reports of six cases of vasculitis in the post</w:t>
      </w:r>
      <w:r w:rsidR="00397B07">
        <w:noBreakHyphen/>
      </w:r>
      <w:r w:rsidRPr="00E20031">
        <w:t>marketing setting in the US which are currently being investigated.</w:t>
      </w:r>
      <w:r w:rsidR="0050621D">
        <w:t xml:space="preserve"> </w:t>
      </w:r>
    </w:p>
    <w:p w14:paraId="0DB083A2" w14:textId="77777777" w:rsidR="008D461D" w:rsidRDefault="008D461D" w:rsidP="008D461D">
      <w:pPr>
        <w:pStyle w:val="3-BodyText"/>
      </w:pPr>
      <w:r w:rsidRPr="00E20031">
        <w:t>While AE severity was generally balanced between groups in DERBY, pegcetacoplan treated groups in OAKS recorded more severe AEs compared to sham (29.6% vs 20.9%).</w:t>
      </w:r>
    </w:p>
    <w:p w14:paraId="11DDE912" w14:textId="3F301927" w:rsidR="002D2A6A" w:rsidRPr="00E20031" w:rsidRDefault="002D2A6A" w:rsidP="008D461D">
      <w:pPr>
        <w:pStyle w:val="3-BodyText"/>
      </w:pPr>
      <w:r w:rsidRPr="00A272D3">
        <w:rPr>
          <w:iCs/>
        </w:rPr>
        <w:t xml:space="preserve">The ESC noted </w:t>
      </w:r>
      <w:r w:rsidR="003F7269" w:rsidRPr="00A272D3">
        <w:rPr>
          <w:iCs/>
        </w:rPr>
        <w:t xml:space="preserve">an analysis of </w:t>
      </w:r>
      <w:r w:rsidR="001E6A3D" w:rsidRPr="00A272D3">
        <w:rPr>
          <w:iCs/>
        </w:rPr>
        <w:t>post</w:t>
      </w:r>
      <w:r w:rsidR="00397B07">
        <w:rPr>
          <w:iCs/>
        </w:rPr>
        <w:noBreakHyphen/>
      </w:r>
      <w:r w:rsidR="001E6A3D" w:rsidRPr="00A272D3">
        <w:rPr>
          <w:iCs/>
        </w:rPr>
        <w:t>marketing cases of retinal vasculitis after intravitreal pegcetacoplan undertaken by the American Society of Retina Specialists (ASRS) Research and Safety in Therapeutics (ReST) Committee</w:t>
      </w:r>
      <w:r w:rsidR="00CB3B1A" w:rsidRPr="00A272D3">
        <w:rPr>
          <w:iCs/>
        </w:rPr>
        <w:t xml:space="preserve"> in which </w:t>
      </w:r>
      <w:r w:rsidR="009C2F46" w:rsidRPr="00A272D3">
        <w:rPr>
          <w:iCs/>
        </w:rPr>
        <w:t xml:space="preserve">an expert panel </w:t>
      </w:r>
      <w:r w:rsidR="0074556B" w:rsidRPr="00A272D3">
        <w:rPr>
          <w:iCs/>
        </w:rPr>
        <w:t>performed a retrospective review of cases of retinal vasculitis reported to the ASR</w:t>
      </w:r>
      <w:r w:rsidR="00D57511" w:rsidRPr="00A272D3">
        <w:rPr>
          <w:iCs/>
        </w:rPr>
        <w:t>S</w:t>
      </w:r>
      <w:r w:rsidR="007753EC" w:rsidRPr="00A272D3">
        <w:rPr>
          <w:iCs/>
        </w:rPr>
        <w:t>.</w:t>
      </w:r>
      <w:r w:rsidR="0074556B" w:rsidRPr="00A272D3">
        <w:rPr>
          <w:rStyle w:val="FootnoteReference"/>
          <w:iCs/>
        </w:rPr>
        <w:footnoteReference w:id="7"/>
      </w:r>
      <w:r w:rsidR="007753EC" w:rsidRPr="00A272D3">
        <w:rPr>
          <w:iCs/>
        </w:rPr>
        <w:t xml:space="preserve"> The analysis found that </w:t>
      </w:r>
      <w:r w:rsidR="00A10B3D">
        <w:rPr>
          <w:iCs/>
        </w:rPr>
        <w:t>14</w:t>
      </w:r>
      <w:r w:rsidR="00A10B3D" w:rsidRPr="00A272D3">
        <w:rPr>
          <w:iCs/>
        </w:rPr>
        <w:t xml:space="preserve"> </w:t>
      </w:r>
      <w:r w:rsidR="007753EC" w:rsidRPr="00A272D3">
        <w:rPr>
          <w:iCs/>
        </w:rPr>
        <w:t xml:space="preserve">eyes of 13 patients were confirmed to have retinal vasculitis by </w:t>
      </w:r>
      <w:r w:rsidR="00F568D2" w:rsidRPr="00A272D3">
        <w:rPr>
          <w:iCs/>
        </w:rPr>
        <w:t>review of imaging studies with all cases occurring after the first pegcetacoplan injection</w:t>
      </w:r>
      <w:r w:rsidR="00CB3B1A" w:rsidRPr="00A272D3">
        <w:rPr>
          <w:iCs/>
        </w:rPr>
        <w:t xml:space="preserve">. </w:t>
      </w:r>
      <w:r w:rsidR="0017164F" w:rsidRPr="00A272D3">
        <w:rPr>
          <w:iCs/>
        </w:rPr>
        <w:t xml:space="preserve">The ESC </w:t>
      </w:r>
      <w:r w:rsidR="00913666" w:rsidRPr="00A272D3">
        <w:rPr>
          <w:iCs/>
        </w:rPr>
        <w:t>considered that the</w:t>
      </w:r>
      <w:r w:rsidR="00EE2DAB" w:rsidRPr="00A272D3">
        <w:rPr>
          <w:iCs/>
        </w:rPr>
        <w:t xml:space="preserve">re remained a </w:t>
      </w:r>
      <w:r w:rsidR="590B01AD" w:rsidRPr="61B5D2C3">
        <w:t>real-world</w:t>
      </w:r>
      <w:r w:rsidR="00EE2DAB" w:rsidRPr="00A272D3">
        <w:rPr>
          <w:iCs/>
        </w:rPr>
        <w:t xml:space="preserve"> risk of retinal vasculitis, albeit rare </w:t>
      </w:r>
      <w:r w:rsidR="009D60FE" w:rsidRPr="00A272D3">
        <w:rPr>
          <w:iCs/>
        </w:rPr>
        <w:t xml:space="preserve">at an estimated rate per injection of approximately </w:t>
      </w:r>
      <w:r w:rsidR="00D1530A" w:rsidRPr="00A272D3">
        <w:rPr>
          <w:iCs/>
        </w:rPr>
        <w:t>0.01%.</w:t>
      </w:r>
      <w:r w:rsidR="00EE2DAB" w:rsidRPr="00A272D3">
        <w:rPr>
          <w:iCs/>
        </w:rPr>
        <w:t xml:space="preserve"> </w:t>
      </w:r>
      <w:r w:rsidR="00457586" w:rsidRPr="00A272D3">
        <w:rPr>
          <w:iCs/>
        </w:rPr>
        <w:t xml:space="preserve">The </w:t>
      </w:r>
      <w:r w:rsidR="00DA5437" w:rsidRPr="00A272D3">
        <w:rPr>
          <w:iCs/>
        </w:rPr>
        <w:t>ESC noted that in the post market setting until 14 February 2025</w:t>
      </w:r>
      <w:r w:rsidR="009D706E" w:rsidRPr="00A272D3">
        <w:rPr>
          <w:iCs/>
        </w:rPr>
        <w:t xml:space="preserve">, an estimated 80,776 patients have been exposed to pegcetacoplan by the IVT route, representing an estimated </w:t>
      </w:r>
      <w:r w:rsidR="00923360" w:rsidRPr="00A272D3">
        <w:rPr>
          <w:iCs/>
        </w:rPr>
        <w:t xml:space="preserve">71,741.3 patient years. </w:t>
      </w:r>
    </w:p>
    <w:p w14:paraId="47B69094" w14:textId="6B9EBA51" w:rsidR="008D461D" w:rsidRPr="00D04A0A" w:rsidRDefault="008D461D" w:rsidP="008D461D">
      <w:pPr>
        <w:pStyle w:val="3-BodyText"/>
      </w:pPr>
      <w:r w:rsidRPr="00D04A0A">
        <w:t xml:space="preserve">The sponsor made a claim of manageable safety for pegcetacoplan compared to BSC. Although the AEs associated with pegcetacoplan may be manageable, this statement is not informative regarding the comparative safety of the two interventions. </w:t>
      </w:r>
      <w:r w:rsidR="00093D78" w:rsidRPr="00A272D3">
        <w:rPr>
          <w:iCs/>
        </w:rPr>
        <w:t>The ESC agreed with the evaluation that</w:t>
      </w:r>
      <w:r w:rsidR="000A2C29">
        <w:rPr>
          <w:iCs/>
        </w:rPr>
        <w:t>,</w:t>
      </w:r>
      <w:r w:rsidR="00093D78">
        <w:t xml:space="preserve"> f</w:t>
      </w:r>
      <w:r w:rsidRPr="00D04A0A">
        <w:t>rom the evidence presented in the submission, a claim of inferior safety for pegcetacoplan compared to sham is appropriate.</w:t>
      </w:r>
    </w:p>
    <w:p w14:paraId="41D5567B" w14:textId="77777777" w:rsidR="008D461D" w:rsidRPr="00E20031" w:rsidRDefault="008D461D" w:rsidP="008D461D">
      <w:pPr>
        <w:pStyle w:val="4-SubsectionHeading"/>
      </w:pPr>
      <w:bookmarkStart w:id="53" w:name="_Toc22897643"/>
      <w:bookmarkStart w:id="54" w:name="_Toc202884177"/>
      <w:bookmarkStart w:id="55" w:name="_Toc206430837"/>
      <w:bookmarkStart w:id="56" w:name="_Toc208920195"/>
      <w:r w:rsidRPr="00E20031">
        <w:t>Benefits/harms</w:t>
      </w:r>
      <w:bookmarkEnd w:id="53"/>
      <w:bookmarkEnd w:id="54"/>
      <w:bookmarkEnd w:id="55"/>
      <w:bookmarkEnd w:id="56"/>
    </w:p>
    <w:p w14:paraId="306388EC" w14:textId="04504448" w:rsidR="008D461D" w:rsidRPr="00E20031" w:rsidRDefault="008D461D" w:rsidP="008D461D">
      <w:pPr>
        <w:pStyle w:val="3-BodyText"/>
        <w:rPr>
          <w:rStyle w:val="CommentReference"/>
          <w:color w:val="0066FF"/>
        </w:rPr>
      </w:pPr>
      <w:r w:rsidRPr="00E20031">
        <w:t xml:space="preserve">A summary of the comparative benefits and harms for PEOM versus sham injections is presented in </w:t>
      </w:r>
      <w:r w:rsidRPr="00E20031">
        <w:fldChar w:fldCharType="begin"/>
      </w:r>
      <w:r w:rsidRPr="00E20031">
        <w:instrText xml:space="preserve"> REF _Ref104805037 \h </w:instrText>
      </w:r>
      <w:r w:rsidRPr="00E20031">
        <w:fldChar w:fldCharType="separate"/>
      </w:r>
      <w:r w:rsidR="00333CFE" w:rsidRPr="00E20031">
        <w:t xml:space="preserve">Table </w:t>
      </w:r>
      <w:r w:rsidR="00333CFE">
        <w:rPr>
          <w:noProof/>
        </w:rPr>
        <w:t>8</w:t>
      </w:r>
      <w:r w:rsidRPr="00E20031">
        <w:fldChar w:fldCharType="end"/>
      </w:r>
      <w:r w:rsidRPr="00E20031">
        <w:t>.</w:t>
      </w:r>
    </w:p>
    <w:p w14:paraId="75889036" w14:textId="198C6038" w:rsidR="008D461D" w:rsidRPr="00E20031" w:rsidRDefault="008D461D" w:rsidP="00CB4D6D">
      <w:pPr>
        <w:pStyle w:val="Caption"/>
        <w:rPr>
          <w:rStyle w:val="CommentReference"/>
          <w:b/>
          <w:szCs w:val="24"/>
        </w:rPr>
      </w:pPr>
      <w:bookmarkStart w:id="57" w:name="_Ref104805037"/>
      <w:r w:rsidRPr="00E20031">
        <w:lastRenderedPageBreak/>
        <w:t xml:space="preserve">Table </w:t>
      </w:r>
      <w:r w:rsidR="004C5F7F">
        <w:fldChar w:fldCharType="begin"/>
      </w:r>
      <w:r w:rsidR="004C5F7F">
        <w:instrText xml:space="preserve"> SEQ Table \* ARABIC </w:instrText>
      </w:r>
      <w:r w:rsidR="004C5F7F">
        <w:fldChar w:fldCharType="separate"/>
      </w:r>
      <w:r w:rsidR="00333CFE">
        <w:rPr>
          <w:noProof/>
        </w:rPr>
        <w:t>8</w:t>
      </w:r>
      <w:r w:rsidR="004C5F7F">
        <w:rPr>
          <w:noProof/>
        </w:rPr>
        <w:fldChar w:fldCharType="end"/>
      </w:r>
      <w:bookmarkEnd w:id="57"/>
      <w:r w:rsidRPr="00E20031">
        <w:t xml:space="preserve">: </w:t>
      </w:r>
      <w:r w:rsidRPr="00E20031">
        <w:rPr>
          <w:rStyle w:val="CommentReference"/>
          <w:b/>
          <w:szCs w:val="24"/>
        </w:rPr>
        <w:t xml:space="preserve">Summary of comparative benefits and harms for </w:t>
      </w:r>
      <w:r w:rsidR="006B5508">
        <w:rPr>
          <w:rStyle w:val="CommentReference"/>
          <w:b/>
          <w:szCs w:val="24"/>
        </w:rPr>
        <w:t>pegcetacoplan</w:t>
      </w:r>
      <w:r w:rsidRPr="00E20031">
        <w:rPr>
          <w:rStyle w:val="CommentReference"/>
          <w:b/>
          <w:szCs w:val="24"/>
        </w:rPr>
        <w:t xml:space="preserve"> and </w:t>
      </w:r>
      <w:r w:rsidR="006B5508">
        <w:rPr>
          <w:rStyle w:val="CommentReference"/>
          <w:b/>
          <w:szCs w:val="24"/>
        </w:rPr>
        <w:t>sham</w:t>
      </w:r>
    </w:p>
    <w:tbl>
      <w:tblPr>
        <w:tblW w:w="5000" w:type="pct"/>
        <w:tblLayout w:type="fixed"/>
        <w:tblCellMar>
          <w:left w:w="28" w:type="dxa"/>
          <w:right w:w="28" w:type="dxa"/>
        </w:tblCellMar>
        <w:tblLook w:val="04A0" w:firstRow="1" w:lastRow="0" w:firstColumn="1" w:lastColumn="0" w:noHBand="0" w:noVBand="1"/>
        <w:tblCaption w:val="Table 8: Summary of comparative benefits and harms for pegcetacoplan and sham"/>
      </w:tblPr>
      <w:tblGrid>
        <w:gridCol w:w="1141"/>
        <w:gridCol w:w="7"/>
        <w:gridCol w:w="7"/>
        <w:gridCol w:w="730"/>
        <w:gridCol w:w="561"/>
        <w:gridCol w:w="429"/>
        <w:gridCol w:w="741"/>
        <w:gridCol w:w="261"/>
        <w:gridCol w:w="839"/>
        <w:gridCol w:w="454"/>
        <w:gridCol w:w="539"/>
        <w:gridCol w:w="703"/>
        <w:gridCol w:w="289"/>
        <w:gridCol w:w="963"/>
        <w:gridCol w:w="1353"/>
      </w:tblGrid>
      <w:tr w:rsidR="008D461D" w:rsidRPr="00E20031" w14:paraId="1B3392C9" w14:textId="77777777">
        <w:trPr>
          <w:cantSplit/>
        </w:trPr>
        <w:tc>
          <w:tcPr>
            <w:tcW w:w="5000" w:type="pct"/>
            <w:gridSpan w:val="15"/>
            <w:tcBorders>
              <w:top w:val="single" w:sz="4" w:space="0" w:color="auto"/>
              <w:left w:val="single" w:sz="4" w:space="0" w:color="auto"/>
              <w:bottom w:val="double" w:sz="4" w:space="0" w:color="auto"/>
              <w:right w:val="single" w:sz="4" w:space="0" w:color="auto"/>
            </w:tcBorders>
            <w:vAlign w:val="center"/>
          </w:tcPr>
          <w:p w14:paraId="13115697" w14:textId="77777777" w:rsidR="008D461D" w:rsidRPr="00E20031" w:rsidRDefault="008D461D" w:rsidP="00CB4D6D">
            <w:pPr>
              <w:pStyle w:val="In-tableHeading"/>
              <w:keepNext/>
              <w:keepLines/>
            </w:pPr>
            <w:r w:rsidRPr="00E20031">
              <w:t>Benefits</w:t>
            </w:r>
          </w:p>
        </w:tc>
      </w:tr>
      <w:tr w:rsidR="008D461D" w:rsidRPr="00E20031" w14:paraId="306CADF5" w14:textId="77777777">
        <w:trPr>
          <w:cantSplit/>
        </w:trPr>
        <w:tc>
          <w:tcPr>
            <w:tcW w:w="5000" w:type="pct"/>
            <w:gridSpan w:val="15"/>
            <w:tcBorders>
              <w:top w:val="double" w:sz="4" w:space="0" w:color="auto"/>
              <w:left w:val="single" w:sz="4" w:space="0" w:color="auto"/>
              <w:bottom w:val="single" w:sz="4" w:space="0" w:color="auto"/>
              <w:right w:val="single" w:sz="4" w:space="0" w:color="auto"/>
            </w:tcBorders>
            <w:vAlign w:val="center"/>
          </w:tcPr>
          <w:p w14:paraId="2492D7C7" w14:textId="42697E26" w:rsidR="008D461D" w:rsidRPr="00E20031" w:rsidRDefault="008D461D" w:rsidP="00CB4D6D">
            <w:pPr>
              <w:pStyle w:val="In-tableHeading"/>
              <w:keepNext/>
              <w:keepLines/>
            </w:pPr>
            <w:r w:rsidRPr="00E20031">
              <w:t>CFB in total Area of GA Lesions (mm2) in the study eye at month 24 with MM</w:t>
            </w:r>
            <w:r w:rsidR="00624525">
              <w:t>R</w:t>
            </w:r>
            <w:r w:rsidRPr="00E20031">
              <w:t>M – non</w:t>
            </w:r>
            <w:r w:rsidR="00397B07">
              <w:noBreakHyphen/>
            </w:r>
            <w:r w:rsidRPr="00E20031">
              <w:t>subfoveal subgroup</w:t>
            </w:r>
          </w:p>
        </w:tc>
      </w:tr>
      <w:tr w:rsidR="008D461D" w:rsidRPr="00E20031" w14:paraId="093176EC" w14:textId="77777777">
        <w:trPr>
          <w:cantSplit/>
          <w:trHeight w:val="225"/>
        </w:trPr>
        <w:tc>
          <w:tcPr>
            <w:tcW w:w="633" w:type="pct"/>
            <w:vMerge w:val="restart"/>
            <w:tcBorders>
              <w:top w:val="single" w:sz="4" w:space="0" w:color="auto"/>
              <w:left w:val="single" w:sz="4" w:space="0" w:color="auto"/>
              <w:bottom w:val="single" w:sz="4" w:space="0" w:color="auto"/>
              <w:right w:val="single" w:sz="4" w:space="0" w:color="auto"/>
            </w:tcBorders>
            <w:vAlign w:val="center"/>
          </w:tcPr>
          <w:p w14:paraId="545A607A" w14:textId="77777777" w:rsidR="008D461D" w:rsidRPr="00E20031" w:rsidRDefault="008D461D" w:rsidP="00CB4D6D">
            <w:pPr>
              <w:pStyle w:val="TableText0"/>
            </w:pPr>
          </w:p>
        </w:tc>
        <w:tc>
          <w:tcPr>
            <w:tcW w:w="1517" w:type="pct"/>
            <w:gridSpan w:val="7"/>
            <w:tcBorders>
              <w:top w:val="single" w:sz="4" w:space="0" w:color="auto"/>
              <w:left w:val="single" w:sz="4" w:space="0" w:color="auto"/>
              <w:bottom w:val="single" w:sz="4" w:space="0" w:color="auto"/>
              <w:right w:val="single" w:sz="4" w:space="0" w:color="auto"/>
            </w:tcBorders>
            <w:vAlign w:val="center"/>
          </w:tcPr>
          <w:p w14:paraId="2A34054F" w14:textId="77777777" w:rsidR="008D461D" w:rsidRPr="00E20031" w:rsidRDefault="008D461D" w:rsidP="00CB4D6D">
            <w:pPr>
              <w:pStyle w:val="In-tableHeading"/>
              <w:keepNext/>
              <w:keepLines/>
            </w:pPr>
            <w:r w:rsidRPr="00E20031">
              <w:t>Pegcetacoplan every other month</w:t>
            </w:r>
          </w:p>
        </w:tc>
        <w:tc>
          <w:tcPr>
            <w:tcW w:w="1566" w:type="pct"/>
            <w:gridSpan w:val="5"/>
            <w:tcBorders>
              <w:top w:val="single" w:sz="4" w:space="0" w:color="auto"/>
              <w:left w:val="single" w:sz="4" w:space="0" w:color="auto"/>
              <w:bottom w:val="single" w:sz="4" w:space="0" w:color="auto"/>
              <w:right w:val="single" w:sz="4" w:space="0" w:color="auto"/>
            </w:tcBorders>
            <w:vAlign w:val="center"/>
          </w:tcPr>
          <w:p w14:paraId="28BC6B23" w14:textId="77777777" w:rsidR="008D461D" w:rsidRPr="00E20031" w:rsidRDefault="008D461D" w:rsidP="00CB4D6D">
            <w:pPr>
              <w:pStyle w:val="In-tableHeading"/>
              <w:keepNext/>
              <w:keepLines/>
            </w:pPr>
            <w:r w:rsidRPr="00E20031">
              <w:t>Sham pooled</w:t>
            </w:r>
          </w:p>
        </w:tc>
        <w:tc>
          <w:tcPr>
            <w:tcW w:w="1285" w:type="pct"/>
            <w:gridSpan w:val="2"/>
            <w:vMerge w:val="restart"/>
            <w:tcBorders>
              <w:top w:val="single" w:sz="4" w:space="0" w:color="auto"/>
              <w:left w:val="single" w:sz="4" w:space="0" w:color="auto"/>
              <w:bottom w:val="single" w:sz="4" w:space="0" w:color="auto"/>
              <w:right w:val="single" w:sz="4" w:space="0" w:color="auto"/>
            </w:tcBorders>
            <w:vAlign w:val="center"/>
          </w:tcPr>
          <w:p w14:paraId="5F66E379" w14:textId="77777777" w:rsidR="008D461D" w:rsidRPr="00E20031" w:rsidRDefault="008D461D" w:rsidP="00CB4D6D">
            <w:pPr>
              <w:pStyle w:val="In-tableHeading"/>
              <w:keepNext/>
              <w:keepLines/>
              <w:rPr>
                <w:szCs w:val="18"/>
              </w:rPr>
            </w:pPr>
            <w:r w:rsidRPr="00E20031">
              <w:t>Difference (95% CI) in LS mean CFB in lesion area vs sham pooled group, mm2</w:t>
            </w:r>
          </w:p>
        </w:tc>
      </w:tr>
      <w:tr w:rsidR="008D461D" w:rsidRPr="00E20031" w14:paraId="2F69706F" w14:textId="77777777">
        <w:trPr>
          <w:cantSplit/>
          <w:trHeight w:val="225"/>
        </w:trPr>
        <w:tc>
          <w:tcPr>
            <w:tcW w:w="633" w:type="pct"/>
            <w:vMerge/>
            <w:tcBorders>
              <w:top w:val="single" w:sz="4" w:space="0" w:color="auto"/>
              <w:left w:val="single" w:sz="4" w:space="0" w:color="auto"/>
              <w:bottom w:val="single" w:sz="4" w:space="0" w:color="auto"/>
              <w:right w:val="single" w:sz="4" w:space="0" w:color="auto"/>
            </w:tcBorders>
            <w:vAlign w:val="center"/>
          </w:tcPr>
          <w:p w14:paraId="49ABE6AB" w14:textId="77777777" w:rsidR="008D461D" w:rsidRPr="00E20031" w:rsidRDefault="008D461D" w:rsidP="00CB4D6D">
            <w:pPr>
              <w:keepNext/>
              <w:keepLines/>
              <w:rPr>
                <w:rFonts w:ascii="Arial Narrow" w:hAnsi="Arial Narrow"/>
                <w:color w:val="000000"/>
                <w:sz w:val="20"/>
                <w:szCs w:val="18"/>
              </w:rPr>
            </w:pPr>
          </w:p>
        </w:tc>
        <w:tc>
          <w:tcPr>
            <w:tcW w:w="412" w:type="pct"/>
            <w:gridSpan w:val="3"/>
            <w:tcBorders>
              <w:top w:val="single" w:sz="4" w:space="0" w:color="auto"/>
              <w:left w:val="single" w:sz="4" w:space="0" w:color="auto"/>
              <w:bottom w:val="single" w:sz="4" w:space="0" w:color="auto"/>
              <w:right w:val="single" w:sz="4" w:space="0" w:color="auto"/>
            </w:tcBorders>
            <w:vAlign w:val="center"/>
          </w:tcPr>
          <w:p w14:paraId="62BD0B08" w14:textId="77777777" w:rsidR="008D461D" w:rsidRPr="00E20031" w:rsidRDefault="008D461D" w:rsidP="00CB4D6D">
            <w:pPr>
              <w:pStyle w:val="In-tableHeading"/>
              <w:keepNext/>
              <w:keepLines/>
            </w:pPr>
            <w:r w:rsidRPr="00E20031">
              <w:t>N</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095D14BE" w14:textId="77777777" w:rsidR="008D461D" w:rsidRPr="00E20031" w:rsidRDefault="008D461D" w:rsidP="00CB4D6D">
            <w:pPr>
              <w:pStyle w:val="In-tableHeading"/>
              <w:keepNext/>
              <w:keepLines/>
            </w:pPr>
            <w:r w:rsidRPr="00E20031">
              <w:t xml:space="preserve">Mean ∆ baseline </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52F1608A" w14:textId="77777777" w:rsidR="008D461D" w:rsidRPr="00E20031" w:rsidRDefault="008D461D" w:rsidP="00CB4D6D">
            <w:pPr>
              <w:pStyle w:val="In-tableHeading"/>
              <w:keepNext/>
              <w:keepLines/>
            </w:pPr>
            <w:r w:rsidRPr="00E20031">
              <w:t>SE</w:t>
            </w:r>
          </w:p>
        </w:tc>
        <w:tc>
          <w:tcPr>
            <w:tcW w:w="465" w:type="pct"/>
            <w:tcBorders>
              <w:top w:val="single" w:sz="4" w:space="0" w:color="auto"/>
              <w:left w:val="single" w:sz="4" w:space="0" w:color="auto"/>
              <w:bottom w:val="single" w:sz="4" w:space="0" w:color="auto"/>
              <w:right w:val="single" w:sz="4" w:space="0" w:color="auto"/>
            </w:tcBorders>
            <w:vAlign w:val="center"/>
          </w:tcPr>
          <w:p w14:paraId="11116BB9" w14:textId="77777777" w:rsidR="008D461D" w:rsidRPr="00E20031" w:rsidRDefault="008D461D" w:rsidP="00CB4D6D">
            <w:pPr>
              <w:pStyle w:val="In-tableHeading"/>
              <w:keepNext/>
              <w:keepLines/>
            </w:pPr>
            <w:r w:rsidRPr="00E20031">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645E46A9" w14:textId="77777777" w:rsidR="008D461D" w:rsidRPr="00E20031" w:rsidRDefault="008D461D" w:rsidP="00CB4D6D">
            <w:pPr>
              <w:pStyle w:val="In-tableHeading"/>
              <w:keepNext/>
              <w:keepLines/>
            </w:pPr>
            <w:r w:rsidRPr="00E20031">
              <w:t xml:space="preserve">Mean ∆ baseline </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0FC9B2EA" w14:textId="77777777" w:rsidR="008D461D" w:rsidRPr="00E20031" w:rsidRDefault="008D461D" w:rsidP="00CB4D6D">
            <w:pPr>
              <w:pStyle w:val="In-tableHeading"/>
              <w:keepNext/>
              <w:keepLines/>
            </w:pPr>
            <w:r w:rsidRPr="00E20031">
              <w:t>SE</w:t>
            </w:r>
          </w:p>
        </w:tc>
        <w:tc>
          <w:tcPr>
            <w:tcW w:w="1285" w:type="pct"/>
            <w:gridSpan w:val="2"/>
            <w:vMerge/>
            <w:tcBorders>
              <w:top w:val="single" w:sz="4" w:space="0" w:color="auto"/>
              <w:left w:val="single" w:sz="4" w:space="0" w:color="auto"/>
              <w:bottom w:val="single" w:sz="4" w:space="0" w:color="auto"/>
              <w:right w:val="single" w:sz="4" w:space="0" w:color="auto"/>
            </w:tcBorders>
            <w:vAlign w:val="center"/>
          </w:tcPr>
          <w:p w14:paraId="47E1759A" w14:textId="77777777" w:rsidR="008D461D" w:rsidRPr="00E20031" w:rsidRDefault="008D461D" w:rsidP="00CB4D6D">
            <w:pPr>
              <w:keepNext/>
              <w:keepLines/>
              <w:jc w:val="center"/>
              <w:rPr>
                <w:rFonts w:ascii="Arial Narrow" w:hAnsi="Arial Narrow"/>
                <w:b/>
                <w:sz w:val="20"/>
                <w:szCs w:val="18"/>
              </w:rPr>
            </w:pPr>
          </w:p>
        </w:tc>
      </w:tr>
      <w:tr w:rsidR="008D461D" w:rsidRPr="00E20031" w14:paraId="61225A57" w14:textId="77777777">
        <w:trPr>
          <w:cantSplit/>
        </w:trPr>
        <w:tc>
          <w:tcPr>
            <w:tcW w:w="633" w:type="pct"/>
            <w:tcBorders>
              <w:top w:val="single" w:sz="4" w:space="0" w:color="auto"/>
              <w:left w:val="single" w:sz="4" w:space="0" w:color="auto"/>
              <w:bottom w:val="single" w:sz="4" w:space="0" w:color="auto"/>
              <w:right w:val="single" w:sz="4" w:space="0" w:color="auto"/>
            </w:tcBorders>
            <w:vAlign w:val="center"/>
          </w:tcPr>
          <w:p w14:paraId="7B0B23D8" w14:textId="77777777" w:rsidR="008D461D" w:rsidRPr="00E20031" w:rsidRDefault="008D461D" w:rsidP="00CB4D6D">
            <w:pPr>
              <w:pStyle w:val="TableText0"/>
            </w:pPr>
            <w:r w:rsidRPr="00E20031">
              <w:t>OAKS</w:t>
            </w:r>
          </w:p>
        </w:tc>
        <w:tc>
          <w:tcPr>
            <w:tcW w:w="412" w:type="pct"/>
            <w:gridSpan w:val="3"/>
            <w:tcBorders>
              <w:top w:val="single" w:sz="4" w:space="0" w:color="auto"/>
              <w:left w:val="single" w:sz="4" w:space="0" w:color="auto"/>
              <w:bottom w:val="single" w:sz="4" w:space="0" w:color="auto"/>
              <w:right w:val="single" w:sz="4" w:space="0" w:color="auto"/>
            </w:tcBorders>
            <w:vAlign w:val="center"/>
          </w:tcPr>
          <w:p w14:paraId="756B0748" w14:textId="77777777" w:rsidR="008D461D" w:rsidRPr="00E20031" w:rsidRDefault="008D461D" w:rsidP="00CB4D6D">
            <w:pPr>
              <w:pStyle w:val="TableText0"/>
              <w:jc w:val="center"/>
              <w:rPr>
                <w:b/>
                <w:bCs w:val="0"/>
              </w:rPr>
            </w:pPr>
            <w:r w:rsidRPr="00E20031">
              <w:t>73</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26035210" w14:textId="77777777" w:rsidR="008D461D" w:rsidRPr="00E20031" w:rsidRDefault="008D461D" w:rsidP="00CB4D6D">
            <w:pPr>
              <w:pStyle w:val="TableText0"/>
              <w:jc w:val="center"/>
              <w:rPr>
                <w:b/>
                <w:bCs w:val="0"/>
              </w:rPr>
            </w:pPr>
            <w:r w:rsidRPr="00E20031">
              <w:t>4.29</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687001DB" w14:textId="77777777" w:rsidR="008D461D" w:rsidRPr="00E20031" w:rsidRDefault="008D461D" w:rsidP="00CB4D6D">
            <w:pPr>
              <w:pStyle w:val="TableText0"/>
              <w:jc w:val="center"/>
              <w:rPr>
                <w:b/>
                <w:bCs w:val="0"/>
              </w:rPr>
            </w:pPr>
            <w:r w:rsidRPr="00E20031">
              <w:t>0.26</w:t>
            </w:r>
          </w:p>
        </w:tc>
        <w:tc>
          <w:tcPr>
            <w:tcW w:w="465" w:type="pct"/>
            <w:tcBorders>
              <w:top w:val="single" w:sz="4" w:space="0" w:color="auto"/>
              <w:left w:val="single" w:sz="4" w:space="0" w:color="auto"/>
              <w:bottom w:val="single" w:sz="4" w:space="0" w:color="auto"/>
              <w:right w:val="single" w:sz="4" w:space="0" w:color="auto"/>
            </w:tcBorders>
            <w:vAlign w:val="center"/>
          </w:tcPr>
          <w:p w14:paraId="2C042ACB" w14:textId="77777777" w:rsidR="008D461D" w:rsidRPr="00E20031" w:rsidRDefault="008D461D" w:rsidP="00CB4D6D">
            <w:pPr>
              <w:pStyle w:val="TableText0"/>
              <w:jc w:val="center"/>
              <w:rPr>
                <w:b/>
                <w:bCs w:val="0"/>
              </w:rPr>
            </w:pPr>
            <w:r w:rsidRPr="00E20031">
              <w:t>59</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36EA675E" w14:textId="77777777" w:rsidR="008D461D" w:rsidRPr="00E20031" w:rsidRDefault="008D461D" w:rsidP="00CB4D6D">
            <w:pPr>
              <w:pStyle w:val="TableText0"/>
              <w:jc w:val="center"/>
              <w:rPr>
                <w:b/>
                <w:bCs w:val="0"/>
              </w:rPr>
            </w:pPr>
            <w:r w:rsidRPr="00E20031">
              <w:t>5.18</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598C4EC6" w14:textId="77777777" w:rsidR="008D461D" w:rsidRPr="00E20031" w:rsidRDefault="008D461D" w:rsidP="00CB4D6D">
            <w:pPr>
              <w:pStyle w:val="TableText0"/>
              <w:jc w:val="center"/>
              <w:rPr>
                <w:b/>
                <w:bCs w:val="0"/>
              </w:rPr>
            </w:pPr>
            <w:r w:rsidRPr="00E20031">
              <w:t>0.28</w:t>
            </w: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76B6E2A9" w14:textId="22DBDA3D" w:rsidR="008D461D" w:rsidRPr="00E20031" w:rsidRDefault="00397B07" w:rsidP="00CB4D6D">
            <w:pPr>
              <w:pStyle w:val="TableText0"/>
              <w:jc w:val="center"/>
              <w:rPr>
                <w:b/>
                <w:bCs w:val="0"/>
              </w:rPr>
            </w:pPr>
            <w:r>
              <w:rPr>
                <w:b/>
                <w:bCs w:val="0"/>
                <w:szCs w:val="20"/>
              </w:rPr>
              <w:noBreakHyphen/>
            </w:r>
            <w:r w:rsidR="008D461D" w:rsidRPr="00E20031">
              <w:rPr>
                <w:b/>
                <w:bCs w:val="0"/>
                <w:szCs w:val="20"/>
              </w:rPr>
              <w:t>0.89 (</w:t>
            </w:r>
            <w:r>
              <w:rPr>
                <w:b/>
                <w:bCs w:val="0"/>
                <w:szCs w:val="20"/>
              </w:rPr>
              <w:noBreakHyphen/>
            </w:r>
            <w:r w:rsidR="008D461D" w:rsidRPr="00E20031">
              <w:rPr>
                <w:b/>
                <w:bCs w:val="0"/>
                <w:szCs w:val="20"/>
              </w:rPr>
              <w:t xml:space="preserve">1.64, </w:t>
            </w:r>
            <w:r>
              <w:rPr>
                <w:b/>
                <w:bCs w:val="0"/>
                <w:szCs w:val="20"/>
              </w:rPr>
              <w:noBreakHyphen/>
            </w:r>
            <w:r w:rsidR="008D461D" w:rsidRPr="00E20031">
              <w:rPr>
                <w:b/>
                <w:bCs w:val="0"/>
                <w:szCs w:val="20"/>
              </w:rPr>
              <w:t>0.15)</w:t>
            </w:r>
          </w:p>
        </w:tc>
      </w:tr>
      <w:tr w:rsidR="008D461D" w:rsidRPr="00E20031" w14:paraId="30DB0650" w14:textId="77777777">
        <w:trPr>
          <w:cantSplit/>
        </w:trPr>
        <w:tc>
          <w:tcPr>
            <w:tcW w:w="633" w:type="pct"/>
            <w:tcBorders>
              <w:top w:val="single" w:sz="4" w:space="0" w:color="auto"/>
              <w:left w:val="single" w:sz="4" w:space="0" w:color="auto"/>
              <w:bottom w:val="single" w:sz="4" w:space="0" w:color="auto"/>
              <w:right w:val="single" w:sz="4" w:space="0" w:color="auto"/>
            </w:tcBorders>
            <w:vAlign w:val="center"/>
          </w:tcPr>
          <w:p w14:paraId="7DF099A3" w14:textId="77777777" w:rsidR="008D461D" w:rsidRPr="00E20031" w:rsidRDefault="008D461D" w:rsidP="00CB4D6D">
            <w:pPr>
              <w:pStyle w:val="TableText0"/>
            </w:pPr>
            <w:r w:rsidRPr="00E20031">
              <w:t>DERBY</w:t>
            </w:r>
          </w:p>
        </w:tc>
        <w:tc>
          <w:tcPr>
            <w:tcW w:w="412" w:type="pct"/>
            <w:gridSpan w:val="3"/>
            <w:tcBorders>
              <w:top w:val="single" w:sz="4" w:space="0" w:color="auto"/>
              <w:left w:val="single" w:sz="4" w:space="0" w:color="auto"/>
              <w:bottom w:val="single" w:sz="4" w:space="0" w:color="auto"/>
              <w:right w:val="single" w:sz="4" w:space="0" w:color="auto"/>
            </w:tcBorders>
            <w:vAlign w:val="center"/>
          </w:tcPr>
          <w:p w14:paraId="124300D9" w14:textId="77777777" w:rsidR="008D461D" w:rsidRPr="00E20031" w:rsidRDefault="008D461D" w:rsidP="00CB4D6D">
            <w:pPr>
              <w:pStyle w:val="TableText0"/>
              <w:jc w:val="center"/>
              <w:rPr>
                <w:b/>
                <w:bCs w:val="0"/>
              </w:rPr>
            </w:pPr>
            <w:r w:rsidRPr="00E20031">
              <w:t>81</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2F843769" w14:textId="77777777" w:rsidR="008D461D" w:rsidRPr="00E20031" w:rsidRDefault="008D461D" w:rsidP="00CB4D6D">
            <w:pPr>
              <w:pStyle w:val="TableText0"/>
              <w:jc w:val="center"/>
              <w:rPr>
                <w:b/>
                <w:bCs w:val="0"/>
              </w:rPr>
            </w:pPr>
            <w:r w:rsidRPr="00E20031">
              <w:t>3.66</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7E4E81EB" w14:textId="77777777" w:rsidR="008D461D" w:rsidRPr="00E20031" w:rsidRDefault="008D461D" w:rsidP="00CB4D6D">
            <w:pPr>
              <w:pStyle w:val="TableText0"/>
              <w:jc w:val="center"/>
              <w:rPr>
                <w:b/>
                <w:bCs w:val="0"/>
              </w:rPr>
            </w:pPr>
            <w:r w:rsidRPr="00E20031">
              <w:t>0.19</w:t>
            </w:r>
          </w:p>
        </w:tc>
        <w:tc>
          <w:tcPr>
            <w:tcW w:w="465" w:type="pct"/>
            <w:tcBorders>
              <w:top w:val="single" w:sz="4" w:space="0" w:color="auto"/>
              <w:left w:val="single" w:sz="4" w:space="0" w:color="auto"/>
              <w:bottom w:val="single" w:sz="4" w:space="0" w:color="auto"/>
              <w:right w:val="single" w:sz="4" w:space="0" w:color="auto"/>
            </w:tcBorders>
            <w:vAlign w:val="center"/>
          </w:tcPr>
          <w:p w14:paraId="24DB1F37" w14:textId="77777777" w:rsidR="008D461D" w:rsidRPr="00E20031" w:rsidRDefault="008D461D" w:rsidP="00CB4D6D">
            <w:pPr>
              <w:pStyle w:val="TableText0"/>
              <w:jc w:val="center"/>
              <w:rPr>
                <w:b/>
                <w:bCs w:val="0"/>
              </w:rPr>
            </w:pPr>
            <w:r w:rsidRPr="00E20031">
              <w:t>72</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05494ACA" w14:textId="77777777" w:rsidR="008D461D" w:rsidRPr="00E20031" w:rsidRDefault="008D461D" w:rsidP="00CB4D6D">
            <w:pPr>
              <w:pStyle w:val="TableText0"/>
              <w:jc w:val="center"/>
              <w:rPr>
                <w:b/>
                <w:bCs w:val="0"/>
              </w:rPr>
            </w:pPr>
            <w:r w:rsidRPr="00E20031">
              <w:t>4.94</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67C6D7A2" w14:textId="77777777" w:rsidR="008D461D" w:rsidRPr="00E20031" w:rsidRDefault="008D461D" w:rsidP="00CB4D6D">
            <w:pPr>
              <w:pStyle w:val="TableText0"/>
              <w:jc w:val="center"/>
              <w:rPr>
                <w:b/>
                <w:bCs w:val="0"/>
              </w:rPr>
            </w:pPr>
            <w:r w:rsidRPr="00E20031">
              <w:t>0.33</w:t>
            </w: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524B6127" w14:textId="2941F1AE" w:rsidR="008D461D" w:rsidRPr="00E20031" w:rsidRDefault="00397B07" w:rsidP="00CB4D6D">
            <w:pPr>
              <w:pStyle w:val="TableText0"/>
              <w:jc w:val="center"/>
              <w:rPr>
                <w:b/>
                <w:bCs w:val="0"/>
              </w:rPr>
            </w:pPr>
            <w:r>
              <w:rPr>
                <w:b/>
                <w:bCs w:val="0"/>
                <w:szCs w:val="20"/>
              </w:rPr>
              <w:noBreakHyphen/>
            </w:r>
            <w:r w:rsidR="008D461D" w:rsidRPr="00E20031">
              <w:rPr>
                <w:b/>
                <w:bCs w:val="0"/>
                <w:szCs w:val="20"/>
              </w:rPr>
              <w:t>1.28 (</w:t>
            </w:r>
            <w:r>
              <w:rPr>
                <w:b/>
                <w:bCs w:val="0"/>
                <w:szCs w:val="20"/>
              </w:rPr>
              <w:noBreakHyphen/>
            </w:r>
            <w:r w:rsidR="008D461D" w:rsidRPr="00E20031">
              <w:rPr>
                <w:b/>
                <w:bCs w:val="0"/>
                <w:szCs w:val="20"/>
              </w:rPr>
              <w:t xml:space="preserve">2.04, </w:t>
            </w:r>
            <w:r>
              <w:rPr>
                <w:b/>
                <w:bCs w:val="0"/>
                <w:szCs w:val="20"/>
              </w:rPr>
              <w:noBreakHyphen/>
            </w:r>
            <w:r w:rsidR="008D461D" w:rsidRPr="00E20031">
              <w:rPr>
                <w:b/>
                <w:bCs w:val="0"/>
                <w:szCs w:val="20"/>
              </w:rPr>
              <w:t>0.53)</w:t>
            </w:r>
          </w:p>
        </w:tc>
      </w:tr>
      <w:tr w:rsidR="008D461D" w:rsidRPr="00E20031" w14:paraId="1CCB4F3F" w14:textId="77777777">
        <w:trPr>
          <w:cantSplit/>
        </w:trPr>
        <w:tc>
          <w:tcPr>
            <w:tcW w:w="633" w:type="pct"/>
            <w:tcBorders>
              <w:top w:val="single" w:sz="4" w:space="0" w:color="auto"/>
              <w:left w:val="single" w:sz="4" w:space="0" w:color="auto"/>
              <w:bottom w:val="single" w:sz="4" w:space="0" w:color="auto"/>
              <w:right w:val="single" w:sz="4" w:space="0" w:color="auto"/>
            </w:tcBorders>
            <w:vAlign w:val="center"/>
          </w:tcPr>
          <w:p w14:paraId="5D8DE92D" w14:textId="77777777" w:rsidR="008D461D" w:rsidRPr="00E20031" w:rsidRDefault="008D461D" w:rsidP="00CB4D6D">
            <w:pPr>
              <w:pStyle w:val="TableText0"/>
            </w:pPr>
            <w:r w:rsidRPr="00E20031">
              <w:t>Pooled</w:t>
            </w:r>
          </w:p>
        </w:tc>
        <w:tc>
          <w:tcPr>
            <w:tcW w:w="412" w:type="pct"/>
            <w:gridSpan w:val="3"/>
            <w:tcBorders>
              <w:top w:val="single" w:sz="4" w:space="0" w:color="auto"/>
              <w:left w:val="single" w:sz="4" w:space="0" w:color="auto"/>
              <w:bottom w:val="single" w:sz="4" w:space="0" w:color="auto"/>
              <w:right w:val="single" w:sz="4" w:space="0" w:color="auto"/>
            </w:tcBorders>
            <w:vAlign w:val="center"/>
          </w:tcPr>
          <w:p w14:paraId="28375371" w14:textId="77777777" w:rsidR="008D461D" w:rsidRPr="00E20031" w:rsidRDefault="008D461D" w:rsidP="00CB4D6D">
            <w:pPr>
              <w:pStyle w:val="TableText0"/>
              <w:jc w:val="center"/>
            </w:pPr>
            <w:r w:rsidRPr="00E20031">
              <w:t>154</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6D88E5B2" w14:textId="77777777" w:rsidR="008D461D" w:rsidRPr="00E20031" w:rsidRDefault="008D461D" w:rsidP="00CB4D6D">
            <w:pPr>
              <w:pStyle w:val="TableText0"/>
              <w:jc w:val="center"/>
            </w:pPr>
            <w:r w:rsidRPr="00E20031">
              <w:t>3.92</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37E0E117" w14:textId="77777777" w:rsidR="008D461D" w:rsidRPr="00E20031" w:rsidRDefault="008D461D" w:rsidP="00CB4D6D">
            <w:pPr>
              <w:pStyle w:val="TableText0"/>
              <w:jc w:val="center"/>
            </w:pPr>
            <w:r w:rsidRPr="00E20031">
              <w:t>0.16</w:t>
            </w:r>
          </w:p>
        </w:tc>
        <w:tc>
          <w:tcPr>
            <w:tcW w:w="465" w:type="pct"/>
            <w:tcBorders>
              <w:top w:val="single" w:sz="4" w:space="0" w:color="auto"/>
              <w:left w:val="single" w:sz="4" w:space="0" w:color="auto"/>
              <w:bottom w:val="single" w:sz="4" w:space="0" w:color="auto"/>
              <w:right w:val="single" w:sz="4" w:space="0" w:color="auto"/>
            </w:tcBorders>
            <w:vAlign w:val="center"/>
          </w:tcPr>
          <w:p w14:paraId="4927F9E9" w14:textId="77777777" w:rsidR="008D461D" w:rsidRPr="00E20031" w:rsidRDefault="008D461D" w:rsidP="00CB4D6D">
            <w:pPr>
              <w:pStyle w:val="TableText0"/>
              <w:jc w:val="center"/>
            </w:pPr>
            <w:r w:rsidRPr="00E20031">
              <w:t>131</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1DAB2F39" w14:textId="77777777" w:rsidR="008D461D" w:rsidRPr="00E20031" w:rsidRDefault="008D461D" w:rsidP="00CB4D6D">
            <w:pPr>
              <w:pStyle w:val="TableText0"/>
              <w:jc w:val="center"/>
            </w:pPr>
            <w:r w:rsidRPr="00E20031">
              <w:t>5.03</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4B3F4D70" w14:textId="77777777" w:rsidR="008D461D" w:rsidRPr="00E20031" w:rsidRDefault="008D461D" w:rsidP="00CB4D6D">
            <w:pPr>
              <w:pStyle w:val="TableText0"/>
              <w:jc w:val="center"/>
            </w:pPr>
            <w:r w:rsidRPr="00E20031">
              <w:t>0.23</w:t>
            </w: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568A9036" w14:textId="0B60FEBA" w:rsidR="008D461D" w:rsidRPr="00E20031" w:rsidRDefault="00397B07" w:rsidP="00CB4D6D">
            <w:pPr>
              <w:pStyle w:val="TableText0"/>
              <w:jc w:val="center"/>
              <w:rPr>
                <w:b/>
                <w:bCs w:val="0"/>
                <w:szCs w:val="20"/>
              </w:rPr>
            </w:pPr>
            <w:r>
              <w:rPr>
                <w:b/>
                <w:bCs w:val="0"/>
                <w:szCs w:val="20"/>
              </w:rPr>
              <w:noBreakHyphen/>
            </w:r>
            <w:r w:rsidR="008D461D" w:rsidRPr="00E20031">
              <w:rPr>
                <w:b/>
                <w:bCs w:val="0"/>
                <w:szCs w:val="20"/>
              </w:rPr>
              <w:t>1.11 (</w:t>
            </w:r>
            <w:r>
              <w:rPr>
                <w:b/>
                <w:bCs w:val="0"/>
                <w:szCs w:val="20"/>
              </w:rPr>
              <w:noBreakHyphen/>
            </w:r>
            <w:r w:rsidR="008D461D" w:rsidRPr="00E20031">
              <w:rPr>
                <w:b/>
                <w:bCs w:val="0"/>
                <w:szCs w:val="20"/>
              </w:rPr>
              <w:t xml:space="preserve">1.66, </w:t>
            </w:r>
            <w:r>
              <w:rPr>
                <w:b/>
                <w:bCs w:val="0"/>
                <w:szCs w:val="20"/>
              </w:rPr>
              <w:noBreakHyphen/>
            </w:r>
            <w:r w:rsidR="008D461D" w:rsidRPr="00E20031">
              <w:rPr>
                <w:b/>
                <w:bCs w:val="0"/>
                <w:szCs w:val="20"/>
              </w:rPr>
              <w:t>0.57)</w:t>
            </w:r>
          </w:p>
        </w:tc>
      </w:tr>
      <w:tr w:rsidR="008D461D" w:rsidRPr="00E20031" w14:paraId="62A56E9E" w14:textId="77777777">
        <w:trPr>
          <w:cantSplit/>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3EABDF61" w14:textId="0B8AB031" w:rsidR="008D461D" w:rsidRPr="00E20031" w:rsidRDefault="008D461D" w:rsidP="00CB4D6D">
            <w:pPr>
              <w:pStyle w:val="TableText0"/>
              <w:rPr>
                <w:b/>
                <w:bCs w:val="0"/>
                <w:szCs w:val="20"/>
              </w:rPr>
            </w:pPr>
            <w:r w:rsidRPr="00E20031">
              <w:rPr>
                <w:rFonts w:cs="Calibri"/>
                <w:b/>
                <w:szCs w:val="20"/>
              </w:rPr>
              <w:t>C</w:t>
            </w:r>
            <w:r w:rsidRPr="00E20031">
              <w:rPr>
                <w:b/>
                <w:szCs w:val="20"/>
              </w:rPr>
              <w:t>hange from baseline</w:t>
            </w:r>
            <w:r w:rsidRPr="00E20031">
              <w:rPr>
                <w:rFonts w:cs="Calibri"/>
                <w:b/>
                <w:szCs w:val="20"/>
              </w:rPr>
              <w:t xml:space="preserve"> in NL</w:t>
            </w:r>
            <w:r w:rsidR="00397B07">
              <w:rPr>
                <w:rFonts w:cs="Calibri"/>
                <w:b/>
                <w:szCs w:val="20"/>
              </w:rPr>
              <w:noBreakHyphen/>
            </w:r>
            <w:r w:rsidRPr="00E20031">
              <w:rPr>
                <w:rFonts w:cs="Calibri"/>
                <w:b/>
                <w:szCs w:val="20"/>
              </w:rPr>
              <w:t>BCVA score (ETDRS letters) at month 24 (mITT)</w:t>
            </w:r>
          </w:p>
        </w:tc>
      </w:tr>
      <w:tr w:rsidR="008D461D" w:rsidRPr="00E20031" w14:paraId="6651BAA9" w14:textId="77777777">
        <w:trPr>
          <w:cantSplit/>
        </w:trPr>
        <w:tc>
          <w:tcPr>
            <w:tcW w:w="633" w:type="pct"/>
            <w:tcBorders>
              <w:top w:val="single" w:sz="4" w:space="0" w:color="auto"/>
              <w:left w:val="single" w:sz="4" w:space="0" w:color="auto"/>
              <w:bottom w:val="single" w:sz="4" w:space="0" w:color="auto"/>
              <w:right w:val="single" w:sz="4" w:space="0" w:color="auto"/>
            </w:tcBorders>
            <w:vAlign w:val="center"/>
          </w:tcPr>
          <w:p w14:paraId="7F919031" w14:textId="77777777" w:rsidR="008D461D" w:rsidRPr="00E20031" w:rsidRDefault="008D461D" w:rsidP="00CB4D6D">
            <w:pPr>
              <w:pStyle w:val="TableText0"/>
            </w:pPr>
            <w:r w:rsidRPr="00E20031">
              <w:t>OAKS</w:t>
            </w:r>
          </w:p>
        </w:tc>
        <w:tc>
          <w:tcPr>
            <w:tcW w:w="412" w:type="pct"/>
            <w:gridSpan w:val="3"/>
            <w:tcBorders>
              <w:top w:val="single" w:sz="4" w:space="0" w:color="auto"/>
              <w:left w:val="single" w:sz="4" w:space="0" w:color="auto"/>
              <w:bottom w:val="single" w:sz="4" w:space="0" w:color="auto"/>
              <w:right w:val="single" w:sz="4" w:space="0" w:color="auto"/>
            </w:tcBorders>
            <w:vAlign w:val="center"/>
          </w:tcPr>
          <w:p w14:paraId="0E559E1E" w14:textId="77777777" w:rsidR="008D461D" w:rsidRPr="00E20031" w:rsidRDefault="008D461D" w:rsidP="00CB4D6D">
            <w:pPr>
              <w:pStyle w:val="TableText0"/>
              <w:jc w:val="center"/>
            </w:pPr>
            <w:r w:rsidRPr="00E20031">
              <w:t>205</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059F912F" w14:textId="77777777" w:rsidR="008D461D" w:rsidRPr="00E20031" w:rsidRDefault="008D461D" w:rsidP="00CB4D6D">
            <w:pPr>
              <w:pStyle w:val="TableText0"/>
              <w:jc w:val="center"/>
            </w:pPr>
            <w:r w:rsidRPr="00E20031">
              <w:t>−8.53</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559178F6" w14:textId="77777777" w:rsidR="008D461D" w:rsidRPr="00E20031" w:rsidRDefault="008D461D" w:rsidP="00CB4D6D">
            <w:pPr>
              <w:pStyle w:val="TableText0"/>
              <w:jc w:val="center"/>
            </w:pPr>
            <w:r w:rsidRPr="00E20031">
              <w:t>1.05</w:t>
            </w:r>
          </w:p>
        </w:tc>
        <w:tc>
          <w:tcPr>
            <w:tcW w:w="465" w:type="pct"/>
            <w:tcBorders>
              <w:top w:val="single" w:sz="4" w:space="0" w:color="auto"/>
              <w:left w:val="single" w:sz="4" w:space="0" w:color="auto"/>
              <w:bottom w:val="single" w:sz="4" w:space="0" w:color="auto"/>
              <w:right w:val="single" w:sz="4" w:space="0" w:color="auto"/>
            </w:tcBorders>
            <w:vAlign w:val="center"/>
          </w:tcPr>
          <w:p w14:paraId="48DA5ABF" w14:textId="77777777" w:rsidR="008D461D" w:rsidRPr="00E20031" w:rsidRDefault="008D461D" w:rsidP="00CB4D6D">
            <w:pPr>
              <w:pStyle w:val="TableText0"/>
              <w:jc w:val="center"/>
            </w:pPr>
            <w:r w:rsidRPr="00E20031">
              <w:t>207</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7BD82202" w14:textId="77777777" w:rsidR="008D461D" w:rsidRPr="00E20031" w:rsidRDefault="008D461D" w:rsidP="00CB4D6D">
            <w:pPr>
              <w:pStyle w:val="TableText0"/>
              <w:jc w:val="center"/>
            </w:pPr>
            <w:r w:rsidRPr="00E20031">
              <w:t>−7.66</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2D9D91A7" w14:textId="77777777" w:rsidR="008D461D" w:rsidRPr="00E20031" w:rsidRDefault="008D461D" w:rsidP="00CB4D6D">
            <w:pPr>
              <w:pStyle w:val="TableText0"/>
              <w:jc w:val="center"/>
            </w:pPr>
            <w:r w:rsidRPr="00E20031">
              <w:t>1.07</w:t>
            </w: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10E96EF0" w14:textId="77777777" w:rsidR="008D461D" w:rsidRPr="00E20031" w:rsidRDefault="008D461D" w:rsidP="00CB4D6D">
            <w:pPr>
              <w:pStyle w:val="TableText0"/>
              <w:jc w:val="center"/>
              <w:rPr>
                <w:szCs w:val="20"/>
              </w:rPr>
            </w:pPr>
            <w:r w:rsidRPr="00E20031">
              <w:t>−0.87 (−3.79, 2.06)</w:t>
            </w:r>
          </w:p>
        </w:tc>
      </w:tr>
      <w:tr w:rsidR="008D461D" w:rsidRPr="00E20031" w14:paraId="045C8F65" w14:textId="77777777">
        <w:trPr>
          <w:cantSplit/>
        </w:trPr>
        <w:tc>
          <w:tcPr>
            <w:tcW w:w="633" w:type="pct"/>
            <w:tcBorders>
              <w:top w:val="single" w:sz="4" w:space="0" w:color="auto"/>
              <w:left w:val="single" w:sz="4" w:space="0" w:color="auto"/>
              <w:bottom w:val="single" w:sz="4" w:space="0" w:color="auto"/>
              <w:right w:val="single" w:sz="4" w:space="0" w:color="auto"/>
            </w:tcBorders>
            <w:vAlign w:val="center"/>
          </w:tcPr>
          <w:p w14:paraId="6872DE8D" w14:textId="77777777" w:rsidR="008D461D" w:rsidRPr="00E20031" w:rsidRDefault="008D461D" w:rsidP="00CB4D6D">
            <w:pPr>
              <w:pStyle w:val="TableText0"/>
            </w:pPr>
            <w:r w:rsidRPr="00E20031">
              <w:t>DERBY</w:t>
            </w:r>
          </w:p>
        </w:tc>
        <w:tc>
          <w:tcPr>
            <w:tcW w:w="412" w:type="pct"/>
            <w:gridSpan w:val="3"/>
            <w:tcBorders>
              <w:top w:val="single" w:sz="4" w:space="0" w:color="auto"/>
              <w:left w:val="single" w:sz="4" w:space="0" w:color="auto"/>
              <w:bottom w:val="single" w:sz="4" w:space="0" w:color="auto"/>
              <w:right w:val="single" w:sz="4" w:space="0" w:color="auto"/>
            </w:tcBorders>
            <w:vAlign w:val="center"/>
          </w:tcPr>
          <w:p w14:paraId="19D0BC6A" w14:textId="77777777" w:rsidR="008D461D" w:rsidRPr="00E20031" w:rsidRDefault="008D461D" w:rsidP="00CB4D6D">
            <w:pPr>
              <w:pStyle w:val="TableText0"/>
              <w:jc w:val="center"/>
            </w:pPr>
            <w:r w:rsidRPr="00E20031">
              <w:t>201</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77D8E547" w14:textId="77777777" w:rsidR="008D461D" w:rsidRPr="00E20031" w:rsidRDefault="008D461D" w:rsidP="00CB4D6D">
            <w:pPr>
              <w:pStyle w:val="TableText0"/>
              <w:jc w:val="center"/>
            </w:pPr>
            <w:r w:rsidRPr="00E20031">
              <w:t>−8.95</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56E0CC87" w14:textId="77777777" w:rsidR="008D461D" w:rsidRPr="00E20031" w:rsidRDefault="008D461D" w:rsidP="00CB4D6D">
            <w:pPr>
              <w:pStyle w:val="TableText0"/>
              <w:jc w:val="center"/>
            </w:pPr>
            <w:r w:rsidRPr="00E20031">
              <w:t>1.03</w:t>
            </w:r>
          </w:p>
        </w:tc>
        <w:tc>
          <w:tcPr>
            <w:tcW w:w="465" w:type="pct"/>
            <w:tcBorders>
              <w:top w:val="single" w:sz="4" w:space="0" w:color="auto"/>
              <w:left w:val="single" w:sz="4" w:space="0" w:color="auto"/>
              <w:bottom w:val="single" w:sz="4" w:space="0" w:color="auto"/>
              <w:right w:val="single" w:sz="4" w:space="0" w:color="auto"/>
            </w:tcBorders>
            <w:vAlign w:val="center"/>
          </w:tcPr>
          <w:p w14:paraId="09133B13" w14:textId="77777777" w:rsidR="008D461D" w:rsidRPr="00E20031" w:rsidRDefault="008D461D" w:rsidP="00CB4D6D">
            <w:pPr>
              <w:pStyle w:val="TableText0"/>
              <w:jc w:val="center"/>
            </w:pPr>
            <w:r w:rsidRPr="00E20031">
              <w:t>195</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41CE0E2F" w14:textId="77777777" w:rsidR="008D461D" w:rsidRPr="00E20031" w:rsidRDefault="008D461D" w:rsidP="00CB4D6D">
            <w:pPr>
              <w:pStyle w:val="TableText0"/>
              <w:jc w:val="center"/>
            </w:pPr>
            <w:r w:rsidRPr="00E20031">
              <w:t>−6.22</w:t>
            </w:r>
          </w:p>
        </w:tc>
        <w:tc>
          <w:tcPr>
            <w:tcW w:w="550" w:type="pct"/>
            <w:gridSpan w:val="2"/>
            <w:tcBorders>
              <w:top w:val="single" w:sz="4" w:space="0" w:color="auto"/>
              <w:left w:val="single" w:sz="4" w:space="0" w:color="auto"/>
              <w:bottom w:val="single" w:sz="4" w:space="0" w:color="auto"/>
              <w:right w:val="single" w:sz="4" w:space="0" w:color="auto"/>
            </w:tcBorders>
            <w:vAlign w:val="center"/>
          </w:tcPr>
          <w:p w14:paraId="19030974" w14:textId="77777777" w:rsidR="008D461D" w:rsidRPr="00E20031" w:rsidRDefault="008D461D" w:rsidP="00CB4D6D">
            <w:pPr>
              <w:pStyle w:val="TableText0"/>
              <w:jc w:val="center"/>
            </w:pPr>
            <w:r w:rsidRPr="00E20031">
              <w:t>1.02</w:t>
            </w: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248E5B98" w14:textId="77777777" w:rsidR="008D461D" w:rsidRPr="00E20031" w:rsidRDefault="008D461D" w:rsidP="00CB4D6D">
            <w:pPr>
              <w:pStyle w:val="TableText0"/>
              <w:jc w:val="center"/>
            </w:pPr>
            <w:r w:rsidRPr="00E20031">
              <w:t>−2.73 (−5.57, 0.11)</w:t>
            </w:r>
          </w:p>
        </w:tc>
      </w:tr>
      <w:tr w:rsidR="008D461D" w:rsidRPr="00E20031" w14:paraId="06DA8353" w14:textId="77777777">
        <w:trPr>
          <w:cantSplit/>
        </w:trPr>
        <w:tc>
          <w:tcPr>
            <w:tcW w:w="5000" w:type="pct"/>
            <w:gridSpan w:val="15"/>
            <w:tcBorders>
              <w:top w:val="single" w:sz="4" w:space="0" w:color="auto"/>
              <w:left w:val="single" w:sz="4" w:space="0" w:color="auto"/>
              <w:bottom w:val="single" w:sz="4" w:space="0" w:color="auto"/>
              <w:right w:val="single" w:sz="4" w:space="0" w:color="auto"/>
            </w:tcBorders>
            <w:vAlign w:val="center"/>
          </w:tcPr>
          <w:p w14:paraId="6DF5B981" w14:textId="77777777" w:rsidR="008D461D" w:rsidRPr="00E20031" w:rsidRDefault="008D461D" w:rsidP="00CB4D6D">
            <w:pPr>
              <w:pStyle w:val="TableText0"/>
            </w:pPr>
            <w:r w:rsidRPr="00E20031">
              <w:rPr>
                <w:rStyle w:val="CommentReference"/>
                <w:szCs w:val="24"/>
              </w:rPr>
              <w:t>Conversion of all 4 or all 16 central microperimetry points to scotoma in the study eye in OAKS from baseline through to month 24 (mITT)</w:t>
            </w:r>
          </w:p>
        </w:tc>
      </w:tr>
      <w:tr w:rsidR="008D461D" w:rsidRPr="00E20031" w14:paraId="314808EA" w14:textId="77777777">
        <w:trPr>
          <w:cantSplit/>
        </w:trPr>
        <w:tc>
          <w:tcPr>
            <w:tcW w:w="633" w:type="pct"/>
            <w:tcBorders>
              <w:top w:val="single" w:sz="4" w:space="0" w:color="auto"/>
              <w:left w:val="single" w:sz="4" w:space="0" w:color="auto"/>
              <w:bottom w:val="single" w:sz="4" w:space="0" w:color="auto"/>
              <w:right w:val="single" w:sz="4" w:space="0" w:color="auto"/>
            </w:tcBorders>
            <w:vAlign w:val="center"/>
          </w:tcPr>
          <w:p w14:paraId="07ECCB91" w14:textId="77777777" w:rsidR="008D461D" w:rsidRPr="00E20031" w:rsidRDefault="008D461D" w:rsidP="00CB4D6D">
            <w:pPr>
              <w:pStyle w:val="TableText0"/>
            </w:pPr>
          </w:p>
        </w:tc>
        <w:tc>
          <w:tcPr>
            <w:tcW w:w="1517" w:type="pct"/>
            <w:gridSpan w:val="7"/>
            <w:tcBorders>
              <w:top w:val="single" w:sz="4" w:space="0" w:color="auto"/>
              <w:left w:val="single" w:sz="4" w:space="0" w:color="auto"/>
              <w:bottom w:val="single" w:sz="4" w:space="0" w:color="auto"/>
              <w:right w:val="single" w:sz="4" w:space="0" w:color="auto"/>
            </w:tcBorders>
            <w:vAlign w:val="center"/>
          </w:tcPr>
          <w:p w14:paraId="224A26EF" w14:textId="77777777" w:rsidR="008D461D" w:rsidRPr="00E20031" w:rsidRDefault="008D461D" w:rsidP="00CB4D6D">
            <w:pPr>
              <w:pStyle w:val="TableText0"/>
              <w:jc w:val="center"/>
              <w:rPr>
                <w:b/>
                <w:bCs w:val="0"/>
              </w:rPr>
            </w:pPr>
            <w:r w:rsidRPr="00E20031">
              <w:rPr>
                <w:b/>
                <w:bCs w:val="0"/>
              </w:rPr>
              <w:t>Pegcetacoplan every other month n/N (%)</w:t>
            </w:r>
          </w:p>
        </w:tc>
        <w:tc>
          <w:tcPr>
            <w:tcW w:w="1566" w:type="pct"/>
            <w:gridSpan w:val="5"/>
            <w:tcBorders>
              <w:top w:val="single" w:sz="4" w:space="0" w:color="auto"/>
              <w:left w:val="single" w:sz="4" w:space="0" w:color="auto"/>
              <w:bottom w:val="single" w:sz="4" w:space="0" w:color="auto"/>
              <w:right w:val="single" w:sz="4" w:space="0" w:color="auto"/>
            </w:tcBorders>
            <w:vAlign w:val="center"/>
          </w:tcPr>
          <w:p w14:paraId="11C46D94" w14:textId="77777777" w:rsidR="008D461D" w:rsidRPr="00E20031" w:rsidRDefault="008D461D" w:rsidP="00CB4D6D">
            <w:pPr>
              <w:pStyle w:val="TableText0"/>
              <w:jc w:val="center"/>
              <w:rPr>
                <w:b/>
                <w:bCs w:val="0"/>
              </w:rPr>
            </w:pPr>
            <w:r w:rsidRPr="00E20031">
              <w:rPr>
                <w:b/>
                <w:bCs w:val="0"/>
              </w:rPr>
              <w:t>Sham n/N (%)</w:t>
            </w: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37AC7692" w14:textId="77777777" w:rsidR="008D461D" w:rsidRPr="00E20031" w:rsidRDefault="008D461D" w:rsidP="00CB4D6D">
            <w:pPr>
              <w:pStyle w:val="In-tableHeading"/>
              <w:keepNext/>
              <w:keepLines/>
            </w:pPr>
            <w:r w:rsidRPr="00E20031">
              <w:t>Hazard ratio (95% CI)</w:t>
            </w:r>
          </w:p>
          <w:p w14:paraId="6E4D9488" w14:textId="77777777" w:rsidR="008D461D" w:rsidRPr="00E20031" w:rsidRDefault="008D461D" w:rsidP="00CB4D6D">
            <w:pPr>
              <w:pStyle w:val="TableText0"/>
              <w:jc w:val="center"/>
              <w:rPr>
                <w:b/>
                <w:bCs w:val="0"/>
              </w:rPr>
            </w:pPr>
            <w:r w:rsidRPr="00E20031">
              <w:rPr>
                <w:b/>
                <w:bCs w:val="0"/>
              </w:rPr>
              <w:t>P value</w:t>
            </w:r>
          </w:p>
        </w:tc>
      </w:tr>
      <w:tr w:rsidR="008D461D" w:rsidRPr="00E20031" w14:paraId="53D21D21" w14:textId="77777777">
        <w:trPr>
          <w:cantSplit/>
        </w:trPr>
        <w:tc>
          <w:tcPr>
            <w:tcW w:w="633" w:type="pct"/>
            <w:tcBorders>
              <w:top w:val="single" w:sz="4" w:space="0" w:color="auto"/>
              <w:left w:val="single" w:sz="4" w:space="0" w:color="auto"/>
              <w:bottom w:val="single" w:sz="4" w:space="0" w:color="auto"/>
              <w:right w:val="single" w:sz="4" w:space="0" w:color="auto"/>
            </w:tcBorders>
            <w:vAlign w:val="center"/>
          </w:tcPr>
          <w:p w14:paraId="338AB4E0" w14:textId="77777777" w:rsidR="008D461D" w:rsidRPr="00E20031" w:rsidRDefault="008D461D" w:rsidP="00CB4D6D">
            <w:pPr>
              <w:pStyle w:val="TableText0"/>
            </w:pPr>
            <w:r w:rsidRPr="00E20031">
              <w:t>Conversion of all 4 central points</w:t>
            </w:r>
          </w:p>
        </w:tc>
        <w:tc>
          <w:tcPr>
            <w:tcW w:w="1517" w:type="pct"/>
            <w:gridSpan w:val="7"/>
            <w:tcBorders>
              <w:top w:val="single" w:sz="4" w:space="0" w:color="auto"/>
              <w:left w:val="single" w:sz="4" w:space="0" w:color="auto"/>
              <w:bottom w:val="single" w:sz="4" w:space="0" w:color="auto"/>
              <w:right w:val="single" w:sz="4" w:space="0" w:color="auto"/>
            </w:tcBorders>
            <w:vAlign w:val="center"/>
          </w:tcPr>
          <w:p w14:paraId="6B49D43B" w14:textId="77777777" w:rsidR="008D461D" w:rsidRPr="00E20031" w:rsidRDefault="008D461D" w:rsidP="00CB4D6D">
            <w:pPr>
              <w:pStyle w:val="TableText0"/>
              <w:jc w:val="center"/>
            </w:pPr>
            <w:r w:rsidRPr="00E20031">
              <w:t>59/152 (38.8%)</w:t>
            </w:r>
          </w:p>
        </w:tc>
        <w:tc>
          <w:tcPr>
            <w:tcW w:w="1566" w:type="pct"/>
            <w:gridSpan w:val="5"/>
            <w:tcBorders>
              <w:top w:val="single" w:sz="4" w:space="0" w:color="auto"/>
              <w:left w:val="single" w:sz="4" w:space="0" w:color="auto"/>
              <w:bottom w:val="single" w:sz="4" w:space="0" w:color="auto"/>
              <w:right w:val="single" w:sz="4" w:space="0" w:color="auto"/>
            </w:tcBorders>
            <w:vAlign w:val="center"/>
          </w:tcPr>
          <w:p w14:paraId="0A5FD9FE" w14:textId="77777777" w:rsidR="008D461D" w:rsidRPr="00E20031" w:rsidRDefault="008D461D" w:rsidP="00CB4D6D">
            <w:pPr>
              <w:pStyle w:val="TableText0"/>
              <w:jc w:val="center"/>
            </w:pPr>
            <w:r w:rsidRPr="00E20031">
              <w:t>64/146 (43.8%)</w:t>
            </w:r>
          </w:p>
        </w:tc>
        <w:tc>
          <w:tcPr>
            <w:tcW w:w="1285" w:type="pct"/>
            <w:gridSpan w:val="2"/>
            <w:tcBorders>
              <w:top w:val="single" w:sz="4" w:space="0" w:color="auto"/>
              <w:left w:val="single" w:sz="4" w:space="0" w:color="auto"/>
              <w:bottom w:val="single" w:sz="4" w:space="0" w:color="auto"/>
              <w:right w:val="single" w:sz="4" w:space="0" w:color="auto"/>
            </w:tcBorders>
            <w:vAlign w:val="center"/>
          </w:tcPr>
          <w:p w14:paraId="1A3A90CF" w14:textId="2CADBD4C" w:rsidR="008D461D" w:rsidRPr="00E20031" w:rsidRDefault="008D461D" w:rsidP="00CB4D6D">
            <w:pPr>
              <w:pStyle w:val="TableText0"/>
              <w:jc w:val="center"/>
            </w:pPr>
            <w:r w:rsidRPr="00E20031">
              <w:rPr>
                <w:b/>
                <w:bCs w:val="0"/>
              </w:rPr>
              <w:t>0.64 (0.44</w:t>
            </w:r>
            <w:r w:rsidR="00397B07">
              <w:rPr>
                <w:b/>
                <w:bCs w:val="0"/>
              </w:rPr>
              <w:noBreakHyphen/>
            </w:r>
            <w:r w:rsidRPr="00E20031">
              <w:rPr>
                <w:b/>
                <w:bCs w:val="0"/>
              </w:rPr>
              <w:t>0.92)</w:t>
            </w:r>
          </w:p>
        </w:tc>
      </w:tr>
      <w:tr w:rsidR="008D461D" w:rsidRPr="00E20031" w14:paraId="3CD062A0" w14:textId="77777777">
        <w:trPr>
          <w:cantSplit/>
        </w:trPr>
        <w:tc>
          <w:tcPr>
            <w:tcW w:w="633" w:type="pct"/>
            <w:tcBorders>
              <w:top w:val="single" w:sz="4" w:space="0" w:color="auto"/>
              <w:left w:val="single" w:sz="4" w:space="0" w:color="auto"/>
              <w:bottom w:val="double" w:sz="4" w:space="0" w:color="auto"/>
              <w:right w:val="single" w:sz="4" w:space="0" w:color="auto"/>
            </w:tcBorders>
            <w:vAlign w:val="center"/>
          </w:tcPr>
          <w:p w14:paraId="3EB46337" w14:textId="77777777" w:rsidR="008D461D" w:rsidRPr="00E20031" w:rsidRDefault="008D461D" w:rsidP="00CB4D6D">
            <w:pPr>
              <w:pStyle w:val="TableText0"/>
            </w:pPr>
            <w:r w:rsidRPr="00E20031">
              <w:t>Conversion of all 16 central points</w:t>
            </w:r>
          </w:p>
        </w:tc>
        <w:tc>
          <w:tcPr>
            <w:tcW w:w="1517" w:type="pct"/>
            <w:gridSpan w:val="7"/>
            <w:tcBorders>
              <w:top w:val="single" w:sz="4" w:space="0" w:color="auto"/>
              <w:left w:val="single" w:sz="4" w:space="0" w:color="auto"/>
              <w:bottom w:val="double" w:sz="4" w:space="0" w:color="auto"/>
              <w:right w:val="single" w:sz="4" w:space="0" w:color="auto"/>
            </w:tcBorders>
            <w:vAlign w:val="center"/>
          </w:tcPr>
          <w:p w14:paraId="294F01DC" w14:textId="77777777" w:rsidR="008D461D" w:rsidRPr="00E20031" w:rsidRDefault="008D461D" w:rsidP="00CB4D6D">
            <w:pPr>
              <w:pStyle w:val="TableText0"/>
              <w:jc w:val="center"/>
            </w:pPr>
            <w:r w:rsidRPr="00E20031">
              <w:t>28/184 (15.2%)</w:t>
            </w:r>
          </w:p>
        </w:tc>
        <w:tc>
          <w:tcPr>
            <w:tcW w:w="1566" w:type="pct"/>
            <w:gridSpan w:val="5"/>
            <w:tcBorders>
              <w:top w:val="single" w:sz="4" w:space="0" w:color="auto"/>
              <w:left w:val="single" w:sz="4" w:space="0" w:color="auto"/>
              <w:bottom w:val="double" w:sz="4" w:space="0" w:color="auto"/>
              <w:right w:val="single" w:sz="4" w:space="0" w:color="auto"/>
            </w:tcBorders>
            <w:vAlign w:val="center"/>
          </w:tcPr>
          <w:p w14:paraId="57071655" w14:textId="77777777" w:rsidR="008D461D" w:rsidRPr="00E20031" w:rsidRDefault="008D461D" w:rsidP="00CB4D6D">
            <w:pPr>
              <w:pStyle w:val="TableText0"/>
              <w:jc w:val="center"/>
            </w:pPr>
            <w:r w:rsidRPr="00E20031">
              <w:t>39/181 (21.5%)</w:t>
            </w:r>
          </w:p>
        </w:tc>
        <w:tc>
          <w:tcPr>
            <w:tcW w:w="1285" w:type="pct"/>
            <w:gridSpan w:val="2"/>
            <w:tcBorders>
              <w:top w:val="single" w:sz="4" w:space="0" w:color="auto"/>
              <w:left w:val="single" w:sz="4" w:space="0" w:color="auto"/>
              <w:bottom w:val="double" w:sz="4" w:space="0" w:color="auto"/>
              <w:right w:val="single" w:sz="4" w:space="0" w:color="auto"/>
            </w:tcBorders>
            <w:vAlign w:val="center"/>
          </w:tcPr>
          <w:p w14:paraId="45F0AAAC" w14:textId="65B3750E" w:rsidR="008D461D" w:rsidRPr="00E20031" w:rsidRDefault="008D461D" w:rsidP="00CB4D6D">
            <w:pPr>
              <w:pStyle w:val="TableText0"/>
              <w:jc w:val="center"/>
            </w:pPr>
            <w:r w:rsidRPr="00E20031">
              <w:rPr>
                <w:b/>
                <w:bCs w:val="0"/>
              </w:rPr>
              <w:t>0.52 (0.32</w:t>
            </w:r>
            <w:r w:rsidR="00397B07">
              <w:rPr>
                <w:b/>
                <w:bCs w:val="0"/>
              </w:rPr>
              <w:noBreakHyphen/>
            </w:r>
            <w:r w:rsidRPr="00E20031">
              <w:rPr>
                <w:b/>
                <w:bCs w:val="0"/>
              </w:rPr>
              <w:t>0.85)</w:t>
            </w:r>
          </w:p>
        </w:tc>
      </w:tr>
      <w:tr w:rsidR="008D461D" w:rsidRPr="00E20031" w14:paraId="220FAE9B" w14:textId="77777777">
        <w:tc>
          <w:tcPr>
            <w:tcW w:w="5000" w:type="pct"/>
            <w:gridSpan w:val="15"/>
            <w:tcBorders>
              <w:top w:val="double" w:sz="4" w:space="0" w:color="auto"/>
              <w:left w:val="single" w:sz="4" w:space="0" w:color="auto"/>
              <w:bottom w:val="single" w:sz="4" w:space="0" w:color="auto"/>
              <w:right w:val="single" w:sz="4" w:space="0" w:color="auto"/>
            </w:tcBorders>
            <w:vAlign w:val="center"/>
          </w:tcPr>
          <w:p w14:paraId="21645B4F" w14:textId="77777777" w:rsidR="008D461D" w:rsidRPr="00E20031" w:rsidRDefault="008D461D" w:rsidP="00CB4D6D">
            <w:pPr>
              <w:pStyle w:val="In-tableHeading"/>
              <w:keepNext/>
              <w:keepLines/>
            </w:pPr>
            <w:r w:rsidRPr="00E20031">
              <w:t xml:space="preserve">Harms </w:t>
            </w:r>
          </w:p>
        </w:tc>
      </w:tr>
      <w:tr w:rsidR="008D461D" w:rsidRPr="00E20031" w14:paraId="02ADC583" w14:textId="77777777">
        <w:trPr>
          <w:trHeight w:val="70"/>
        </w:trPr>
        <w:tc>
          <w:tcPr>
            <w:tcW w:w="637" w:type="pct"/>
            <w:gridSpan w:val="2"/>
            <w:vMerge w:val="restart"/>
            <w:tcBorders>
              <w:top w:val="single" w:sz="4" w:space="0" w:color="auto"/>
              <w:left w:val="single" w:sz="4" w:space="0" w:color="auto"/>
              <w:bottom w:val="single" w:sz="4" w:space="0" w:color="auto"/>
              <w:right w:val="single" w:sz="4" w:space="0" w:color="auto"/>
            </w:tcBorders>
            <w:vAlign w:val="center"/>
          </w:tcPr>
          <w:p w14:paraId="4EAA4008" w14:textId="77777777" w:rsidR="008D461D" w:rsidRPr="00E20031" w:rsidRDefault="008D461D" w:rsidP="00CB4D6D">
            <w:pPr>
              <w:pStyle w:val="In-tableHeading"/>
              <w:keepNext/>
              <w:keepLines/>
            </w:pPr>
          </w:p>
        </w:tc>
        <w:tc>
          <w:tcPr>
            <w:tcW w:w="719" w:type="pct"/>
            <w:gridSpan w:val="3"/>
            <w:vMerge w:val="restart"/>
            <w:tcBorders>
              <w:top w:val="single" w:sz="4" w:space="0" w:color="auto"/>
              <w:left w:val="single" w:sz="4" w:space="0" w:color="auto"/>
              <w:bottom w:val="single" w:sz="4" w:space="0" w:color="auto"/>
              <w:right w:val="single" w:sz="4" w:space="0" w:color="auto"/>
            </w:tcBorders>
            <w:vAlign w:val="center"/>
          </w:tcPr>
          <w:p w14:paraId="746756EF" w14:textId="77777777" w:rsidR="008D461D" w:rsidRPr="00E20031" w:rsidRDefault="008D461D" w:rsidP="00CB4D6D">
            <w:pPr>
              <w:pStyle w:val="In-tableHeading"/>
              <w:keepNext/>
              <w:keepLines/>
              <w:rPr>
                <w:vertAlign w:val="superscript"/>
              </w:rPr>
            </w:pPr>
            <w:r w:rsidRPr="00E20031">
              <w:t>Pegcetacoplan pooled</w:t>
            </w:r>
            <w:r w:rsidRPr="00E20031">
              <w:rPr>
                <w:vertAlign w:val="superscript"/>
              </w:rPr>
              <w:t>b</w:t>
            </w:r>
          </w:p>
        </w:tc>
        <w:tc>
          <w:tcPr>
            <w:tcW w:w="649" w:type="pct"/>
            <w:gridSpan w:val="2"/>
            <w:vMerge w:val="restart"/>
            <w:tcBorders>
              <w:top w:val="single" w:sz="4" w:space="0" w:color="auto"/>
              <w:left w:val="single" w:sz="4" w:space="0" w:color="auto"/>
              <w:bottom w:val="single" w:sz="4" w:space="0" w:color="auto"/>
              <w:right w:val="single" w:sz="4" w:space="0" w:color="auto"/>
            </w:tcBorders>
            <w:vAlign w:val="center"/>
          </w:tcPr>
          <w:p w14:paraId="3B7EFB79" w14:textId="77777777" w:rsidR="008D461D" w:rsidRPr="00E20031" w:rsidRDefault="008D461D" w:rsidP="00CB4D6D">
            <w:pPr>
              <w:pStyle w:val="In-tableHeading"/>
              <w:keepNext/>
              <w:keepLines/>
            </w:pPr>
            <w:r w:rsidRPr="00E20031">
              <w:t>Sham</w:t>
            </w:r>
          </w:p>
          <w:p w14:paraId="1182131F" w14:textId="77777777" w:rsidR="008D461D" w:rsidRPr="00E20031" w:rsidRDefault="008D461D" w:rsidP="00CB4D6D">
            <w:pPr>
              <w:pStyle w:val="In-tableHeading"/>
              <w:keepNext/>
              <w:keepLines/>
            </w:pPr>
            <w:r w:rsidRPr="00E20031">
              <w:t>pooled</w:t>
            </w:r>
          </w:p>
        </w:tc>
        <w:tc>
          <w:tcPr>
            <w:tcW w:w="862" w:type="pct"/>
            <w:gridSpan w:val="3"/>
            <w:vMerge w:val="restart"/>
            <w:tcBorders>
              <w:top w:val="single" w:sz="4" w:space="0" w:color="auto"/>
              <w:left w:val="single" w:sz="4" w:space="0" w:color="auto"/>
              <w:bottom w:val="single" w:sz="4" w:space="0" w:color="auto"/>
              <w:right w:val="single" w:sz="4" w:space="0" w:color="auto"/>
            </w:tcBorders>
            <w:vAlign w:val="center"/>
          </w:tcPr>
          <w:p w14:paraId="46244EA6" w14:textId="77777777" w:rsidR="008D461D" w:rsidRPr="00E20031" w:rsidRDefault="008D461D" w:rsidP="00CB4D6D">
            <w:pPr>
              <w:pStyle w:val="In-tableHeading"/>
              <w:keepNext/>
              <w:keepLines/>
            </w:pPr>
            <w:r w:rsidRPr="00E20031">
              <w:t>RR</w:t>
            </w:r>
          </w:p>
          <w:p w14:paraId="79EA0D98" w14:textId="2076052E" w:rsidR="008D461D" w:rsidRPr="00E20031" w:rsidRDefault="008D461D" w:rsidP="00CB4D6D">
            <w:pPr>
              <w:pStyle w:val="In-tableHeading"/>
              <w:keepNext/>
              <w:keepLines/>
            </w:pPr>
            <w:r w:rsidRPr="00E20031">
              <w:t>(95% CI)</w:t>
            </w:r>
            <w:r w:rsidR="00406928" w:rsidRPr="00406928">
              <w:rPr>
                <w:vertAlign w:val="superscript"/>
              </w:rPr>
              <w:t>c</w:t>
            </w:r>
          </w:p>
        </w:tc>
        <w:tc>
          <w:tcPr>
            <w:tcW w:w="1383" w:type="pct"/>
            <w:gridSpan w:val="4"/>
            <w:tcBorders>
              <w:top w:val="single" w:sz="4" w:space="0" w:color="auto"/>
              <w:left w:val="single" w:sz="4" w:space="0" w:color="auto"/>
              <w:bottom w:val="single" w:sz="4" w:space="0" w:color="auto"/>
              <w:right w:val="single" w:sz="4" w:space="0" w:color="auto"/>
            </w:tcBorders>
            <w:vAlign w:val="center"/>
          </w:tcPr>
          <w:p w14:paraId="23187183" w14:textId="4BC35A8F" w:rsidR="008D461D" w:rsidRPr="00E20031" w:rsidRDefault="008D461D" w:rsidP="00CB4D6D">
            <w:pPr>
              <w:pStyle w:val="In-tableHeading"/>
              <w:keepNext/>
              <w:keepLines/>
              <w:rPr>
                <w:vertAlign w:val="superscript"/>
              </w:rPr>
            </w:pPr>
            <w:r w:rsidRPr="00E20031">
              <w:t>Event rate/100 patients</w:t>
            </w:r>
            <w:r w:rsidR="00406928" w:rsidRPr="00406928">
              <w:rPr>
                <w:vertAlign w:val="superscript"/>
              </w:rPr>
              <w:t>d</w:t>
            </w:r>
          </w:p>
        </w:tc>
        <w:tc>
          <w:tcPr>
            <w:tcW w:w="751" w:type="pct"/>
            <w:vMerge w:val="restart"/>
            <w:tcBorders>
              <w:top w:val="single" w:sz="4" w:space="0" w:color="auto"/>
              <w:left w:val="single" w:sz="4" w:space="0" w:color="auto"/>
              <w:bottom w:val="single" w:sz="4" w:space="0" w:color="auto"/>
              <w:right w:val="single" w:sz="4" w:space="0" w:color="auto"/>
            </w:tcBorders>
            <w:vAlign w:val="center"/>
          </w:tcPr>
          <w:p w14:paraId="7BC77AA4" w14:textId="77777777" w:rsidR="008D461D" w:rsidRPr="00E20031" w:rsidRDefault="008D461D" w:rsidP="00CB4D6D">
            <w:pPr>
              <w:pStyle w:val="In-tableHeading"/>
              <w:keepNext/>
              <w:keepLines/>
            </w:pPr>
            <w:r w:rsidRPr="00E20031">
              <w:t>RD</w:t>
            </w:r>
          </w:p>
          <w:p w14:paraId="2EB8CD6E" w14:textId="6AB17865" w:rsidR="008D461D" w:rsidRPr="00406928" w:rsidRDefault="008D461D" w:rsidP="00CB4D6D">
            <w:pPr>
              <w:pStyle w:val="In-tableHeading"/>
              <w:keepNext/>
              <w:keepLines/>
              <w:rPr>
                <w:vertAlign w:val="superscript"/>
              </w:rPr>
            </w:pPr>
            <w:r w:rsidRPr="00E20031">
              <w:t>(95% CI)</w:t>
            </w:r>
            <w:r w:rsidR="00406928">
              <w:rPr>
                <w:vertAlign w:val="superscript"/>
              </w:rPr>
              <w:t>c</w:t>
            </w:r>
          </w:p>
        </w:tc>
      </w:tr>
      <w:tr w:rsidR="008D461D" w:rsidRPr="00E20031" w14:paraId="01BEB8B3" w14:textId="77777777">
        <w:trPr>
          <w:trHeight w:val="390"/>
        </w:trPr>
        <w:tc>
          <w:tcPr>
            <w:tcW w:w="637" w:type="pct"/>
            <w:gridSpan w:val="2"/>
            <w:vMerge/>
            <w:tcBorders>
              <w:top w:val="single" w:sz="4" w:space="0" w:color="auto"/>
              <w:left w:val="single" w:sz="4" w:space="0" w:color="auto"/>
              <w:bottom w:val="single" w:sz="4" w:space="0" w:color="auto"/>
              <w:right w:val="single" w:sz="4" w:space="0" w:color="auto"/>
            </w:tcBorders>
            <w:vAlign w:val="center"/>
          </w:tcPr>
          <w:p w14:paraId="5F7EF02E" w14:textId="77777777" w:rsidR="008D461D" w:rsidRPr="00E20031" w:rsidRDefault="008D461D" w:rsidP="00CB4D6D">
            <w:pPr>
              <w:pStyle w:val="In-tableHeading"/>
              <w:keepNext/>
              <w:keepLines/>
            </w:pPr>
          </w:p>
        </w:tc>
        <w:tc>
          <w:tcPr>
            <w:tcW w:w="719" w:type="pct"/>
            <w:gridSpan w:val="3"/>
            <w:vMerge/>
            <w:tcBorders>
              <w:top w:val="single" w:sz="4" w:space="0" w:color="auto"/>
              <w:left w:val="single" w:sz="4" w:space="0" w:color="auto"/>
              <w:bottom w:val="single" w:sz="4" w:space="0" w:color="auto"/>
              <w:right w:val="single" w:sz="4" w:space="0" w:color="auto"/>
            </w:tcBorders>
            <w:vAlign w:val="center"/>
          </w:tcPr>
          <w:p w14:paraId="23D0FA65" w14:textId="77777777" w:rsidR="008D461D" w:rsidRPr="00E20031" w:rsidRDefault="008D461D" w:rsidP="00CB4D6D">
            <w:pPr>
              <w:pStyle w:val="In-tableHeading"/>
              <w:keepNext/>
              <w:keepLines/>
            </w:pPr>
          </w:p>
        </w:tc>
        <w:tc>
          <w:tcPr>
            <w:tcW w:w="649" w:type="pct"/>
            <w:gridSpan w:val="2"/>
            <w:vMerge/>
            <w:tcBorders>
              <w:top w:val="single" w:sz="4" w:space="0" w:color="auto"/>
              <w:left w:val="single" w:sz="4" w:space="0" w:color="auto"/>
              <w:bottom w:val="single" w:sz="4" w:space="0" w:color="auto"/>
              <w:right w:val="single" w:sz="4" w:space="0" w:color="auto"/>
            </w:tcBorders>
            <w:vAlign w:val="center"/>
          </w:tcPr>
          <w:p w14:paraId="2322AB77" w14:textId="77777777" w:rsidR="008D461D" w:rsidRPr="00E20031" w:rsidRDefault="008D461D" w:rsidP="00CB4D6D">
            <w:pPr>
              <w:pStyle w:val="In-tableHeading"/>
              <w:keepNext/>
              <w:keepLines/>
            </w:pPr>
          </w:p>
        </w:tc>
        <w:tc>
          <w:tcPr>
            <w:tcW w:w="862" w:type="pct"/>
            <w:gridSpan w:val="3"/>
            <w:vMerge/>
            <w:tcBorders>
              <w:top w:val="single" w:sz="4" w:space="0" w:color="auto"/>
              <w:left w:val="single" w:sz="4" w:space="0" w:color="auto"/>
              <w:bottom w:val="single" w:sz="4" w:space="0" w:color="auto"/>
              <w:right w:val="single" w:sz="4" w:space="0" w:color="auto"/>
            </w:tcBorders>
            <w:vAlign w:val="center"/>
          </w:tcPr>
          <w:p w14:paraId="0418C59B" w14:textId="77777777" w:rsidR="008D461D" w:rsidRPr="00E20031" w:rsidRDefault="008D461D" w:rsidP="00CB4D6D">
            <w:pPr>
              <w:pStyle w:val="In-tableHeading"/>
              <w:keepNext/>
              <w:keepLines/>
            </w:pP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456188D3" w14:textId="77777777" w:rsidR="008D461D" w:rsidRPr="00E20031" w:rsidRDefault="008D461D" w:rsidP="00CB4D6D">
            <w:pPr>
              <w:pStyle w:val="In-tableHeading"/>
              <w:keepNext/>
              <w:keepLines/>
            </w:pPr>
            <w:r w:rsidRPr="00E20031">
              <w:t>pegcetacoplan</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49CAE55D" w14:textId="77777777" w:rsidR="008D461D" w:rsidRPr="00E20031" w:rsidRDefault="008D461D" w:rsidP="00CB4D6D">
            <w:pPr>
              <w:pStyle w:val="In-tableHeading"/>
              <w:keepNext/>
              <w:keepLines/>
            </w:pPr>
            <w:r w:rsidRPr="00E20031">
              <w:t>Sham</w:t>
            </w:r>
          </w:p>
        </w:tc>
        <w:tc>
          <w:tcPr>
            <w:tcW w:w="751" w:type="pct"/>
            <w:vMerge/>
            <w:tcBorders>
              <w:top w:val="single" w:sz="4" w:space="0" w:color="auto"/>
              <w:left w:val="single" w:sz="4" w:space="0" w:color="auto"/>
              <w:bottom w:val="single" w:sz="4" w:space="0" w:color="auto"/>
              <w:right w:val="single" w:sz="4" w:space="0" w:color="auto"/>
            </w:tcBorders>
            <w:vAlign w:val="center"/>
          </w:tcPr>
          <w:p w14:paraId="07CDEB0B" w14:textId="77777777" w:rsidR="008D461D" w:rsidRPr="00E20031" w:rsidRDefault="008D461D" w:rsidP="00CB4D6D">
            <w:pPr>
              <w:pStyle w:val="In-tableHeading"/>
              <w:keepNext/>
              <w:keepLines/>
            </w:pPr>
          </w:p>
        </w:tc>
      </w:tr>
      <w:tr w:rsidR="008D461D" w:rsidRPr="00E20031" w14:paraId="4CDEF68D" w14:textId="77777777">
        <w:tc>
          <w:tcPr>
            <w:tcW w:w="5000" w:type="pct"/>
            <w:gridSpan w:val="15"/>
            <w:tcBorders>
              <w:top w:val="single" w:sz="4" w:space="0" w:color="auto"/>
              <w:left w:val="single" w:sz="4" w:space="0" w:color="auto"/>
              <w:bottom w:val="single" w:sz="4" w:space="0" w:color="auto"/>
              <w:right w:val="single" w:sz="4" w:space="0" w:color="auto"/>
            </w:tcBorders>
            <w:vAlign w:val="center"/>
          </w:tcPr>
          <w:p w14:paraId="0CC06B3F" w14:textId="77777777" w:rsidR="008D461D" w:rsidRPr="00E20031" w:rsidRDefault="008D461D" w:rsidP="00CB4D6D">
            <w:pPr>
              <w:pStyle w:val="In-tableHeading"/>
              <w:keepNext/>
              <w:keepLines/>
            </w:pPr>
            <w:r w:rsidRPr="00E20031">
              <w:t>AEs related to treatment</w:t>
            </w:r>
          </w:p>
        </w:tc>
      </w:tr>
      <w:tr w:rsidR="008D461D" w:rsidRPr="00E20031" w14:paraId="2D1297CE" w14:textId="77777777">
        <w:tc>
          <w:tcPr>
            <w:tcW w:w="640" w:type="pct"/>
            <w:gridSpan w:val="3"/>
            <w:tcBorders>
              <w:top w:val="single" w:sz="4" w:space="0" w:color="auto"/>
              <w:left w:val="single" w:sz="4" w:space="0" w:color="auto"/>
              <w:bottom w:val="single" w:sz="4" w:space="0" w:color="auto"/>
              <w:right w:val="single" w:sz="4" w:space="0" w:color="auto"/>
            </w:tcBorders>
            <w:vAlign w:val="center"/>
          </w:tcPr>
          <w:p w14:paraId="20A56591" w14:textId="77777777" w:rsidR="008D461D" w:rsidRPr="00E20031" w:rsidRDefault="008D461D" w:rsidP="00CB4D6D">
            <w:pPr>
              <w:pStyle w:val="TableText0"/>
            </w:pPr>
            <w:r w:rsidRPr="00E20031">
              <w:t>DERBY</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04363AE1" w14:textId="77777777" w:rsidR="008D461D" w:rsidRPr="00E20031" w:rsidRDefault="008D461D" w:rsidP="00CB4D6D">
            <w:pPr>
              <w:pStyle w:val="TableText0"/>
              <w:jc w:val="center"/>
              <w:rPr>
                <w:b/>
                <w:bCs w:val="0"/>
              </w:rPr>
            </w:pPr>
            <w:r w:rsidRPr="00E20031">
              <w:t>50/414 (12.1%)</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2F7D7CFE" w14:textId="77777777" w:rsidR="008D461D" w:rsidRPr="00E20031" w:rsidRDefault="008D461D" w:rsidP="00CB4D6D">
            <w:pPr>
              <w:pStyle w:val="TableText0"/>
              <w:jc w:val="center"/>
              <w:rPr>
                <w:b/>
                <w:bCs w:val="0"/>
              </w:rPr>
            </w:pPr>
            <w:r w:rsidRPr="00E20031">
              <w:t>8/206</w:t>
            </w:r>
          </w:p>
          <w:p w14:paraId="7C30D909" w14:textId="77777777" w:rsidR="008D461D" w:rsidRPr="00E20031" w:rsidRDefault="008D461D" w:rsidP="00CB4D6D">
            <w:pPr>
              <w:pStyle w:val="TableText0"/>
              <w:jc w:val="center"/>
              <w:rPr>
                <w:b/>
                <w:bCs w:val="0"/>
              </w:rPr>
            </w:pPr>
            <w:r w:rsidRPr="00E20031">
              <w:t>(3.9%)</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79033A62" w14:textId="77777777" w:rsidR="008D461D" w:rsidRPr="00923360" w:rsidRDefault="008D461D" w:rsidP="00CB4D6D">
            <w:pPr>
              <w:pStyle w:val="TableText0"/>
              <w:jc w:val="center"/>
              <w:rPr>
                <w:b/>
                <w:bCs w:val="0"/>
              </w:rPr>
            </w:pPr>
            <w:r w:rsidRPr="00923360">
              <w:rPr>
                <w:b/>
                <w:bCs w:val="0"/>
              </w:rPr>
              <w:t>3.11</w:t>
            </w:r>
          </w:p>
          <w:p w14:paraId="0BE3B538" w14:textId="77777777" w:rsidR="008D461D" w:rsidRPr="00923360" w:rsidRDefault="008D461D" w:rsidP="00CB4D6D">
            <w:pPr>
              <w:pStyle w:val="TableText0"/>
              <w:jc w:val="center"/>
              <w:rPr>
                <w:b/>
                <w:bCs w:val="0"/>
              </w:rPr>
            </w:pPr>
            <w:r w:rsidRPr="00923360">
              <w:rPr>
                <w:b/>
                <w:bCs w:val="0"/>
              </w:rPr>
              <w:t>(1.50, 6.44)</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39ABE34F" w14:textId="77777777" w:rsidR="008D461D" w:rsidRPr="00E20031" w:rsidRDefault="008D461D" w:rsidP="00CB4D6D">
            <w:pPr>
              <w:pStyle w:val="TableText0"/>
              <w:jc w:val="center"/>
              <w:rPr>
                <w:b/>
                <w:bCs w:val="0"/>
              </w:rPr>
            </w:pPr>
            <w:r w:rsidRPr="00E20031">
              <w:t>12</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123C2FDC" w14:textId="77777777" w:rsidR="008D461D" w:rsidRPr="00E20031" w:rsidRDefault="008D461D" w:rsidP="00CB4D6D">
            <w:pPr>
              <w:pStyle w:val="TableText0"/>
              <w:jc w:val="center"/>
              <w:rPr>
                <w:b/>
                <w:bCs w:val="0"/>
              </w:rPr>
            </w:pPr>
            <w:r w:rsidRPr="00E20031">
              <w:rPr>
                <w:iCs/>
              </w:rPr>
              <w:t>4</w:t>
            </w:r>
          </w:p>
        </w:tc>
        <w:tc>
          <w:tcPr>
            <w:tcW w:w="751" w:type="pct"/>
            <w:tcBorders>
              <w:top w:val="single" w:sz="4" w:space="0" w:color="auto"/>
              <w:left w:val="single" w:sz="4" w:space="0" w:color="auto"/>
              <w:bottom w:val="single" w:sz="4" w:space="0" w:color="auto"/>
              <w:right w:val="single" w:sz="4" w:space="0" w:color="auto"/>
            </w:tcBorders>
            <w:vAlign w:val="center"/>
          </w:tcPr>
          <w:p w14:paraId="2A04BC73" w14:textId="77777777" w:rsidR="008D461D" w:rsidRPr="00923360" w:rsidRDefault="008D461D" w:rsidP="00CB4D6D">
            <w:pPr>
              <w:pStyle w:val="TableText0"/>
              <w:jc w:val="center"/>
              <w:rPr>
                <w:b/>
                <w:bCs w:val="0"/>
              </w:rPr>
            </w:pPr>
            <w:r w:rsidRPr="00923360">
              <w:rPr>
                <w:b/>
                <w:bCs w:val="0"/>
              </w:rPr>
              <w:t>0.08</w:t>
            </w:r>
          </w:p>
          <w:p w14:paraId="12BE6418" w14:textId="77777777" w:rsidR="008D461D" w:rsidRPr="00923360" w:rsidRDefault="008D461D" w:rsidP="00CB4D6D">
            <w:pPr>
              <w:pStyle w:val="TableText0"/>
              <w:jc w:val="center"/>
            </w:pPr>
            <w:r w:rsidRPr="00923360">
              <w:rPr>
                <w:b/>
                <w:bCs w:val="0"/>
              </w:rPr>
              <w:t>(0.04, 0.12)</w:t>
            </w:r>
          </w:p>
        </w:tc>
      </w:tr>
      <w:tr w:rsidR="008D461D" w:rsidRPr="00E20031" w14:paraId="68E0FD0B" w14:textId="77777777">
        <w:tc>
          <w:tcPr>
            <w:tcW w:w="640" w:type="pct"/>
            <w:gridSpan w:val="3"/>
            <w:tcBorders>
              <w:top w:val="single" w:sz="4" w:space="0" w:color="auto"/>
              <w:left w:val="single" w:sz="4" w:space="0" w:color="auto"/>
              <w:bottom w:val="single" w:sz="4" w:space="0" w:color="auto"/>
              <w:right w:val="single" w:sz="4" w:space="0" w:color="auto"/>
            </w:tcBorders>
            <w:vAlign w:val="center"/>
          </w:tcPr>
          <w:p w14:paraId="3D567E52" w14:textId="77777777" w:rsidR="008D461D" w:rsidRPr="00E20031" w:rsidRDefault="008D461D" w:rsidP="00CB4D6D">
            <w:pPr>
              <w:pStyle w:val="TableText0"/>
            </w:pPr>
            <w:r w:rsidRPr="00E20031">
              <w:t>OAKS</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3A38EA61" w14:textId="77777777" w:rsidR="008D461D" w:rsidRPr="00E20031" w:rsidRDefault="008D461D" w:rsidP="00CB4D6D">
            <w:pPr>
              <w:pStyle w:val="TableText0"/>
              <w:jc w:val="center"/>
              <w:rPr>
                <w:b/>
                <w:bCs w:val="0"/>
              </w:rPr>
            </w:pPr>
            <w:r w:rsidRPr="00E20031">
              <w:t>44/425 (10.4%)</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348455DE" w14:textId="77777777" w:rsidR="008D461D" w:rsidRPr="00E20031" w:rsidRDefault="008D461D" w:rsidP="00CB4D6D">
            <w:pPr>
              <w:pStyle w:val="TableText0"/>
              <w:jc w:val="center"/>
              <w:rPr>
                <w:b/>
                <w:bCs w:val="0"/>
              </w:rPr>
            </w:pPr>
            <w:r w:rsidRPr="00E20031">
              <w:t>11/211</w:t>
            </w:r>
          </w:p>
          <w:p w14:paraId="53DEFC31" w14:textId="77777777" w:rsidR="008D461D" w:rsidRPr="00E20031" w:rsidRDefault="008D461D" w:rsidP="00CB4D6D">
            <w:pPr>
              <w:pStyle w:val="TableText0"/>
              <w:jc w:val="center"/>
              <w:rPr>
                <w:b/>
                <w:bCs w:val="0"/>
              </w:rPr>
            </w:pPr>
            <w:r w:rsidRPr="00E20031">
              <w:t>(5.2%)</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C7DB5C6" w14:textId="77777777" w:rsidR="008D461D" w:rsidRPr="00923360" w:rsidRDefault="008D461D" w:rsidP="00CB4D6D">
            <w:pPr>
              <w:pStyle w:val="TableText0"/>
              <w:jc w:val="center"/>
              <w:rPr>
                <w:b/>
                <w:bCs w:val="0"/>
              </w:rPr>
            </w:pPr>
            <w:r w:rsidRPr="00923360">
              <w:rPr>
                <w:b/>
                <w:bCs w:val="0"/>
              </w:rPr>
              <w:t>1.99</w:t>
            </w:r>
          </w:p>
          <w:p w14:paraId="6DB33BD4" w14:textId="77777777" w:rsidR="008D461D" w:rsidRPr="00923360" w:rsidRDefault="008D461D" w:rsidP="00CB4D6D">
            <w:pPr>
              <w:pStyle w:val="TableText0"/>
              <w:jc w:val="center"/>
              <w:rPr>
                <w:b/>
                <w:bCs w:val="0"/>
              </w:rPr>
            </w:pPr>
            <w:r w:rsidRPr="00923360">
              <w:rPr>
                <w:b/>
                <w:bCs w:val="0"/>
              </w:rPr>
              <w:t>(1.05, 3.77)</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100B1820" w14:textId="77777777" w:rsidR="008D461D" w:rsidRPr="00E20031" w:rsidRDefault="008D461D" w:rsidP="00CB4D6D">
            <w:pPr>
              <w:pStyle w:val="TableText0"/>
              <w:jc w:val="center"/>
              <w:rPr>
                <w:b/>
                <w:bCs w:val="0"/>
              </w:rPr>
            </w:pPr>
            <w:r w:rsidRPr="00E20031">
              <w:t>10</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14A92A84" w14:textId="77777777" w:rsidR="008D461D" w:rsidRPr="00E20031" w:rsidRDefault="008D461D" w:rsidP="00CB4D6D">
            <w:pPr>
              <w:pStyle w:val="TableText0"/>
              <w:jc w:val="center"/>
              <w:rPr>
                <w:b/>
                <w:bCs w:val="0"/>
              </w:rPr>
            </w:pPr>
            <w:r w:rsidRPr="00E20031">
              <w:rPr>
                <w:iCs/>
              </w:rPr>
              <w:t>5</w:t>
            </w:r>
          </w:p>
        </w:tc>
        <w:tc>
          <w:tcPr>
            <w:tcW w:w="751" w:type="pct"/>
            <w:tcBorders>
              <w:top w:val="single" w:sz="4" w:space="0" w:color="auto"/>
              <w:left w:val="single" w:sz="4" w:space="0" w:color="auto"/>
              <w:bottom w:val="single" w:sz="4" w:space="0" w:color="auto"/>
              <w:right w:val="single" w:sz="4" w:space="0" w:color="auto"/>
            </w:tcBorders>
            <w:vAlign w:val="center"/>
          </w:tcPr>
          <w:p w14:paraId="38D0C7D8" w14:textId="77777777" w:rsidR="008D461D" w:rsidRPr="00923360" w:rsidRDefault="008D461D" w:rsidP="00CB4D6D">
            <w:pPr>
              <w:pStyle w:val="TableText0"/>
              <w:jc w:val="center"/>
              <w:rPr>
                <w:b/>
                <w:bCs w:val="0"/>
              </w:rPr>
            </w:pPr>
            <w:r w:rsidRPr="00923360">
              <w:rPr>
                <w:b/>
                <w:bCs w:val="0"/>
              </w:rPr>
              <w:t>0.05</w:t>
            </w:r>
          </w:p>
          <w:p w14:paraId="3C8F84A8" w14:textId="77777777" w:rsidR="008D461D" w:rsidRPr="00923360" w:rsidRDefault="008D461D" w:rsidP="00CB4D6D">
            <w:pPr>
              <w:pStyle w:val="TableText0"/>
              <w:jc w:val="center"/>
            </w:pPr>
            <w:r w:rsidRPr="00923360">
              <w:rPr>
                <w:b/>
                <w:bCs w:val="0"/>
              </w:rPr>
              <w:t>(0.01, 0.09)</w:t>
            </w:r>
          </w:p>
        </w:tc>
      </w:tr>
      <w:tr w:rsidR="008D461D" w:rsidRPr="00E20031" w14:paraId="3D44F27B" w14:textId="77777777">
        <w:tc>
          <w:tcPr>
            <w:tcW w:w="640" w:type="pct"/>
            <w:gridSpan w:val="3"/>
            <w:tcBorders>
              <w:top w:val="single" w:sz="4" w:space="0" w:color="auto"/>
              <w:left w:val="single" w:sz="4" w:space="0" w:color="auto"/>
              <w:bottom w:val="single" w:sz="4" w:space="0" w:color="auto"/>
              <w:right w:val="single" w:sz="4" w:space="0" w:color="auto"/>
            </w:tcBorders>
            <w:vAlign w:val="center"/>
          </w:tcPr>
          <w:p w14:paraId="1A586AF0" w14:textId="77777777" w:rsidR="008D461D" w:rsidRPr="00E20031" w:rsidRDefault="008D461D" w:rsidP="00CB4D6D">
            <w:pPr>
              <w:pStyle w:val="TableText0"/>
            </w:pPr>
            <w:r w:rsidRPr="00E20031">
              <w:t>Pooled</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4D0B27CB" w14:textId="77777777" w:rsidR="008D461D" w:rsidRPr="00E20031" w:rsidRDefault="008D461D" w:rsidP="00CB4D6D">
            <w:pPr>
              <w:pStyle w:val="TableText0"/>
              <w:jc w:val="center"/>
            </w:pPr>
            <w:r w:rsidRPr="00E20031">
              <w:t>94/839 (11.2%)</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40026FD6" w14:textId="77777777" w:rsidR="008D461D" w:rsidRPr="00E20031" w:rsidRDefault="008D461D" w:rsidP="00CB4D6D">
            <w:pPr>
              <w:pStyle w:val="TableText0"/>
              <w:jc w:val="center"/>
            </w:pPr>
            <w:r w:rsidRPr="00E20031">
              <w:t>19/417 (4.6%)</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38893D75" w14:textId="77777777" w:rsidR="008D461D" w:rsidRPr="00923360" w:rsidRDefault="008D461D" w:rsidP="00CB4D6D">
            <w:pPr>
              <w:pStyle w:val="TableText0"/>
              <w:jc w:val="center"/>
              <w:rPr>
                <w:b/>
                <w:bCs w:val="0"/>
              </w:rPr>
            </w:pPr>
            <w:r w:rsidRPr="00923360">
              <w:rPr>
                <w:b/>
                <w:bCs w:val="0"/>
              </w:rPr>
              <w:t>2.46</w:t>
            </w:r>
          </w:p>
          <w:p w14:paraId="04078DBF" w14:textId="77777777" w:rsidR="008D461D" w:rsidRPr="00923360" w:rsidRDefault="008D461D" w:rsidP="00CB4D6D">
            <w:pPr>
              <w:pStyle w:val="TableText0"/>
              <w:jc w:val="center"/>
              <w:rPr>
                <w:b/>
                <w:bCs w:val="0"/>
              </w:rPr>
            </w:pPr>
            <w:r w:rsidRPr="00923360">
              <w:rPr>
                <w:b/>
                <w:bCs w:val="0"/>
              </w:rPr>
              <w:t>(1.52, 3.97)</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30D57C81" w14:textId="77777777" w:rsidR="008D461D" w:rsidRPr="00E20031" w:rsidRDefault="008D461D" w:rsidP="00CB4D6D">
            <w:pPr>
              <w:pStyle w:val="TableText0"/>
              <w:jc w:val="center"/>
            </w:pPr>
            <w:r w:rsidRPr="00E20031">
              <w:t>11</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09162979" w14:textId="77777777" w:rsidR="008D461D" w:rsidRPr="00E20031" w:rsidRDefault="008D461D" w:rsidP="00CB4D6D">
            <w:pPr>
              <w:pStyle w:val="TableText0"/>
              <w:jc w:val="center"/>
              <w:rPr>
                <w:iCs/>
              </w:rPr>
            </w:pPr>
            <w:r w:rsidRPr="00E20031">
              <w:rPr>
                <w:iCs/>
              </w:rPr>
              <w:t>5</w:t>
            </w:r>
          </w:p>
        </w:tc>
        <w:tc>
          <w:tcPr>
            <w:tcW w:w="751" w:type="pct"/>
            <w:tcBorders>
              <w:top w:val="single" w:sz="4" w:space="0" w:color="auto"/>
              <w:left w:val="single" w:sz="4" w:space="0" w:color="auto"/>
              <w:bottom w:val="single" w:sz="4" w:space="0" w:color="auto"/>
              <w:right w:val="single" w:sz="4" w:space="0" w:color="auto"/>
            </w:tcBorders>
            <w:vAlign w:val="center"/>
          </w:tcPr>
          <w:p w14:paraId="3241BACF" w14:textId="77777777" w:rsidR="008D461D" w:rsidRPr="00923360" w:rsidRDefault="008D461D" w:rsidP="00CB4D6D">
            <w:pPr>
              <w:pStyle w:val="TableText0"/>
              <w:jc w:val="center"/>
              <w:rPr>
                <w:b/>
                <w:bCs w:val="0"/>
              </w:rPr>
            </w:pPr>
            <w:r w:rsidRPr="00923360">
              <w:rPr>
                <w:b/>
                <w:bCs w:val="0"/>
              </w:rPr>
              <w:t>0.07</w:t>
            </w:r>
          </w:p>
          <w:p w14:paraId="1EA8655A" w14:textId="77777777" w:rsidR="008D461D" w:rsidRPr="00923360" w:rsidRDefault="008D461D" w:rsidP="00CB4D6D">
            <w:pPr>
              <w:pStyle w:val="TableText0"/>
              <w:jc w:val="center"/>
              <w:rPr>
                <w:b/>
                <w:bCs w:val="0"/>
              </w:rPr>
            </w:pPr>
            <w:r w:rsidRPr="00923360">
              <w:rPr>
                <w:b/>
                <w:bCs w:val="0"/>
              </w:rPr>
              <w:t>(0.04, 0.10)</w:t>
            </w:r>
          </w:p>
        </w:tc>
      </w:tr>
      <w:tr w:rsidR="008D461D" w:rsidRPr="00E20031" w14:paraId="2884612A" w14:textId="77777777">
        <w:tc>
          <w:tcPr>
            <w:tcW w:w="5000" w:type="pct"/>
            <w:gridSpan w:val="15"/>
            <w:tcBorders>
              <w:top w:val="single" w:sz="4" w:space="0" w:color="auto"/>
              <w:left w:val="single" w:sz="4" w:space="0" w:color="auto"/>
              <w:bottom w:val="single" w:sz="4" w:space="0" w:color="auto"/>
              <w:right w:val="single" w:sz="4" w:space="0" w:color="auto"/>
            </w:tcBorders>
            <w:vAlign w:val="center"/>
          </w:tcPr>
          <w:p w14:paraId="191728C9" w14:textId="77777777" w:rsidR="008D461D" w:rsidRPr="00923360" w:rsidRDefault="008D461D" w:rsidP="00CB4D6D">
            <w:pPr>
              <w:pStyle w:val="In-tableHeading"/>
              <w:keepNext/>
              <w:keepLines/>
            </w:pPr>
            <w:r w:rsidRPr="00923360">
              <w:t>nAMD (study eye)</w:t>
            </w:r>
          </w:p>
        </w:tc>
      </w:tr>
      <w:tr w:rsidR="008D461D" w:rsidRPr="00E20031" w14:paraId="67BD9568" w14:textId="77777777">
        <w:tc>
          <w:tcPr>
            <w:tcW w:w="640" w:type="pct"/>
            <w:gridSpan w:val="3"/>
            <w:tcBorders>
              <w:top w:val="single" w:sz="4" w:space="0" w:color="auto"/>
              <w:left w:val="single" w:sz="4" w:space="0" w:color="auto"/>
              <w:bottom w:val="single" w:sz="4" w:space="0" w:color="auto"/>
              <w:right w:val="single" w:sz="4" w:space="0" w:color="auto"/>
            </w:tcBorders>
            <w:vAlign w:val="center"/>
          </w:tcPr>
          <w:p w14:paraId="7990604C" w14:textId="77777777" w:rsidR="008D461D" w:rsidRPr="00E20031" w:rsidRDefault="008D461D" w:rsidP="00CB4D6D">
            <w:pPr>
              <w:pStyle w:val="TableText0"/>
            </w:pPr>
            <w:r w:rsidRPr="00E20031">
              <w:t xml:space="preserve">DERBY </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32CB2DDC" w14:textId="77777777" w:rsidR="008D461D" w:rsidRPr="00E20031" w:rsidRDefault="008D461D" w:rsidP="00CB4D6D">
            <w:pPr>
              <w:pStyle w:val="TableText0"/>
              <w:jc w:val="center"/>
              <w:rPr>
                <w:b/>
                <w:bCs w:val="0"/>
              </w:rPr>
            </w:pPr>
            <w:r w:rsidRPr="00E20031">
              <w:t>31/414 (7.5%)</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37AB1A47" w14:textId="77777777" w:rsidR="008D461D" w:rsidRPr="00E20031" w:rsidRDefault="008D461D" w:rsidP="00CB4D6D">
            <w:pPr>
              <w:pStyle w:val="TableText0"/>
              <w:jc w:val="center"/>
              <w:rPr>
                <w:b/>
                <w:bCs w:val="0"/>
              </w:rPr>
            </w:pPr>
            <w:r w:rsidRPr="00E20031">
              <w:t>5/206</w:t>
            </w:r>
          </w:p>
          <w:p w14:paraId="3A1BE8F7" w14:textId="77777777" w:rsidR="008D461D" w:rsidRPr="00E20031" w:rsidRDefault="008D461D" w:rsidP="00CB4D6D">
            <w:pPr>
              <w:pStyle w:val="TableText0"/>
              <w:jc w:val="center"/>
              <w:rPr>
                <w:b/>
                <w:bCs w:val="0"/>
              </w:rPr>
            </w:pPr>
            <w:r w:rsidRPr="00E20031">
              <w:t>(2.4%)</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5BC51708" w14:textId="77777777" w:rsidR="008D461D" w:rsidRPr="00923360" w:rsidRDefault="008D461D" w:rsidP="00CB4D6D">
            <w:pPr>
              <w:pStyle w:val="TableText0"/>
              <w:jc w:val="center"/>
              <w:rPr>
                <w:b/>
                <w:bCs w:val="0"/>
              </w:rPr>
            </w:pPr>
            <w:r w:rsidRPr="00923360">
              <w:rPr>
                <w:b/>
                <w:bCs w:val="0"/>
              </w:rPr>
              <w:t>3.09</w:t>
            </w:r>
          </w:p>
          <w:p w14:paraId="33117CCD" w14:textId="77777777" w:rsidR="008D461D" w:rsidRPr="00923360" w:rsidRDefault="008D461D" w:rsidP="00CB4D6D">
            <w:pPr>
              <w:pStyle w:val="TableText0"/>
              <w:jc w:val="center"/>
              <w:rPr>
                <w:b/>
                <w:bCs w:val="0"/>
              </w:rPr>
            </w:pPr>
            <w:r w:rsidRPr="00923360">
              <w:rPr>
                <w:b/>
                <w:bCs w:val="0"/>
              </w:rPr>
              <w:t>(1.22, 7.82)</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40ED97B8" w14:textId="77777777" w:rsidR="008D461D" w:rsidRPr="00E20031" w:rsidRDefault="008D461D" w:rsidP="00CB4D6D">
            <w:pPr>
              <w:pStyle w:val="TableText0"/>
              <w:jc w:val="center"/>
              <w:rPr>
                <w:bCs w:val="0"/>
              </w:rPr>
            </w:pPr>
            <w:r w:rsidRPr="00E20031">
              <w:rPr>
                <w:bCs w:val="0"/>
              </w:rPr>
              <w:t>8</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75E2401D" w14:textId="77777777" w:rsidR="008D461D" w:rsidRPr="00E20031" w:rsidRDefault="008D461D" w:rsidP="00CB4D6D">
            <w:pPr>
              <w:pStyle w:val="TableText0"/>
              <w:jc w:val="center"/>
              <w:rPr>
                <w:b/>
                <w:bCs w:val="0"/>
              </w:rPr>
            </w:pPr>
            <w:r w:rsidRPr="00E20031">
              <w:rPr>
                <w:iCs/>
              </w:rPr>
              <w:t>2</w:t>
            </w:r>
          </w:p>
        </w:tc>
        <w:tc>
          <w:tcPr>
            <w:tcW w:w="751" w:type="pct"/>
            <w:tcBorders>
              <w:top w:val="single" w:sz="4" w:space="0" w:color="auto"/>
              <w:left w:val="single" w:sz="4" w:space="0" w:color="auto"/>
              <w:bottom w:val="single" w:sz="4" w:space="0" w:color="auto"/>
              <w:right w:val="single" w:sz="4" w:space="0" w:color="auto"/>
            </w:tcBorders>
            <w:vAlign w:val="center"/>
          </w:tcPr>
          <w:p w14:paraId="03C28350" w14:textId="77777777" w:rsidR="008D461D" w:rsidRPr="00923360" w:rsidRDefault="008D461D" w:rsidP="00CB4D6D">
            <w:pPr>
              <w:pStyle w:val="TableText0"/>
              <w:jc w:val="center"/>
              <w:rPr>
                <w:b/>
                <w:bCs w:val="0"/>
              </w:rPr>
            </w:pPr>
            <w:r w:rsidRPr="00923360">
              <w:rPr>
                <w:b/>
                <w:bCs w:val="0"/>
              </w:rPr>
              <w:t>0.05</w:t>
            </w:r>
          </w:p>
          <w:p w14:paraId="58344165" w14:textId="77777777" w:rsidR="008D461D" w:rsidRPr="00923360" w:rsidRDefault="008D461D" w:rsidP="00CB4D6D">
            <w:pPr>
              <w:pStyle w:val="TableText0"/>
              <w:jc w:val="center"/>
            </w:pPr>
            <w:r w:rsidRPr="00923360">
              <w:rPr>
                <w:b/>
                <w:bCs w:val="0"/>
              </w:rPr>
              <w:t>(0.02, 0.08)</w:t>
            </w:r>
          </w:p>
        </w:tc>
      </w:tr>
      <w:tr w:rsidR="008D461D" w:rsidRPr="00E20031" w14:paraId="645E2F27" w14:textId="77777777">
        <w:tc>
          <w:tcPr>
            <w:tcW w:w="640" w:type="pct"/>
            <w:gridSpan w:val="3"/>
            <w:tcBorders>
              <w:top w:val="single" w:sz="4" w:space="0" w:color="auto"/>
              <w:left w:val="single" w:sz="4" w:space="0" w:color="auto"/>
              <w:bottom w:val="single" w:sz="4" w:space="0" w:color="auto"/>
              <w:right w:val="single" w:sz="4" w:space="0" w:color="auto"/>
            </w:tcBorders>
            <w:vAlign w:val="center"/>
          </w:tcPr>
          <w:p w14:paraId="6F19AF30" w14:textId="77777777" w:rsidR="008D461D" w:rsidRPr="00E20031" w:rsidRDefault="008D461D" w:rsidP="00CB4D6D">
            <w:pPr>
              <w:pStyle w:val="TableText0"/>
            </w:pPr>
            <w:r w:rsidRPr="00E20031">
              <w:t>OAKS</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4762C0AB" w14:textId="77777777" w:rsidR="008D461D" w:rsidRPr="00E20031" w:rsidRDefault="008D461D" w:rsidP="00CB4D6D">
            <w:pPr>
              <w:pStyle w:val="TableText0"/>
              <w:jc w:val="center"/>
              <w:rPr>
                <w:b/>
                <w:bCs w:val="0"/>
              </w:rPr>
            </w:pPr>
            <w:r w:rsidRPr="00E20031">
              <w:t>34/425 (8.0%)</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32864041" w14:textId="77777777" w:rsidR="008D461D" w:rsidRPr="00E20031" w:rsidRDefault="008D461D" w:rsidP="00CB4D6D">
            <w:pPr>
              <w:pStyle w:val="TableText0"/>
              <w:jc w:val="center"/>
              <w:rPr>
                <w:b/>
                <w:bCs w:val="0"/>
              </w:rPr>
            </w:pPr>
            <w:r w:rsidRPr="00E20031">
              <w:t>3/211</w:t>
            </w:r>
          </w:p>
          <w:p w14:paraId="635BD92C" w14:textId="77777777" w:rsidR="008D461D" w:rsidRPr="00E20031" w:rsidRDefault="008D461D" w:rsidP="00CB4D6D">
            <w:pPr>
              <w:pStyle w:val="TableText0"/>
              <w:jc w:val="center"/>
              <w:rPr>
                <w:b/>
                <w:bCs w:val="0"/>
              </w:rPr>
            </w:pPr>
            <w:r w:rsidRPr="00E20031">
              <w:t>(1.4%)</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55A76BD6" w14:textId="77777777" w:rsidR="008D461D" w:rsidRPr="00923360" w:rsidRDefault="008D461D" w:rsidP="00CB4D6D">
            <w:pPr>
              <w:pStyle w:val="TableText0"/>
              <w:jc w:val="center"/>
              <w:rPr>
                <w:b/>
                <w:bCs w:val="0"/>
              </w:rPr>
            </w:pPr>
            <w:r w:rsidRPr="00923360">
              <w:rPr>
                <w:b/>
                <w:bCs w:val="0"/>
              </w:rPr>
              <w:t>5.63</w:t>
            </w:r>
          </w:p>
          <w:p w14:paraId="12E0DE71" w14:textId="77777777" w:rsidR="008D461D" w:rsidRPr="00923360" w:rsidRDefault="008D461D" w:rsidP="00CB4D6D">
            <w:pPr>
              <w:pStyle w:val="TableText0"/>
              <w:jc w:val="center"/>
              <w:rPr>
                <w:b/>
                <w:bCs w:val="0"/>
              </w:rPr>
            </w:pPr>
            <w:r w:rsidRPr="00923360">
              <w:rPr>
                <w:b/>
                <w:bCs w:val="0"/>
              </w:rPr>
              <w:t>(1.75, 18.11)</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57C24587" w14:textId="77777777" w:rsidR="008D461D" w:rsidRPr="00E20031" w:rsidRDefault="008D461D" w:rsidP="00CB4D6D">
            <w:pPr>
              <w:pStyle w:val="TableText0"/>
              <w:jc w:val="center"/>
              <w:rPr>
                <w:b/>
                <w:bCs w:val="0"/>
              </w:rPr>
            </w:pPr>
            <w:r w:rsidRPr="00E20031">
              <w:t>8</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52F239E3" w14:textId="77777777" w:rsidR="008D461D" w:rsidRPr="00E20031" w:rsidRDefault="008D461D" w:rsidP="00CB4D6D">
            <w:pPr>
              <w:pStyle w:val="TableText0"/>
              <w:jc w:val="center"/>
              <w:rPr>
                <w:b/>
                <w:bCs w:val="0"/>
              </w:rPr>
            </w:pPr>
            <w:r w:rsidRPr="00E20031">
              <w:rPr>
                <w:iCs/>
              </w:rPr>
              <w:t>1</w:t>
            </w:r>
          </w:p>
        </w:tc>
        <w:tc>
          <w:tcPr>
            <w:tcW w:w="751" w:type="pct"/>
            <w:tcBorders>
              <w:top w:val="single" w:sz="4" w:space="0" w:color="auto"/>
              <w:left w:val="single" w:sz="4" w:space="0" w:color="auto"/>
              <w:bottom w:val="single" w:sz="4" w:space="0" w:color="auto"/>
              <w:right w:val="single" w:sz="4" w:space="0" w:color="auto"/>
            </w:tcBorders>
            <w:vAlign w:val="center"/>
          </w:tcPr>
          <w:p w14:paraId="31A39E3F" w14:textId="77777777" w:rsidR="008D461D" w:rsidRPr="00923360" w:rsidRDefault="008D461D" w:rsidP="00CB4D6D">
            <w:pPr>
              <w:pStyle w:val="TableText0"/>
              <w:jc w:val="center"/>
              <w:rPr>
                <w:b/>
                <w:bCs w:val="0"/>
              </w:rPr>
            </w:pPr>
            <w:r w:rsidRPr="00923360">
              <w:rPr>
                <w:b/>
                <w:bCs w:val="0"/>
              </w:rPr>
              <w:t>0.07</w:t>
            </w:r>
          </w:p>
          <w:p w14:paraId="6CFA9620" w14:textId="77777777" w:rsidR="008D461D" w:rsidRPr="00923360" w:rsidRDefault="008D461D" w:rsidP="00CB4D6D">
            <w:pPr>
              <w:pStyle w:val="TableText0"/>
              <w:jc w:val="center"/>
            </w:pPr>
            <w:r w:rsidRPr="00923360">
              <w:rPr>
                <w:b/>
                <w:bCs w:val="0"/>
              </w:rPr>
              <w:t>(0.04, 0.10)</w:t>
            </w:r>
          </w:p>
        </w:tc>
      </w:tr>
      <w:tr w:rsidR="008D461D" w:rsidRPr="00E20031" w14:paraId="77FE3EF7" w14:textId="77777777">
        <w:tc>
          <w:tcPr>
            <w:tcW w:w="640" w:type="pct"/>
            <w:gridSpan w:val="3"/>
            <w:tcBorders>
              <w:top w:val="single" w:sz="4" w:space="0" w:color="auto"/>
              <w:left w:val="single" w:sz="4" w:space="0" w:color="auto"/>
              <w:bottom w:val="single" w:sz="4" w:space="0" w:color="auto"/>
              <w:right w:val="single" w:sz="4" w:space="0" w:color="auto"/>
            </w:tcBorders>
            <w:vAlign w:val="center"/>
          </w:tcPr>
          <w:p w14:paraId="0C43C9CE" w14:textId="77777777" w:rsidR="008D461D" w:rsidRPr="00E20031" w:rsidRDefault="008D461D" w:rsidP="00CB4D6D">
            <w:pPr>
              <w:pStyle w:val="TableText0"/>
            </w:pPr>
            <w:r w:rsidRPr="00E20031">
              <w:t>Pooled</w:t>
            </w:r>
          </w:p>
        </w:tc>
        <w:tc>
          <w:tcPr>
            <w:tcW w:w="715" w:type="pct"/>
            <w:gridSpan w:val="2"/>
            <w:tcBorders>
              <w:top w:val="single" w:sz="4" w:space="0" w:color="auto"/>
              <w:left w:val="single" w:sz="4" w:space="0" w:color="auto"/>
              <w:bottom w:val="single" w:sz="4" w:space="0" w:color="auto"/>
              <w:right w:val="single" w:sz="4" w:space="0" w:color="auto"/>
            </w:tcBorders>
            <w:vAlign w:val="center"/>
          </w:tcPr>
          <w:p w14:paraId="1FA1A720" w14:textId="77777777" w:rsidR="008D461D" w:rsidRPr="00E20031" w:rsidRDefault="008D461D" w:rsidP="00CB4D6D">
            <w:pPr>
              <w:pStyle w:val="TableText0"/>
              <w:jc w:val="center"/>
            </w:pPr>
            <w:r w:rsidRPr="00E20031">
              <w:t>65/839 (7.8%)</w:t>
            </w:r>
          </w:p>
        </w:tc>
        <w:tc>
          <w:tcPr>
            <w:tcW w:w="649" w:type="pct"/>
            <w:gridSpan w:val="2"/>
            <w:tcBorders>
              <w:top w:val="single" w:sz="4" w:space="0" w:color="auto"/>
              <w:left w:val="single" w:sz="4" w:space="0" w:color="auto"/>
              <w:bottom w:val="single" w:sz="4" w:space="0" w:color="auto"/>
              <w:right w:val="single" w:sz="4" w:space="0" w:color="auto"/>
            </w:tcBorders>
            <w:vAlign w:val="center"/>
          </w:tcPr>
          <w:p w14:paraId="17952E73" w14:textId="77777777" w:rsidR="008D461D" w:rsidRPr="00E20031" w:rsidRDefault="008D461D" w:rsidP="00CB4D6D">
            <w:pPr>
              <w:pStyle w:val="TableText0"/>
              <w:jc w:val="center"/>
            </w:pPr>
            <w:r w:rsidRPr="00E20031">
              <w:t>8/417 (1.9%)</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5123B19E" w14:textId="77777777" w:rsidR="008D461D" w:rsidRPr="00923360" w:rsidRDefault="008D461D" w:rsidP="00CB4D6D">
            <w:pPr>
              <w:pStyle w:val="TableText0"/>
              <w:jc w:val="center"/>
              <w:rPr>
                <w:b/>
                <w:bCs w:val="0"/>
              </w:rPr>
            </w:pPr>
            <w:r w:rsidRPr="00923360">
              <w:rPr>
                <w:b/>
                <w:bCs w:val="0"/>
              </w:rPr>
              <w:t>4.04</w:t>
            </w:r>
          </w:p>
          <w:p w14:paraId="6161CAF2" w14:textId="77777777" w:rsidR="008D461D" w:rsidRPr="00923360" w:rsidRDefault="008D461D" w:rsidP="00CB4D6D">
            <w:pPr>
              <w:pStyle w:val="TableText0"/>
              <w:jc w:val="center"/>
              <w:rPr>
                <w:b/>
                <w:bCs w:val="0"/>
              </w:rPr>
            </w:pPr>
            <w:r w:rsidRPr="00923360">
              <w:rPr>
                <w:b/>
                <w:bCs w:val="0"/>
              </w:rPr>
              <w:t>(1.96, 8.34)</w:t>
            </w:r>
          </w:p>
        </w:tc>
        <w:tc>
          <w:tcPr>
            <w:tcW w:w="689" w:type="pct"/>
            <w:gridSpan w:val="2"/>
            <w:tcBorders>
              <w:top w:val="single" w:sz="4" w:space="0" w:color="auto"/>
              <w:left w:val="single" w:sz="4" w:space="0" w:color="auto"/>
              <w:bottom w:val="single" w:sz="4" w:space="0" w:color="auto"/>
              <w:right w:val="single" w:sz="4" w:space="0" w:color="auto"/>
            </w:tcBorders>
            <w:vAlign w:val="center"/>
          </w:tcPr>
          <w:p w14:paraId="7FB389DD" w14:textId="77777777" w:rsidR="008D461D" w:rsidRPr="00E20031" w:rsidRDefault="008D461D" w:rsidP="00CB4D6D">
            <w:pPr>
              <w:pStyle w:val="TableText0"/>
              <w:jc w:val="center"/>
            </w:pPr>
            <w:r w:rsidRPr="00E20031">
              <w:t>8</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25BCEF54" w14:textId="77777777" w:rsidR="008D461D" w:rsidRPr="00E20031" w:rsidRDefault="008D461D" w:rsidP="00CB4D6D">
            <w:pPr>
              <w:pStyle w:val="TableText0"/>
              <w:jc w:val="center"/>
              <w:rPr>
                <w:iCs/>
              </w:rPr>
            </w:pPr>
            <w:r w:rsidRPr="00E20031">
              <w:rPr>
                <w:iCs/>
              </w:rPr>
              <w:t>2</w:t>
            </w:r>
          </w:p>
        </w:tc>
        <w:tc>
          <w:tcPr>
            <w:tcW w:w="751" w:type="pct"/>
            <w:tcBorders>
              <w:top w:val="single" w:sz="4" w:space="0" w:color="auto"/>
              <w:left w:val="single" w:sz="4" w:space="0" w:color="auto"/>
              <w:bottom w:val="single" w:sz="4" w:space="0" w:color="auto"/>
              <w:right w:val="single" w:sz="4" w:space="0" w:color="auto"/>
            </w:tcBorders>
            <w:vAlign w:val="center"/>
          </w:tcPr>
          <w:p w14:paraId="5C362FB9" w14:textId="77777777" w:rsidR="008D461D" w:rsidRPr="00923360" w:rsidRDefault="008D461D" w:rsidP="00CB4D6D">
            <w:pPr>
              <w:pStyle w:val="TableText0"/>
              <w:jc w:val="center"/>
              <w:rPr>
                <w:b/>
                <w:bCs w:val="0"/>
              </w:rPr>
            </w:pPr>
            <w:r w:rsidRPr="00923360">
              <w:rPr>
                <w:b/>
                <w:bCs w:val="0"/>
              </w:rPr>
              <w:t>0.06</w:t>
            </w:r>
          </w:p>
          <w:p w14:paraId="25D1AD9E" w14:textId="77777777" w:rsidR="008D461D" w:rsidRPr="00923360" w:rsidRDefault="008D461D" w:rsidP="00CB4D6D">
            <w:pPr>
              <w:pStyle w:val="TableText0"/>
              <w:jc w:val="center"/>
              <w:rPr>
                <w:b/>
                <w:bCs w:val="0"/>
              </w:rPr>
            </w:pPr>
            <w:r w:rsidRPr="00923360">
              <w:rPr>
                <w:b/>
                <w:bCs w:val="0"/>
              </w:rPr>
              <w:t>(0.04, 0.08)</w:t>
            </w:r>
          </w:p>
        </w:tc>
      </w:tr>
    </w:tbl>
    <w:p w14:paraId="6FC28F40" w14:textId="6F8701FE" w:rsidR="008D461D" w:rsidRPr="00E20031" w:rsidRDefault="008D461D" w:rsidP="00CB4D6D">
      <w:pPr>
        <w:pStyle w:val="FooterTableFigure"/>
        <w:keepNext/>
        <w:keepLines/>
        <w:jc w:val="left"/>
      </w:pPr>
      <w:r w:rsidRPr="00E20031">
        <w:t>Source: Table 30, pp145</w:t>
      </w:r>
      <w:r w:rsidR="00397B07">
        <w:noBreakHyphen/>
      </w:r>
      <w:r w:rsidRPr="00E20031">
        <w:t>146 of Attachment A2.8_DERBY_OAKS_Pooled summary of Clinical Efficacy Table 63, p147, and Table 65, pp149</w:t>
      </w:r>
      <w:r w:rsidR="00397B07">
        <w:noBreakHyphen/>
      </w:r>
      <w:r w:rsidRPr="00E20031">
        <w:t>150 of the submission.</w:t>
      </w:r>
    </w:p>
    <w:p w14:paraId="15FE7E77" w14:textId="47DB09A3" w:rsidR="008D461D" w:rsidRPr="00E20031" w:rsidRDefault="008D461D" w:rsidP="008D461D">
      <w:pPr>
        <w:pStyle w:val="FooterTableFigure"/>
      </w:pPr>
      <w:r w:rsidRPr="00E20031">
        <w:t>CI = confidence interval; CFB = change from baseline; GA = geographic atrophy; LS = least</w:t>
      </w:r>
      <w:r w:rsidR="00397B07">
        <w:noBreakHyphen/>
      </w:r>
      <w:r w:rsidRPr="00E20031">
        <w:t>square; mITT = modified intent</w:t>
      </w:r>
      <w:r w:rsidR="00397B07">
        <w:noBreakHyphen/>
      </w:r>
      <w:r w:rsidRPr="00E20031">
        <w:t>to</w:t>
      </w:r>
      <w:r w:rsidR="00397B07">
        <w:noBreakHyphen/>
      </w:r>
      <w:r w:rsidRPr="00E20031">
        <w:t>treat; MMRM = mixed</w:t>
      </w:r>
      <w:r w:rsidR="00397B07">
        <w:noBreakHyphen/>
      </w:r>
      <w:r w:rsidRPr="00E20031">
        <w:t>effect model for repeated measures; n = number of patients with event; N = number of patients in group; RD = risk difference; RR = risk ratio; SE = standard error.</w:t>
      </w:r>
    </w:p>
    <w:p w14:paraId="5F466A94" w14:textId="16F5F683" w:rsidR="008D461D" w:rsidRPr="00E20031" w:rsidRDefault="008D461D" w:rsidP="008D461D">
      <w:pPr>
        <w:pStyle w:val="FooterTableFigure"/>
      </w:pPr>
      <w:r w:rsidRPr="00E20031">
        <w:rPr>
          <w:vertAlign w:val="superscript"/>
        </w:rPr>
        <w:t>a</w:t>
      </w:r>
      <w:r w:rsidRPr="00E20031">
        <w:t xml:space="preserve"> The NL</w:t>
      </w:r>
      <w:r w:rsidR="00397B07">
        <w:noBreakHyphen/>
      </w:r>
      <w:r w:rsidRPr="00E20031">
        <w:t>BCVA and microperimetry data was in the mITT population rather than the non</w:t>
      </w:r>
      <w:r w:rsidR="00397B07">
        <w:noBreakHyphen/>
      </w:r>
      <w:r w:rsidRPr="00E20031">
        <w:t>subfoveal GA lesions subgroup that aligns with the proposed PBS population.</w:t>
      </w:r>
    </w:p>
    <w:p w14:paraId="2B739751" w14:textId="58BE16AC" w:rsidR="008D461D" w:rsidRDefault="008D461D" w:rsidP="008D461D">
      <w:pPr>
        <w:pStyle w:val="FooterTableFigure"/>
      </w:pPr>
      <w:r w:rsidRPr="00E20031">
        <w:rPr>
          <w:vertAlign w:val="superscript"/>
        </w:rPr>
        <w:t>b</w:t>
      </w:r>
      <w:r w:rsidRPr="00E20031">
        <w:t xml:space="preserve"> Safety for pegcetacoplan included the pooled results of both monthly and every other monthly administration as this aligns with what the submission used for Sham safety. Efficacy for pegcetacoplan is only informed by the every</w:t>
      </w:r>
      <w:r w:rsidR="006B756C">
        <w:t>-</w:t>
      </w:r>
      <w:r w:rsidRPr="00E20031">
        <w:t>other</w:t>
      </w:r>
      <w:r w:rsidR="006B756C">
        <w:t>-</w:t>
      </w:r>
      <w:r w:rsidRPr="00E20031">
        <w:t>monthly administration as this aligns with the approved product information.</w:t>
      </w:r>
    </w:p>
    <w:p w14:paraId="1C0846DE" w14:textId="0F0A3D3D" w:rsidR="00406928" w:rsidRPr="00406928" w:rsidRDefault="00406928" w:rsidP="008D461D">
      <w:pPr>
        <w:pStyle w:val="FooterTableFigure"/>
      </w:pPr>
      <w:r>
        <w:rPr>
          <w:vertAlign w:val="superscript"/>
        </w:rPr>
        <w:t xml:space="preserve">c </w:t>
      </w:r>
      <w:r>
        <w:t>Calculated during the evaluation using StataMP18</w:t>
      </w:r>
    </w:p>
    <w:p w14:paraId="0C80D951" w14:textId="6D2AC230" w:rsidR="008D461D" w:rsidRPr="00E20031" w:rsidRDefault="00406928" w:rsidP="008D461D">
      <w:pPr>
        <w:pStyle w:val="FooterTableFigure"/>
      </w:pPr>
      <w:r>
        <w:rPr>
          <w:vertAlign w:val="superscript"/>
        </w:rPr>
        <w:t>d</w:t>
      </w:r>
      <w:r w:rsidR="008D461D" w:rsidRPr="00E20031">
        <w:t xml:space="preserve"> Maximum duration of follow</w:t>
      </w:r>
      <w:r w:rsidR="00397B07">
        <w:noBreakHyphen/>
      </w:r>
      <w:r w:rsidR="008D461D" w:rsidRPr="00E20031">
        <w:t>up in OAKS and DERBY was 24 months.</w:t>
      </w:r>
    </w:p>
    <w:p w14:paraId="461DB890" w14:textId="77777777" w:rsidR="008D461D" w:rsidRPr="00E20031" w:rsidRDefault="008D461D" w:rsidP="008D461D">
      <w:pPr>
        <w:pStyle w:val="FooterTableFigure"/>
      </w:pPr>
      <w:r w:rsidRPr="00E20031">
        <w:rPr>
          <w:b/>
          <w:bCs/>
        </w:rPr>
        <w:t xml:space="preserve">Bold </w:t>
      </w:r>
      <w:r w:rsidRPr="00E20031">
        <w:t>= statistically significant</w:t>
      </w:r>
    </w:p>
    <w:p w14:paraId="5BDEF7C4" w14:textId="77777777" w:rsidR="008D461D" w:rsidRPr="00E20031" w:rsidRDefault="008D461D" w:rsidP="008D461D">
      <w:pPr>
        <w:pStyle w:val="3-BodyText"/>
      </w:pPr>
      <w:r w:rsidRPr="00E20031">
        <w:lastRenderedPageBreak/>
        <w:t>On the basis of direct evidence presented by the submission, the comparison of pegcetacoplan every other month and sham injections over a maximum duration of exposure of 24 months resulted in:</w:t>
      </w:r>
    </w:p>
    <w:p w14:paraId="65830F93" w14:textId="71F8B916" w:rsidR="00FB31A5" w:rsidRPr="00E20031" w:rsidRDefault="008D461D" w:rsidP="00A10B3D">
      <w:pPr>
        <w:pStyle w:val="ListParagraph"/>
        <w:ind w:left="1134"/>
      </w:pPr>
      <w:r w:rsidRPr="00E20031">
        <w:rPr>
          <w:snapToGrid/>
        </w:rPr>
        <w:t>Approximately a 1.11 mm</w:t>
      </w:r>
      <w:r w:rsidRPr="00E20031">
        <w:rPr>
          <w:snapToGrid/>
          <w:vertAlign w:val="superscript"/>
        </w:rPr>
        <w:t xml:space="preserve">2 </w:t>
      </w:r>
      <w:r w:rsidRPr="00E20031">
        <w:rPr>
          <w:snapToGrid/>
        </w:rPr>
        <w:t xml:space="preserve">(22.1%) </w:t>
      </w:r>
      <w:r w:rsidR="00D97846">
        <w:rPr>
          <w:snapToGrid/>
        </w:rPr>
        <w:t>smaller</w:t>
      </w:r>
      <w:r w:rsidRPr="00E20031">
        <w:rPr>
          <w:snapToGrid/>
        </w:rPr>
        <w:t xml:space="preserve"> total area of GA lesion growth in patients with non</w:t>
      </w:r>
      <w:r w:rsidR="00397B07">
        <w:rPr>
          <w:snapToGrid/>
        </w:rPr>
        <w:noBreakHyphen/>
      </w:r>
      <w:r w:rsidRPr="00E20031">
        <w:rPr>
          <w:snapToGrid/>
        </w:rPr>
        <w:t>subfoveal lesions at baseline.</w:t>
      </w:r>
    </w:p>
    <w:p w14:paraId="474B8464" w14:textId="7E57650A" w:rsidR="008D461D" w:rsidRDefault="008D461D" w:rsidP="003F7464">
      <w:pPr>
        <w:pStyle w:val="ListParagraph"/>
        <w:ind w:left="1134"/>
      </w:pPr>
      <w:r w:rsidRPr="00FB31A5">
        <w:rPr>
          <w:snapToGrid/>
        </w:rPr>
        <w:t>Approximately 5 less patients would experience a loss of the central 4 microperimetry points to GA lesion</w:t>
      </w:r>
      <w:r w:rsidR="003F7464">
        <w:rPr>
          <w:snapToGrid/>
        </w:rPr>
        <w:t xml:space="preserve"> </w:t>
      </w:r>
      <w:r w:rsidR="003F7464" w:rsidRPr="00E20031">
        <w:t>(for every 100 patients treated with pegcetacoplan in comparison with sham injections</w:t>
      </w:r>
      <w:r w:rsidR="003F7464">
        <w:t>).</w:t>
      </w:r>
    </w:p>
    <w:p w14:paraId="5D4C77DC" w14:textId="77777777" w:rsidR="00EA4560" w:rsidRDefault="00D97846" w:rsidP="008D461D">
      <w:pPr>
        <w:pStyle w:val="ListParagraph"/>
        <w:ind w:left="1134"/>
      </w:pPr>
      <w:r w:rsidRPr="00D97846">
        <w:rPr>
          <w:snapToGrid/>
        </w:rPr>
        <w:t xml:space="preserve">Approximately 6 less patients would experience a loss of the central 16 microperimetry points to GA lesion </w:t>
      </w:r>
      <w:r w:rsidRPr="00E20031">
        <w:t>(for every 100 patients treated with pegcetacoplan in comparison with sham injections</w:t>
      </w:r>
      <w:r>
        <w:t>).</w:t>
      </w:r>
    </w:p>
    <w:p w14:paraId="3722BCD5" w14:textId="24F4C594" w:rsidR="008D461D" w:rsidRPr="00E20031" w:rsidRDefault="008D461D" w:rsidP="008D461D">
      <w:pPr>
        <w:pStyle w:val="ListParagraph"/>
        <w:ind w:left="1134"/>
      </w:pPr>
      <w:r w:rsidRPr="00E20031">
        <w:t>Approximately</w:t>
      </w:r>
      <w:r w:rsidRPr="00E20031" w:rsidDel="00D97846">
        <w:t xml:space="preserve"> </w:t>
      </w:r>
      <w:r w:rsidR="00D97846">
        <w:t>7</w:t>
      </w:r>
      <w:r w:rsidR="00D97846" w:rsidRPr="00E20031">
        <w:t xml:space="preserve"> </w:t>
      </w:r>
      <w:r w:rsidRPr="00E20031">
        <w:t xml:space="preserve">additional </w:t>
      </w:r>
      <w:r w:rsidR="00B83FAE">
        <w:t xml:space="preserve">patients </w:t>
      </w:r>
      <w:r w:rsidRPr="00E20031">
        <w:t>would experience an adverse event related to treatment (for every 100 patients treated with pegcetacoplan in comparison with sham injections</w:t>
      </w:r>
      <w:r w:rsidR="00E564C0">
        <w:t>).</w:t>
      </w:r>
    </w:p>
    <w:p w14:paraId="4AB2FC50" w14:textId="006D6C31" w:rsidR="008D461D" w:rsidRPr="00E20031" w:rsidRDefault="008D461D" w:rsidP="008D461D">
      <w:pPr>
        <w:pStyle w:val="ListParagraph"/>
        <w:ind w:left="1134"/>
      </w:pPr>
      <w:r w:rsidRPr="00E20031">
        <w:t>Approximately 6 additional patients would develop nAMD in the treated eye (for every 100 patients treated with pegcetacoplan in comparison with sham injections</w:t>
      </w:r>
      <w:r w:rsidR="00E564C0">
        <w:t>).</w:t>
      </w:r>
    </w:p>
    <w:p w14:paraId="4F866719" w14:textId="77777777" w:rsidR="008D461D" w:rsidRPr="00E20031" w:rsidRDefault="008D461D" w:rsidP="008D461D">
      <w:pPr>
        <w:pStyle w:val="4-SubsectionHeading"/>
      </w:pPr>
      <w:bookmarkStart w:id="58" w:name="_Toc22897644"/>
      <w:bookmarkStart w:id="59" w:name="_Toc202884178"/>
      <w:bookmarkStart w:id="60" w:name="_Toc206430838"/>
      <w:bookmarkStart w:id="61" w:name="_Toc208920196"/>
      <w:r w:rsidRPr="00E20031">
        <w:t>Clinical claim</w:t>
      </w:r>
      <w:bookmarkStart w:id="62" w:name="_Toc22897645"/>
      <w:bookmarkEnd w:id="58"/>
      <w:bookmarkEnd w:id="59"/>
      <w:bookmarkEnd w:id="60"/>
      <w:bookmarkEnd w:id="61"/>
    </w:p>
    <w:p w14:paraId="722E0258" w14:textId="00B306A0" w:rsidR="008D461D" w:rsidRPr="00D04A0A" w:rsidRDefault="008D461D" w:rsidP="008D461D">
      <w:pPr>
        <w:pStyle w:val="3-BodyText"/>
        <w:rPr>
          <w:rFonts w:eastAsia="Calibri"/>
        </w:rPr>
      </w:pPr>
      <w:bookmarkStart w:id="63" w:name="_Ref206437665"/>
      <w:r w:rsidRPr="00E20031">
        <w:rPr>
          <w:rFonts w:eastAsia="Calibri"/>
        </w:rPr>
        <w:t xml:space="preserve">The submission described pegcetacoplan as superior in terms of effectiveness compared to sham injection. </w:t>
      </w:r>
      <w:r w:rsidRPr="00A272D3">
        <w:rPr>
          <w:rFonts w:eastAsia="Calibri"/>
          <w:iCs/>
        </w:rPr>
        <w:t>T</w:t>
      </w:r>
      <w:r w:rsidR="00F945CE" w:rsidRPr="00A272D3">
        <w:rPr>
          <w:rFonts w:eastAsia="Calibri"/>
          <w:iCs/>
        </w:rPr>
        <w:t>he ESC agreed with the evaluation that</w:t>
      </w:r>
      <w:r w:rsidR="00F945CE">
        <w:rPr>
          <w:rFonts w:eastAsia="Calibri"/>
        </w:rPr>
        <w:t xml:space="preserve"> t</w:t>
      </w:r>
      <w:r w:rsidRPr="00D04A0A">
        <w:rPr>
          <w:rFonts w:eastAsia="Calibri"/>
        </w:rPr>
        <w:t xml:space="preserve">his claim was adequately supported but the magnitude of the </w:t>
      </w:r>
      <w:r w:rsidR="000A2C29">
        <w:rPr>
          <w:rFonts w:eastAsia="Calibri"/>
        </w:rPr>
        <w:t>benefit</w:t>
      </w:r>
      <w:r w:rsidR="000A2C29" w:rsidRPr="00D04A0A">
        <w:rPr>
          <w:rFonts w:eastAsia="Calibri"/>
        </w:rPr>
        <w:t xml:space="preserve"> </w:t>
      </w:r>
      <w:r w:rsidRPr="00D04A0A">
        <w:rPr>
          <w:rFonts w:eastAsia="Calibri"/>
        </w:rPr>
        <w:t>was uncertain. The key issues were that although the submission demonstrated that pegcetacoplan dosed every other month in patients with non</w:t>
      </w:r>
      <w:r w:rsidR="00397B07">
        <w:rPr>
          <w:rFonts w:eastAsia="Calibri"/>
        </w:rPr>
        <w:noBreakHyphen/>
      </w:r>
      <w:r w:rsidRPr="00D04A0A">
        <w:rPr>
          <w:rFonts w:eastAsia="Calibri"/>
        </w:rPr>
        <w:t xml:space="preserve">subfoveal GA lesions at baseline slowed the growth of the GA lesions, the submission did not demonstrate a difference in functional outcomes, such as BCVA, in the proposed PBS population. </w:t>
      </w:r>
      <w:r w:rsidR="00413E80" w:rsidRPr="00A272D3">
        <w:rPr>
          <w:rFonts w:eastAsia="Calibri"/>
          <w:iCs/>
        </w:rPr>
        <w:t xml:space="preserve">The ESC noted that the submission assumed </w:t>
      </w:r>
      <w:r w:rsidR="00D42F71" w:rsidRPr="00A272D3">
        <w:rPr>
          <w:rFonts w:eastAsia="Calibri"/>
          <w:iCs/>
        </w:rPr>
        <w:t xml:space="preserve">anatomical preservation will result in better functional vision and considered that this was </w:t>
      </w:r>
      <w:r w:rsidR="77E7C53E" w:rsidRPr="61B5D2C3">
        <w:rPr>
          <w:rFonts w:eastAsia="Calibri"/>
        </w:rPr>
        <w:t>reasonable but</w:t>
      </w:r>
      <w:r w:rsidR="002469D2" w:rsidRPr="00A272D3">
        <w:rPr>
          <w:rFonts w:eastAsia="Calibri"/>
          <w:iCs/>
        </w:rPr>
        <w:t xml:space="preserve"> not proven in any functional measure. </w:t>
      </w:r>
      <w:r w:rsidR="000A2C29">
        <w:rPr>
          <w:rFonts w:eastAsia="Calibri"/>
        </w:rPr>
        <w:t>Hence</w:t>
      </w:r>
      <w:r w:rsidRPr="00D04A0A">
        <w:rPr>
          <w:rFonts w:eastAsia="Calibri"/>
        </w:rPr>
        <w:t xml:space="preserve">, while pegcetacoplan may slow the progression of GA lesion growth, </w:t>
      </w:r>
      <w:r w:rsidR="001C6A38" w:rsidRPr="00A272D3">
        <w:rPr>
          <w:rFonts w:eastAsia="Calibri"/>
          <w:iCs/>
        </w:rPr>
        <w:t xml:space="preserve">the ESC considered </w:t>
      </w:r>
      <w:r w:rsidRPr="00D04A0A">
        <w:rPr>
          <w:rFonts w:eastAsia="Calibri"/>
        </w:rPr>
        <w:t xml:space="preserve">it is </w:t>
      </w:r>
      <w:r w:rsidR="00DC0BE3" w:rsidRPr="00A272D3">
        <w:rPr>
          <w:rFonts w:eastAsia="Calibri"/>
          <w:iCs/>
        </w:rPr>
        <w:t xml:space="preserve">highly </w:t>
      </w:r>
      <w:r w:rsidRPr="00D04A0A">
        <w:rPr>
          <w:rFonts w:eastAsia="Calibri"/>
        </w:rPr>
        <w:t>uncertain how this will translate into a delay in loss of visual acuity for patients.</w:t>
      </w:r>
      <w:bookmarkEnd w:id="63"/>
      <w:r w:rsidR="00FC74B5">
        <w:rPr>
          <w:rFonts w:eastAsia="Calibri"/>
        </w:rPr>
        <w:t xml:space="preserve"> </w:t>
      </w:r>
    </w:p>
    <w:p w14:paraId="6A1CE91F" w14:textId="70E0B046" w:rsidR="008D461D" w:rsidRPr="001A52B9" w:rsidRDefault="008D461D" w:rsidP="008D461D">
      <w:pPr>
        <w:pStyle w:val="3-BodyText"/>
        <w:rPr>
          <w:rFonts w:eastAsia="Calibri"/>
        </w:rPr>
      </w:pPr>
      <w:r w:rsidRPr="00D04A0A">
        <w:rPr>
          <w:rFonts w:eastAsia="Calibri"/>
        </w:rPr>
        <w:t>The submission described pegcetacoplan as manageable in terms of safety compared to sham. This claim was not an appropriate safety claim as the submission did not make a comparative safety claim for pegcetacoplan compared to sham. Based on the presented evidence, pegcetacoplan has inferior safety compared to sham injection with a higher rate of adverse events related to treatment (12.1% vs. 3.9% in DERBY) and a higher rate of nAMD (7.5% vs. 2.4% in DERBY).</w:t>
      </w:r>
      <w:r w:rsidR="00572D0C">
        <w:rPr>
          <w:rFonts w:eastAsia="Calibri"/>
        </w:rPr>
        <w:t xml:space="preserve"> </w:t>
      </w:r>
      <w:r w:rsidR="00C76F72" w:rsidRPr="00A272D3">
        <w:rPr>
          <w:rFonts w:eastAsia="Calibri"/>
          <w:iCs/>
        </w:rPr>
        <w:t xml:space="preserve">The </w:t>
      </w:r>
      <w:r w:rsidR="0093470E" w:rsidRPr="00A272D3">
        <w:rPr>
          <w:rFonts w:eastAsia="Calibri"/>
          <w:iCs/>
        </w:rPr>
        <w:t>PSCR acknowledged the higher rate of adverse events and stated that the proposed PBS population is intended to reflect a group in whom the expected treatment benefits outweigh these risks</w:t>
      </w:r>
      <w:r w:rsidR="004B4C43" w:rsidRPr="00A272D3">
        <w:rPr>
          <w:rFonts w:eastAsia="Calibri"/>
          <w:iCs/>
        </w:rPr>
        <w:t>. The ESC considered a claim of inferior safety was appropriate</w:t>
      </w:r>
      <w:r w:rsidR="00FB366B" w:rsidRPr="00A272D3">
        <w:rPr>
          <w:rFonts w:eastAsia="Calibri"/>
          <w:iCs/>
        </w:rPr>
        <w:t>.</w:t>
      </w:r>
    </w:p>
    <w:p w14:paraId="71978282" w14:textId="7B025992" w:rsidR="001A52B9" w:rsidRPr="0000726B" w:rsidRDefault="001A52B9" w:rsidP="001A52B9">
      <w:pPr>
        <w:pStyle w:val="3-BodyText"/>
        <w:rPr>
          <w:snapToGrid w:val="0"/>
        </w:rPr>
      </w:pPr>
      <w:bookmarkStart w:id="64" w:name="_Hlk76376200"/>
      <w:r w:rsidRPr="0000726B">
        <w:rPr>
          <w:iCs/>
          <w:snapToGrid w:val="0"/>
        </w:rPr>
        <w:lastRenderedPageBreak/>
        <w:t>The</w:t>
      </w:r>
      <w:r w:rsidRPr="0000726B">
        <w:rPr>
          <w:snapToGrid w:val="0"/>
        </w:rPr>
        <w:t xml:space="preserve"> PBAC considered that the claim of superior comparative effectiveness was reasonable</w:t>
      </w:r>
      <w:r w:rsidR="00B16390">
        <w:rPr>
          <w:snapToGrid w:val="0"/>
        </w:rPr>
        <w:t xml:space="preserve"> but the magnitude of the effect </w:t>
      </w:r>
      <w:r w:rsidR="005B01FC">
        <w:rPr>
          <w:snapToGrid w:val="0"/>
        </w:rPr>
        <w:t xml:space="preserve">on delaying vision loss </w:t>
      </w:r>
      <w:r w:rsidR="00B16390">
        <w:rPr>
          <w:snapToGrid w:val="0"/>
        </w:rPr>
        <w:t>was uncertain.</w:t>
      </w:r>
    </w:p>
    <w:p w14:paraId="3ED48F4E" w14:textId="22D9B1E1" w:rsidR="001A52B9" w:rsidRPr="00675FDC" w:rsidRDefault="001A52B9" w:rsidP="00675FDC">
      <w:pPr>
        <w:pStyle w:val="3-BodyText"/>
        <w:rPr>
          <w:snapToGrid w:val="0"/>
        </w:rPr>
      </w:pPr>
      <w:r w:rsidRPr="0000726B">
        <w:rPr>
          <w:snapToGrid w:val="0"/>
        </w:rPr>
        <w:t>The PBAC considered that the claim of inferior comparative safety was reasonable.</w:t>
      </w:r>
      <w:bookmarkEnd w:id="64"/>
    </w:p>
    <w:p w14:paraId="74A1172E" w14:textId="61D05A37" w:rsidR="00B60939" w:rsidRPr="00E20031" w:rsidRDefault="00B60939" w:rsidP="00E9094A">
      <w:pPr>
        <w:pStyle w:val="4-SubsectionHeading"/>
      </w:pPr>
      <w:bookmarkStart w:id="65" w:name="_Toc208920197"/>
      <w:r w:rsidRPr="00E20031">
        <w:t>Economic analysis</w:t>
      </w:r>
      <w:bookmarkEnd w:id="62"/>
      <w:bookmarkEnd w:id="65"/>
      <w:r w:rsidR="00491B3A" w:rsidRPr="00E20031">
        <w:t xml:space="preserve"> </w:t>
      </w:r>
    </w:p>
    <w:p w14:paraId="4B6C36A5" w14:textId="0B5FA424" w:rsidR="00AD0127" w:rsidRPr="00863B49" w:rsidRDefault="00C3177B" w:rsidP="00FB5424">
      <w:pPr>
        <w:pStyle w:val="3-BodyText"/>
      </w:pPr>
      <w:bookmarkStart w:id="66" w:name="_Ref214532663"/>
      <w:r w:rsidRPr="00863B49">
        <w:t>The submission presented a modelled economic evaluation based on direct randomised trials, DERBY and OAKS. The economic model assessed pegcetacoplan compared to BSC in patients with GA secondary to AMD for patients with non</w:t>
      </w:r>
      <w:r w:rsidR="00397B07">
        <w:noBreakHyphen/>
      </w:r>
      <w:r w:rsidRPr="00863B49">
        <w:t xml:space="preserve">subfoveal lesions in their best seeing eye. </w:t>
      </w:r>
      <w:r w:rsidR="00AD0127" w:rsidRPr="00863B49">
        <w:t xml:space="preserve">The </w:t>
      </w:r>
      <w:r w:rsidR="00BE1119" w:rsidRPr="00863B49">
        <w:t xml:space="preserve">evaluation considered </w:t>
      </w:r>
      <w:r w:rsidR="000A2C29">
        <w:t xml:space="preserve">that </w:t>
      </w:r>
      <w:r w:rsidR="00BE1119" w:rsidRPr="00863B49">
        <w:t xml:space="preserve">the </w:t>
      </w:r>
      <w:r w:rsidR="00AD0127" w:rsidRPr="00863B49">
        <w:t>clinical claim of superior effectiveness for pegcetacoplan compared to BSC, in patients with non</w:t>
      </w:r>
      <w:r w:rsidR="00397B07">
        <w:noBreakHyphen/>
      </w:r>
      <w:r w:rsidR="00AD0127" w:rsidRPr="00863B49">
        <w:t>subfoveal lesions (i.e. the proposed PBS patient population) in terms of functional outcomes was not established (see paragraph</w:t>
      </w:r>
      <w:r w:rsidR="00854D4A" w:rsidRPr="00863B49">
        <w:t xml:space="preserve"> </w:t>
      </w:r>
      <w:r w:rsidR="00854D4A" w:rsidRPr="00863B49">
        <w:fldChar w:fldCharType="begin"/>
      </w:r>
      <w:r w:rsidR="00854D4A" w:rsidRPr="00863B49">
        <w:instrText xml:space="preserve"> REF _Ref206437665 \n \h </w:instrText>
      </w:r>
      <w:r w:rsidR="00D04A0A" w:rsidRPr="00863B49">
        <w:instrText xml:space="preserve"> \* MERGEFORMAT </w:instrText>
      </w:r>
      <w:r w:rsidR="00854D4A" w:rsidRPr="00863B49">
        <w:fldChar w:fldCharType="separate"/>
      </w:r>
      <w:r w:rsidR="00333CFE">
        <w:t>6.38</w:t>
      </w:r>
      <w:r w:rsidR="00854D4A" w:rsidRPr="00863B49">
        <w:fldChar w:fldCharType="end"/>
      </w:r>
      <w:r w:rsidR="00AD0127" w:rsidRPr="00863B49">
        <w:t>).</w:t>
      </w:r>
      <w:r w:rsidR="00E21C01" w:rsidRPr="00863B49">
        <w:t xml:space="preserve"> </w:t>
      </w:r>
      <w:r w:rsidR="004B2D75" w:rsidRPr="00863B49">
        <w:rPr>
          <w:iCs/>
        </w:rPr>
        <w:t>The ESC agreed with the evaluation that</w:t>
      </w:r>
      <w:r w:rsidR="00F61F07">
        <w:rPr>
          <w:iCs/>
        </w:rPr>
        <w:t>,</w:t>
      </w:r>
      <w:r w:rsidR="004B2D75" w:rsidRPr="00863B49">
        <w:rPr>
          <w:iCs/>
        </w:rPr>
        <w:t xml:space="preserve"> </w:t>
      </w:r>
      <w:r w:rsidR="00AD05D2" w:rsidRPr="00863B49">
        <w:rPr>
          <w:rFonts w:eastAsia="Calibri"/>
          <w:iCs/>
        </w:rPr>
        <w:t xml:space="preserve">while pegcetacoplan may slow the progression of GA lesion growth, it </w:t>
      </w:r>
      <w:r w:rsidR="004B2D75" w:rsidRPr="00863B49">
        <w:rPr>
          <w:rFonts w:eastAsia="Calibri"/>
          <w:iCs/>
        </w:rPr>
        <w:t>wa</w:t>
      </w:r>
      <w:r w:rsidR="00AD05D2" w:rsidRPr="00863B49">
        <w:rPr>
          <w:rFonts w:eastAsia="Calibri"/>
          <w:iCs/>
        </w:rPr>
        <w:t>s highly uncertain how this will translate into a delay in loss of visual acuity for patients.</w:t>
      </w:r>
      <w:r w:rsidR="0024352F" w:rsidRPr="00863B49">
        <w:rPr>
          <w:rFonts w:eastAsia="Calibri"/>
          <w:iCs/>
        </w:rPr>
        <w:t xml:space="preserve"> </w:t>
      </w:r>
      <w:r w:rsidR="005B3513" w:rsidRPr="00DB7F9D">
        <w:rPr>
          <w:iCs/>
        </w:rPr>
        <w:t xml:space="preserve">The ESC advised the model structure was not reliable for </w:t>
      </w:r>
      <w:r w:rsidR="50656952" w:rsidRPr="61B5D2C3">
        <w:t>decision-</w:t>
      </w:r>
      <w:r w:rsidR="005B3513" w:rsidRPr="00DB7F9D">
        <w:rPr>
          <w:iCs/>
        </w:rPr>
        <w:t xml:space="preserve">making due to concerns associated with the quantification of </w:t>
      </w:r>
      <w:r w:rsidR="00F61F07" w:rsidRPr="00DB7F9D">
        <w:rPr>
          <w:iCs/>
        </w:rPr>
        <w:t>th</w:t>
      </w:r>
      <w:r w:rsidR="00F61F07">
        <w:rPr>
          <w:iCs/>
        </w:rPr>
        <w:t>is</w:t>
      </w:r>
      <w:r w:rsidR="00F61F07" w:rsidRPr="00DB7F9D">
        <w:rPr>
          <w:iCs/>
        </w:rPr>
        <w:t xml:space="preserve"> </w:t>
      </w:r>
      <w:r w:rsidR="005B3513" w:rsidRPr="00DB7F9D">
        <w:rPr>
          <w:iCs/>
        </w:rPr>
        <w:t>surrogate</w:t>
      </w:r>
      <w:r w:rsidR="002D2AE5">
        <w:t xml:space="preserve"> </w:t>
      </w:r>
      <w:r w:rsidR="005B3513" w:rsidRPr="00DB7F9D">
        <w:rPr>
          <w:iCs/>
        </w:rPr>
        <w:t>functional outcome relationship and the estimated treatment effect.</w:t>
      </w:r>
      <w:r w:rsidR="005B3513" w:rsidRPr="00DB7F9D">
        <w:rPr>
          <w:rFonts w:eastAsia="Calibri"/>
          <w:iCs/>
        </w:rPr>
        <w:t xml:space="preserve"> </w:t>
      </w:r>
      <w:r w:rsidR="00F42552">
        <w:rPr>
          <w:rFonts w:eastAsia="Calibri"/>
          <w:iCs/>
        </w:rPr>
        <w:t>The pre</w:t>
      </w:r>
      <w:r w:rsidR="00397B07">
        <w:rPr>
          <w:rFonts w:eastAsia="Calibri"/>
          <w:iCs/>
        </w:rPr>
        <w:noBreakHyphen/>
      </w:r>
      <w:r w:rsidR="00F42552">
        <w:rPr>
          <w:rFonts w:eastAsia="Calibri"/>
          <w:iCs/>
        </w:rPr>
        <w:t xml:space="preserve">PBAC response </w:t>
      </w:r>
      <w:r w:rsidR="005550FC">
        <w:rPr>
          <w:rFonts w:eastAsia="Calibri"/>
          <w:iCs/>
        </w:rPr>
        <w:t>stated</w:t>
      </w:r>
      <w:r w:rsidR="008F1309">
        <w:rPr>
          <w:rFonts w:eastAsia="Calibri"/>
          <w:iCs/>
        </w:rPr>
        <w:t xml:space="preserve"> that </w:t>
      </w:r>
      <w:r w:rsidR="00234BCA">
        <w:rPr>
          <w:rFonts w:eastAsia="Calibri"/>
          <w:iCs/>
        </w:rPr>
        <w:t xml:space="preserve">microperimetry is a sensitive and precise measure of retinal function that better reflects </w:t>
      </w:r>
      <w:r w:rsidR="0091719A">
        <w:rPr>
          <w:rFonts w:eastAsia="Calibri"/>
          <w:iCs/>
        </w:rPr>
        <w:t>the structural preservation of the retin</w:t>
      </w:r>
      <w:r w:rsidR="00603AC2">
        <w:rPr>
          <w:rFonts w:eastAsia="Calibri"/>
          <w:iCs/>
        </w:rPr>
        <w:t>a associated with pegcetacoplan</w:t>
      </w:r>
      <w:r w:rsidR="003E53C7">
        <w:rPr>
          <w:rFonts w:eastAsia="Calibri"/>
          <w:iCs/>
        </w:rPr>
        <w:t xml:space="preserve"> and argued that this was the </w:t>
      </w:r>
      <w:r w:rsidR="00F61F07">
        <w:rPr>
          <w:rFonts w:eastAsia="Calibri"/>
          <w:iCs/>
        </w:rPr>
        <w:t xml:space="preserve">best </w:t>
      </w:r>
      <w:r w:rsidR="003E53C7">
        <w:rPr>
          <w:rFonts w:eastAsia="Calibri"/>
          <w:iCs/>
        </w:rPr>
        <w:t>evidence of possible benefit in function</w:t>
      </w:r>
      <w:r w:rsidR="00F61F07">
        <w:rPr>
          <w:rFonts w:eastAsia="Calibri"/>
          <w:iCs/>
        </w:rPr>
        <w:t>al</w:t>
      </w:r>
      <w:r w:rsidR="003E53C7">
        <w:rPr>
          <w:rFonts w:eastAsia="Calibri"/>
          <w:iCs/>
        </w:rPr>
        <w:t xml:space="preserve"> outcomes.</w:t>
      </w:r>
      <w:r w:rsidR="005A6E39">
        <w:rPr>
          <w:rFonts w:eastAsia="Calibri"/>
          <w:iCs/>
        </w:rPr>
        <w:t xml:space="preserve"> This argument was also supported </w:t>
      </w:r>
      <w:r w:rsidR="00F61F07">
        <w:rPr>
          <w:rFonts w:eastAsia="Calibri"/>
          <w:iCs/>
        </w:rPr>
        <w:t xml:space="preserve">by </w:t>
      </w:r>
      <w:r w:rsidR="005A6E39">
        <w:rPr>
          <w:rFonts w:eastAsia="Calibri"/>
          <w:iCs/>
        </w:rPr>
        <w:t xml:space="preserve">the sponsor hearing (see paragraph </w:t>
      </w:r>
      <w:r w:rsidR="005A6E39">
        <w:rPr>
          <w:rFonts w:eastAsia="Calibri"/>
          <w:iCs/>
        </w:rPr>
        <w:fldChar w:fldCharType="begin"/>
      </w:r>
      <w:r w:rsidR="005A6E39">
        <w:rPr>
          <w:rFonts w:eastAsia="Calibri"/>
          <w:iCs/>
        </w:rPr>
        <w:instrText xml:space="preserve"> REF _Ref213944145 \r \h </w:instrText>
      </w:r>
      <w:r w:rsidR="005A6E39">
        <w:rPr>
          <w:rFonts w:eastAsia="Calibri"/>
          <w:iCs/>
        </w:rPr>
      </w:r>
      <w:r w:rsidR="005A6E39">
        <w:rPr>
          <w:rFonts w:eastAsia="Calibri"/>
          <w:iCs/>
        </w:rPr>
        <w:fldChar w:fldCharType="separate"/>
      </w:r>
      <w:r w:rsidR="00333CFE">
        <w:rPr>
          <w:rFonts w:eastAsia="Calibri"/>
          <w:iCs/>
        </w:rPr>
        <w:t>6.1</w:t>
      </w:r>
      <w:r w:rsidR="005A6E39">
        <w:rPr>
          <w:rFonts w:eastAsia="Calibri"/>
          <w:iCs/>
        </w:rPr>
        <w:fldChar w:fldCharType="end"/>
      </w:r>
      <w:r w:rsidR="005A6E39">
        <w:rPr>
          <w:rFonts w:eastAsia="Calibri"/>
          <w:iCs/>
        </w:rPr>
        <w:t>).</w:t>
      </w:r>
      <w:bookmarkEnd w:id="66"/>
    </w:p>
    <w:p w14:paraId="56377C2E" w14:textId="1E7AADA4" w:rsidR="00C3177B" w:rsidRPr="00E20031" w:rsidRDefault="00C3177B">
      <w:pPr>
        <w:pStyle w:val="3-BodyText"/>
      </w:pPr>
      <w:r w:rsidRPr="00863B49">
        <w:fldChar w:fldCharType="begin"/>
      </w:r>
      <w:r w:rsidRPr="00863B49">
        <w:instrText xml:space="preserve"> REF _Ref205546981 \h </w:instrText>
      </w:r>
      <w:r w:rsidR="00863B49" w:rsidRPr="00863B49">
        <w:instrText xml:space="preserve"> \* MERGEFORMAT </w:instrText>
      </w:r>
      <w:r w:rsidRPr="00863B49">
        <w:fldChar w:fldCharType="separate"/>
      </w:r>
      <w:r w:rsidR="00333CFE" w:rsidRPr="00E20031">
        <w:t xml:space="preserve">Table </w:t>
      </w:r>
      <w:r w:rsidR="00333CFE">
        <w:rPr>
          <w:noProof/>
        </w:rPr>
        <w:t>9</w:t>
      </w:r>
      <w:r w:rsidRPr="00863B49">
        <w:fldChar w:fldCharType="end"/>
      </w:r>
      <w:r w:rsidRPr="00863B49">
        <w:t xml:space="preserve"> summarises</w:t>
      </w:r>
      <w:r w:rsidRPr="00E20031">
        <w:t xml:space="preserve"> the key components of the economic evaluation.</w:t>
      </w:r>
    </w:p>
    <w:p w14:paraId="15A9AFA4" w14:textId="27E57EDC" w:rsidR="00275C5A" w:rsidRPr="00E20031" w:rsidRDefault="00E16AD8" w:rsidP="00E16AD8">
      <w:pPr>
        <w:pStyle w:val="Caption"/>
        <w:jc w:val="left"/>
        <w:rPr>
          <w:rStyle w:val="CommentReference"/>
          <w:b/>
          <w:szCs w:val="24"/>
        </w:rPr>
      </w:pPr>
      <w:bookmarkStart w:id="67" w:name="_Ref205546981"/>
      <w:r w:rsidRPr="00E20031">
        <w:lastRenderedPageBreak/>
        <w:t xml:space="preserve">Table </w:t>
      </w:r>
      <w:r w:rsidR="004C5F7F">
        <w:fldChar w:fldCharType="begin"/>
      </w:r>
      <w:r w:rsidR="004C5F7F">
        <w:instrText xml:space="preserve"> SEQ Table \* ARABIC </w:instrText>
      </w:r>
      <w:r w:rsidR="004C5F7F">
        <w:fldChar w:fldCharType="separate"/>
      </w:r>
      <w:r w:rsidR="00333CFE">
        <w:rPr>
          <w:noProof/>
        </w:rPr>
        <w:t>9</w:t>
      </w:r>
      <w:r w:rsidR="004C5F7F">
        <w:rPr>
          <w:noProof/>
        </w:rPr>
        <w:fldChar w:fldCharType="end"/>
      </w:r>
      <w:bookmarkEnd w:id="67"/>
      <w:r w:rsidRPr="00E20031">
        <w:t>:</w:t>
      </w:r>
      <w:r w:rsidR="00275C5A" w:rsidRPr="00E20031">
        <w:rPr>
          <w:rStyle w:val="CommentReference"/>
          <w:b/>
          <w:szCs w:val="24"/>
        </w:rPr>
        <w:t xml:space="preserve"> Summary of model structure</w:t>
      </w:r>
      <w:r w:rsidR="00184B0E" w:rsidRPr="00E20031">
        <w:rPr>
          <w:rStyle w:val="CommentReference"/>
          <w:b/>
          <w:szCs w:val="24"/>
        </w:rPr>
        <w:t>, key inputs</w:t>
      </w:r>
      <w:r w:rsidR="00275C5A" w:rsidRPr="00E20031">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1271"/>
        <w:gridCol w:w="7746"/>
      </w:tblGrid>
      <w:tr w:rsidR="00275C5A" w:rsidRPr="00E20031" w14:paraId="48BB958D" w14:textId="77777777" w:rsidTr="00556DE4">
        <w:trPr>
          <w:tblHeader/>
        </w:trPr>
        <w:tc>
          <w:tcPr>
            <w:tcW w:w="705" w:type="pct"/>
            <w:vAlign w:val="center"/>
          </w:tcPr>
          <w:p w14:paraId="29C3D629" w14:textId="77777777" w:rsidR="00275C5A" w:rsidRPr="00D04A0A" w:rsidRDefault="00275C5A" w:rsidP="00077D48">
            <w:pPr>
              <w:pStyle w:val="In-tableHeading"/>
            </w:pPr>
            <w:r w:rsidRPr="00D04A0A">
              <w:t>Component</w:t>
            </w:r>
          </w:p>
        </w:tc>
        <w:tc>
          <w:tcPr>
            <w:tcW w:w="4295" w:type="pct"/>
            <w:vAlign w:val="center"/>
          </w:tcPr>
          <w:p w14:paraId="58FBA37B" w14:textId="77777777" w:rsidR="00275C5A" w:rsidRPr="00D04A0A" w:rsidRDefault="00275C5A" w:rsidP="00077D48">
            <w:pPr>
              <w:pStyle w:val="In-tableHeading"/>
            </w:pPr>
            <w:r w:rsidRPr="00D04A0A">
              <w:t>Summary</w:t>
            </w:r>
          </w:p>
        </w:tc>
      </w:tr>
      <w:tr w:rsidR="000A6039" w:rsidRPr="00E20031" w14:paraId="7476B2FD" w14:textId="77777777" w:rsidTr="00556DE4">
        <w:tc>
          <w:tcPr>
            <w:tcW w:w="705" w:type="pct"/>
            <w:vAlign w:val="center"/>
          </w:tcPr>
          <w:p w14:paraId="5FA8442E" w14:textId="27CD0EEA" w:rsidR="000A6039" w:rsidRPr="00D04A0A" w:rsidRDefault="000A6039" w:rsidP="00BB00B3">
            <w:pPr>
              <w:pStyle w:val="TableText0"/>
            </w:pPr>
            <w:r w:rsidRPr="00D04A0A">
              <w:t>Treatments</w:t>
            </w:r>
          </w:p>
        </w:tc>
        <w:tc>
          <w:tcPr>
            <w:tcW w:w="4295" w:type="pct"/>
            <w:vAlign w:val="center"/>
          </w:tcPr>
          <w:p w14:paraId="554C8AD3" w14:textId="52CAE451" w:rsidR="000A6039" w:rsidRPr="00D04A0A" w:rsidRDefault="00C3177B" w:rsidP="00BB00B3">
            <w:pPr>
              <w:pStyle w:val="TableText0"/>
            </w:pPr>
            <w:r w:rsidRPr="00D04A0A">
              <w:t>Pegcetacoplan versus BSC.</w:t>
            </w:r>
          </w:p>
        </w:tc>
      </w:tr>
      <w:tr w:rsidR="00275C5A" w:rsidRPr="00E20031" w14:paraId="6A8D84D4" w14:textId="77777777" w:rsidTr="00556DE4">
        <w:tc>
          <w:tcPr>
            <w:tcW w:w="705" w:type="pct"/>
            <w:vAlign w:val="center"/>
          </w:tcPr>
          <w:p w14:paraId="5F652354" w14:textId="77777777" w:rsidR="00275C5A" w:rsidRPr="00D04A0A" w:rsidRDefault="00275C5A" w:rsidP="00BB00B3">
            <w:pPr>
              <w:pStyle w:val="TableText0"/>
            </w:pPr>
            <w:r w:rsidRPr="00D04A0A">
              <w:t>Time horizon</w:t>
            </w:r>
          </w:p>
        </w:tc>
        <w:tc>
          <w:tcPr>
            <w:tcW w:w="4295" w:type="pct"/>
            <w:vAlign w:val="center"/>
          </w:tcPr>
          <w:p w14:paraId="460936F1" w14:textId="746A9D43" w:rsidR="00275C5A" w:rsidRPr="00D04A0A" w:rsidRDefault="00C3177B" w:rsidP="00BB00B3">
            <w:pPr>
              <w:pStyle w:val="TableText0"/>
            </w:pPr>
            <w:r w:rsidRPr="00D04A0A">
              <w:t>20 years (versus 24 month follow up in the DERBY and OAKS trials).</w:t>
            </w:r>
          </w:p>
        </w:tc>
      </w:tr>
      <w:tr w:rsidR="00275C5A" w:rsidRPr="00E20031" w14:paraId="003209BF" w14:textId="77777777" w:rsidTr="00556DE4">
        <w:tc>
          <w:tcPr>
            <w:tcW w:w="705" w:type="pct"/>
            <w:vAlign w:val="center"/>
          </w:tcPr>
          <w:p w14:paraId="522DAB95" w14:textId="77777777" w:rsidR="00275C5A" w:rsidRPr="00D04A0A" w:rsidRDefault="00275C5A" w:rsidP="00BB00B3">
            <w:pPr>
              <w:pStyle w:val="TableText0"/>
            </w:pPr>
            <w:r w:rsidRPr="00D04A0A">
              <w:t>Outcomes</w:t>
            </w:r>
          </w:p>
        </w:tc>
        <w:tc>
          <w:tcPr>
            <w:tcW w:w="4295" w:type="pct"/>
            <w:vAlign w:val="center"/>
          </w:tcPr>
          <w:p w14:paraId="3D1C428E" w14:textId="26380781" w:rsidR="00275C5A" w:rsidRPr="00D04A0A" w:rsidRDefault="00C3177B" w:rsidP="00BB00B3">
            <w:pPr>
              <w:pStyle w:val="TableText0"/>
            </w:pPr>
            <w:r w:rsidRPr="00D04A0A">
              <w:t>Quality</w:t>
            </w:r>
            <w:r w:rsidR="00397B07">
              <w:noBreakHyphen/>
            </w:r>
            <w:r w:rsidRPr="00D04A0A">
              <w:t>adjusted life years.</w:t>
            </w:r>
          </w:p>
        </w:tc>
      </w:tr>
      <w:tr w:rsidR="00275C5A" w:rsidRPr="00E20031" w14:paraId="29120B3F" w14:textId="77777777" w:rsidTr="00556DE4">
        <w:tc>
          <w:tcPr>
            <w:tcW w:w="705" w:type="pct"/>
            <w:vAlign w:val="center"/>
          </w:tcPr>
          <w:p w14:paraId="1AAC94CB" w14:textId="77777777" w:rsidR="00275C5A" w:rsidRPr="00D04A0A" w:rsidRDefault="00275C5A" w:rsidP="00BB00B3">
            <w:pPr>
              <w:pStyle w:val="TableText0"/>
            </w:pPr>
            <w:r w:rsidRPr="00D04A0A">
              <w:t>Methods used to generate results</w:t>
            </w:r>
          </w:p>
        </w:tc>
        <w:tc>
          <w:tcPr>
            <w:tcW w:w="4295" w:type="pct"/>
            <w:vAlign w:val="center"/>
          </w:tcPr>
          <w:p w14:paraId="69D4F042" w14:textId="134A86E1" w:rsidR="00275C5A" w:rsidRPr="00D04A0A" w:rsidRDefault="00C3177B" w:rsidP="00BB00B3">
            <w:pPr>
              <w:pStyle w:val="TableText0"/>
            </w:pPr>
            <w:r w:rsidRPr="00D04A0A">
              <w:t>Markov cohort.</w:t>
            </w:r>
          </w:p>
        </w:tc>
      </w:tr>
      <w:tr w:rsidR="00275C5A" w:rsidRPr="00E20031" w14:paraId="7F7ACECA" w14:textId="77777777" w:rsidTr="00556DE4">
        <w:tc>
          <w:tcPr>
            <w:tcW w:w="705" w:type="pct"/>
            <w:vAlign w:val="center"/>
          </w:tcPr>
          <w:p w14:paraId="344631D3" w14:textId="6912A2C5" w:rsidR="00275C5A" w:rsidRPr="00D04A0A" w:rsidRDefault="006105E5" w:rsidP="00BB00B3">
            <w:pPr>
              <w:pStyle w:val="TableText0"/>
            </w:pPr>
            <w:r w:rsidRPr="00D04A0A">
              <w:t>Health states</w:t>
            </w:r>
          </w:p>
        </w:tc>
        <w:tc>
          <w:tcPr>
            <w:tcW w:w="4295" w:type="pct"/>
            <w:vAlign w:val="center"/>
          </w:tcPr>
          <w:p w14:paraId="03F23F80" w14:textId="7E44A87A" w:rsidR="00275C5A" w:rsidRPr="00D04A0A" w:rsidRDefault="00C3177B" w:rsidP="00BB00B3">
            <w:pPr>
              <w:pStyle w:val="TableText0"/>
            </w:pPr>
            <w:r w:rsidRPr="00D04A0A">
              <w:t>Defined by number of ETDRS letters: ≥ 76, 75</w:t>
            </w:r>
            <w:r w:rsidR="00397B07">
              <w:noBreakHyphen/>
            </w:r>
            <w:r w:rsidRPr="00D04A0A">
              <w:t>66, 65</w:t>
            </w:r>
            <w:r w:rsidR="00397B07">
              <w:noBreakHyphen/>
            </w:r>
            <w:r w:rsidRPr="00D04A0A">
              <w:t>51, 50</w:t>
            </w:r>
            <w:r w:rsidR="00397B07">
              <w:noBreakHyphen/>
            </w:r>
            <w:r w:rsidRPr="00D04A0A">
              <w:t xml:space="preserve">36 and ≤ 35 letters and </w:t>
            </w:r>
            <w:r w:rsidR="006105E5" w:rsidRPr="00D04A0A">
              <w:t>d</w:t>
            </w:r>
            <w:r w:rsidRPr="00D04A0A">
              <w:t>ead.</w:t>
            </w:r>
          </w:p>
        </w:tc>
      </w:tr>
      <w:tr w:rsidR="00275C5A" w:rsidRPr="00E20031" w14:paraId="7F944EEA" w14:textId="77777777" w:rsidTr="00556DE4">
        <w:tc>
          <w:tcPr>
            <w:tcW w:w="705" w:type="pct"/>
            <w:vAlign w:val="center"/>
          </w:tcPr>
          <w:p w14:paraId="255C0B8D" w14:textId="77777777" w:rsidR="00275C5A" w:rsidRPr="00D04A0A" w:rsidRDefault="00275C5A" w:rsidP="00BB00B3">
            <w:pPr>
              <w:pStyle w:val="TableText0"/>
            </w:pPr>
            <w:r w:rsidRPr="00D04A0A">
              <w:t>Cycle length</w:t>
            </w:r>
          </w:p>
        </w:tc>
        <w:tc>
          <w:tcPr>
            <w:tcW w:w="4295" w:type="pct"/>
            <w:vAlign w:val="center"/>
          </w:tcPr>
          <w:p w14:paraId="5733F6EA" w14:textId="3E568D87" w:rsidR="00275C5A" w:rsidRPr="00D04A0A" w:rsidRDefault="00C3177B" w:rsidP="00BB00B3">
            <w:pPr>
              <w:pStyle w:val="TableText0"/>
            </w:pPr>
            <w:r w:rsidRPr="00D04A0A">
              <w:t xml:space="preserve">12 weeks. </w:t>
            </w:r>
          </w:p>
        </w:tc>
      </w:tr>
      <w:tr w:rsidR="00275C5A" w:rsidRPr="00E20031" w14:paraId="6EFF7035" w14:textId="77777777" w:rsidTr="00556DE4">
        <w:tc>
          <w:tcPr>
            <w:tcW w:w="705" w:type="pct"/>
            <w:vAlign w:val="center"/>
          </w:tcPr>
          <w:p w14:paraId="77A45407" w14:textId="17DB58F8" w:rsidR="00081E63" w:rsidRPr="00D04A0A" w:rsidRDefault="00275C5A" w:rsidP="00BB00B3">
            <w:pPr>
              <w:pStyle w:val="TableText0"/>
            </w:pPr>
            <w:r w:rsidRPr="00D04A0A">
              <w:t>Transition probabilities</w:t>
            </w:r>
          </w:p>
        </w:tc>
        <w:tc>
          <w:tcPr>
            <w:tcW w:w="4295" w:type="pct"/>
            <w:vAlign w:val="center"/>
          </w:tcPr>
          <w:p w14:paraId="3CAF6E1E" w14:textId="1D81CE7D" w:rsidR="00C3177B" w:rsidRPr="00D04A0A" w:rsidRDefault="00C3177B" w:rsidP="00C3177B">
            <w:pPr>
              <w:pStyle w:val="TableText0"/>
            </w:pPr>
            <w:r w:rsidRPr="00D04A0A">
              <w:t xml:space="preserve">In the BSC arm, disease progression transition probabilities were informed by an analysis of patients in the control arms of the DERBY and OAKS trials. </w:t>
            </w:r>
          </w:p>
          <w:p w14:paraId="31204FF0" w14:textId="77777777" w:rsidR="00C3177B" w:rsidRPr="00D04A0A" w:rsidRDefault="00C3177B" w:rsidP="00C3177B">
            <w:pPr>
              <w:pStyle w:val="TableText0"/>
            </w:pPr>
          </w:p>
          <w:p w14:paraId="16F3B50E" w14:textId="2EAF241C" w:rsidR="00E36A14" w:rsidRPr="00D04A0A" w:rsidRDefault="00C3177B" w:rsidP="00C3177B">
            <w:pPr>
              <w:pStyle w:val="TableText0"/>
            </w:pPr>
            <w:r w:rsidRPr="00D04A0A">
              <w:t xml:space="preserve">In the pegcetacoplan arm, a treatment effect (applied as a relative risk reduction) was derived from KM data for the event of central 16 absolute scotomatous points and was applied to BSC transition probabilities. </w:t>
            </w:r>
          </w:p>
          <w:p w14:paraId="12247CE3" w14:textId="77777777" w:rsidR="00F0164F" w:rsidRPr="00D04A0A" w:rsidRDefault="00F0164F" w:rsidP="00C3177B">
            <w:pPr>
              <w:pStyle w:val="TableText0"/>
            </w:pPr>
          </w:p>
          <w:p w14:paraId="76387578" w14:textId="6BBE840C" w:rsidR="00F0164F" w:rsidRPr="00D04A0A" w:rsidRDefault="00F0164F" w:rsidP="00C3177B">
            <w:pPr>
              <w:pStyle w:val="TableText0"/>
            </w:pPr>
            <w:r w:rsidRPr="00D04A0A">
              <w:t xml:space="preserve">Mortality was informed by ABS lifetables in both arms. This </w:t>
            </w:r>
            <w:r w:rsidR="004F445A">
              <w:t xml:space="preserve">evaluation considered this </w:t>
            </w:r>
            <w:r w:rsidRPr="00D04A0A">
              <w:t xml:space="preserve">was reasonable. </w:t>
            </w:r>
          </w:p>
        </w:tc>
      </w:tr>
      <w:tr w:rsidR="00501854" w:rsidRPr="00E20031" w14:paraId="0BC5FD61" w14:textId="77777777" w:rsidTr="00556DE4">
        <w:tc>
          <w:tcPr>
            <w:tcW w:w="705" w:type="pct"/>
            <w:vAlign w:val="center"/>
          </w:tcPr>
          <w:p w14:paraId="3EE19BE5" w14:textId="7EE5FF57" w:rsidR="00501854" w:rsidRPr="00D04A0A" w:rsidRDefault="00501854" w:rsidP="00BB00B3">
            <w:pPr>
              <w:pStyle w:val="TableText0"/>
            </w:pPr>
            <w:r w:rsidRPr="00D04A0A">
              <w:t>Extrapolation method</w:t>
            </w:r>
          </w:p>
        </w:tc>
        <w:tc>
          <w:tcPr>
            <w:tcW w:w="4295" w:type="pct"/>
            <w:vAlign w:val="center"/>
          </w:tcPr>
          <w:p w14:paraId="485E524F" w14:textId="0FB1D491" w:rsidR="00C3177B" w:rsidRPr="00D04A0A" w:rsidRDefault="00C3177B" w:rsidP="00C3177B">
            <w:pPr>
              <w:pStyle w:val="TableText0"/>
            </w:pPr>
            <w:r w:rsidRPr="00D04A0A">
              <w:t>The submission assumed BSC transitions would remain constant until the end of the time horizon. T</w:t>
            </w:r>
            <w:r w:rsidR="004B21B2">
              <w:t>he evaluation considered t</w:t>
            </w:r>
            <w:r w:rsidRPr="00D04A0A">
              <w:t>his was uncertain.</w:t>
            </w:r>
          </w:p>
          <w:p w14:paraId="65888134" w14:textId="77777777" w:rsidR="00C3177B" w:rsidRPr="00D04A0A" w:rsidRDefault="00C3177B" w:rsidP="00C3177B">
            <w:pPr>
              <w:pStyle w:val="TableText0"/>
            </w:pPr>
          </w:p>
          <w:p w14:paraId="7026638D" w14:textId="0EC588E9" w:rsidR="00D533EC" w:rsidRPr="00D04A0A" w:rsidRDefault="00C3177B" w:rsidP="00C3177B">
            <w:pPr>
              <w:pStyle w:val="TableText0"/>
            </w:pPr>
            <w:r w:rsidRPr="00D04A0A">
              <w:t xml:space="preserve">The pegcetacoplan treatment effect was assumed to increase and continue without any waning while patients remained on treatment (which was until they enter the ≤ 35 letters </w:t>
            </w:r>
            <w:r w:rsidR="00823901" w:rsidRPr="00D04A0A">
              <w:t xml:space="preserve">health state </w:t>
            </w:r>
            <w:r w:rsidRPr="00D04A0A">
              <w:t>or death) based on an observed increasing treatment effect during the trials.</w:t>
            </w:r>
            <w:r w:rsidR="00AD0127" w:rsidRPr="00D04A0A">
              <w:t xml:space="preserve"> This was not associated with any observation of increasing functional effect. The submission assumed patients will not develop subfoveal lesions and hence would receive continual treatment with pegcetacoplan</w:t>
            </w:r>
            <w:r w:rsidR="003D0A93">
              <w:t xml:space="preserve">. </w:t>
            </w:r>
            <w:r w:rsidR="00DA38B5">
              <w:t>H</w:t>
            </w:r>
            <w:r w:rsidR="00DA38B5" w:rsidRPr="00D04A0A">
              <w:t>owever,</w:t>
            </w:r>
            <w:r w:rsidR="00AD0127" w:rsidRPr="00D04A0A">
              <w:t xml:space="preserve"> this is inconsistent with the natural disease course where patients would eventually </w:t>
            </w:r>
            <w:r w:rsidR="003D0A93">
              <w:t>develop</w:t>
            </w:r>
            <w:r w:rsidR="003D0A93" w:rsidRPr="00D04A0A">
              <w:t xml:space="preserve"> </w:t>
            </w:r>
            <w:r w:rsidR="00AD0127" w:rsidRPr="00D04A0A">
              <w:t xml:space="preserve">subfoveal lesions and </w:t>
            </w:r>
            <w:r w:rsidR="003D0A93">
              <w:t>would become</w:t>
            </w:r>
            <w:r w:rsidR="00AD0127" w:rsidRPr="00D04A0A">
              <w:t xml:space="preserve"> ineligible to access PBS</w:t>
            </w:r>
            <w:r w:rsidR="00397B07">
              <w:noBreakHyphen/>
            </w:r>
            <w:r w:rsidR="00AD0127" w:rsidRPr="00D04A0A">
              <w:t>subsidised pegcetacoplan</w:t>
            </w:r>
            <w:r w:rsidR="00276CB6" w:rsidRPr="00D04A0A">
              <w:t>.</w:t>
            </w:r>
          </w:p>
        </w:tc>
      </w:tr>
      <w:tr w:rsidR="00501854" w:rsidRPr="00E20031" w14:paraId="07C0A709" w14:textId="77777777" w:rsidTr="00556DE4">
        <w:tc>
          <w:tcPr>
            <w:tcW w:w="705" w:type="pct"/>
            <w:vAlign w:val="center"/>
          </w:tcPr>
          <w:p w14:paraId="33B632EB" w14:textId="4B6D1EE3" w:rsidR="00501854" w:rsidRPr="00D04A0A" w:rsidRDefault="00DD0F78" w:rsidP="00BB00B3">
            <w:pPr>
              <w:pStyle w:val="TableText0"/>
            </w:pPr>
            <w:r w:rsidRPr="00D04A0A">
              <w:t>Health related quality of life</w:t>
            </w:r>
          </w:p>
        </w:tc>
        <w:tc>
          <w:tcPr>
            <w:tcW w:w="4295" w:type="pct"/>
            <w:vAlign w:val="center"/>
          </w:tcPr>
          <w:p w14:paraId="6FCC32AA" w14:textId="1C90E0FB" w:rsidR="001F4081" w:rsidRPr="00D04A0A" w:rsidRDefault="00C3177B" w:rsidP="00BB00B3">
            <w:pPr>
              <w:pStyle w:val="TableText0"/>
            </w:pPr>
            <w:r w:rsidRPr="00D04A0A">
              <w:t>Identical across the two arms, sourced from a published ranibizumab economic model which reports utilities for ETDRS letter groups and no disutilities for AEs or pegcetacoplan administrations</w:t>
            </w:r>
            <w:r w:rsidR="006105E5" w:rsidRPr="00D04A0A">
              <w:t xml:space="preserve"> were applied</w:t>
            </w:r>
            <w:r w:rsidRPr="00D04A0A">
              <w:t xml:space="preserve">. Assuming identical utilities across the two treatment arms was uncertain given AEs associated with pegcetacoplan over BSC. </w:t>
            </w:r>
          </w:p>
        </w:tc>
      </w:tr>
      <w:tr w:rsidR="00501854" w:rsidRPr="00E20031" w14:paraId="6093DA19" w14:textId="77777777" w:rsidTr="00556DE4">
        <w:tc>
          <w:tcPr>
            <w:tcW w:w="705" w:type="pct"/>
            <w:vAlign w:val="center"/>
          </w:tcPr>
          <w:p w14:paraId="63E46A80" w14:textId="3F344AD0" w:rsidR="00DD0F78" w:rsidRPr="00D04A0A" w:rsidRDefault="00C3177B" w:rsidP="00BB00B3">
            <w:pPr>
              <w:pStyle w:val="TableText0"/>
            </w:pPr>
            <w:r w:rsidRPr="00D04A0A">
              <w:t>Costs</w:t>
            </w:r>
            <w:r w:rsidR="00DD0F78" w:rsidRPr="00D04A0A">
              <w:t xml:space="preserve"> </w:t>
            </w:r>
          </w:p>
        </w:tc>
        <w:tc>
          <w:tcPr>
            <w:tcW w:w="4295" w:type="pct"/>
            <w:vAlign w:val="center"/>
          </w:tcPr>
          <w:p w14:paraId="4CD69EB8" w14:textId="7C7BF644" w:rsidR="00501854" w:rsidRPr="00D04A0A" w:rsidRDefault="006105E5" w:rsidP="00BB00B3">
            <w:pPr>
              <w:pStyle w:val="TableText0"/>
            </w:pPr>
            <w:r w:rsidRPr="00D04A0A">
              <w:t xml:space="preserve">The number of </w:t>
            </w:r>
            <w:r w:rsidR="00A378D4" w:rsidRPr="00D04A0A">
              <w:t>pegcetacoplan</w:t>
            </w:r>
            <w:r w:rsidRPr="00D04A0A">
              <w:t xml:space="preserve"> injections per year were derived from the DERBY and OAKS trials. The submission assumed that patients who completed the trial had full treatment compliance, and that patients who did not complete the full 24 months received nil injection</w:t>
            </w:r>
            <w:r w:rsidR="00BF77DA" w:rsidRPr="00D04A0A">
              <w:t>s</w:t>
            </w:r>
            <w:r w:rsidRPr="00D04A0A">
              <w:t>. T</w:t>
            </w:r>
            <w:r w:rsidR="00786E6C">
              <w:t>he evaluation considered t</w:t>
            </w:r>
            <w:r w:rsidRPr="00D04A0A">
              <w:t xml:space="preserve">his was not appropriate. </w:t>
            </w:r>
            <w:r w:rsidR="00C3177B" w:rsidRPr="00D04A0A">
              <w:t xml:space="preserve">Costs included </w:t>
            </w:r>
            <w:r w:rsidR="003353EE" w:rsidRPr="00D04A0A">
              <w:t xml:space="preserve">aged care residency, </w:t>
            </w:r>
            <w:r w:rsidR="00C3177B" w:rsidRPr="00D04A0A">
              <w:t>HCP and CHSP</w:t>
            </w:r>
            <w:r w:rsidR="003353EE" w:rsidRPr="00D04A0A">
              <w:t xml:space="preserve"> costs. The entirety of these costs may not constitute direct medical costs and therefore should be excluded from the base case analysis.</w:t>
            </w:r>
          </w:p>
        </w:tc>
      </w:tr>
    </w:tbl>
    <w:p w14:paraId="4D4658D1" w14:textId="77777777" w:rsidR="00556DE4" w:rsidRPr="00E20031" w:rsidRDefault="00556DE4" w:rsidP="00556DE4">
      <w:pPr>
        <w:pStyle w:val="TableFigureFooter"/>
      </w:pPr>
      <w:bookmarkStart w:id="68" w:name="_Ref205548882"/>
      <w:r w:rsidRPr="00E20031">
        <w:t xml:space="preserve">Source: </w:t>
      </w:r>
      <w:r w:rsidRPr="00406928">
        <w:t>Constructed during the evaluation from the “A3</w:t>
      </w:r>
      <w:r w:rsidRPr="00E20031">
        <w:t>.1_Pegcetacoplan PBAC CE model submission 2025 vF” attachment provided with the submission.</w:t>
      </w:r>
    </w:p>
    <w:p w14:paraId="1ECA1CA6" w14:textId="43D59B43" w:rsidR="00556DE4" w:rsidRPr="00E20031" w:rsidRDefault="00556DE4" w:rsidP="00556DE4">
      <w:pPr>
        <w:pStyle w:val="TableFigureFooter"/>
      </w:pPr>
      <w:r w:rsidRPr="00E20031">
        <w:t xml:space="preserve">AEs = adverse events; BCVA = best corrected visual acuity; BSC = best supportive care; CHSP = Commonwealth Home Support Program; ETDRS = Early Treatment Diabetic Retinopathy Study; HCP = Home Care Package; KM = Kaplan Meier; PBS = Pharmaceutical Benefits Scheme; QALYs = </w:t>
      </w:r>
      <w:r w:rsidR="672CD142" w:rsidRPr="00E20031">
        <w:t>quality adjusted</w:t>
      </w:r>
      <w:r w:rsidRPr="00E20031">
        <w:t xml:space="preserve"> life year.</w:t>
      </w:r>
    </w:p>
    <w:p w14:paraId="174DD5FD" w14:textId="3AF9F03A" w:rsidR="000D7BC6" w:rsidRPr="00E20031" w:rsidRDefault="000D7BC6" w:rsidP="000D7BC6">
      <w:pPr>
        <w:pStyle w:val="3-BodyText"/>
      </w:pPr>
      <w:bookmarkStart w:id="69" w:name="_Ref211432345"/>
      <w:r w:rsidRPr="00E20031">
        <w:t>The model adopts a 20</w:t>
      </w:r>
      <w:r w:rsidR="00397B07">
        <w:noBreakHyphen/>
      </w:r>
      <w:r w:rsidRPr="00E20031">
        <w:t xml:space="preserve">year time horizon. </w:t>
      </w:r>
      <w:r w:rsidR="00292A3F">
        <w:t>T</w:t>
      </w:r>
      <w:r w:rsidRPr="00D04A0A">
        <w:t>he duration</w:t>
      </w:r>
      <w:r w:rsidR="00292A3F">
        <w:t xml:space="preserve"> of</w:t>
      </w:r>
      <w:r w:rsidRPr="00D04A0A">
        <w:t xml:space="preserve"> </w:t>
      </w:r>
      <w:r w:rsidR="00292A3F" w:rsidRPr="00D04A0A">
        <w:t>follow</w:t>
      </w:r>
      <w:r w:rsidR="00397B07">
        <w:noBreakHyphen/>
      </w:r>
      <w:r w:rsidR="00292A3F" w:rsidRPr="00D04A0A">
        <w:t xml:space="preserve">up </w:t>
      </w:r>
      <w:r w:rsidRPr="00D04A0A">
        <w:t xml:space="preserve">for the DERBY and OAKS trial was just 24 months, </w:t>
      </w:r>
      <w:r w:rsidR="00AD0127" w:rsidRPr="00D04A0A">
        <w:t xml:space="preserve">and there is no additional </w:t>
      </w:r>
      <w:r w:rsidR="003D0A93">
        <w:t xml:space="preserve">comparative </w:t>
      </w:r>
      <w:r w:rsidR="00AD0127" w:rsidRPr="00D04A0A">
        <w:t xml:space="preserve">external data to inform disease progression beyond this time period. </w:t>
      </w:r>
      <w:r w:rsidR="00292A3F" w:rsidRPr="00D04A0A">
        <w:t>Therefore,</w:t>
      </w:r>
      <w:r w:rsidR="00AD0127" w:rsidRPr="00D04A0A">
        <w:t xml:space="preserve"> the </w:t>
      </w:r>
      <w:r w:rsidR="008A56F9">
        <w:t xml:space="preserve">evaluation considered the </w:t>
      </w:r>
      <w:r w:rsidR="00AD0127" w:rsidRPr="00D04A0A">
        <w:t xml:space="preserve">extrapolations in the model </w:t>
      </w:r>
      <w:r w:rsidR="008A56F9">
        <w:t>we</w:t>
      </w:r>
      <w:r w:rsidR="00AD0127" w:rsidRPr="00D04A0A">
        <w:t xml:space="preserve">re highly uncertain. </w:t>
      </w:r>
      <w:r w:rsidR="00E06B48" w:rsidRPr="00A272D3">
        <w:rPr>
          <w:iCs/>
        </w:rPr>
        <w:t>The PSCR</w:t>
      </w:r>
      <w:r w:rsidR="002800EE">
        <w:rPr>
          <w:iCs/>
        </w:rPr>
        <w:t xml:space="preserve"> </w:t>
      </w:r>
      <w:r w:rsidR="00E06B48" w:rsidRPr="00A272D3">
        <w:rPr>
          <w:iCs/>
        </w:rPr>
        <w:t xml:space="preserve">stated that the GALE extension study </w:t>
      </w:r>
      <w:r w:rsidR="00797DC3" w:rsidRPr="00A272D3">
        <w:rPr>
          <w:iCs/>
        </w:rPr>
        <w:t>support</w:t>
      </w:r>
      <w:r w:rsidR="00747ABC" w:rsidRPr="00A272D3">
        <w:rPr>
          <w:iCs/>
        </w:rPr>
        <w:t>s that</w:t>
      </w:r>
      <w:r w:rsidR="00797DC3" w:rsidRPr="00A272D3">
        <w:rPr>
          <w:iCs/>
        </w:rPr>
        <w:t xml:space="preserve"> the effectiveness of pegcetacoplan is maintained until at least 4 years (with 5</w:t>
      </w:r>
      <w:r w:rsidR="00397B07">
        <w:rPr>
          <w:iCs/>
        </w:rPr>
        <w:noBreakHyphen/>
      </w:r>
      <w:r w:rsidR="00797DC3" w:rsidRPr="00A272D3">
        <w:rPr>
          <w:iCs/>
        </w:rPr>
        <w:t>year data expected)</w:t>
      </w:r>
      <w:r w:rsidR="00E06B48" w:rsidRPr="00A272D3">
        <w:rPr>
          <w:iCs/>
        </w:rPr>
        <w:t xml:space="preserve">. The ESC agreed with the PSCR that the GALE extension study provided some </w:t>
      </w:r>
      <w:r w:rsidR="003D0A93">
        <w:rPr>
          <w:iCs/>
        </w:rPr>
        <w:t xml:space="preserve">noncomparative </w:t>
      </w:r>
      <w:r w:rsidR="00E06B48" w:rsidRPr="00A272D3">
        <w:rPr>
          <w:iCs/>
        </w:rPr>
        <w:t xml:space="preserve">support for ongoing </w:t>
      </w:r>
      <w:r w:rsidR="4BF08834" w:rsidRPr="61B5D2C3">
        <w:t>effect but</w:t>
      </w:r>
      <w:r w:rsidR="00E06B48" w:rsidRPr="00A272D3">
        <w:rPr>
          <w:iCs/>
        </w:rPr>
        <w:t xml:space="preserve"> </w:t>
      </w:r>
      <w:r w:rsidR="003D0A93">
        <w:rPr>
          <w:iCs/>
        </w:rPr>
        <w:t xml:space="preserve">still </w:t>
      </w:r>
      <w:r w:rsidR="00E06B48" w:rsidRPr="00A272D3">
        <w:rPr>
          <w:iCs/>
        </w:rPr>
        <w:t>considered extrapolation of treatment effect for the dur</w:t>
      </w:r>
      <w:r w:rsidR="00C43C15" w:rsidRPr="00A272D3">
        <w:rPr>
          <w:iCs/>
        </w:rPr>
        <w:t>ation</w:t>
      </w:r>
      <w:r w:rsidR="00E06B48" w:rsidRPr="00A272D3">
        <w:rPr>
          <w:iCs/>
        </w:rPr>
        <w:t xml:space="preserve"> of therapy </w:t>
      </w:r>
      <w:r w:rsidR="003D0A93">
        <w:rPr>
          <w:iCs/>
        </w:rPr>
        <w:t>(</w:t>
      </w:r>
      <w:r w:rsidR="00E06B48" w:rsidRPr="00A272D3">
        <w:rPr>
          <w:iCs/>
        </w:rPr>
        <w:t>up to 20 years</w:t>
      </w:r>
      <w:r w:rsidR="003D0A93">
        <w:rPr>
          <w:iCs/>
        </w:rPr>
        <w:t>)</w:t>
      </w:r>
      <w:r w:rsidR="00E06B48" w:rsidRPr="00A272D3">
        <w:rPr>
          <w:iCs/>
        </w:rPr>
        <w:t xml:space="preserve"> remained highly uncertain.</w:t>
      </w:r>
      <w:r w:rsidR="008A56F9" w:rsidRPr="00A272D3">
        <w:rPr>
          <w:iCs/>
        </w:rPr>
        <w:t xml:space="preserve"> </w:t>
      </w:r>
      <w:r w:rsidR="004D6EDC" w:rsidRPr="00A272D3">
        <w:rPr>
          <w:iCs/>
        </w:rPr>
        <w:t xml:space="preserve">The ESC noted the </w:t>
      </w:r>
      <w:r w:rsidR="00C12793" w:rsidRPr="00A272D3">
        <w:rPr>
          <w:iCs/>
        </w:rPr>
        <w:t>incremental cost</w:t>
      </w:r>
      <w:r w:rsidR="00397B07">
        <w:rPr>
          <w:iCs/>
        </w:rPr>
        <w:noBreakHyphen/>
      </w:r>
      <w:r w:rsidR="00C12793" w:rsidRPr="00A272D3">
        <w:rPr>
          <w:iCs/>
        </w:rPr>
        <w:t xml:space="preserve">effectiveness ratio (ICER) was sensitive to </w:t>
      </w:r>
      <w:r w:rsidR="004D6EDC" w:rsidRPr="00A272D3">
        <w:rPr>
          <w:iCs/>
        </w:rPr>
        <w:t>the time horizon</w:t>
      </w:r>
      <w:r w:rsidR="00C12793" w:rsidRPr="00A272D3">
        <w:rPr>
          <w:iCs/>
        </w:rPr>
        <w:t xml:space="preserve"> (see </w:t>
      </w:r>
      <w:r w:rsidR="00233C1D" w:rsidRPr="00A272D3">
        <w:rPr>
          <w:iCs/>
        </w:rPr>
        <w:fldChar w:fldCharType="begin"/>
      </w:r>
      <w:r w:rsidR="00233C1D" w:rsidRPr="00A272D3">
        <w:rPr>
          <w:iCs/>
        </w:rPr>
        <w:instrText xml:space="preserve"> REF _Ref206438016 \h  \* MERGEFORMAT </w:instrText>
      </w:r>
      <w:r w:rsidR="00233C1D" w:rsidRPr="00A272D3">
        <w:rPr>
          <w:iCs/>
        </w:rPr>
      </w:r>
      <w:r w:rsidR="00233C1D" w:rsidRPr="00A272D3">
        <w:rPr>
          <w:iCs/>
        </w:rPr>
        <w:fldChar w:fldCharType="separate"/>
      </w:r>
      <w:r w:rsidR="00333CFE" w:rsidRPr="00333CFE">
        <w:rPr>
          <w:iCs/>
        </w:rPr>
        <w:t xml:space="preserve">Table </w:t>
      </w:r>
      <w:r w:rsidR="00333CFE" w:rsidRPr="00333CFE">
        <w:rPr>
          <w:iCs/>
          <w:noProof/>
        </w:rPr>
        <w:t>13</w:t>
      </w:r>
      <w:r w:rsidR="00233C1D" w:rsidRPr="00A272D3">
        <w:rPr>
          <w:iCs/>
        </w:rPr>
        <w:fldChar w:fldCharType="end"/>
      </w:r>
      <w:r w:rsidR="00C12793" w:rsidRPr="00A272D3">
        <w:rPr>
          <w:iCs/>
        </w:rPr>
        <w:t>)</w:t>
      </w:r>
      <w:r w:rsidR="004D6EDC" w:rsidRPr="00A272D3">
        <w:rPr>
          <w:iCs/>
        </w:rPr>
        <w:t>.</w:t>
      </w:r>
      <w:bookmarkEnd w:id="69"/>
      <w:r w:rsidR="00F111DE">
        <w:t xml:space="preserve"> </w:t>
      </w:r>
      <w:r w:rsidR="00F111DE" w:rsidRPr="00A272D3">
        <w:rPr>
          <w:iCs/>
        </w:rPr>
        <w:t xml:space="preserve">The </w:t>
      </w:r>
      <w:r w:rsidR="00F111DE" w:rsidRPr="00A272D3">
        <w:rPr>
          <w:iCs/>
        </w:rPr>
        <w:lastRenderedPageBreak/>
        <w:t>ESC also did not consider 20 years a reasonable time horizon in this patient population</w:t>
      </w:r>
      <w:r w:rsidR="00D76DBD" w:rsidRPr="00A272D3">
        <w:rPr>
          <w:iCs/>
        </w:rPr>
        <w:t xml:space="preserve">; </w:t>
      </w:r>
      <w:r w:rsidR="00400DD3" w:rsidRPr="00A272D3">
        <w:rPr>
          <w:iCs/>
        </w:rPr>
        <w:t>the starting age in the model is 72 years</w:t>
      </w:r>
      <w:r w:rsidR="002441F8" w:rsidRPr="00A272D3">
        <w:rPr>
          <w:iCs/>
        </w:rPr>
        <w:t xml:space="preserve"> </w:t>
      </w:r>
      <w:r w:rsidR="0020799C" w:rsidRPr="00A272D3">
        <w:rPr>
          <w:iCs/>
        </w:rPr>
        <w:t>and</w:t>
      </w:r>
      <w:r w:rsidR="003D0A93">
        <w:rPr>
          <w:iCs/>
        </w:rPr>
        <w:t>,</w:t>
      </w:r>
      <w:r w:rsidR="0020799C" w:rsidRPr="00A272D3">
        <w:rPr>
          <w:iCs/>
        </w:rPr>
        <w:t xml:space="preserve"> whilst treatment may slow lesion growth</w:t>
      </w:r>
      <w:r w:rsidR="00667044" w:rsidRPr="00A272D3">
        <w:rPr>
          <w:iCs/>
        </w:rPr>
        <w:t>,</w:t>
      </w:r>
      <w:r w:rsidR="0020799C" w:rsidRPr="00A272D3">
        <w:rPr>
          <w:iCs/>
        </w:rPr>
        <w:t xml:space="preserve"> </w:t>
      </w:r>
      <w:r w:rsidR="00667044" w:rsidRPr="00A272D3">
        <w:rPr>
          <w:iCs/>
        </w:rPr>
        <w:t xml:space="preserve">the </w:t>
      </w:r>
      <w:r w:rsidR="003D0A93">
        <w:rPr>
          <w:iCs/>
        </w:rPr>
        <w:t>disease</w:t>
      </w:r>
      <w:r w:rsidR="003D0A93" w:rsidRPr="00A272D3">
        <w:rPr>
          <w:iCs/>
        </w:rPr>
        <w:t xml:space="preserve"> </w:t>
      </w:r>
      <w:r w:rsidR="00667044" w:rsidRPr="00A272D3">
        <w:rPr>
          <w:iCs/>
        </w:rPr>
        <w:t xml:space="preserve">will continue to </w:t>
      </w:r>
      <w:r w:rsidR="003D0A93">
        <w:rPr>
          <w:iCs/>
        </w:rPr>
        <w:t>progress</w:t>
      </w:r>
      <w:r w:rsidR="00B840A0" w:rsidRPr="00A272D3">
        <w:rPr>
          <w:iCs/>
        </w:rPr>
        <w:t>.</w:t>
      </w:r>
      <w:r w:rsidR="00B90585" w:rsidRPr="00A272D3">
        <w:rPr>
          <w:iCs/>
        </w:rPr>
        <w:t xml:space="preserve"> </w:t>
      </w:r>
    </w:p>
    <w:p w14:paraId="20170129" w14:textId="397E28D1" w:rsidR="000D7BC6" w:rsidRPr="00E20031" w:rsidRDefault="000D7BC6" w:rsidP="000D7BC6">
      <w:pPr>
        <w:pStyle w:val="3-BodyText"/>
      </w:pPr>
      <w:r w:rsidRPr="00E20031">
        <w:t xml:space="preserve">The structure of the economic model relied on the progression of vision loss classified by health states grouped by </w:t>
      </w:r>
      <w:r w:rsidR="00823901" w:rsidRPr="00E20031">
        <w:t>Early Treatment Diabetic Retinopathy Study (</w:t>
      </w:r>
      <w:r w:rsidRPr="00E20031">
        <w:t>ETDRS</w:t>
      </w:r>
      <w:r w:rsidR="00823901" w:rsidRPr="00E20031">
        <w:t>)</w:t>
      </w:r>
      <w:r w:rsidRPr="00E20031">
        <w:t xml:space="preserve"> letters. In the BSC arm, transitions (which were not time dependent) were informed by an analysis of the sham arms of the DERBY and OAKS trials and assumed to continue until the end of the time horizon. </w:t>
      </w:r>
      <w:r w:rsidRPr="00D04A0A">
        <w:t>This was highly uncertain.</w:t>
      </w:r>
      <w:r w:rsidRPr="00A272D3">
        <w:rPr>
          <w:iCs/>
        </w:rPr>
        <w:t xml:space="preserve"> </w:t>
      </w:r>
    </w:p>
    <w:p w14:paraId="074BAD29" w14:textId="7CA6FCC9" w:rsidR="00A50020" w:rsidRPr="00D04A0A" w:rsidRDefault="00A50020" w:rsidP="00A50020">
      <w:pPr>
        <w:pStyle w:val="3-BodyText"/>
      </w:pPr>
      <w:bookmarkStart w:id="70" w:name="_Ref206410067"/>
      <w:r w:rsidRPr="00E20031">
        <w:t xml:space="preserve">The submission assumed </w:t>
      </w:r>
      <w:r w:rsidR="00760F8B" w:rsidRPr="00E20031">
        <w:t>that the central 16 scotomatous points analysis</w:t>
      </w:r>
      <w:r w:rsidR="00D8794F" w:rsidRPr="00E20031">
        <w:t xml:space="preserve"> </w:t>
      </w:r>
      <w:r w:rsidR="00760F8B" w:rsidRPr="00E20031">
        <w:t xml:space="preserve">was a surrogate for </w:t>
      </w:r>
      <w:r w:rsidR="00760F8B" w:rsidRPr="002A5A55">
        <w:t xml:space="preserve">BCVA outcomes and accordingly translated this outcome in terms of BCVA. Notwithstanding the issues already raised </w:t>
      </w:r>
      <w:r w:rsidR="00D7543F" w:rsidRPr="002A5A55">
        <w:t>above regarding the microperimetry analysis (see para</w:t>
      </w:r>
      <w:r w:rsidR="00D8794F" w:rsidRPr="002A5A55">
        <w:t>graph</w:t>
      </w:r>
      <w:r w:rsidR="00D40A35" w:rsidRPr="002A5A55">
        <w:t>s</w:t>
      </w:r>
      <w:r w:rsidR="00D8794F" w:rsidRPr="002A5A55">
        <w:t xml:space="preserve"> </w:t>
      </w:r>
      <w:r w:rsidR="00D8794F" w:rsidRPr="002A5A55">
        <w:fldChar w:fldCharType="begin"/>
      </w:r>
      <w:r w:rsidR="00D8794F" w:rsidRPr="002A5A55">
        <w:instrText xml:space="preserve"> REF _Ref206431442 \n \h </w:instrText>
      </w:r>
      <w:r w:rsidR="00D04A0A" w:rsidRPr="002A5A55">
        <w:instrText xml:space="preserve"> \* MERGEFORMAT </w:instrText>
      </w:r>
      <w:r w:rsidR="00D8794F" w:rsidRPr="002A5A55">
        <w:fldChar w:fldCharType="separate"/>
      </w:r>
      <w:r w:rsidR="00333CFE">
        <w:t>6.22</w:t>
      </w:r>
      <w:r w:rsidR="00D8794F" w:rsidRPr="002A5A55">
        <w:fldChar w:fldCharType="end"/>
      </w:r>
      <w:r w:rsidR="00D8794F" w:rsidRPr="002A5A55">
        <w:t xml:space="preserve"> and </w:t>
      </w:r>
      <w:r w:rsidR="00D8794F" w:rsidRPr="002A5A55">
        <w:fldChar w:fldCharType="begin"/>
      </w:r>
      <w:r w:rsidR="00D8794F" w:rsidRPr="002A5A55">
        <w:instrText xml:space="preserve"> REF _Ref206431462 \n \h </w:instrText>
      </w:r>
      <w:r w:rsidR="00D04A0A" w:rsidRPr="002A5A55">
        <w:instrText xml:space="preserve"> \* MERGEFORMAT </w:instrText>
      </w:r>
      <w:r w:rsidR="00D8794F" w:rsidRPr="002A5A55">
        <w:fldChar w:fldCharType="separate"/>
      </w:r>
      <w:r w:rsidR="00333CFE">
        <w:t>6.23</w:t>
      </w:r>
      <w:r w:rsidR="00D8794F" w:rsidRPr="002A5A55">
        <w:fldChar w:fldCharType="end"/>
      </w:r>
      <w:r w:rsidR="00D7543F" w:rsidRPr="002A5A55">
        <w:t>), additional c</w:t>
      </w:r>
      <w:r w:rsidR="00760F8B" w:rsidRPr="002A5A55">
        <w:t xml:space="preserve">oncerns associated with the quantification of the </w:t>
      </w:r>
      <w:r w:rsidR="55F1263F" w:rsidRPr="002A5A55">
        <w:t>surrogate functional</w:t>
      </w:r>
      <w:r w:rsidR="00760F8B" w:rsidRPr="002A5A55">
        <w:t xml:space="preserve"> outcome</w:t>
      </w:r>
      <w:r w:rsidR="00760F8B" w:rsidRPr="00D04A0A">
        <w:t xml:space="preserve"> relationship and the estimated treatment effect include:</w:t>
      </w:r>
      <w:bookmarkEnd w:id="70"/>
    </w:p>
    <w:p w14:paraId="4075D6BF" w14:textId="1D27B954" w:rsidR="00D7543F" w:rsidRPr="00D04A0A" w:rsidRDefault="00D7543F" w:rsidP="00BC758F">
      <w:pPr>
        <w:pStyle w:val="ListParagraph"/>
        <w:numPr>
          <w:ilvl w:val="1"/>
          <w:numId w:val="11"/>
        </w:numPr>
        <w:jc w:val="both"/>
      </w:pPr>
      <w:r w:rsidRPr="00D04A0A">
        <w:t>Change in ETDRS letters was measured in the trial, and the submission does not adequately justify why observed BCVA data were not used directly</w:t>
      </w:r>
      <w:r w:rsidR="00DF5513">
        <w:t xml:space="preserve">. </w:t>
      </w:r>
      <w:r w:rsidR="00E7757E" w:rsidRPr="00A272D3">
        <w:rPr>
          <w:iCs/>
        </w:rPr>
        <w:t>The ESC noted the</w:t>
      </w:r>
      <w:r w:rsidRPr="00D04A0A">
        <w:t xml:space="preserve"> modelled treatment effect in terms of ETDRS letters is considerably greater than the observed effect.</w:t>
      </w:r>
      <w:r w:rsidR="000B151C">
        <w:t xml:space="preserve"> </w:t>
      </w:r>
      <w:r w:rsidR="00C0742C">
        <w:t>The pre</w:t>
      </w:r>
      <w:r w:rsidR="00397B07">
        <w:noBreakHyphen/>
      </w:r>
      <w:r w:rsidR="00C0742C">
        <w:t>PBAC response</w:t>
      </w:r>
      <w:r w:rsidR="002800EE">
        <w:t xml:space="preserve"> </w:t>
      </w:r>
      <w:r w:rsidR="008F4697">
        <w:t xml:space="preserve">acknowledged that </w:t>
      </w:r>
      <w:r w:rsidR="00665145">
        <w:t xml:space="preserve">there was no significant </w:t>
      </w:r>
      <w:r w:rsidR="00A27F3A">
        <w:t>difference in BCVA between treatment arms in the trials</w:t>
      </w:r>
      <w:r w:rsidR="00DC3BEB">
        <w:t>. However, the pre</w:t>
      </w:r>
      <w:r w:rsidR="00397B07">
        <w:noBreakHyphen/>
      </w:r>
      <w:r w:rsidR="00DC3BEB">
        <w:t>PBAC response</w:t>
      </w:r>
      <w:r w:rsidR="002800EE">
        <w:t xml:space="preserve"> </w:t>
      </w:r>
      <w:r w:rsidR="00DC3BEB">
        <w:t xml:space="preserve">continued to argue that </w:t>
      </w:r>
      <w:r w:rsidR="003B41B1">
        <w:t>functional outcome measures such as BCVA have limited validity in comprehensively assessing treatment impacts in GA</w:t>
      </w:r>
      <w:r w:rsidR="00DC4E45">
        <w:t>. In addition, the pre</w:t>
      </w:r>
      <w:r w:rsidR="00397B07">
        <w:noBreakHyphen/>
      </w:r>
      <w:r w:rsidR="00DC4E45">
        <w:t xml:space="preserve">PBAC response </w:t>
      </w:r>
      <w:r w:rsidR="00C02FD5">
        <w:t>noted that the clinical trials included a mixed population of patients with non</w:t>
      </w:r>
      <w:r w:rsidR="00397B07">
        <w:noBreakHyphen/>
      </w:r>
      <w:r w:rsidR="00C02FD5">
        <w:t>subfoveal (35%) and subfoveal (</w:t>
      </w:r>
      <w:r w:rsidR="007067FE">
        <w:t xml:space="preserve">65%) GA and argued that the treatment effect is </w:t>
      </w:r>
      <w:r w:rsidR="007D09EB">
        <w:t xml:space="preserve">expected to be greater in the proposed PBS population where the fovea remains intact. </w:t>
      </w:r>
    </w:p>
    <w:p w14:paraId="64E149FA" w14:textId="2B21022F" w:rsidR="00D7543F" w:rsidRPr="00D04A0A" w:rsidRDefault="00D7543F" w:rsidP="00BC758F">
      <w:pPr>
        <w:pStyle w:val="ListParagraph"/>
        <w:numPr>
          <w:ilvl w:val="1"/>
          <w:numId w:val="11"/>
        </w:numPr>
        <w:jc w:val="both"/>
      </w:pPr>
      <w:r w:rsidRPr="00D04A0A">
        <w:t xml:space="preserve">The outcome measure of time to ‘central 16 scotomatous points’ is not applicable for the proposed PBS listing, since patients will often experience subfoveal lesions before </w:t>
      </w:r>
      <w:r w:rsidR="00321208" w:rsidRPr="00D04A0A">
        <w:t>experiencing</w:t>
      </w:r>
      <w:r w:rsidRPr="00D04A0A">
        <w:t xml:space="preserve"> central 16 scotomatous points; and have to stop treatment (whereas in the trial treatment is continued). Therefore, the treatment effect in the trial is unlikely to be realised for many patients in the proposed PBS population.</w:t>
      </w:r>
      <w:r w:rsidR="00321208" w:rsidRPr="00D04A0A">
        <w:t xml:space="preserve"> </w:t>
      </w:r>
      <w:r w:rsidR="00204FCA" w:rsidRPr="00A272D3">
        <w:rPr>
          <w:iCs/>
        </w:rPr>
        <w:t xml:space="preserve">The evaluation considered the </w:t>
      </w:r>
      <w:r w:rsidR="000F5378" w:rsidRPr="00A272D3">
        <w:rPr>
          <w:iCs/>
        </w:rPr>
        <w:t xml:space="preserve">treatment effect and cost of pegcetacoplan are therefore overestimated for the proposed listing. </w:t>
      </w:r>
      <w:r w:rsidR="00321208" w:rsidRPr="00D04A0A">
        <w:t xml:space="preserve">The </w:t>
      </w:r>
      <w:r w:rsidR="00265284" w:rsidRPr="00A272D3">
        <w:rPr>
          <w:iCs/>
        </w:rPr>
        <w:t>evaluation considered the</w:t>
      </w:r>
      <w:r w:rsidR="00265284">
        <w:t xml:space="preserve"> </w:t>
      </w:r>
      <w:r w:rsidR="00321208" w:rsidRPr="00D04A0A">
        <w:t xml:space="preserve">time to experiencing central 4 </w:t>
      </w:r>
      <w:r w:rsidR="00624525" w:rsidRPr="00D04A0A">
        <w:t>scotomatous</w:t>
      </w:r>
      <w:r w:rsidR="00321208" w:rsidRPr="00D04A0A">
        <w:t xml:space="preserve"> points</w:t>
      </w:r>
      <w:r w:rsidR="00B43897">
        <w:t>,</w:t>
      </w:r>
      <w:r w:rsidR="00321208" w:rsidRPr="00D04A0A">
        <w:t xml:space="preserve"> which was also presented in the analysis</w:t>
      </w:r>
      <w:r w:rsidR="00B43897">
        <w:t>,</w:t>
      </w:r>
      <w:r w:rsidR="00321208" w:rsidRPr="00D04A0A">
        <w:t xml:space="preserve"> would be a better estimate of the pegcetacoplan treatment in the proposed PBS population as the fovea centre is most closely approximated by the central four points. </w:t>
      </w:r>
      <w:r w:rsidR="00B43897">
        <w:t>However</w:t>
      </w:r>
      <w:r w:rsidR="00321208" w:rsidRPr="00D04A0A">
        <w:t xml:space="preserve">, </w:t>
      </w:r>
      <w:r w:rsidR="00265284" w:rsidRPr="00A272D3">
        <w:rPr>
          <w:iCs/>
        </w:rPr>
        <w:t xml:space="preserve">the evaluation considered </w:t>
      </w:r>
      <w:r w:rsidR="00321208" w:rsidRPr="00D04A0A">
        <w:t xml:space="preserve">this measure may still overestimate the treatment effect as patients may still experience subfoveal lesions before experiencing central 4 </w:t>
      </w:r>
      <w:r w:rsidR="00624525" w:rsidRPr="00D04A0A">
        <w:t>scotomatous</w:t>
      </w:r>
      <w:r w:rsidR="00321208" w:rsidRPr="00D04A0A">
        <w:t xml:space="preserve"> points.</w:t>
      </w:r>
      <w:r w:rsidR="00CA7399">
        <w:t xml:space="preserve"> </w:t>
      </w:r>
      <w:r w:rsidR="00D035E0" w:rsidRPr="00A272D3">
        <w:rPr>
          <w:iCs/>
        </w:rPr>
        <w:t xml:space="preserve">The PSCR </w:t>
      </w:r>
      <w:r w:rsidR="00A00A3C" w:rsidRPr="00A272D3">
        <w:rPr>
          <w:iCs/>
        </w:rPr>
        <w:t xml:space="preserve">acknowledged that the </w:t>
      </w:r>
      <w:r w:rsidR="00832433" w:rsidRPr="00A272D3">
        <w:rPr>
          <w:iCs/>
        </w:rPr>
        <w:t xml:space="preserve">time to central 4 </w:t>
      </w:r>
      <w:r w:rsidR="00C951A4" w:rsidRPr="00A272D3">
        <w:rPr>
          <w:iCs/>
        </w:rPr>
        <w:t>scotomatous</w:t>
      </w:r>
      <w:r w:rsidR="00832433" w:rsidRPr="00A272D3">
        <w:rPr>
          <w:iCs/>
        </w:rPr>
        <w:t xml:space="preserve"> points may provide an approximation </w:t>
      </w:r>
      <w:r w:rsidR="00DA79A1" w:rsidRPr="00A272D3">
        <w:rPr>
          <w:iCs/>
        </w:rPr>
        <w:t xml:space="preserve">of foveal involvement, as these points lie immediately adjacent to the fovea centre. </w:t>
      </w:r>
      <w:r w:rsidR="00BD2DB6" w:rsidRPr="00A272D3">
        <w:rPr>
          <w:iCs/>
        </w:rPr>
        <w:t>T</w:t>
      </w:r>
      <w:r w:rsidR="0034556A" w:rsidRPr="00A272D3">
        <w:rPr>
          <w:iCs/>
        </w:rPr>
        <w:t xml:space="preserve">he </w:t>
      </w:r>
      <w:r w:rsidR="00961533" w:rsidRPr="00A272D3">
        <w:rPr>
          <w:iCs/>
        </w:rPr>
        <w:t xml:space="preserve">PSCR </w:t>
      </w:r>
      <w:r w:rsidR="00A02B20" w:rsidRPr="00A272D3">
        <w:rPr>
          <w:iCs/>
        </w:rPr>
        <w:t xml:space="preserve">noted that </w:t>
      </w:r>
      <w:r w:rsidR="00A02B20" w:rsidRPr="00A272D3">
        <w:rPr>
          <w:iCs/>
        </w:rPr>
        <w:lastRenderedPageBreak/>
        <w:t xml:space="preserve">the </w:t>
      </w:r>
      <w:r w:rsidR="00C632D2" w:rsidRPr="00A272D3">
        <w:rPr>
          <w:iCs/>
        </w:rPr>
        <w:t>central 16 points includes both the central 4 and the surrounding 12 points</w:t>
      </w:r>
      <w:r w:rsidR="00BD2DB6" w:rsidRPr="00A272D3">
        <w:rPr>
          <w:iCs/>
        </w:rPr>
        <w:t xml:space="preserve"> and argued that the use of the central 16 points </w:t>
      </w:r>
      <w:r w:rsidR="00DC455E" w:rsidRPr="00A272D3">
        <w:rPr>
          <w:iCs/>
        </w:rPr>
        <w:t xml:space="preserve">outcome better captured </w:t>
      </w:r>
      <w:r w:rsidR="002115DE" w:rsidRPr="00A272D3">
        <w:rPr>
          <w:iCs/>
        </w:rPr>
        <w:t xml:space="preserve">the preventive effects of pegcetacoplan on central vision loss. </w:t>
      </w:r>
      <w:r w:rsidR="00BF3F27" w:rsidRPr="00A272D3">
        <w:rPr>
          <w:iCs/>
        </w:rPr>
        <w:t>The ESC considered th</w:t>
      </w:r>
      <w:r w:rsidR="00785085" w:rsidRPr="00A272D3">
        <w:rPr>
          <w:iCs/>
        </w:rPr>
        <w:t xml:space="preserve">at it was unclear what </w:t>
      </w:r>
      <w:r w:rsidR="007C2EB3" w:rsidRPr="00A272D3">
        <w:rPr>
          <w:iCs/>
        </w:rPr>
        <w:t>the direction of bias in the ICER would be</w:t>
      </w:r>
      <w:r w:rsidR="006D4D8D" w:rsidRPr="00A272D3">
        <w:rPr>
          <w:iCs/>
        </w:rPr>
        <w:t xml:space="preserve"> with the use of </w:t>
      </w:r>
      <w:r w:rsidR="00266159" w:rsidRPr="00A272D3">
        <w:rPr>
          <w:iCs/>
        </w:rPr>
        <w:t>the central 4 scotomatous points</w:t>
      </w:r>
      <w:r w:rsidR="00F32CF9" w:rsidRPr="00A272D3">
        <w:rPr>
          <w:iCs/>
        </w:rPr>
        <w:t xml:space="preserve"> </w:t>
      </w:r>
      <w:r w:rsidR="00FD688C" w:rsidRPr="00A272D3">
        <w:rPr>
          <w:iCs/>
        </w:rPr>
        <w:t xml:space="preserve">and advised that </w:t>
      </w:r>
      <w:r w:rsidR="00243A60" w:rsidRPr="00A272D3">
        <w:rPr>
          <w:iCs/>
        </w:rPr>
        <w:t xml:space="preserve">use of either </w:t>
      </w:r>
      <w:r w:rsidR="00F32CF9" w:rsidRPr="00A272D3">
        <w:rPr>
          <w:iCs/>
        </w:rPr>
        <w:t>of these endpoints</w:t>
      </w:r>
      <w:r w:rsidR="00C951A4" w:rsidRPr="00A272D3">
        <w:rPr>
          <w:iCs/>
        </w:rPr>
        <w:t xml:space="preserve"> would not</w:t>
      </w:r>
      <w:r w:rsidR="006B30E0" w:rsidRPr="00A272D3">
        <w:rPr>
          <w:iCs/>
        </w:rPr>
        <w:t xml:space="preserve"> resolve underlying concerns regarding the surrogate outcome measure</w:t>
      </w:r>
      <w:r w:rsidR="00C951A4" w:rsidRPr="00A272D3">
        <w:rPr>
          <w:iCs/>
        </w:rPr>
        <w:t xml:space="preserve">. </w:t>
      </w:r>
    </w:p>
    <w:p w14:paraId="27671ACD" w14:textId="73A7252A" w:rsidR="00D7543F" w:rsidRPr="00A272D3" w:rsidRDefault="00D7543F" w:rsidP="00BC758F">
      <w:pPr>
        <w:pStyle w:val="ListParagraph"/>
        <w:numPr>
          <w:ilvl w:val="1"/>
          <w:numId w:val="11"/>
        </w:numPr>
        <w:jc w:val="both"/>
        <w:rPr>
          <w:iCs/>
        </w:rPr>
      </w:pPr>
      <w:r w:rsidRPr="00D04A0A">
        <w:t>Similarly, the submission assumes that PBS subsidised pegcetacoplan</w:t>
      </w:r>
      <w:r w:rsidR="00823901" w:rsidRPr="00D04A0A">
        <w:t xml:space="preserve"> treatment</w:t>
      </w:r>
      <w:r w:rsidRPr="00D04A0A">
        <w:t xml:space="preserve"> is ongoing until patients enter the ≤ 35 letters health state or die. This also implicitly assumes that patients will not develop subfoveal lesions before such time, which is inconsistent with the natural disease course. The structural design of the model did not allow rectification of this issue during the evaluation. </w:t>
      </w:r>
      <w:r w:rsidR="00065A7C" w:rsidRPr="00A272D3">
        <w:rPr>
          <w:iCs/>
        </w:rPr>
        <w:t xml:space="preserve">The PSCR </w:t>
      </w:r>
      <w:r w:rsidR="007139C5" w:rsidRPr="00A272D3">
        <w:rPr>
          <w:iCs/>
        </w:rPr>
        <w:t>argued that as subfoveal lesions are strongly correlated with poorer visual acuity on the BCVA scale, the model accounted for treatment d</w:t>
      </w:r>
      <w:r w:rsidR="00D2517B" w:rsidRPr="00A272D3">
        <w:rPr>
          <w:iCs/>
        </w:rPr>
        <w:t xml:space="preserve">iscontinuation using </w:t>
      </w:r>
      <w:r w:rsidR="00D2517B" w:rsidRPr="00A272D3">
        <w:rPr>
          <w:rFonts w:cstheme="minorHAnsi"/>
          <w:iCs/>
        </w:rPr>
        <w:t>≤</w:t>
      </w:r>
      <w:r w:rsidR="00D2517B" w:rsidRPr="00A272D3">
        <w:rPr>
          <w:iCs/>
        </w:rPr>
        <w:t xml:space="preserve"> 35 letters as a proxy for subfoveal </w:t>
      </w:r>
      <w:r w:rsidR="000659E7" w:rsidRPr="00A272D3">
        <w:rPr>
          <w:iCs/>
        </w:rPr>
        <w:t>GA progression</w:t>
      </w:r>
      <w:r w:rsidR="003537AB" w:rsidRPr="00A272D3">
        <w:rPr>
          <w:iCs/>
        </w:rPr>
        <w:t xml:space="preserve">. The PSCR </w:t>
      </w:r>
      <w:r w:rsidR="007243AC" w:rsidRPr="00A272D3">
        <w:rPr>
          <w:iCs/>
        </w:rPr>
        <w:t xml:space="preserve">stated that as </w:t>
      </w:r>
      <w:r w:rsidR="007243AC" w:rsidRPr="00A272D3">
        <w:rPr>
          <w:rFonts w:cstheme="minorHAnsi"/>
          <w:iCs/>
        </w:rPr>
        <w:t>≤</w:t>
      </w:r>
      <w:r w:rsidR="007243AC" w:rsidRPr="00A272D3">
        <w:rPr>
          <w:iCs/>
        </w:rPr>
        <w:t xml:space="preserve"> 35 letters equates to legal blindness </w:t>
      </w:r>
      <w:r w:rsidR="00A421ED" w:rsidRPr="00A272D3">
        <w:rPr>
          <w:iCs/>
        </w:rPr>
        <w:t xml:space="preserve">patients have no further vision to preserve and are not expected to derive further treatment benefit. </w:t>
      </w:r>
    </w:p>
    <w:p w14:paraId="60745FA5" w14:textId="378E3185" w:rsidR="00D7543F" w:rsidRPr="00D04A0A" w:rsidRDefault="00D7543F" w:rsidP="61B5D2C3">
      <w:pPr>
        <w:pStyle w:val="ListParagraph"/>
        <w:jc w:val="both"/>
      </w:pPr>
      <w:r w:rsidRPr="00E20031">
        <w:t xml:space="preserve">The model assumes the full treatment effect is ongoing for the duration of therapy </w:t>
      </w:r>
      <w:r w:rsidRPr="009B1277">
        <w:t>(up to 20 years</w:t>
      </w:r>
      <w:r w:rsidRPr="00D04A0A">
        <w:t xml:space="preserve">). No </w:t>
      </w:r>
      <w:r w:rsidR="6E7AF544" w:rsidRPr="00D04A0A">
        <w:t>long-term</w:t>
      </w:r>
      <w:r w:rsidRPr="00D04A0A">
        <w:t xml:space="preserve"> evidence is provided to support this claim (e.g. </w:t>
      </w:r>
      <w:r w:rsidR="71BF2F53" w:rsidRPr="00D04A0A">
        <w:t>long-term</w:t>
      </w:r>
      <w:r w:rsidRPr="00D04A0A">
        <w:t xml:space="preserve"> data with ongoing reduction in scotomatous points, </w:t>
      </w:r>
      <w:r w:rsidR="6A63BC66" w:rsidRPr="00D04A0A">
        <w:t>long-term</w:t>
      </w:r>
      <w:r w:rsidRPr="00D04A0A">
        <w:t xml:space="preserve"> data on BCVA improvement, nor evidence the suggested surrogate</w:t>
      </w:r>
      <w:r w:rsidR="00397B07">
        <w:noBreakHyphen/>
      </w:r>
      <w:r w:rsidRPr="00D04A0A">
        <w:t>outcome relationship can be extrapolated)</w:t>
      </w:r>
      <w:r w:rsidR="00DE0606" w:rsidRPr="00D04A0A">
        <w:t>.</w:t>
      </w:r>
      <w:r w:rsidRPr="00D04A0A">
        <w:t xml:space="preserve"> </w:t>
      </w:r>
      <w:r w:rsidR="00D65922" w:rsidRPr="00A272D3">
        <w:rPr>
          <w:iCs/>
        </w:rPr>
        <w:t xml:space="preserve">As outlined in paragraph </w:t>
      </w:r>
      <w:r w:rsidR="00D65922" w:rsidRPr="00A272D3">
        <w:rPr>
          <w:iCs/>
        </w:rPr>
        <w:fldChar w:fldCharType="begin"/>
      </w:r>
      <w:r w:rsidR="00D65922" w:rsidRPr="00A272D3">
        <w:rPr>
          <w:iCs/>
        </w:rPr>
        <w:instrText xml:space="preserve"> REF _Ref211432345 \r \h </w:instrText>
      </w:r>
      <w:r w:rsidR="00D65922" w:rsidRPr="00A272D3">
        <w:rPr>
          <w:iCs/>
        </w:rPr>
      </w:r>
      <w:r w:rsidR="00D65922" w:rsidRPr="00A272D3">
        <w:rPr>
          <w:iCs/>
        </w:rPr>
        <w:fldChar w:fldCharType="separate"/>
      </w:r>
      <w:r w:rsidR="00333CFE">
        <w:rPr>
          <w:iCs/>
        </w:rPr>
        <w:t>6.44</w:t>
      </w:r>
      <w:r w:rsidR="00D65922" w:rsidRPr="00A272D3">
        <w:rPr>
          <w:iCs/>
        </w:rPr>
        <w:fldChar w:fldCharType="end"/>
      </w:r>
      <w:r w:rsidR="00D65922" w:rsidRPr="00A272D3">
        <w:rPr>
          <w:iCs/>
        </w:rPr>
        <w:t xml:space="preserve">, the </w:t>
      </w:r>
      <w:r w:rsidR="001C770E" w:rsidRPr="00A272D3">
        <w:rPr>
          <w:iCs/>
        </w:rPr>
        <w:t xml:space="preserve">ESC agreed with the </w:t>
      </w:r>
      <w:r w:rsidR="00D65922" w:rsidRPr="00A272D3">
        <w:rPr>
          <w:iCs/>
        </w:rPr>
        <w:t xml:space="preserve">PSCR </w:t>
      </w:r>
      <w:r w:rsidR="00AA3067" w:rsidRPr="00A272D3">
        <w:rPr>
          <w:iCs/>
        </w:rPr>
        <w:t>that the GALE extension study support</w:t>
      </w:r>
      <w:r w:rsidR="00304FDC" w:rsidRPr="00A272D3">
        <w:rPr>
          <w:iCs/>
        </w:rPr>
        <w:t>ed the effectiveness of pegcetacoplan being maintained out to 4 years</w:t>
      </w:r>
      <w:r w:rsidR="001C770E" w:rsidRPr="00A272D3">
        <w:rPr>
          <w:iCs/>
        </w:rPr>
        <w:t xml:space="preserve"> for </w:t>
      </w:r>
      <w:r w:rsidR="00890577" w:rsidRPr="00A272D3">
        <w:rPr>
          <w:iCs/>
        </w:rPr>
        <w:t>GA lesion growth</w:t>
      </w:r>
      <w:r w:rsidR="00A34E38" w:rsidRPr="00A272D3">
        <w:rPr>
          <w:iCs/>
        </w:rPr>
        <w:t xml:space="preserve"> (</w:t>
      </w:r>
      <w:r w:rsidR="0050339E" w:rsidRPr="00A272D3">
        <w:rPr>
          <w:iCs/>
        </w:rPr>
        <w:t xml:space="preserve">see paragraph </w:t>
      </w:r>
      <w:r w:rsidR="00A34E38" w:rsidRPr="00A272D3">
        <w:rPr>
          <w:iCs/>
        </w:rPr>
        <w:fldChar w:fldCharType="begin"/>
      </w:r>
      <w:r w:rsidR="00A34E38" w:rsidRPr="00A272D3">
        <w:rPr>
          <w:iCs/>
        </w:rPr>
        <w:instrText xml:space="preserve"> REF _Ref211432952 \r \h </w:instrText>
      </w:r>
      <w:r w:rsidR="00A34E38" w:rsidRPr="00A272D3">
        <w:rPr>
          <w:iCs/>
        </w:rPr>
      </w:r>
      <w:r w:rsidR="00A34E38" w:rsidRPr="00A272D3">
        <w:rPr>
          <w:iCs/>
        </w:rPr>
        <w:fldChar w:fldCharType="separate"/>
      </w:r>
      <w:r w:rsidR="00333CFE">
        <w:rPr>
          <w:iCs/>
        </w:rPr>
        <w:t>6.16</w:t>
      </w:r>
      <w:r w:rsidR="00A34E38" w:rsidRPr="00A272D3">
        <w:rPr>
          <w:iCs/>
        </w:rPr>
        <w:fldChar w:fldCharType="end"/>
      </w:r>
      <w:r w:rsidR="00A34E38" w:rsidRPr="00A272D3">
        <w:rPr>
          <w:iCs/>
        </w:rPr>
        <w:t>)</w:t>
      </w:r>
      <w:r w:rsidR="00304FDC" w:rsidRPr="00A272D3">
        <w:rPr>
          <w:iCs/>
        </w:rPr>
        <w:t xml:space="preserve">. </w:t>
      </w:r>
      <w:r w:rsidR="00890577" w:rsidRPr="00A272D3">
        <w:rPr>
          <w:iCs/>
        </w:rPr>
        <w:t>However, the ESC</w:t>
      </w:r>
      <w:r w:rsidR="00D65922" w:rsidRPr="00A272D3">
        <w:rPr>
          <w:iCs/>
        </w:rPr>
        <w:t xml:space="preserve"> considered extrapolation of treatment effect for the dur</w:t>
      </w:r>
      <w:r w:rsidR="00A34E38" w:rsidRPr="00A272D3">
        <w:rPr>
          <w:iCs/>
        </w:rPr>
        <w:t>ation</w:t>
      </w:r>
      <w:r w:rsidR="00D65922" w:rsidRPr="00A272D3">
        <w:rPr>
          <w:iCs/>
        </w:rPr>
        <w:t xml:space="preserve"> of therapy which is up to 20 years remained highly uncertain.</w:t>
      </w:r>
      <w:r w:rsidR="002A15B1">
        <w:rPr>
          <w:iCs/>
        </w:rPr>
        <w:t xml:space="preserve"> </w:t>
      </w:r>
    </w:p>
    <w:p w14:paraId="0C6B3A1B" w14:textId="4BD3D666" w:rsidR="00D7543F" w:rsidRPr="00D04A0A" w:rsidRDefault="00D7543F" w:rsidP="00BC758F">
      <w:pPr>
        <w:pStyle w:val="ListParagraph"/>
        <w:numPr>
          <w:ilvl w:val="1"/>
          <w:numId w:val="11"/>
        </w:numPr>
        <w:jc w:val="both"/>
      </w:pPr>
      <w:r w:rsidRPr="00D04A0A">
        <w:t xml:space="preserve">There is no evidence to suggest an ongoing treatment effect after patients experience 16 or 4 absolute scotomatous points. If the link between a loss of all 16 or 4 absolute scotomatous points and a loss of 12 – 13 ETDRS letters (approximately one health state) is accepted, once a patient loses all 16 or 4 central points, it would inform </w:t>
      </w:r>
      <w:r w:rsidRPr="00BF0E32">
        <w:t>one</w:t>
      </w:r>
      <w:r w:rsidRPr="00D04A0A">
        <w:t xml:space="preserve"> transition. After this, patients should cease treatment and return back to BSC transition probabilities as there they are no longer eligible for pegcetacoplan and there is no evidence for an ongoing treatment effect beyond treatment cessation. </w:t>
      </w:r>
      <w:r w:rsidR="00B672E7" w:rsidRPr="00A272D3">
        <w:rPr>
          <w:iCs/>
        </w:rPr>
        <w:t>The ESC noted that a publication from the OAKS trial</w:t>
      </w:r>
      <w:r w:rsidRPr="00D04A0A">
        <w:t>, Chakravarthy et al</w:t>
      </w:r>
      <w:r w:rsidR="00CE3F01" w:rsidRPr="00D04A0A">
        <w:t>.</w:t>
      </w:r>
      <w:r w:rsidRPr="00D04A0A">
        <w:t xml:space="preserve"> (2025)</w:t>
      </w:r>
      <w:r w:rsidR="00CE3F01" w:rsidRPr="00D04A0A">
        <w:t>,</w:t>
      </w:r>
      <w:r w:rsidRPr="00D04A0A">
        <w:t xml:space="preserve"> report</w:t>
      </w:r>
      <w:r w:rsidR="00C65FB3">
        <w:t>ed</w:t>
      </w:r>
      <w:r w:rsidRPr="00D04A0A">
        <w:t xml:space="preserve"> only a small difference in the ETDRS letters loss between losing the central 16 versus 4 scotomatous points (</w:t>
      </w:r>
      <w:r w:rsidR="00397B07">
        <w:noBreakHyphen/>
      </w:r>
      <w:r w:rsidRPr="00D04A0A">
        <w:t xml:space="preserve">12.7 and </w:t>
      </w:r>
      <w:r w:rsidR="00397B07">
        <w:noBreakHyphen/>
      </w:r>
      <w:r w:rsidRPr="00D04A0A">
        <w:t xml:space="preserve">11.7 letters, respectively). </w:t>
      </w:r>
      <w:r w:rsidRPr="00A272D3">
        <w:rPr>
          <w:iCs/>
        </w:rPr>
        <w:t>T</w:t>
      </w:r>
      <w:r w:rsidR="008C081D" w:rsidRPr="00A272D3">
        <w:rPr>
          <w:iCs/>
        </w:rPr>
        <w:t xml:space="preserve">he ESC agreed with </w:t>
      </w:r>
      <w:r w:rsidR="008C081D" w:rsidRPr="00A272D3">
        <w:rPr>
          <w:iCs/>
        </w:rPr>
        <w:lastRenderedPageBreak/>
        <w:t>the evaluation that t</w:t>
      </w:r>
      <w:r w:rsidRPr="00A272D3">
        <w:rPr>
          <w:iCs/>
        </w:rPr>
        <w:t>his</w:t>
      </w:r>
      <w:r w:rsidRPr="00D04A0A">
        <w:t xml:space="preserve"> implies that once patients experience central 4 scotomatous points, there is minimal ongoing change in BCVA.</w:t>
      </w:r>
      <w:r w:rsidRPr="00D04A0A">
        <w:rPr>
          <w:rStyle w:val="FootnoteReference"/>
        </w:rPr>
        <w:footnoteReference w:id="8"/>
      </w:r>
    </w:p>
    <w:bookmarkEnd w:id="68"/>
    <w:p w14:paraId="4C536E06" w14:textId="6ABD5ED8" w:rsidR="00F0164F" w:rsidRPr="00D04A0A" w:rsidRDefault="00F0164F" w:rsidP="00F0164F">
      <w:pPr>
        <w:pStyle w:val="3-BodyText"/>
      </w:pPr>
      <w:r w:rsidRPr="00E20031">
        <w:t xml:space="preserve">The utility values applied in the economic model differed by health state but were not treatment specific. No </w:t>
      </w:r>
      <w:r w:rsidR="17A806D8" w:rsidRPr="00E20031">
        <w:t xml:space="preserve">quality </w:t>
      </w:r>
      <w:r w:rsidR="00823901" w:rsidRPr="00E20031">
        <w:t>adjusted life year (</w:t>
      </w:r>
      <w:r w:rsidRPr="00E20031">
        <w:t>QALY</w:t>
      </w:r>
      <w:r w:rsidR="00823901" w:rsidRPr="00E20031">
        <w:t>)</w:t>
      </w:r>
      <w:r w:rsidRPr="00E20031">
        <w:t xml:space="preserve"> decrements were applied for pegcetacoplan intravitreal injections or AEs. </w:t>
      </w:r>
      <w:r w:rsidRPr="00A272D3">
        <w:rPr>
          <w:iCs/>
        </w:rPr>
        <w:t>Th</w:t>
      </w:r>
      <w:r w:rsidR="00CD5685" w:rsidRPr="00A272D3">
        <w:rPr>
          <w:iCs/>
        </w:rPr>
        <w:t>e ESC considered that th</w:t>
      </w:r>
      <w:r w:rsidRPr="00A272D3">
        <w:rPr>
          <w:iCs/>
        </w:rPr>
        <w:t>is</w:t>
      </w:r>
      <w:r w:rsidRPr="00D04A0A">
        <w:t xml:space="preserve"> was not justified and not likely to be reasonable given the adverse events associated with pegcetacoplan over BSC. </w:t>
      </w:r>
      <w:r w:rsidR="00823901" w:rsidRPr="00D04A0A">
        <w:t xml:space="preserve">The ICER was sensitive to differences in utilities across the two arms </w:t>
      </w:r>
      <w:r w:rsidR="00823901" w:rsidRPr="00F23F68">
        <w:t>(see</w:t>
      </w:r>
      <w:r w:rsidR="004C5F7F">
        <w:t xml:space="preserve"> </w:t>
      </w:r>
      <w:r w:rsidR="004C5F7F">
        <w:fldChar w:fldCharType="begin"/>
      </w:r>
      <w:r w:rsidR="004C5F7F">
        <w:instrText xml:space="preserve"> REF _Ref206438016 \h </w:instrText>
      </w:r>
      <w:r w:rsidR="004C5F7F">
        <w:fldChar w:fldCharType="separate"/>
      </w:r>
      <w:r w:rsidR="00333CFE">
        <w:t xml:space="preserve">Table </w:t>
      </w:r>
      <w:r w:rsidR="00333CFE">
        <w:rPr>
          <w:noProof/>
        </w:rPr>
        <w:t>13</w:t>
      </w:r>
      <w:r w:rsidR="004C5F7F">
        <w:fldChar w:fldCharType="end"/>
      </w:r>
      <w:r w:rsidR="004C5F7F">
        <w:t>)</w:t>
      </w:r>
      <w:r w:rsidR="00823901" w:rsidRPr="00D04A0A">
        <w:t>.</w:t>
      </w:r>
      <w:r w:rsidR="00393B65">
        <w:t xml:space="preserve"> </w:t>
      </w:r>
    </w:p>
    <w:p w14:paraId="675AD826" w14:textId="493F803B" w:rsidR="00F0164F" w:rsidRPr="00D04A0A" w:rsidRDefault="00B653C5" w:rsidP="00F0164F">
      <w:pPr>
        <w:pStyle w:val="3-BodyText"/>
      </w:pPr>
      <w:r w:rsidRPr="00D04A0A">
        <w:t>Health state utility values were based off an external time</w:t>
      </w:r>
      <w:r w:rsidR="002D2AE5">
        <w:t xml:space="preserve"> </w:t>
      </w:r>
      <w:r w:rsidR="73618760" w:rsidRPr="00D04A0A">
        <w:t>trade-off</w:t>
      </w:r>
      <w:r w:rsidRPr="00D04A0A">
        <w:t xml:space="preserve"> analysis conducted by </w:t>
      </w:r>
      <w:r w:rsidR="00C56161" w:rsidRPr="00D04A0A">
        <w:t>Czoski</w:t>
      </w:r>
      <w:r w:rsidR="00397B07">
        <w:noBreakHyphen/>
      </w:r>
      <w:r w:rsidRPr="00D04A0A">
        <w:t>Murray et al. (2009)</w:t>
      </w:r>
      <w:r w:rsidRPr="00D04A0A">
        <w:rPr>
          <w:rStyle w:val="FootnoteReference"/>
        </w:rPr>
        <w:footnoteReference w:id="9"/>
      </w:r>
      <w:r w:rsidRPr="00D04A0A">
        <w:t>. This study used contact lenses in both eyes to simulate visual impairment caused by age</w:t>
      </w:r>
      <w:r w:rsidR="00397B07">
        <w:noBreakHyphen/>
      </w:r>
      <w:r w:rsidRPr="00D04A0A">
        <w:t>related macular degeneration to elicit time trade</w:t>
      </w:r>
      <w:r w:rsidR="00397B07">
        <w:noBreakHyphen/>
      </w:r>
      <w:r w:rsidRPr="00D04A0A">
        <w:t xml:space="preserve">offs from the general population of the United Kingdom. The contact lenses were designed to simulate different </w:t>
      </w:r>
      <w:r w:rsidR="00823901" w:rsidRPr="00D04A0A">
        <w:t>Visual Acuity Logarithm of the Minimum Angle of Resolution (</w:t>
      </w:r>
      <w:r w:rsidRPr="00D04A0A">
        <w:t>VALogMAR</w:t>
      </w:r>
      <w:r w:rsidR="00823901" w:rsidRPr="00D04A0A">
        <w:t>)</w:t>
      </w:r>
      <w:r w:rsidRPr="00D04A0A">
        <w:t xml:space="preserve"> groups, and a regression analysis was conducted to relate VALogMAR to utility values. The submission relied on another study which converted the VALogMAR scores to ETDRS letters and used those utilities in the economic model.</w:t>
      </w:r>
      <w:r w:rsidR="00556DE4" w:rsidRPr="00D04A0A">
        <w:fldChar w:fldCharType="begin"/>
      </w:r>
      <w:r w:rsidR="00556DE4" w:rsidRPr="00D04A0A">
        <w:instrText xml:space="preserve"> NOTEREF _Ref206410810 \f \h  \* MERGEFORMAT </w:instrText>
      </w:r>
      <w:r w:rsidR="00556DE4" w:rsidRPr="00D04A0A">
        <w:fldChar w:fldCharType="separate"/>
      </w:r>
      <w:r w:rsidR="00333CFE">
        <w:rPr>
          <w:b/>
          <w:bCs/>
          <w:lang w:val="en-GB"/>
        </w:rPr>
        <w:t>Error! Bookmark not defined.</w:t>
      </w:r>
      <w:r w:rsidR="00556DE4" w:rsidRPr="00D04A0A">
        <w:fldChar w:fldCharType="end"/>
      </w:r>
      <w:r w:rsidRPr="00D04A0A">
        <w:t xml:space="preserve"> This was generally reasonable.</w:t>
      </w:r>
    </w:p>
    <w:p w14:paraId="55FD5E62" w14:textId="30E7B74E" w:rsidR="00B653C5" w:rsidRPr="00D04A0A" w:rsidRDefault="00B653C5" w:rsidP="00B653C5">
      <w:pPr>
        <w:pStyle w:val="3-BodyText"/>
      </w:pPr>
      <w:bookmarkStart w:id="71" w:name="_Ref205561313"/>
      <w:r w:rsidRPr="00E20031">
        <w:t>To estimate the number of pegcetacoplan injections per year, the submission had multiplied the proportion of patients who completed the full 24</w:t>
      </w:r>
      <w:r w:rsidR="00397B07">
        <w:noBreakHyphen/>
      </w:r>
      <w:r w:rsidRPr="00E20031">
        <w:t xml:space="preserve">month treatment duration in the key trials by the number of planned doses for that </w:t>
      </w:r>
      <w:r w:rsidR="00604342" w:rsidRPr="00E20031">
        <w:t>24</w:t>
      </w:r>
      <w:r w:rsidR="00397B07">
        <w:noBreakHyphen/>
      </w:r>
      <w:r w:rsidR="00604342" w:rsidRPr="00E20031">
        <w:t>month</w:t>
      </w:r>
      <w:r w:rsidRPr="00E20031">
        <w:t xml:space="preserve"> period (12). </w:t>
      </w:r>
      <w:r w:rsidRPr="00D04A0A">
        <w:t>This essentially assumed that patients who completed the trial had full treatment compliance, and that patients who did not complete the full 24 months received nil injection</w:t>
      </w:r>
      <w:r w:rsidR="00901F4C">
        <w:t>s</w:t>
      </w:r>
      <w:r w:rsidRPr="00D04A0A">
        <w:t xml:space="preserve">. </w:t>
      </w:r>
      <w:r w:rsidRPr="00A272D3">
        <w:rPr>
          <w:iCs/>
        </w:rPr>
        <w:t>T</w:t>
      </w:r>
      <w:r w:rsidR="000F56EB" w:rsidRPr="00A272D3">
        <w:rPr>
          <w:iCs/>
        </w:rPr>
        <w:t>he ESC agreed with the evaluation that</w:t>
      </w:r>
      <w:r w:rsidR="000F56EB">
        <w:t xml:space="preserve"> t</w:t>
      </w:r>
      <w:r w:rsidRPr="00D04A0A">
        <w:t xml:space="preserve">his was not reasonable. Using the treatment compliance reported in the trials multiplied by the number of scheduled doses resulted in a dose frequency of once every 68 days (versus once every 76 days in the base case and once every 60 days in the PI). </w:t>
      </w:r>
      <w:bookmarkEnd w:id="71"/>
    </w:p>
    <w:p w14:paraId="30161066" w14:textId="71B74FDE" w:rsidR="00B653C5" w:rsidRPr="00D04A0A" w:rsidRDefault="00B653C5" w:rsidP="00B653C5">
      <w:pPr>
        <w:pStyle w:val="3-BodyText"/>
      </w:pPr>
      <w:bookmarkStart w:id="72" w:name="_Ref211449261"/>
      <w:bookmarkStart w:id="73" w:name="_Ref214366591"/>
      <w:r w:rsidRPr="00D04A0A">
        <w:t xml:space="preserve">The submission also included aged care related costs, including </w:t>
      </w:r>
      <w:r w:rsidR="004C226E" w:rsidRPr="00D04A0A">
        <w:t xml:space="preserve">costs associated with </w:t>
      </w:r>
      <w:r w:rsidRPr="00D04A0A">
        <w:t>aged care residency, Home Care Packages</w:t>
      </w:r>
      <w:r w:rsidR="003F4D68" w:rsidRPr="00D04A0A">
        <w:t xml:space="preserve"> (HCP)</w:t>
      </w:r>
      <w:r w:rsidRPr="00D04A0A">
        <w:t xml:space="preserve"> and </w:t>
      </w:r>
      <w:r w:rsidR="004C226E" w:rsidRPr="00D04A0A">
        <w:t>the Commonwealth Home Support Program</w:t>
      </w:r>
      <w:r w:rsidR="003F4D68" w:rsidRPr="00D04A0A">
        <w:t xml:space="preserve"> (CHSP)</w:t>
      </w:r>
      <w:r w:rsidR="004C226E" w:rsidRPr="00D04A0A">
        <w:t xml:space="preserve">. These costs, especially </w:t>
      </w:r>
      <w:r w:rsidR="003F4D68" w:rsidRPr="00D04A0A">
        <w:t>HCP</w:t>
      </w:r>
      <w:r w:rsidR="004C226E" w:rsidRPr="00D04A0A">
        <w:t xml:space="preserve"> and </w:t>
      </w:r>
      <w:r w:rsidR="003F4D68" w:rsidRPr="00D04A0A">
        <w:t>CHSP</w:t>
      </w:r>
      <w:r w:rsidR="004C226E" w:rsidRPr="00D04A0A">
        <w:t xml:space="preserve"> costs</w:t>
      </w:r>
      <w:r w:rsidR="00B43897">
        <w:t>,</w:t>
      </w:r>
      <w:r w:rsidR="004C226E" w:rsidRPr="00D04A0A">
        <w:t xml:space="preserve"> may not constitute direct medical costs and hence should be excluded from the base case analysis. </w:t>
      </w:r>
      <w:r w:rsidR="00D73E99" w:rsidRPr="00A272D3">
        <w:rPr>
          <w:iCs/>
        </w:rPr>
        <w:t>The PSCR argued that residential care and home care packages are included in the PBAC Manual of Resources (2016) and therefor</w:t>
      </w:r>
      <w:r w:rsidR="00734F6B" w:rsidRPr="00A272D3">
        <w:rPr>
          <w:iCs/>
        </w:rPr>
        <w:t xml:space="preserve">e </w:t>
      </w:r>
      <w:r w:rsidR="001F32E3" w:rsidRPr="00A272D3">
        <w:rPr>
          <w:iCs/>
        </w:rPr>
        <w:t>should</w:t>
      </w:r>
      <w:r w:rsidR="00734F6B" w:rsidRPr="00A272D3">
        <w:rPr>
          <w:iCs/>
        </w:rPr>
        <w:t xml:space="preserve"> be included in the base case analysis. </w:t>
      </w:r>
      <w:r w:rsidR="00521699" w:rsidRPr="00A272D3">
        <w:rPr>
          <w:iCs/>
        </w:rPr>
        <w:t xml:space="preserve">The ESC </w:t>
      </w:r>
      <w:r w:rsidR="00CD3D1E" w:rsidRPr="00A272D3">
        <w:rPr>
          <w:iCs/>
        </w:rPr>
        <w:t xml:space="preserve">acknowledged the inclusion of </w:t>
      </w:r>
      <w:r w:rsidR="00B54943" w:rsidRPr="00A272D3">
        <w:rPr>
          <w:iCs/>
        </w:rPr>
        <w:t>such</w:t>
      </w:r>
      <w:r w:rsidR="00CD3D1E" w:rsidRPr="00A272D3">
        <w:rPr>
          <w:iCs/>
        </w:rPr>
        <w:t xml:space="preserve"> </w:t>
      </w:r>
      <w:r w:rsidR="00B54943" w:rsidRPr="00A272D3">
        <w:rPr>
          <w:iCs/>
        </w:rPr>
        <w:t xml:space="preserve">costs in the PBAC Manual of Resources (2016) </w:t>
      </w:r>
      <w:r w:rsidR="007F52DA" w:rsidRPr="00A272D3">
        <w:rPr>
          <w:iCs/>
        </w:rPr>
        <w:t xml:space="preserve">but considered it was hard to quantify the proportion of these costs that </w:t>
      </w:r>
      <w:r w:rsidR="00561CFC" w:rsidRPr="00A272D3">
        <w:rPr>
          <w:iCs/>
        </w:rPr>
        <w:t xml:space="preserve">were encompassed by the manual definition. </w:t>
      </w:r>
      <w:r w:rsidR="008F0785" w:rsidRPr="00A272D3">
        <w:rPr>
          <w:iCs/>
        </w:rPr>
        <w:t>The ESC considered th</w:t>
      </w:r>
      <w:r w:rsidR="00EA6232" w:rsidRPr="00A272D3">
        <w:rPr>
          <w:iCs/>
        </w:rPr>
        <w:t xml:space="preserve">at the aged care related costs in the economic model </w:t>
      </w:r>
      <w:r w:rsidR="00934DB9" w:rsidRPr="00A272D3">
        <w:rPr>
          <w:iCs/>
        </w:rPr>
        <w:t xml:space="preserve">included both aspects of health and </w:t>
      </w:r>
      <w:r w:rsidR="00934DB9" w:rsidRPr="00A272D3">
        <w:rPr>
          <w:iCs/>
        </w:rPr>
        <w:lastRenderedPageBreak/>
        <w:t>non</w:t>
      </w:r>
      <w:r w:rsidR="00397B07">
        <w:rPr>
          <w:iCs/>
        </w:rPr>
        <w:noBreakHyphen/>
      </w:r>
      <w:r w:rsidR="006F1917" w:rsidRPr="00A272D3">
        <w:rPr>
          <w:iCs/>
        </w:rPr>
        <w:t xml:space="preserve">health care and that </w:t>
      </w:r>
      <w:r w:rsidR="00130909" w:rsidRPr="00A272D3">
        <w:rPr>
          <w:iCs/>
        </w:rPr>
        <w:t xml:space="preserve">these were very hard to disentangle in the model. </w:t>
      </w:r>
      <w:r w:rsidR="00857511" w:rsidRPr="00A272D3">
        <w:rPr>
          <w:iCs/>
        </w:rPr>
        <w:t xml:space="preserve">The ESC noted that </w:t>
      </w:r>
      <w:r w:rsidR="00857511">
        <w:t>e</w:t>
      </w:r>
      <w:r w:rsidR="004C226E" w:rsidRPr="00D04A0A">
        <w:t xml:space="preserve">xcluding </w:t>
      </w:r>
      <w:r w:rsidR="00142F5B">
        <w:t>HCP</w:t>
      </w:r>
      <w:r w:rsidR="004C226E" w:rsidRPr="00D04A0A">
        <w:t xml:space="preserve"> and </w:t>
      </w:r>
      <w:r w:rsidR="00142F5B">
        <w:t>CHSP</w:t>
      </w:r>
      <w:r w:rsidR="004C226E" w:rsidRPr="00D04A0A">
        <w:t xml:space="preserve"> costs increased the ICER by </w:t>
      </w:r>
      <w:r w:rsidR="00794BDD" w:rsidRPr="00794BDD">
        <w:rPr>
          <w:highlight w:val="black"/>
        </w:rPr>
        <w:t>&amp;&amp;&amp;&amp;</w:t>
      </w:r>
      <w:r w:rsidR="004C226E" w:rsidRPr="00D04A0A">
        <w:t xml:space="preserve">% (from </w:t>
      </w:r>
      <w:r w:rsidR="00D82752" w:rsidRPr="00D82752">
        <w:t>$35,000 to &lt; $45,000</w:t>
      </w:r>
      <w:r w:rsidR="004C226E" w:rsidRPr="00D04A0A">
        <w:t xml:space="preserve"> per QALY gained to </w:t>
      </w:r>
      <w:r w:rsidR="00DA24AC" w:rsidRPr="00DA24AC">
        <w:t>$95,000 to &lt; $115,000</w:t>
      </w:r>
      <w:r w:rsidR="004C226E" w:rsidRPr="00D04A0A">
        <w:t xml:space="preserve"> per QALY gained).</w:t>
      </w:r>
      <w:bookmarkEnd w:id="72"/>
      <w:r w:rsidR="004C226E" w:rsidRPr="00D04A0A">
        <w:t xml:space="preserve"> </w:t>
      </w:r>
      <w:bookmarkEnd w:id="73"/>
    </w:p>
    <w:p w14:paraId="0FE4FF45" w14:textId="10943B63" w:rsidR="00F0164F" w:rsidRPr="00D04A0A" w:rsidRDefault="004C226E" w:rsidP="00B653C5">
      <w:pPr>
        <w:pStyle w:val="3-BodyText"/>
      </w:pPr>
      <w:r w:rsidRPr="00D04A0A">
        <w:t>The key model drivers are presented in</w:t>
      </w:r>
      <w:r w:rsidR="007A258F" w:rsidRPr="00D04A0A">
        <w:t xml:space="preserve"> </w:t>
      </w:r>
      <w:r w:rsidR="007A258F" w:rsidRPr="00D04A0A">
        <w:fldChar w:fldCharType="begin"/>
      </w:r>
      <w:r w:rsidR="007A258F" w:rsidRPr="00D04A0A">
        <w:instrText xml:space="preserve"> REF _Ref104805122 \h  \* MERGEFORMAT </w:instrText>
      </w:r>
      <w:r w:rsidR="007A258F" w:rsidRPr="00D04A0A">
        <w:fldChar w:fldCharType="separate"/>
      </w:r>
      <w:r w:rsidR="00333CFE" w:rsidRPr="00E20031">
        <w:t xml:space="preserve">Table </w:t>
      </w:r>
      <w:r w:rsidR="00333CFE">
        <w:t>10</w:t>
      </w:r>
      <w:r w:rsidR="007A258F" w:rsidRPr="00D04A0A">
        <w:fldChar w:fldCharType="end"/>
      </w:r>
      <w:r w:rsidRPr="00D04A0A">
        <w:t>.</w:t>
      </w:r>
    </w:p>
    <w:p w14:paraId="774D46B7" w14:textId="7747B85F" w:rsidR="00D110BD" w:rsidRPr="00E20031" w:rsidRDefault="00E16AD8" w:rsidP="00E16AD8">
      <w:pPr>
        <w:pStyle w:val="Caption"/>
        <w:jc w:val="left"/>
        <w:rPr>
          <w:rStyle w:val="CommentReference"/>
          <w:b/>
          <w:szCs w:val="24"/>
        </w:rPr>
      </w:pPr>
      <w:bookmarkStart w:id="74" w:name="_Ref104805122"/>
      <w:r w:rsidRPr="00E20031">
        <w:t xml:space="preserve">Table </w:t>
      </w:r>
      <w:r w:rsidR="004C5F7F">
        <w:fldChar w:fldCharType="begin"/>
      </w:r>
      <w:r w:rsidR="004C5F7F">
        <w:instrText xml:space="preserve"> SEQ Table \* ARABIC </w:instrText>
      </w:r>
      <w:r w:rsidR="004C5F7F">
        <w:fldChar w:fldCharType="separate"/>
      </w:r>
      <w:r w:rsidR="00333CFE">
        <w:rPr>
          <w:noProof/>
        </w:rPr>
        <w:t>10</w:t>
      </w:r>
      <w:r w:rsidR="004C5F7F">
        <w:rPr>
          <w:noProof/>
        </w:rPr>
        <w:fldChar w:fldCharType="end"/>
      </w:r>
      <w:bookmarkEnd w:id="74"/>
      <w:r w:rsidRPr="00E20031">
        <w:t>:</w:t>
      </w:r>
      <w:r w:rsidR="00D110BD" w:rsidRPr="00E20031">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model"/>
      </w:tblPr>
      <w:tblGrid>
        <w:gridCol w:w="1414"/>
        <w:gridCol w:w="5670"/>
        <w:gridCol w:w="1933"/>
      </w:tblGrid>
      <w:tr w:rsidR="00537182" w:rsidRPr="00E20031" w14:paraId="4DD8026E" w14:textId="77777777" w:rsidTr="005B4CBA">
        <w:trPr>
          <w:tblHeader/>
        </w:trPr>
        <w:tc>
          <w:tcPr>
            <w:tcW w:w="784" w:type="pct"/>
            <w:vAlign w:val="center"/>
          </w:tcPr>
          <w:p w14:paraId="6A9EC2DA" w14:textId="77777777" w:rsidR="00D110BD" w:rsidRPr="00D04A0A" w:rsidRDefault="00D110BD" w:rsidP="00077D48">
            <w:pPr>
              <w:pStyle w:val="In-tableHeading"/>
            </w:pPr>
            <w:r w:rsidRPr="00D04A0A">
              <w:t>Description</w:t>
            </w:r>
          </w:p>
        </w:tc>
        <w:tc>
          <w:tcPr>
            <w:tcW w:w="3144" w:type="pct"/>
            <w:vAlign w:val="center"/>
          </w:tcPr>
          <w:p w14:paraId="67A62672" w14:textId="77777777" w:rsidR="00D110BD" w:rsidRPr="00D04A0A" w:rsidRDefault="00D110BD" w:rsidP="00077D48">
            <w:pPr>
              <w:pStyle w:val="In-tableHeading"/>
            </w:pPr>
            <w:r w:rsidRPr="00D04A0A">
              <w:t>Method/Value</w:t>
            </w:r>
          </w:p>
        </w:tc>
        <w:tc>
          <w:tcPr>
            <w:tcW w:w="1072" w:type="pct"/>
            <w:vAlign w:val="center"/>
          </w:tcPr>
          <w:p w14:paraId="6B352E41" w14:textId="77777777" w:rsidR="00D110BD" w:rsidRPr="00D04A0A" w:rsidRDefault="00D110BD" w:rsidP="00077D48">
            <w:pPr>
              <w:pStyle w:val="In-tableHeading"/>
            </w:pPr>
            <w:r w:rsidRPr="00D04A0A">
              <w:t>Impact</w:t>
            </w:r>
          </w:p>
          <w:p w14:paraId="6C1DC9EA" w14:textId="372FEC4A" w:rsidR="00490B17" w:rsidRPr="00D04A0A" w:rsidRDefault="00490B17" w:rsidP="00077D48">
            <w:pPr>
              <w:pStyle w:val="In-tableHeading"/>
            </w:pPr>
            <w:r w:rsidRPr="00D04A0A">
              <w:t>Base case: $</w:t>
            </w:r>
            <w:r w:rsidR="00794BDD" w:rsidRPr="00794BDD">
              <w:rPr>
                <w:highlight w:val="black"/>
              </w:rPr>
              <w:t>&amp;&amp;&amp;&amp;</w:t>
            </w:r>
            <w:r w:rsidR="00810D2E">
              <w:rPr>
                <w:vertAlign w:val="superscript"/>
              </w:rPr>
              <w:t>1</w:t>
            </w:r>
            <w:r w:rsidRPr="00D04A0A">
              <w:t>/QALY gained</w:t>
            </w:r>
          </w:p>
        </w:tc>
      </w:tr>
      <w:tr w:rsidR="00537182" w:rsidRPr="00E20031" w14:paraId="3DE22150" w14:textId="77777777" w:rsidTr="005B4CBA">
        <w:tc>
          <w:tcPr>
            <w:tcW w:w="784" w:type="pct"/>
            <w:vAlign w:val="center"/>
          </w:tcPr>
          <w:p w14:paraId="72E20981" w14:textId="4F9D51EB" w:rsidR="00D110BD" w:rsidRPr="00D04A0A" w:rsidRDefault="00CD529F" w:rsidP="00C127B9">
            <w:pPr>
              <w:pStyle w:val="TableText0"/>
            </w:pPr>
            <w:r w:rsidRPr="00D04A0A">
              <w:t>Choice of outcome measure</w:t>
            </w:r>
          </w:p>
        </w:tc>
        <w:tc>
          <w:tcPr>
            <w:tcW w:w="3144" w:type="pct"/>
            <w:vAlign w:val="center"/>
          </w:tcPr>
          <w:p w14:paraId="64938802" w14:textId="03C79454" w:rsidR="00106B80" w:rsidRPr="00D04A0A" w:rsidRDefault="00052A06" w:rsidP="00BB00B3">
            <w:pPr>
              <w:pStyle w:val="TableText0"/>
            </w:pPr>
            <w:r w:rsidRPr="00D04A0A">
              <w:t>The treatment effect derived from the time to central 16 scotomatous points microperimetry analysis of the OAKS trial. T</w:t>
            </w:r>
            <w:r w:rsidR="001606D9">
              <w:t>he evaluation considered that t</w:t>
            </w:r>
            <w:r w:rsidRPr="00D04A0A">
              <w:t>his was not an appropriate outcome measure for the proposed PBS population. Patients can experience subfoveal lesions before experiencing the central 16 scotomatous points and hence in clinical practice would have to cease treatment (as per the proposed PBS criteria) but in the trial patients were able to continue treatment.</w:t>
            </w:r>
            <w:r w:rsidR="00BF12D3">
              <w:t xml:space="preserve"> </w:t>
            </w:r>
            <w:r w:rsidR="00BF12D3" w:rsidRPr="00A272D3">
              <w:rPr>
                <w:iCs/>
              </w:rPr>
              <w:t xml:space="preserve">The </w:t>
            </w:r>
            <w:r w:rsidR="00177866" w:rsidRPr="00A272D3">
              <w:rPr>
                <w:iCs/>
              </w:rPr>
              <w:t>ESC considered that there were</w:t>
            </w:r>
            <w:r w:rsidR="00177866">
              <w:t xml:space="preserve"> </w:t>
            </w:r>
            <w:r w:rsidR="00177866" w:rsidRPr="00A272D3">
              <w:rPr>
                <w:iCs/>
              </w:rPr>
              <w:t xml:space="preserve">underlying concerns regarding the surrogate outcome measure used in the economic model (see paragraph </w:t>
            </w:r>
            <w:r w:rsidR="00177866" w:rsidRPr="00A272D3">
              <w:rPr>
                <w:iCs/>
              </w:rPr>
              <w:fldChar w:fldCharType="begin"/>
            </w:r>
            <w:r w:rsidR="00177866" w:rsidRPr="00A272D3">
              <w:rPr>
                <w:iCs/>
              </w:rPr>
              <w:instrText xml:space="preserve"> REF _Ref206410067 \r \h </w:instrText>
            </w:r>
            <w:r w:rsidR="00177866" w:rsidRPr="00A272D3">
              <w:rPr>
                <w:iCs/>
              </w:rPr>
            </w:r>
            <w:r w:rsidR="00177866" w:rsidRPr="00A272D3">
              <w:rPr>
                <w:iCs/>
              </w:rPr>
              <w:fldChar w:fldCharType="separate"/>
            </w:r>
            <w:r w:rsidR="00333CFE">
              <w:rPr>
                <w:iCs/>
              </w:rPr>
              <w:t>6.46</w:t>
            </w:r>
            <w:r w:rsidR="00177866" w:rsidRPr="00A272D3">
              <w:rPr>
                <w:iCs/>
              </w:rPr>
              <w:fldChar w:fldCharType="end"/>
            </w:r>
            <w:r w:rsidR="00177866" w:rsidRPr="00A272D3">
              <w:rPr>
                <w:iCs/>
              </w:rPr>
              <w:t xml:space="preserve">). </w:t>
            </w:r>
          </w:p>
        </w:tc>
        <w:tc>
          <w:tcPr>
            <w:tcW w:w="1072" w:type="pct"/>
            <w:vAlign w:val="center"/>
          </w:tcPr>
          <w:p w14:paraId="0AD58F2B" w14:textId="54EFEDB1" w:rsidR="00490B17" w:rsidRPr="00D04A0A" w:rsidRDefault="00D110BD" w:rsidP="005B4CBA">
            <w:pPr>
              <w:pStyle w:val="TableText0"/>
              <w:jc w:val="center"/>
            </w:pPr>
            <w:r w:rsidRPr="00D04A0A">
              <w:t>High, favours</w:t>
            </w:r>
            <w:r w:rsidR="00E05861" w:rsidRPr="00D04A0A">
              <w:t xml:space="preserve"> pegcetacoplan</w:t>
            </w:r>
            <w:r w:rsidR="00F074F6" w:rsidRPr="00D04A0A">
              <w:t>.</w:t>
            </w:r>
          </w:p>
        </w:tc>
      </w:tr>
      <w:tr w:rsidR="00537182" w:rsidRPr="00E20031" w14:paraId="3483847F" w14:textId="77777777" w:rsidTr="005B4CBA">
        <w:tc>
          <w:tcPr>
            <w:tcW w:w="784" w:type="pct"/>
            <w:vAlign w:val="center"/>
          </w:tcPr>
          <w:p w14:paraId="2724D8D9" w14:textId="6DA719C1" w:rsidR="00D110BD" w:rsidRPr="00D04A0A" w:rsidRDefault="00CD529F" w:rsidP="00C127B9">
            <w:pPr>
              <w:pStyle w:val="TableText0"/>
            </w:pPr>
            <w:r w:rsidRPr="00D04A0A">
              <w:t>Ongoing t</w:t>
            </w:r>
            <w:r w:rsidR="00F074F6" w:rsidRPr="00D04A0A">
              <w:t>reatment utilisation</w:t>
            </w:r>
            <w:r w:rsidR="003F4D68" w:rsidRPr="00D04A0A">
              <w:t xml:space="preserve"> and treatment effect</w:t>
            </w:r>
          </w:p>
        </w:tc>
        <w:tc>
          <w:tcPr>
            <w:tcW w:w="3144" w:type="pct"/>
            <w:vAlign w:val="center"/>
          </w:tcPr>
          <w:p w14:paraId="4B9FCE0E" w14:textId="24224086" w:rsidR="00D110BD" w:rsidRPr="00D04A0A" w:rsidRDefault="003F4D68" w:rsidP="00BB00B3">
            <w:pPr>
              <w:pStyle w:val="TableText0"/>
            </w:pPr>
            <w:r w:rsidRPr="00D04A0A">
              <w:t>Pegcetacoplan treatment and its</w:t>
            </w:r>
            <w:r w:rsidR="00E05861" w:rsidRPr="00D04A0A">
              <w:t xml:space="preserve"> treatment effect was assumed to continue until patients ceased treatment which was when they entered the ≤ 35 letters health state or died. This assumes that modelled patients will not develop subfoveal lesions and hence would receive continual treatment. However</w:t>
            </w:r>
            <w:r w:rsidRPr="00D04A0A">
              <w:t>,</w:t>
            </w:r>
            <w:r w:rsidR="00E05861" w:rsidRPr="00D04A0A">
              <w:t xml:space="preserve"> this is inconsistent with the natural disease course where patients would eventually experience subfoveal lesions and therefore will be ineligible to access pegcetacoplan.</w:t>
            </w:r>
            <w:r w:rsidR="00F074F6" w:rsidRPr="00D04A0A">
              <w:t xml:space="preserve"> The effect of treatment discontinuation and therefore the loss of a treatment effect for patients experiencing subfoveal lesion could not be explored with the model’s structure. </w:t>
            </w:r>
            <w:r w:rsidR="00FE7AA0" w:rsidRPr="00A272D3">
              <w:rPr>
                <w:iCs/>
              </w:rPr>
              <w:t xml:space="preserve">The PSCR stated that as </w:t>
            </w:r>
            <w:r w:rsidR="00FE7AA0" w:rsidRPr="00A272D3">
              <w:rPr>
                <w:rFonts w:cstheme="minorHAnsi"/>
                <w:iCs/>
              </w:rPr>
              <w:t>≤</w:t>
            </w:r>
            <w:r w:rsidR="00194912">
              <w:rPr>
                <w:iCs/>
              </w:rPr>
              <w:t> </w:t>
            </w:r>
            <w:r w:rsidR="00FE7AA0" w:rsidRPr="00A272D3">
              <w:rPr>
                <w:iCs/>
              </w:rPr>
              <w:t>35 letters equates to legal blindness patients have no further vision to preserve and are not expected to derive further treatment benefit.</w:t>
            </w:r>
          </w:p>
        </w:tc>
        <w:tc>
          <w:tcPr>
            <w:tcW w:w="1072" w:type="pct"/>
            <w:vAlign w:val="center"/>
          </w:tcPr>
          <w:p w14:paraId="4CB0C507" w14:textId="29B5309C" w:rsidR="00D110BD" w:rsidRPr="00D04A0A" w:rsidRDefault="00CD529F" w:rsidP="005B4CBA">
            <w:pPr>
              <w:pStyle w:val="TableText0"/>
              <w:jc w:val="center"/>
            </w:pPr>
            <w:r w:rsidRPr="00D04A0A">
              <w:t>Impact unknown.</w:t>
            </w:r>
          </w:p>
        </w:tc>
      </w:tr>
      <w:tr w:rsidR="00537182" w:rsidRPr="00E20031" w14:paraId="39E46D5B" w14:textId="77777777" w:rsidTr="005B4CBA">
        <w:tc>
          <w:tcPr>
            <w:tcW w:w="784" w:type="pct"/>
            <w:vAlign w:val="center"/>
          </w:tcPr>
          <w:p w14:paraId="347EC5A4" w14:textId="316128C7" w:rsidR="00D110BD" w:rsidRPr="00D04A0A" w:rsidRDefault="00052A06" w:rsidP="00C127B9">
            <w:pPr>
              <w:pStyle w:val="TableText0"/>
            </w:pPr>
            <w:r w:rsidRPr="00D04A0A">
              <w:t>Aged care costs</w:t>
            </w:r>
          </w:p>
        </w:tc>
        <w:tc>
          <w:tcPr>
            <w:tcW w:w="3144" w:type="pct"/>
            <w:vAlign w:val="center"/>
          </w:tcPr>
          <w:p w14:paraId="7E7105AF" w14:textId="5D97B357" w:rsidR="00D110BD" w:rsidRPr="00D04A0A" w:rsidRDefault="00F074F6" w:rsidP="00BB00B3">
            <w:pPr>
              <w:pStyle w:val="TableText0"/>
            </w:pPr>
            <w:r w:rsidRPr="00D04A0A">
              <w:t>The base case analysis includes aged care related costs, including costs associated with aged care residency</w:t>
            </w:r>
            <w:r w:rsidR="006512A2" w:rsidRPr="00D04A0A">
              <w:t>, HCP</w:t>
            </w:r>
            <w:r w:rsidRPr="00D04A0A">
              <w:t xml:space="preserve"> and </w:t>
            </w:r>
            <w:r w:rsidR="006512A2" w:rsidRPr="00D04A0A">
              <w:t>CHSP</w:t>
            </w:r>
            <w:r w:rsidRPr="00D04A0A">
              <w:t xml:space="preserve">. These costs, especially </w:t>
            </w:r>
            <w:r w:rsidR="006512A2" w:rsidRPr="00D04A0A">
              <w:t>HCP</w:t>
            </w:r>
            <w:r w:rsidRPr="00D04A0A">
              <w:t xml:space="preserve"> and </w:t>
            </w:r>
            <w:r w:rsidR="006512A2" w:rsidRPr="00D04A0A">
              <w:t>CSHP</w:t>
            </w:r>
            <w:r w:rsidRPr="00D04A0A">
              <w:t xml:space="preserve"> costs may not constitute direct medical costs and hence should be excluded from the base case analysis.</w:t>
            </w:r>
            <w:r w:rsidR="00E461EA">
              <w:t xml:space="preserve"> </w:t>
            </w:r>
            <w:r w:rsidR="007457EB" w:rsidRPr="00A272D3">
              <w:rPr>
                <w:iCs/>
              </w:rPr>
              <w:t xml:space="preserve">The ESC noted the PSCR argument that </w:t>
            </w:r>
            <w:r w:rsidR="004F0E53" w:rsidRPr="00A272D3">
              <w:rPr>
                <w:iCs/>
              </w:rPr>
              <w:t xml:space="preserve">residential care and home care packages are included in the PBAC Manual of Resources (2016) </w:t>
            </w:r>
            <w:r w:rsidR="00686980" w:rsidRPr="00A272D3">
              <w:rPr>
                <w:iCs/>
              </w:rPr>
              <w:t xml:space="preserve">and </w:t>
            </w:r>
            <w:r w:rsidR="00555B07" w:rsidRPr="00A272D3">
              <w:rPr>
                <w:iCs/>
              </w:rPr>
              <w:t xml:space="preserve">advised that </w:t>
            </w:r>
            <w:r w:rsidR="001205FA" w:rsidRPr="00A272D3">
              <w:rPr>
                <w:iCs/>
              </w:rPr>
              <w:t>both health and non</w:t>
            </w:r>
            <w:r w:rsidR="00397B07">
              <w:rPr>
                <w:iCs/>
              </w:rPr>
              <w:noBreakHyphen/>
            </w:r>
            <w:r w:rsidR="001205FA" w:rsidRPr="00A272D3">
              <w:rPr>
                <w:iCs/>
              </w:rPr>
              <w:t xml:space="preserve">health care related costs were included in </w:t>
            </w:r>
            <w:r w:rsidR="00555B07" w:rsidRPr="00A272D3">
              <w:rPr>
                <w:iCs/>
              </w:rPr>
              <w:t>the aged care related costs modelled</w:t>
            </w:r>
            <w:r w:rsidR="009A7115" w:rsidRPr="00A272D3">
              <w:rPr>
                <w:iCs/>
              </w:rPr>
              <w:t>. The ESC considered that th</w:t>
            </w:r>
            <w:r w:rsidR="00C87B55" w:rsidRPr="00A272D3">
              <w:rPr>
                <w:iCs/>
              </w:rPr>
              <w:t>e health and non</w:t>
            </w:r>
            <w:r w:rsidR="00397B07">
              <w:rPr>
                <w:iCs/>
              </w:rPr>
              <w:noBreakHyphen/>
            </w:r>
            <w:r w:rsidR="00C87B55" w:rsidRPr="00A272D3">
              <w:rPr>
                <w:iCs/>
              </w:rPr>
              <w:t>health care related costs</w:t>
            </w:r>
            <w:r w:rsidR="009A7115" w:rsidRPr="00A272D3">
              <w:rPr>
                <w:iCs/>
              </w:rPr>
              <w:t xml:space="preserve"> were </w:t>
            </w:r>
            <w:r w:rsidR="00023C49" w:rsidRPr="00A272D3">
              <w:rPr>
                <w:iCs/>
              </w:rPr>
              <w:t xml:space="preserve">hard to </w:t>
            </w:r>
            <w:r w:rsidR="00A70345" w:rsidRPr="00A272D3">
              <w:rPr>
                <w:iCs/>
              </w:rPr>
              <w:t xml:space="preserve">separate in the model. </w:t>
            </w:r>
          </w:p>
        </w:tc>
        <w:tc>
          <w:tcPr>
            <w:tcW w:w="1072" w:type="pct"/>
            <w:vAlign w:val="center"/>
          </w:tcPr>
          <w:p w14:paraId="50F3F3FF" w14:textId="4B179E37" w:rsidR="00D110BD" w:rsidRPr="00D04A0A" w:rsidRDefault="00F074F6" w:rsidP="005B4CBA">
            <w:pPr>
              <w:pStyle w:val="TableText0"/>
              <w:jc w:val="center"/>
            </w:pPr>
            <w:r w:rsidRPr="00D04A0A">
              <w:t xml:space="preserve">High, favours pegcetacoplan. Excluding </w:t>
            </w:r>
            <w:r w:rsidR="006512A2" w:rsidRPr="00D04A0A">
              <w:t>HCP and CSHP</w:t>
            </w:r>
            <w:r w:rsidRPr="00D04A0A">
              <w:t xml:space="preserve"> costs increased the ICER by </w:t>
            </w:r>
            <w:r w:rsidR="00794BDD" w:rsidRPr="00794BDD">
              <w:rPr>
                <w:highlight w:val="black"/>
              </w:rPr>
              <w:t>&amp;&amp;&amp;&amp;</w:t>
            </w:r>
            <w:r w:rsidRPr="00D04A0A">
              <w:t>%.</w:t>
            </w:r>
          </w:p>
        </w:tc>
      </w:tr>
      <w:tr w:rsidR="00052A06" w:rsidRPr="00E20031" w14:paraId="72BB6F89" w14:textId="77777777" w:rsidTr="005B4CBA">
        <w:tc>
          <w:tcPr>
            <w:tcW w:w="784" w:type="pct"/>
            <w:vAlign w:val="center"/>
          </w:tcPr>
          <w:p w14:paraId="2E5511A1" w14:textId="3F18F038" w:rsidR="00052A06" w:rsidRPr="00D04A0A" w:rsidRDefault="00052A06" w:rsidP="00C127B9">
            <w:pPr>
              <w:pStyle w:val="TableText0"/>
            </w:pPr>
            <w:r w:rsidRPr="00D04A0A">
              <w:t>Pegcetacoplan treatment compliance</w:t>
            </w:r>
          </w:p>
        </w:tc>
        <w:tc>
          <w:tcPr>
            <w:tcW w:w="3144" w:type="pct"/>
            <w:vAlign w:val="center"/>
          </w:tcPr>
          <w:p w14:paraId="10921B31" w14:textId="5750FCDB" w:rsidR="00052A06" w:rsidRPr="00D04A0A" w:rsidRDefault="00F074F6" w:rsidP="00BB00B3">
            <w:pPr>
              <w:pStyle w:val="TableText0"/>
            </w:pPr>
            <w:r w:rsidRPr="00D04A0A">
              <w:t>The submission had multiplied the proportion of patients who completed the full 24</w:t>
            </w:r>
            <w:r w:rsidR="00397B07">
              <w:noBreakHyphen/>
            </w:r>
            <w:r w:rsidRPr="00D04A0A">
              <w:t xml:space="preserve">month treatment duration in the key trials by the number of planned doses for that 24 month period (12) to estimate pegcetacoplan treatment compliance. This essentially assumed that patients who completed the trial had full treatment compliance, and that patients who did not complete the full 24 months received nil injection. </w:t>
            </w:r>
          </w:p>
        </w:tc>
        <w:tc>
          <w:tcPr>
            <w:tcW w:w="1072" w:type="pct"/>
            <w:vAlign w:val="center"/>
          </w:tcPr>
          <w:p w14:paraId="5029E823" w14:textId="593D20CC" w:rsidR="00052A06" w:rsidRPr="00D04A0A" w:rsidRDefault="00F074F6" w:rsidP="005B4CBA">
            <w:pPr>
              <w:pStyle w:val="TableText0"/>
              <w:jc w:val="center"/>
            </w:pPr>
            <w:r w:rsidRPr="00D04A0A">
              <w:t xml:space="preserve">High, favours pegcetacoplan. Using the treatment compliance from the key trials increased the ICER by </w:t>
            </w:r>
            <w:r w:rsidR="00794BDD" w:rsidRPr="00794BDD">
              <w:rPr>
                <w:highlight w:val="black"/>
              </w:rPr>
              <w:t>&amp;&amp;&amp;&amp;</w:t>
            </w:r>
            <w:r w:rsidRPr="00D04A0A">
              <w:t>%.</w:t>
            </w:r>
          </w:p>
        </w:tc>
      </w:tr>
    </w:tbl>
    <w:p w14:paraId="2B3F8AB8" w14:textId="77777777" w:rsidR="006512A2" w:rsidRPr="00E20031" w:rsidRDefault="006512A2" w:rsidP="006512A2">
      <w:pPr>
        <w:pStyle w:val="FooterTableFigure"/>
      </w:pPr>
      <w:r w:rsidRPr="00E20031">
        <w:t xml:space="preserve">Source: </w:t>
      </w:r>
      <w:r w:rsidRPr="00406928">
        <w:t>Constructed during the evaluation from the “</w:t>
      </w:r>
      <w:r w:rsidRPr="00E20031">
        <w:t>A3.1_Pegcetacoplan PBAC CE model submission 2025 vF” attachment provided with the submission.</w:t>
      </w:r>
    </w:p>
    <w:p w14:paraId="60FBCAC0" w14:textId="1DB51A8D" w:rsidR="00F074F6" w:rsidRDefault="006512A2" w:rsidP="00BB00B3">
      <w:pPr>
        <w:pStyle w:val="FooterTableFigure"/>
      </w:pPr>
      <w:r w:rsidRPr="00E20031">
        <w:t>CHSP = Commonwealth Home Support Program; HCP = Home Care Package; ICER = incremental cost</w:t>
      </w:r>
      <w:r w:rsidR="00397B07">
        <w:noBreakHyphen/>
      </w:r>
      <w:r w:rsidRPr="00E20031">
        <w:t>effectiveness ratio; PBS = Pharmaceutical Benefits Scheme; QALY = quality</w:t>
      </w:r>
      <w:r w:rsidR="00397B07">
        <w:noBreakHyphen/>
      </w:r>
      <w:r w:rsidRPr="00E20031">
        <w:t>adjusted life year</w:t>
      </w:r>
    </w:p>
    <w:p w14:paraId="7ABA0796" w14:textId="77777777" w:rsidR="00C51239" w:rsidRPr="00C51239" w:rsidRDefault="00C51239" w:rsidP="00C51239">
      <w:pPr>
        <w:pStyle w:val="FooterTableFigure"/>
        <w:rPr>
          <w:i/>
        </w:rPr>
      </w:pPr>
      <w:r w:rsidRPr="00C51239">
        <w:rPr>
          <w:i/>
        </w:rPr>
        <w:t xml:space="preserve">The redacted values correspond to the following ranges: </w:t>
      </w:r>
    </w:p>
    <w:p w14:paraId="4DC20EE9" w14:textId="4C54D605" w:rsidR="00C51239" w:rsidRPr="00C51239" w:rsidRDefault="00C51239" w:rsidP="00C51239">
      <w:pPr>
        <w:pStyle w:val="FooterTableFigure"/>
        <w:rPr>
          <w:i/>
        </w:rPr>
      </w:pPr>
      <w:r w:rsidRPr="00C51239">
        <w:rPr>
          <w:i/>
          <w:vertAlign w:val="superscript"/>
        </w:rPr>
        <w:t>1</w:t>
      </w:r>
      <w:r w:rsidRPr="00C51239">
        <w:rPr>
          <w:i/>
        </w:rPr>
        <w:t xml:space="preserve"> </w:t>
      </w:r>
      <w:r w:rsidR="00810D2E" w:rsidRPr="00810D2E">
        <w:rPr>
          <w:i/>
        </w:rPr>
        <w:t>$45,000 to &lt; $55,000</w:t>
      </w:r>
    </w:p>
    <w:p w14:paraId="45A5A850" w14:textId="77777777" w:rsidR="00C51239" w:rsidRPr="00E20031" w:rsidRDefault="00C51239" w:rsidP="00BB00B3">
      <w:pPr>
        <w:pStyle w:val="FooterTableFigure"/>
      </w:pPr>
    </w:p>
    <w:p w14:paraId="7844A553" w14:textId="78975B6D" w:rsidR="00F074F6" w:rsidRPr="00D04A0A" w:rsidRDefault="00F074F6" w:rsidP="005B4CBA">
      <w:pPr>
        <w:pStyle w:val="3-BodyText"/>
      </w:pPr>
      <w:r w:rsidRPr="00E20031">
        <w:t xml:space="preserve">The submission did not present a stepped economic evaluation. </w:t>
      </w:r>
      <w:r w:rsidRPr="00D04A0A">
        <w:t xml:space="preserve">This was not reasonable given the model is highly sensitive to extrapolations and external assumptions. The evaluation has conducted a stepped analysis, starting from a </w:t>
      </w:r>
      <w:r w:rsidRPr="00D04A0A">
        <w:lastRenderedPageBreak/>
        <w:t>trial</w:t>
      </w:r>
      <w:r w:rsidR="00397B07">
        <w:noBreakHyphen/>
      </w:r>
      <w:r w:rsidRPr="00D04A0A">
        <w:t>based analysis through to the full modelled evaluation (</w:t>
      </w:r>
      <w:r w:rsidRPr="001D75B3">
        <w:t>see</w:t>
      </w:r>
      <w:r w:rsidR="00243E3D" w:rsidRPr="001D75B3">
        <w:t xml:space="preserve"> </w:t>
      </w:r>
      <w:r w:rsidR="00243E3D" w:rsidRPr="001D75B3">
        <w:fldChar w:fldCharType="begin"/>
      </w:r>
      <w:r w:rsidR="00243E3D" w:rsidRPr="001D75B3">
        <w:instrText xml:space="preserve"> REF _Ref207890969 \h  \* MERGEFORMAT </w:instrText>
      </w:r>
      <w:r w:rsidR="00243E3D" w:rsidRPr="001D75B3">
        <w:fldChar w:fldCharType="separate"/>
      </w:r>
      <w:r w:rsidR="00333CFE" w:rsidRPr="00E20031">
        <w:t xml:space="preserve">Table </w:t>
      </w:r>
      <w:r w:rsidR="00333CFE">
        <w:rPr>
          <w:noProof/>
        </w:rPr>
        <w:t>11</w:t>
      </w:r>
      <w:r w:rsidR="00243E3D" w:rsidRPr="001D75B3">
        <w:fldChar w:fldCharType="end"/>
      </w:r>
      <w:r w:rsidRPr="00D04A0A">
        <w:t>).</w:t>
      </w:r>
      <w:r w:rsidR="005B4CBA" w:rsidRPr="00D04A0A">
        <w:t xml:space="preserve"> The </w:t>
      </w:r>
      <w:r w:rsidR="00BC5E97" w:rsidRPr="00A272D3">
        <w:rPr>
          <w:iCs/>
        </w:rPr>
        <w:t xml:space="preserve">ESC noted the </w:t>
      </w:r>
      <w:r w:rsidR="005B4CBA" w:rsidRPr="00D04A0A">
        <w:t xml:space="preserve">model estimates a much greater difference </w:t>
      </w:r>
      <w:r w:rsidR="00B43897">
        <w:t xml:space="preserve">in visual acuity </w:t>
      </w:r>
      <w:r w:rsidR="005B4CBA" w:rsidRPr="00D04A0A">
        <w:t>between the treatment arms at 24 months (step 2) than the trials (step 1). As mentioned in paragraph</w:t>
      </w:r>
      <w:r w:rsidR="00CE3F01" w:rsidRPr="00D04A0A">
        <w:t xml:space="preserve"> </w:t>
      </w:r>
      <w:r w:rsidR="00CE3F01" w:rsidRPr="00D04A0A">
        <w:fldChar w:fldCharType="begin"/>
      </w:r>
      <w:r w:rsidR="00CE3F01" w:rsidRPr="00D04A0A">
        <w:instrText xml:space="preserve"> REF _Ref206410067 \n \h </w:instrText>
      </w:r>
      <w:r w:rsidR="00D04A0A">
        <w:instrText xml:space="preserve"> \* MERGEFORMAT </w:instrText>
      </w:r>
      <w:r w:rsidR="00CE3F01" w:rsidRPr="00D04A0A">
        <w:fldChar w:fldCharType="separate"/>
      </w:r>
      <w:r w:rsidR="00333CFE">
        <w:t>6.46</w:t>
      </w:r>
      <w:r w:rsidR="00CE3F01" w:rsidRPr="00D04A0A">
        <w:fldChar w:fldCharType="end"/>
      </w:r>
      <w:r w:rsidR="005B4CBA" w:rsidRPr="00D04A0A">
        <w:t xml:space="preserve">, </w:t>
      </w:r>
      <w:r w:rsidR="00A56C9D" w:rsidRPr="00A272D3">
        <w:rPr>
          <w:iCs/>
        </w:rPr>
        <w:t xml:space="preserve">the ESC agreed with the evaluation that </w:t>
      </w:r>
      <w:r w:rsidR="005B4CBA" w:rsidRPr="00D04A0A">
        <w:t>this raises considerable uncertainty regarding the validity of the surrogate and how it is applied in the model.</w:t>
      </w:r>
    </w:p>
    <w:p w14:paraId="2DC753A1" w14:textId="1D95D484" w:rsidR="00F074F6" w:rsidRPr="00E20031" w:rsidRDefault="00F074F6" w:rsidP="00F074F6">
      <w:pPr>
        <w:pStyle w:val="Caption"/>
        <w:rPr>
          <w:rStyle w:val="CommentReference"/>
          <w:b/>
          <w:szCs w:val="24"/>
        </w:rPr>
      </w:pPr>
      <w:bookmarkStart w:id="75" w:name="_Ref207890969"/>
      <w:r w:rsidRPr="00E20031">
        <w:t xml:space="preserve">Table </w:t>
      </w:r>
      <w:r w:rsidR="004C5F7F">
        <w:fldChar w:fldCharType="begin"/>
      </w:r>
      <w:r w:rsidR="004C5F7F">
        <w:instrText xml:space="preserve"> SEQ Table \* ARABIC </w:instrText>
      </w:r>
      <w:r w:rsidR="004C5F7F">
        <w:fldChar w:fldCharType="separate"/>
      </w:r>
      <w:r w:rsidR="00333CFE">
        <w:rPr>
          <w:noProof/>
        </w:rPr>
        <w:t>11</w:t>
      </w:r>
      <w:r w:rsidR="004C5F7F">
        <w:rPr>
          <w:noProof/>
        </w:rPr>
        <w:fldChar w:fldCharType="end"/>
      </w:r>
      <w:bookmarkEnd w:id="75"/>
      <w:r w:rsidRPr="00E20031">
        <w:rPr>
          <w:rStyle w:val="CommentReference"/>
          <w:b/>
          <w:szCs w:val="24"/>
        </w:rPr>
        <w:t>: Results of the stepped economic evaluation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conducted during the evaluation"/>
      </w:tblPr>
      <w:tblGrid>
        <w:gridCol w:w="2757"/>
        <w:gridCol w:w="2451"/>
        <w:gridCol w:w="2298"/>
        <w:gridCol w:w="1511"/>
      </w:tblGrid>
      <w:tr w:rsidR="00F074F6" w:rsidRPr="00E20031" w14:paraId="03821CD2" w14:textId="77777777">
        <w:trPr>
          <w:tblHeader/>
        </w:trPr>
        <w:tc>
          <w:tcPr>
            <w:tcW w:w="1529" w:type="pct"/>
            <w:vAlign w:val="center"/>
          </w:tcPr>
          <w:p w14:paraId="52E014A7" w14:textId="77777777" w:rsidR="00F074F6" w:rsidRPr="00E20031" w:rsidRDefault="00F074F6" w:rsidP="00077D48">
            <w:pPr>
              <w:pStyle w:val="In-tableHeading"/>
            </w:pPr>
            <w:r w:rsidRPr="00E20031">
              <w:t>Step and component</w:t>
            </w:r>
          </w:p>
        </w:tc>
        <w:tc>
          <w:tcPr>
            <w:tcW w:w="1359" w:type="pct"/>
            <w:vAlign w:val="center"/>
          </w:tcPr>
          <w:p w14:paraId="79853F11" w14:textId="77777777" w:rsidR="00F074F6" w:rsidRPr="00E20031" w:rsidRDefault="00F074F6" w:rsidP="00077D48">
            <w:pPr>
              <w:pStyle w:val="In-tableHeading"/>
            </w:pPr>
            <w:r w:rsidRPr="00E20031">
              <w:t>Pegcetacoplan</w:t>
            </w:r>
          </w:p>
        </w:tc>
        <w:tc>
          <w:tcPr>
            <w:tcW w:w="1274" w:type="pct"/>
            <w:vAlign w:val="center"/>
          </w:tcPr>
          <w:p w14:paraId="07D16305" w14:textId="77777777" w:rsidR="00F074F6" w:rsidRPr="00E20031" w:rsidRDefault="00F074F6" w:rsidP="00077D48">
            <w:pPr>
              <w:pStyle w:val="In-tableHeading"/>
            </w:pPr>
            <w:r w:rsidRPr="00E20031">
              <w:t>BSC</w:t>
            </w:r>
          </w:p>
        </w:tc>
        <w:tc>
          <w:tcPr>
            <w:tcW w:w="838" w:type="pct"/>
            <w:vAlign w:val="center"/>
          </w:tcPr>
          <w:p w14:paraId="06D06367" w14:textId="77777777" w:rsidR="00F074F6" w:rsidRPr="00E20031" w:rsidRDefault="00F074F6" w:rsidP="00077D48">
            <w:pPr>
              <w:pStyle w:val="In-tableHeading"/>
            </w:pPr>
            <w:r w:rsidRPr="00E20031">
              <w:t>Increment</w:t>
            </w:r>
          </w:p>
        </w:tc>
      </w:tr>
      <w:tr w:rsidR="00F074F6" w:rsidRPr="00E20031" w14:paraId="3BAE1469" w14:textId="77777777">
        <w:tc>
          <w:tcPr>
            <w:tcW w:w="5000" w:type="pct"/>
            <w:gridSpan w:val="4"/>
            <w:vAlign w:val="center"/>
          </w:tcPr>
          <w:p w14:paraId="319852D2" w14:textId="77777777" w:rsidR="00F074F6" w:rsidRPr="00E20031" w:rsidRDefault="00F074F6">
            <w:pPr>
              <w:pStyle w:val="TableText0"/>
            </w:pPr>
            <w:r w:rsidRPr="00E20031">
              <w:t>Step 1: 24 month time horizon, based on BCVA outcomes in the trials</w:t>
            </w:r>
            <w:r w:rsidRPr="00E20031">
              <w:rPr>
                <w:vertAlign w:val="superscript"/>
              </w:rPr>
              <w:t>a</w:t>
            </w:r>
          </w:p>
        </w:tc>
      </w:tr>
      <w:tr w:rsidR="00F074F6" w:rsidRPr="00E20031" w14:paraId="58803023" w14:textId="77777777">
        <w:tc>
          <w:tcPr>
            <w:tcW w:w="1529" w:type="pct"/>
            <w:vAlign w:val="center"/>
          </w:tcPr>
          <w:p w14:paraId="2051DCFC" w14:textId="77777777" w:rsidR="00F074F6" w:rsidRPr="00E20031" w:rsidRDefault="00F074F6">
            <w:pPr>
              <w:pStyle w:val="TableText0"/>
              <w:rPr>
                <w:rFonts w:ascii="Times" w:hAnsi="Times"/>
              </w:rPr>
            </w:pPr>
            <w:r w:rsidRPr="00E20031">
              <w:t>Costs</w:t>
            </w:r>
          </w:p>
        </w:tc>
        <w:tc>
          <w:tcPr>
            <w:tcW w:w="1359" w:type="pct"/>
          </w:tcPr>
          <w:p w14:paraId="7F97650B" w14:textId="003D3B03" w:rsidR="00F074F6" w:rsidRPr="00E20031" w:rsidRDefault="00F074F6">
            <w:pPr>
              <w:pStyle w:val="TableText0"/>
              <w:jc w:val="center"/>
              <w:rPr>
                <w:rFonts w:ascii="Times" w:hAnsi="Times"/>
              </w:rPr>
            </w:pPr>
            <w:r w:rsidRPr="00E20031">
              <w:t>$</w:t>
            </w:r>
            <w:r w:rsidR="00794BDD" w:rsidRPr="00794BDD">
              <w:rPr>
                <w:highlight w:val="black"/>
              </w:rPr>
              <w:t>&amp;&amp;&amp;&amp;</w:t>
            </w:r>
          </w:p>
        </w:tc>
        <w:tc>
          <w:tcPr>
            <w:tcW w:w="1274" w:type="pct"/>
          </w:tcPr>
          <w:p w14:paraId="6E0C4B5B" w14:textId="77777777" w:rsidR="00F074F6" w:rsidRPr="00E20031" w:rsidRDefault="00F074F6">
            <w:pPr>
              <w:pStyle w:val="TableText0"/>
              <w:jc w:val="center"/>
              <w:rPr>
                <w:rFonts w:ascii="Times" w:hAnsi="Times"/>
              </w:rPr>
            </w:pPr>
            <w:r w:rsidRPr="00E20031">
              <w:t>$26,841</w:t>
            </w:r>
          </w:p>
        </w:tc>
        <w:tc>
          <w:tcPr>
            <w:tcW w:w="838" w:type="pct"/>
          </w:tcPr>
          <w:p w14:paraId="68B3E5B5" w14:textId="490DB16E" w:rsidR="00F074F6" w:rsidRPr="00E20031" w:rsidRDefault="00F074F6">
            <w:pPr>
              <w:pStyle w:val="TableText0"/>
              <w:jc w:val="center"/>
              <w:rPr>
                <w:rFonts w:ascii="Times" w:hAnsi="Times"/>
              </w:rPr>
            </w:pPr>
            <w:r w:rsidRPr="00E20031">
              <w:t>$</w:t>
            </w:r>
            <w:r w:rsidR="00794BDD" w:rsidRPr="00794BDD">
              <w:rPr>
                <w:highlight w:val="black"/>
              </w:rPr>
              <w:t>&amp;&amp;&amp;&amp;</w:t>
            </w:r>
          </w:p>
        </w:tc>
      </w:tr>
      <w:tr w:rsidR="00F074F6" w:rsidRPr="00E20031" w14:paraId="642A5ACC" w14:textId="77777777">
        <w:tc>
          <w:tcPr>
            <w:tcW w:w="1529" w:type="pct"/>
            <w:vAlign w:val="center"/>
          </w:tcPr>
          <w:p w14:paraId="48C39152" w14:textId="006A54BA" w:rsidR="00F074F6" w:rsidRPr="00E20031" w:rsidRDefault="00CD529F">
            <w:pPr>
              <w:pStyle w:val="TableText0"/>
              <w:rPr>
                <w:rFonts w:ascii="Times" w:hAnsi="Times"/>
              </w:rPr>
            </w:pPr>
            <w:r w:rsidRPr="00E20031">
              <w:t xml:space="preserve">Observed </w:t>
            </w:r>
            <w:r w:rsidR="00F074F6" w:rsidRPr="00E20031">
              <w:t>ETDRS letters lost</w:t>
            </w:r>
          </w:p>
        </w:tc>
        <w:tc>
          <w:tcPr>
            <w:tcW w:w="1359" w:type="pct"/>
          </w:tcPr>
          <w:p w14:paraId="11AAD221" w14:textId="77777777" w:rsidR="00F074F6" w:rsidRPr="00E20031" w:rsidRDefault="00F074F6">
            <w:pPr>
              <w:pStyle w:val="TableText0"/>
              <w:jc w:val="center"/>
              <w:rPr>
                <w:rFonts w:ascii="Times" w:hAnsi="Times"/>
              </w:rPr>
            </w:pPr>
            <w:r w:rsidRPr="00E20031">
              <w:t>8.73</w:t>
            </w:r>
          </w:p>
        </w:tc>
        <w:tc>
          <w:tcPr>
            <w:tcW w:w="1274" w:type="pct"/>
          </w:tcPr>
          <w:p w14:paraId="614BFF92" w14:textId="77777777" w:rsidR="00F074F6" w:rsidRPr="00E20031" w:rsidRDefault="00F074F6">
            <w:pPr>
              <w:pStyle w:val="TableText0"/>
              <w:jc w:val="center"/>
              <w:rPr>
                <w:rFonts w:ascii="Times" w:hAnsi="Times"/>
              </w:rPr>
            </w:pPr>
            <w:r w:rsidRPr="00E20031">
              <w:t>6.95</w:t>
            </w:r>
          </w:p>
        </w:tc>
        <w:tc>
          <w:tcPr>
            <w:tcW w:w="838" w:type="pct"/>
          </w:tcPr>
          <w:p w14:paraId="3B987E19" w14:textId="77777777" w:rsidR="00F074F6" w:rsidRPr="00E20031" w:rsidRDefault="00F074F6">
            <w:pPr>
              <w:pStyle w:val="TableText0"/>
              <w:jc w:val="center"/>
            </w:pPr>
            <w:r w:rsidRPr="00E20031">
              <w:t>1.78</w:t>
            </w:r>
          </w:p>
        </w:tc>
      </w:tr>
      <w:tr w:rsidR="00F074F6" w:rsidRPr="00E20031" w14:paraId="7C483B0E" w14:textId="77777777">
        <w:tc>
          <w:tcPr>
            <w:tcW w:w="4162" w:type="pct"/>
            <w:gridSpan w:val="3"/>
            <w:vAlign w:val="center"/>
          </w:tcPr>
          <w:p w14:paraId="47EA3C85" w14:textId="77777777" w:rsidR="00F074F6" w:rsidRPr="00E20031" w:rsidRDefault="00F074F6">
            <w:pPr>
              <w:pStyle w:val="TableText0"/>
              <w:rPr>
                <w:rFonts w:ascii="Times" w:hAnsi="Times"/>
              </w:rPr>
            </w:pPr>
            <w:r w:rsidRPr="00E20031">
              <w:t>Incremental cost/ETDRS letter saved</w:t>
            </w:r>
          </w:p>
        </w:tc>
        <w:tc>
          <w:tcPr>
            <w:tcW w:w="838" w:type="pct"/>
            <w:vAlign w:val="center"/>
          </w:tcPr>
          <w:p w14:paraId="00209030" w14:textId="57C9EE07" w:rsidR="00F074F6" w:rsidRPr="00B200F1" w:rsidRDefault="00F074F6">
            <w:pPr>
              <w:pStyle w:val="TableText0"/>
              <w:jc w:val="center"/>
              <w:rPr>
                <w:rFonts w:ascii="Times" w:hAnsi="Times"/>
                <w:vertAlign w:val="superscript"/>
              </w:rPr>
            </w:pPr>
            <w:r w:rsidRPr="00E20031">
              <w:t>$</w:t>
            </w:r>
            <w:r w:rsidR="00794BDD" w:rsidRPr="00794BDD">
              <w:rPr>
                <w:highlight w:val="black"/>
              </w:rPr>
              <w:t>&amp;&amp;&amp;&amp;</w:t>
            </w:r>
            <w:r w:rsidR="00B200F1">
              <w:rPr>
                <w:vertAlign w:val="superscript"/>
              </w:rPr>
              <w:t>1</w:t>
            </w:r>
          </w:p>
        </w:tc>
      </w:tr>
      <w:tr w:rsidR="00F074F6" w:rsidRPr="00E20031" w14:paraId="18BAD406" w14:textId="77777777">
        <w:tc>
          <w:tcPr>
            <w:tcW w:w="5000" w:type="pct"/>
            <w:gridSpan w:val="4"/>
            <w:vAlign w:val="center"/>
          </w:tcPr>
          <w:p w14:paraId="7A0E7C13" w14:textId="77777777" w:rsidR="00F074F6" w:rsidRPr="00E20031" w:rsidRDefault="00F074F6" w:rsidP="00077D48">
            <w:pPr>
              <w:pStyle w:val="In-tableHeading"/>
            </w:pPr>
            <w:r w:rsidRPr="00E20031">
              <w:t>Step 2: Switch to simulated BCVA outcomes based on microperimetry analysis, 24 month time horizon</w:t>
            </w:r>
          </w:p>
        </w:tc>
      </w:tr>
      <w:tr w:rsidR="00F074F6" w:rsidRPr="00E20031" w14:paraId="218C03A6" w14:textId="77777777">
        <w:tc>
          <w:tcPr>
            <w:tcW w:w="1529" w:type="pct"/>
            <w:vAlign w:val="center"/>
          </w:tcPr>
          <w:p w14:paraId="5264AC0A" w14:textId="77777777" w:rsidR="00F074F6" w:rsidRPr="00E20031" w:rsidRDefault="00F074F6">
            <w:pPr>
              <w:pStyle w:val="TableText0"/>
              <w:rPr>
                <w:rFonts w:ascii="Times" w:hAnsi="Times"/>
              </w:rPr>
            </w:pPr>
            <w:r w:rsidRPr="00E20031">
              <w:t>Costs</w:t>
            </w:r>
          </w:p>
        </w:tc>
        <w:tc>
          <w:tcPr>
            <w:tcW w:w="1359" w:type="pct"/>
          </w:tcPr>
          <w:p w14:paraId="7B28EEDF" w14:textId="171D2448" w:rsidR="00F074F6" w:rsidRPr="00E20031" w:rsidRDefault="00F074F6">
            <w:pPr>
              <w:pStyle w:val="TableText0"/>
              <w:jc w:val="center"/>
              <w:rPr>
                <w:rFonts w:ascii="Times" w:hAnsi="Times"/>
              </w:rPr>
            </w:pPr>
            <w:r w:rsidRPr="00E20031">
              <w:t>$</w:t>
            </w:r>
            <w:r w:rsidR="00794BDD" w:rsidRPr="00794BDD">
              <w:rPr>
                <w:highlight w:val="black"/>
              </w:rPr>
              <w:t>&amp;&amp;&amp;&amp;</w:t>
            </w:r>
          </w:p>
        </w:tc>
        <w:tc>
          <w:tcPr>
            <w:tcW w:w="1274" w:type="pct"/>
          </w:tcPr>
          <w:p w14:paraId="6C60C8C9" w14:textId="77777777" w:rsidR="00F074F6" w:rsidRPr="00E20031" w:rsidRDefault="00F074F6">
            <w:pPr>
              <w:pStyle w:val="TableText0"/>
              <w:jc w:val="center"/>
              <w:rPr>
                <w:rFonts w:ascii="Times" w:hAnsi="Times"/>
              </w:rPr>
            </w:pPr>
            <w:r w:rsidRPr="00E20031">
              <w:t>$26,841</w:t>
            </w:r>
          </w:p>
        </w:tc>
        <w:tc>
          <w:tcPr>
            <w:tcW w:w="838" w:type="pct"/>
          </w:tcPr>
          <w:p w14:paraId="5803B6E3" w14:textId="7454C9A9" w:rsidR="00F074F6" w:rsidRPr="00E20031" w:rsidRDefault="00F074F6">
            <w:pPr>
              <w:pStyle w:val="TableText0"/>
              <w:jc w:val="center"/>
              <w:rPr>
                <w:rFonts w:ascii="Times" w:hAnsi="Times"/>
              </w:rPr>
            </w:pPr>
            <w:r w:rsidRPr="00E20031">
              <w:t>$</w:t>
            </w:r>
            <w:r w:rsidR="00794BDD" w:rsidRPr="00794BDD">
              <w:rPr>
                <w:highlight w:val="black"/>
              </w:rPr>
              <w:t>&amp;&amp;&amp;&amp;</w:t>
            </w:r>
          </w:p>
        </w:tc>
      </w:tr>
      <w:tr w:rsidR="00F074F6" w:rsidRPr="00E20031" w14:paraId="3B677983" w14:textId="77777777">
        <w:tc>
          <w:tcPr>
            <w:tcW w:w="1529" w:type="pct"/>
            <w:vAlign w:val="center"/>
          </w:tcPr>
          <w:p w14:paraId="1374C156" w14:textId="7280ECD8" w:rsidR="00F074F6" w:rsidRPr="00E20031" w:rsidRDefault="00CD529F">
            <w:pPr>
              <w:pStyle w:val="TableText0"/>
              <w:rPr>
                <w:rFonts w:ascii="Times" w:hAnsi="Times"/>
                <w:vertAlign w:val="superscript"/>
              </w:rPr>
            </w:pPr>
            <w:r w:rsidRPr="00E20031">
              <w:t xml:space="preserve">Modelled </w:t>
            </w:r>
            <w:r w:rsidR="00F074F6" w:rsidRPr="00E20031">
              <w:t>ETDRS letters lost</w:t>
            </w:r>
            <w:r w:rsidR="00F074F6" w:rsidRPr="00E20031">
              <w:rPr>
                <w:vertAlign w:val="superscript"/>
              </w:rPr>
              <w:t>b</w:t>
            </w:r>
          </w:p>
        </w:tc>
        <w:tc>
          <w:tcPr>
            <w:tcW w:w="1359" w:type="pct"/>
            <w:vAlign w:val="center"/>
          </w:tcPr>
          <w:p w14:paraId="0129C568" w14:textId="17F8A8EF" w:rsidR="00F074F6" w:rsidRPr="00E20031" w:rsidRDefault="00397B07">
            <w:pPr>
              <w:pStyle w:val="TableText0"/>
              <w:jc w:val="center"/>
              <w:rPr>
                <w:rFonts w:ascii="Times" w:hAnsi="Times"/>
              </w:rPr>
            </w:pPr>
            <w:r>
              <w:noBreakHyphen/>
            </w:r>
            <w:r w:rsidR="00F074F6" w:rsidRPr="00E20031">
              <w:t>19.81</w:t>
            </w:r>
          </w:p>
        </w:tc>
        <w:tc>
          <w:tcPr>
            <w:tcW w:w="1274" w:type="pct"/>
            <w:vAlign w:val="center"/>
          </w:tcPr>
          <w:p w14:paraId="3A86CCFF" w14:textId="6E632E55" w:rsidR="00F074F6" w:rsidRPr="00E20031" w:rsidRDefault="00397B07">
            <w:pPr>
              <w:pStyle w:val="TableText0"/>
              <w:jc w:val="center"/>
              <w:rPr>
                <w:rFonts w:ascii="Times" w:hAnsi="Times"/>
              </w:rPr>
            </w:pPr>
            <w:r>
              <w:noBreakHyphen/>
            </w:r>
            <w:r w:rsidR="00F074F6" w:rsidRPr="00E20031">
              <w:t>25.80</w:t>
            </w:r>
          </w:p>
        </w:tc>
        <w:tc>
          <w:tcPr>
            <w:tcW w:w="838" w:type="pct"/>
            <w:vAlign w:val="center"/>
          </w:tcPr>
          <w:p w14:paraId="60731E8A" w14:textId="77777777" w:rsidR="00F074F6" w:rsidRPr="00E20031" w:rsidRDefault="00F074F6">
            <w:pPr>
              <w:pStyle w:val="TableText0"/>
              <w:jc w:val="center"/>
            </w:pPr>
            <w:r w:rsidRPr="00E20031">
              <w:t>5.96</w:t>
            </w:r>
          </w:p>
        </w:tc>
      </w:tr>
      <w:tr w:rsidR="00F074F6" w:rsidRPr="00E20031" w14:paraId="194028B1" w14:textId="77777777">
        <w:tc>
          <w:tcPr>
            <w:tcW w:w="4162" w:type="pct"/>
            <w:gridSpan w:val="3"/>
            <w:vAlign w:val="center"/>
          </w:tcPr>
          <w:p w14:paraId="0BAD6737" w14:textId="77777777" w:rsidR="00F074F6" w:rsidRPr="00E20031" w:rsidRDefault="00F074F6">
            <w:pPr>
              <w:pStyle w:val="TableText0"/>
              <w:rPr>
                <w:rFonts w:ascii="Times" w:hAnsi="Times"/>
              </w:rPr>
            </w:pPr>
            <w:r w:rsidRPr="00E20031">
              <w:t>Incremental cost/ ETDRS letter saved</w:t>
            </w:r>
          </w:p>
        </w:tc>
        <w:tc>
          <w:tcPr>
            <w:tcW w:w="838" w:type="pct"/>
            <w:vAlign w:val="center"/>
          </w:tcPr>
          <w:p w14:paraId="165D6D8B" w14:textId="0B0B9D5B" w:rsidR="00F074F6" w:rsidRPr="00C47CB6" w:rsidRDefault="00F074F6">
            <w:pPr>
              <w:pStyle w:val="TableText0"/>
              <w:jc w:val="center"/>
              <w:rPr>
                <w:rFonts w:ascii="Times" w:hAnsi="Times"/>
                <w:vertAlign w:val="superscript"/>
              </w:rPr>
            </w:pPr>
            <w:r w:rsidRPr="00E20031">
              <w:t>$</w:t>
            </w:r>
            <w:r w:rsidR="00794BDD" w:rsidRPr="00794BDD">
              <w:rPr>
                <w:highlight w:val="black"/>
              </w:rPr>
              <w:t>&amp;&amp;&amp;&amp;</w:t>
            </w:r>
            <w:r w:rsidR="00C47CB6">
              <w:rPr>
                <w:vertAlign w:val="superscript"/>
              </w:rPr>
              <w:t>2</w:t>
            </w:r>
          </w:p>
        </w:tc>
      </w:tr>
      <w:tr w:rsidR="00F074F6" w:rsidRPr="00E20031" w14:paraId="56A1E01D" w14:textId="77777777">
        <w:tc>
          <w:tcPr>
            <w:tcW w:w="5000" w:type="pct"/>
            <w:gridSpan w:val="4"/>
            <w:vAlign w:val="center"/>
          </w:tcPr>
          <w:p w14:paraId="4D65D4CF" w14:textId="3C9E6393" w:rsidR="00F074F6" w:rsidRPr="00E20031" w:rsidRDefault="00F074F6">
            <w:pPr>
              <w:pStyle w:val="TableText0"/>
              <w:rPr>
                <w:b/>
                <w:bCs w:val="0"/>
              </w:rPr>
            </w:pPr>
            <w:r w:rsidRPr="00E20031">
              <w:rPr>
                <w:b/>
                <w:bCs w:val="0"/>
              </w:rPr>
              <w:t>Step 3: Converting BCVA to utilities and extrapolate out to 20 years</w:t>
            </w:r>
            <w:r w:rsidR="003F4D68" w:rsidRPr="00E20031">
              <w:rPr>
                <w:b/>
                <w:bCs w:val="0"/>
              </w:rPr>
              <w:t>, 5% discounting</w:t>
            </w:r>
            <w:r w:rsidRPr="00E20031">
              <w:rPr>
                <w:b/>
                <w:bCs w:val="0"/>
              </w:rPr>
              <w:t xml:space="preserve"> (base case)</w:t>
            </w:r>
          </w:p>
        </w:tc>
      </w:tr>
      <w:tr w:rsidR="00F074F6" w:rsidRPr="00E20031" w14:paraId="472E4BE9" w14:textId="77777777">
        <w:tc>
          <w:tcPr>
            <w:tcW w:w="1529" w:type="pct"/>
            <w:vAlign w:val="center"/>
          </w:tcPr>
          <w:p w14:paraId="1B1FAD5A" w14:textId="77777777" w:rsidR="00F074F6" w:rsidRPr="00E20031" w:rsidRDefault="00F074F6">
            <w:pPr>
              <w:pStyle w:val="TableText0"/>
            </w:pPr>
            <w:r w:rsidRPr="00E20031">
              <w:t>Costs</w:t>
            </w:r>
          </w:p>
        </w:tc>
        <w:tc>
          <w:tcPr>
            <w:tcW w:w="1359" w:type="pct"/>
          </w:tcPr>
          <w:p w14:paraId="294A0FFE" w14:textId="3D13ACBD" w:rsidR="00F074F6" w:rsidRPr="00E20031" w:rsidRDefault="00F074F6">
            <w:pPr>
              <w:pStyle w:val="TableText0"/>
              <w:jc w:val="center"/>
            </w:pPr>
            <w:r w:rsidRPr="00E20031">
              <w:t>$</w:t>
            </w:r>
            <w:r w:rsidR="00794BDD" w:rsidRPr="00794BDD">
              <w:rPr>
                <w:highlight w:val="black"/>
              </w:rPr>
              <w:t>&amp;&amp;&amp;&amp;</w:t>
            </w:r>
          </w:p>
        </w:tc>
        <w:tc>
          <w:tcPr>
            <w:tcW w:w="1274" w:type="pct"/>
          </w:tcPr>
          <w:p w14:paraId="195442E4" w14:textId="77777777" w:rsidR="00F074F6" w:rsidRPr="00E20031" w:rsidRDefault="00F074F6">
            <w:pPr>
              <w:pStyle w:val="TableText0"/>
              <w:jc w:val="center"/>
            </w:pPr>
            <w:r w:rsidRPr="00E20031">
              <w:t>$255,719</w:t>
            </w:r>
          </w:p>
        </w:tc>
        <w:tc>
          <w:tcPr>
            <w:tcW w:w="838" w:type="pct"/>
          </w:tcPr>
          <w:p w14:paraId="5096E078" w14:textId="614DA7BA" w:rsidR="00F074F6" w:rsidRPr="00E20031" w:rsidRDefault="00F074F6">
            <w:pPr>
              <w:pStyle w:val="TableText0"/>
              <w:jc w:val="center"/>
            </w:pPr>
            <w:r w:rsidRPr="00E20031">
              <w:t>$</w:t>
            </w:r>
            <w:r w:rsidR="00794BDD" w:rsidRPr="00794BDD">
              <w:rPr>
                <w:highlight w:val="black"/>
              </w:rPr>
              <w:t>&amp;&amp;&amp;&amp;</w:t>
            </w:r>
          </w:p>
        </w:tc>
      </w:tr>
      <w:tr w:rsidR="00F074F6" w:rsidRPr="00E20031" w14:paraId="0AA958C7" w14:textId="77777777">
        <w:tc>
          <w:tcPr>
            <w:tcW w:w="1529" w:type="pct"/>
            <w:vAlign w:val="center"/>
          </w:tcPr>
          <w:p w14:paraId="56230E33" w14:textId="77777777" w:rsidR="00F074F6" w:rsidRPr="00E20031" w:rsidRDefault="00F074F6">
            <w:pPr>
              <w:pStyle w:val="TableText0"/>
            </w:pPr>
            <w:r w:rsidRPr="00E20031">
              <w:t>QALYs</w:t>
            </w:r>
          </w:p>
        </w:tc>
        <w:tc>
          <w:tcPr>
            <w:tcW w:w="1359" w:type="pct"/>
            <w:vAlign w:val="center"/>
          </w:tcPr>
          <w:p w14:paraId="19E48B3A" w14:textId="77777777" w:rsidR="00F074F6" w:rsidRPr="00E20031" w:rsidRDefault="00F074F6">
            <w:pPr>
              <w:pStyle w:val="TableText0"/>
              <w:jc w:val="center"/>
            </w:pPr>
            <w:r w:rsidRPr="00E20031">
              <w:t>4.72</w:t>
            </w:r>
          </w:p>
        </w:tc>
        <w:tc>
          <w:tcPr>
            <w:tcW w:w="1274" w:type="pct"/>
            <w:vAlign w:val="center"/>
          </w:tcPr>
          <w:p w14:paraId="6FBDFB98" w14:textId="77777777" w:rsidR="00F074F6" w:rsidRPr="00E20031" w:rsidRDefault="00F074F6">
            <w:pPr>
              <w:pStyle w:val="TableText0"/>
              <w:jc w:val="center"/>
            </w:pPr>
            <w:r w:rsidRPr="00E20031">
              <w:t>4.46</w:t>
            </w:r>
          </w:p>
        </w:tc>
        <w:tc>
          <w:tcPr>
            <w:tcW w:w="838" w:type="pct"/>
            <w:vAlign w:val="center"/>
          </w:tcPr>
          <w:p w14:paraId="6669FA04" w14:textId="77777777" w:rsidR="00F074F6" w:rsidRPr="00E20031" w:rsidRDefault="00F074F6">
            <w:pPr>
              <w:pStyle w:val="TableText0"/>
              <w:jc w:val="center"/>
            </w:pPr>
            <w:r w:rsidRPr="00E20031">
              <w:t>0.26</w:t>
            </w:r>
          </w:p>
        </w:tc>
      </w:tr>
      <w:tr w:rsidR="00F074F6" w:rsidRPr="00E20031" w14:paraId="43F0A2C9" w14:textId="77777777">
        <w:tc>
          <w:tcPr>
            <w:tcW w:w="4162" w:type="pct"/>
            <w:gridSpan w:val="3"/>
            <w:vAlign w:val="center"/>
          </w:tcPr>
          <w:p w14:paraId="1DBF7E4C" w14:textId="77777777" w:rsidR="00F074F6" w:rsidRPr="00E20031" w:rsidRDefault="00F074F6">
            <w:pPr>
              <w:pStyle w:val="TableText0"/>
              <w:rPr>
                <w:b/>
                <w:bCs w:val="0"/>
              </w:rPr>
            </w:pPr>
            <w:r w:rsidRPr="00E20031">
              <w:rPr>
                <w:b/>
                <w:bCs w:val="0"/>
              </w:rPr>
              <w:t>Incremental cost/QALY gained</w:t>
            </w:r>
          </w:p>
        </w:tc>
        <w:tc>
          <w:tcPr>
            <w:tcW w:w="838" w:type="pct"/>
            <w:vAlign w:val="center"/>
          </w:tcPr>
          <w:p w14:paraId="565CDF55" w14:textId="58C614A0" w:rsidR="00F074F6" w:rsidRPr="00DC3F4A" w:rsidRDefault="00F074F6">
            <w:pPr>
              <w:pStyle w:val="TableText0"/>
              <w:jc w:val="center"/>
              <w:rPr>
                <w:vertAlign w:val="superscript"/>
              </w:rPr>
            </w:pPr>
            <w:r w:rsidRPr="00E20031">
              <w:rPr>
                <w:b/>
                <w:bCs w:val="0"/>
              </w:rPr>
              <w:t>$</w:t>
            </w:r>
            <w:r w:rsidR="00794BDD" w:rsidRPr="00794BDD">
              <w:rPr>
                <w:b/>
                <w:bCs w:val="0"/>
                <w:highlight w:val="black"/>
              </w:rPr>
              <w:t>&amp;&amp;&amp;&amp;</w:t>
            </w:r>
            <w:r w:rsidR="00C47CB6">
              <w:rPr>
                <w:vertAlign w:val="superscript"/>
              </w:rPr>
              <w:t>3</w:t>
            </w:r>
          </w:p>
        </w:tc>
      </w:tr>
    </w:tbl>
    <w:p w14:paraId="01A1C9DF" w14:textId="77777777" w:rsidR="00F074F6" w:rsidRPr="00E20031" w:rsidRDefault="00F074F6" w:rsidP="005A0EA7">
      <w:pPr>
        <w:pStyle w:val="TableFigureFooter"/>
      </w:pPr>
      <w:r w:rsidRPr="00E20031">
        <w:t xml:space="preserve">Source: </w:t>
      </w:r>
      <w:r w:rsidRPr="00406928">
        <w:t>Constructed during the evaluation from the</w:t>
      </w:r>
      <w:r w:rsidRPr="00A272D3">
        <w:rPr>
          <w:iCs/>
        </w:rPr>
        <w:t xml:space="preserve"> </w:t>
      </w:r>
      <w:r w:rsidRPr="00E20031">
        <w:t>“A3.1_Pegcetacoplan PBAC CE model submission 2025 vF” attachment provided with the submission.</w:t>
      </w:r>
    </w:p>
    <w:p w14:paraId="36CA231D" w14:textId="7802AFC6" w:rsidR="00F074F6" w:rsidRPr="00E20031" w:rsidRDefault="00F074F6" w:rsidP="005A0EA7">
      <w:pPr>
        <w:pStyle w:val="TableFigureFooter"/>
      </w:pPr>
      <w:r w:rsidRPr="00E20031">
        <w:t>BCVA = best corrected visual acuity; BSC = best supportive care; ETDRS = Early Treatment Diabetic Retinopathy Study;</w:t>
      </w:r>
      <w:r w:rsidR="00E16BDB" w:rsidRPr="00E20031">
        <w:t xml:space="preserve"> mITT = modified intent to treat;</w:t>
      </w:r>
      <w:r w:rsidRPr="00E20031">
        <w:t xml:space="preserve"> QALY = quality</w:t>
      </w:r>
      <w:r w:rsidR="00397B07">
        <w:noBreakHyphen/>
      </w:r>
      <w:r w:rsidRPr="00E20031">
        <w:t>adjusted life year</w:t>
      </w:r>
    </w:p>
    <w:p w14:paraId="5AA0AD07" w14:textId="668026A3" w:rsidR="00F074F6" w:rsidRDefault="00F074F6" w:rsidP="005A0EA7">
      <w:pPr>
        <w:pStyle w:val="TableFigureFooter"/>
      </w:pPr>
      <w:r w:rsidRPr="00E20031">
        <w:rPr>
          <w:vertAlign w:val="superscript"/>
        </w:rPr>
        <w:t>a</w:t>
      </w:r>
      <w:r w:rsidRPr="00E20031">
        <w:t xml:space="preserve"> Based on the mITT populations of DERBY and OAKS, weighted by the number of patients in each trial.</w:t>
      </w:r>
    </w:p>
    <w:p w14:paraId="495CD43D" w14:textId="77777777" w:rsidR="001B79AB" w:rsidRDefault="000A617B" w:rsidP="001B79AB">
      <w:pPr>
        <w:pStyle w:val="TableFigureFooter"/>
        <w:rPr>
          <w:i/>
          <w:szCs w:val="18"/>
        </w:rPr>
      </w:pPr>
      <w:r>
        <w:rPr>
          <w:vertAlign w:val="superscript"/>
        </w:rPr>
        <w:t xml:space="preserve">b </w:t>
      </w:r>
      <w:r>
        <w:t>Simulated BCVA outcomes based on the submission’s surrogate outcome (</w:t>
      </w:r>
      <w:r w:rsidRPr="00E20031">
        <w:t>time to central 16 scotomatous points</w:t>
      </w:r>
      <w:r>
        <w:t>)</w:t>
      </w:r>
    </w:p>
    <w:p w14:paraId="63C37DDF" w14:textId="0FBC6434" w:rsidR="001B79AB" w:rsidRPr="001B79AB" w:rsidRDefault="001B79AB" w:rsidP="001B79AB">
      <w:pPr>
        <w:pStyle w:val="TableFigureFooter"/>
        <w:rPr>
          <w:i/>
        </w:rPr>
      </w:pPr>
      <w:r w:rsidRPr="001B79AB">
        <w:rPr>
          <w:i/>
        </w:rPr>
        <w:t xml:space="preserve">The redacted values correspond to the following ranges: </w:t>
      </w:r>
    </w:p>
    <w:p w14:paraId="5DC0CB5F" w14:textId="3E046D2E" w:rsidR="001B79AB" w:rsidRPr="001B79AB" w:rsidRDefault="001B79AB" w:rsidP="001B79AB">
      <w:pPr>
        <w:pStyle w:val="TableFigureFooter"/>
        <w:rPr>
          <w:i/>
        </w:rPr>
      </w:pPr>
      <w:r w:rsidRPr="001B79AB">
        <w:rPr>
          <w:i/>
          <w:vertAlign w:val="superscript"/>
        </w:rPr>
        <w:t>1</w:t>
      </w:r>
      <w:r w:rsidRPr="001B79AB">
        <w:rPr>
          <w:i/>
        </w:rPr>
        <w:t xml:space="preserve"> </w:t>
      </w:r>
      <w:r w:rsidR="00EA0299" w:rsidRPr="00EA0299">
        <w:rPr>
          <w:i/>
        </w:rPr>
        <w:t xml:space="preserve">$5,000 to &lt; $15,000 </w:t>
      </w:r>
    </w:p>
    <w:p w14:paraId="4846E2EA" w14:textId="165448DB" w:rsidR="001B79AB" w:rsidRPr="001B79AB" w:rsidRDefault="001B79AB" w:rsidP="001B79AB">
      <w:pPr>
        <w:pStyle w:val="TableFigureFooter"/>
        <w:rPr>
          <w:i/>
        </w:rPr>
      </w:pPr>
      <w:r w:rsidRPr="001B79AB">
        <w:rPr>
          <w:i/>
          <w:vertAlign w:val="superscript"/>
        </w:rPr>
        <w:t>2</w:t>
      </w:r>
      <w:r w:rsidRPr="001B79AB">
        <w:rPr>
          <w:i/>
        </w:rPr>
        <w:t xml:space="preserve"> </w:t>
      </w:r>
      <w:r w:rsidR="00C47CB6" w:rsidRPr="00C47CB6">
        <w:rPr>
          <w:i/>
        </w:rPr>
        <w:t>$0 to &lt; $5,000</w:t>
      </w:r>
    </w:p>
    <w:p w14:paraId="627BF7F5" w14:textId="135C532C" w:rsidR="001B79AB" w:rsidRPr="001B79AB" w:rsidRDefault="001B79AB" w:rsidP="001B79AB">
      <w:pPr>
        <w:pStyle w:val="TableFigureFooter"/>
        <w:rPr>
          <w:i/>
        </w:rPr>
      </w:pPr>
      <w:r w:rsidRPr="001B79AB">
        <w:rPr>
          <w:i/>
          <w:vertAlign w:val="superscript"/>
        </w:rPr>
        <w:t>3</w:t>
      </w:r>
      <w:r w:rsidRPr="001B79AB">
        <w:rPr>
          <w:i/>
        </w:rPr>
        <w:t xml:space="preserve"> </w:t>
      </w:r>
      <w:r w:rsidR="00E23C8E" w:rsidRPr="00E23C8E">
        <w:rPr>
          <w:i/>
        </w:rPr>
        <w:t>$45,000 to &lt; $55,000</w:t>
      </w:r>
    </w:p>
    <w:p w14:paraId="49549727" w14:textId="48E460BF" w:rsidR="000A617B" w:rsidRPr="000A617B" w:rsidRDefault="000A617B" w:rsidP="00A75853">
      <w:pPr>
        <w:pStyle w:val="TableFigureFooter"/>
      </w:pPr>
    </w:p>
    <w:p w14:paraId="44EA91C2" w14:textId="23F57B8C" w:rsidR="00E16BDB" w:rsidRPr="00D04A0A" w:rsidRDefault="00E16BDB" w:rsidP="00BB732D">
      <w:pPr>
        <w:pStyle w:val="3-BodyText"/>
      </w:pPr>
      <w:r w:rsidRPr="00D04A0A">
        <w:t>Markov traces were constructed during the evaluation (</w:t>
      </w:r>
      <w:r w:rsidRPr="007F1495">
        <w:t xml:space="preserve">see </w:t>
      </w:r>
      <w:r w:rsidRPr="007F1495">
        <w:fldChar w:fldCharType="begin"/>
      </w:r>
      <w:r w:rsidRPr="007F1495">
        <w:instrText xml:space="preserve"> REF _Ref205559791 \h  \* MERGEFORMAT </w:instrText>
      </w:r>
      <w:r w:rsidRPr="007F1495">
        <w:fldChar w:fldCharType="separate"/>
      </w:r>
      <w:r w:rsidR="00333CFE" w:rsidRPr="00E20031">
        <w:t xml:space="preserve">Figure </w:t>
      </w:r>
      <w:r w:rsidR="00333CFE">
        <w:t>1</w:t>
      </w:r>
      <w:r w:rsidRPr="007F1495">
        <w:fldChar w:fldCharType="end"/>
      </w:r>
      <w:r w:rsidRPr="00D04A0A">
        <w:t xml:space="preserve">). </w:t>
      </w:r>
      <w:r w:rsidR="00CE3F01" w:rsidRPr="00D04A0A">
        <w:t>Membership in the pegcetacoplan ≤35 letters health state never reaches the same proportion of patients in the BSC arm, most likely because pegcetacoplan delays progression so many patients die before reaching this health state. Prevention of progression to this health state (associated with low utilities and high costs) is a significant model driver.</w:t>
      </w:r>
    </w:p>
    <w:p w14:paraId="0B1DD35A" w14:textId="31A5E960" w:rsidR="00E16BDB" w:rsidRPr="00A272D3" w:rsidRDefault="00E16BDB" w:rsidP="006F761B">
      <w:pPr>
        <w:pStyle w:val="Caption"/>
        <w:rPr>
          <w:b w:val="0"/>
          <w:iCs/>
        </w:rPr>
      </w:pPr>
      <w:bookmarkStart w:id="76" w:name="_Ref205559791"/>
      <w:r w:rsidRPr="00E20031">
        <w:lastRenderedPageBreak/>
        <w:t xml:space="preserve">Figure </w:t>
      </w:r>
      <w:r w:rsidR="004C5F7F">
        <w:fldChar w:fldCharType="begin"/>
      </w:r>
      <w:r w:rsidR="004C5F7F">
        <w:instrText xml:space="preserve"> SEQ Figure \* ARABIC </w:instrText>
      </w:r>
      <w:r w:rsidR="004C5F7F">
        <w:fldChar w:fldCharType="separate"/>
      </w:r>
      <w:r w:rsidR="00333CFE">
        <w:rPr>
          <w:noProof/>
        </w:rPr>
        <w:t>1</w:t>
      </w:r>
      <w:r w:rsidR="004C5F7F">
        <w:rPr>
          <w:noProof/>
        </w:rPr>
        <w:fldChar w:fldCharType="end"/>
      </w:r>
      <w:bookmarkEnd w:id="76"/>
      <w:r w:rsidRPr="00E20031">
        <w:t>: Health state membership over the time horizon</w:t>
      </w:r>
    </w:p>
    <w:p w14:paraId="1241CD35" w14:textId="77777777" w:rsidR="00E16BDB" w:rsidRPr="00E20031" w:rsidRDefault="00E16BDB" w:rsidP="006F761B">
      <w:pPr>
        <w:keepNext/>
      </w:pPr>
      <w:r w:rsidRPr="00E20031">
        <w:rPr>
          <w:noProof/>
        </w:rPr>
        <w:drawing>
          <wp:inline distT="0" distB="0" distL="0" distR="0" wp14:anchorId="542F247E" wp14:editId="182512C3">
            <wp:extent cx="5796951" cy="3574818"/>
            <wp:effectExtent l="0" t="0" r="0" b="6985"/>
            <wp:docPr id="388305230" name="Picture 6" descr="Figure 1: Health state membership over the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05230" name="Picture 6" descr="Figure 1: Health state membership over the time horiz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9050" cy="3582279"/>
                    </a:xfrm>
                    <a:prstGeom prst="rect">
                      <a:avLst/>
                    </a:prstGeom>
                    <a:noFill/>
                  </pic:spPr>
                </pic:pic>
              </a:graphicData>
            </a:graphic>
          </wp:inline>
        </w:drawing>
      </w:r>
    </w:p>
    <w:p w14:paraId="016A35DC" w14:textId="77777777" w:rsidR="00E16BDB" w:rsidRPr="00E20031" w:rsidRDefault="00E16BDB" w:rsidP="006F761B">
      <w:pPr>
        <w:pStyle w:val="TableFigureFooter"/>
        <w:keepNext/>
      </w:pPr>
      <w:r w:rsidRPr="00E20031">
        <w:t xml:space="preserve">Source: </w:t>
      </w:r>
      <w:r w:rsidRPr="00406928">
        <w:t>Constructed during the evaluation from the</w:t>
      </w:r>
      <w:r w:rsidRPr="00A272D3">
        <w:rPr>
          <w:iCs/>
        </w:rPr>
        <w:t xml:space="preserve"> </w:t>
      </w:r>
      <w:r w:rsidRPr="00E20031">
        <w:t>“A3.1_Pegcetacoplan PBAC CE model submission 2025 vF” attachment provided with the submission.</w:t>
      </w:r>
    </w:p>
    <w:p w14:paraId="0430878E" w14:textId="51982AA0" w:rsidR="00E16BDB" w:rsidRPr="00E20031" w:rsidRDefault="00E16BDB" w:rsidP="005A0EA7">
      <w:pPr>
        <w:pStyle w:val="TableFigureFooter"/>
      </w:pPr>
      <w:r w:rsidRPr="00E20031">
        <w:t>BSC = best supportive care; PEG = pegcetacoplan</w:t>
      </w:r>
      <w:bookmarkStart w:id="77" w:name="_Ref104804865"/>
    </w:p>
    <w:p w14:paraId="5B1A86B4" w14:textId="026ABBB5" w:rsidR="00E16BDB" w:rsidRPr="00D04A0A" w:rsidRDefault="00E16BDB" w:rsidP="00E16BDB">
      <w:pPr>
        <w:pStyle w:val="3-BodyText"/>
      </w:pPr>
      <w:r w:rsidRPr="00E20031">
        <w:t xml:space="preserve">The disaggregated and aggregated costs and outcomes are presented in </w:t>
      </w:r>
      <w:r w:rsidR="00740EEB" w:rsidRPr="00E20031">
        <w:fldChar w:fldCharType="begin"/>
      </w:r>
      <w:r w:rsidR="00740EEB" w:rsidRPr="00E20031">
        <w:instrText xml:space="preserve"> REF _Ref205560190 \h </w:instrText>
      </w:r>
      <w:r w:rsidR="00740EEB" w:rsidRPr="00E20031">
        <w:fldChar w:fldCharType="separate"/>
      </w:r>
      <w:r w:rsidR="00333CFE" w:rsidRPr="00E20031">
        <w:t xml:space="preserve">Table </w:t>
      </w:r>
      <w:r w:rsidR="00333CFE">
        <w:rPr>
          <w:noProof/>
        </w:rPr>
        <w:t>12</w:t>
      </w:r>
      <w:r w:rsidR="00740EEB" w:rsidRPr="00E20031">
        <w:fldChar w:fldCharType="end"/>
      </w:r>
      <w:r w:rsidRPr="00E20031">
        <w:t xml:space="preserve">. </w:t>
      </w:r>
      <w:r w:rsidRPr="00D04A0A">
        <w:t>Pegcetacoplan costs make up the majority of the incremental costs between the two arms. Health state costs for the 51</w:t>
      </w:r>
      <w:r w:rsidR="00397B07">
        <w:noBreakHyphen/>
      </w:r>
      <w:r w:rsidRPr="00D04A0A">
        <w:t>65 and 36</w:t>
      </w:r>
      <w:r w:rsidR="00397B07">
        <w:noBreakHyphen/>
      </w:r>
      <w:r w:rsidRPr="00D04A0A">
        <w:t xml:space="preserve">50 letters health state also make up substantial incremental costs, </w:t>
      </w:r>
      <w:r w:rsidR="00474A69">
        <w:t>as</w:t>
      </w:r>
      <w:r w:rsidRPr="00D04A0A">
        <w:t xml:space="preserve"> pegcetacoplan patients spend longer times in </w:t>
      </w:r>
      <w:r w:rsidR="000A617B" w:rsidRPr="00D04A0A">
        <w:t xml:space="preserve">these </w:t>
      </w:r>
      <w:r w:rsidRPr="00D04A0A">
        <w:t>health state</w:t>
      </w:r>
      <w:r w:rsidR="000A617B" w:rsidRPr="00D04A0A">
        <w:t>s</w:t>
      </w:r>
      <w:r w:rsidRPr="00D04A0A">
        <w:t xml:space="preserve"> than BSC patients. </w:t>
      </w:r>
      <w:r w:rsidR="00604CF1" w:rsidRPr="00A272D3">
        <w:rPr>
          <w:iCs/>
        </w:rPr>
        <w:t xml:space="preserve">The ESC noted that </w:t>
      </w:r>
      <w:r w:rsidR="00604CF1">
        <w:t>m</w:t>
      </w:r>
      <w:r w:rsidR="003F4D68" w:rsidRPr="00D04A0A">
        <w:t>ost</w:t>
      </w:r>
      <w:r w:rsidRPr="00D04A0A">
        <w:t xml:space="preserve"> cost savings result from delaying or avoiding entirely pegcetacoplan patients entering the ≤35 letters health state</w:t>
      </w:r>
      <w:r w:rsidR="00474A69">
        <w:t>,</w:t>
      </w:r>
      <w:r w:rsidRPr="00D04A0A">
        <w:t xml:space="preserve"> which has high costs compared to the other health states. </w:t>
      </w:r>
      <w:r w:rsidR="00E65C4B" w:rsidRPr="00A272D3">
        <w:rPr>
          <w:iCs/>
        </w:rPr>
        <w:t xml:space="preserve">As such the ESC advised </w:t>
      </w:r>
      <w:r w:rsidR="001761E4" w:rsidRPr="00A272D3">
        <w:rPr>
          <w:iCs/>
        </w:rPr>
        <w:t xml:space="preserve">that </w:t>
      </w:r>
      <w:r w:rsidR="009B6B45" w:rsidRPr="00A272D3">
        <w:rPr>
          <w:iCs/>
        </w:rPr>
        <w:t xml:space="preserve">this health state was highly </w:t>
      </w:r>
      <w:r w:rsidR="00CC5D44" w:rsidRPr="00A272D3">
        <w:rPr>
          <w:iCs/>
        </w:rPr>
        <w:t>dependent on baseline transition to it and</w:t>
      </w:r>
      <w:r w:rsidR="00DB18E8" w:rsidRPr="00A272D3">
        <w:rPr>
          <w:iCs/>
        </w:rPr>
        <w:t xml:space="preserve"> its costing</w:t>
      </w:r>
      <w:r w:rsidR="001B37F1" w:rsidRPr="00A272D3">
        <w:rPr>
          <w:iCs/>
        </w:rPr>
        <w:t>.</w:t>
      </w:r>
      <w:r w:rsidR="002800EE">
        <w:rPr>
          <w:iCs/>
        </w:rPr>
        <w:t xml:space="preserve"> </w:t>
      </w:r>
      <w:r w:rsidR="001A36D2" w:rsidRPr="00A272D3">
        <w:rPr>
          <w:iCs/>
        </w:rPr>
        <w:t xml:space="preserve">The ESC considered that the baseline </w:t>
      </w:r>
      <w:r w:rsidR="00D14D18" w:rsidRPr="00A272D3">
        <w:rPr>
          <w:iCs/>
        </w:rPr>
        <w:t>transition</w:t>
      </w:r>
      <w:r w:rsidR="00E02247" w:rsidRPr="00A272D3">
        <w:rPr>
          <w:iCs/>
        </w:rPr>
        <w:t>s produced estimates that</w:t>
      </w:r>
      <w:r w:rsidR="00D14D18" w:rsidRPr="00A272D3">
        <w:rPr>
          <w:iCs/>
        </w:rPr>
        <w:t xml:space="preserve"> </w:t>
      </w:r>
      <w:r w:rsidR="001545EF" w:rsidRPr="00A272D3">
        <w:rPr>
          <w:iCs/>
        </w:rPr>
        <w:t>lacked face validity</w:t>
      </w:r>
      <w:r w:rsidR="00474A69">
        <w:rPr>
          <w:iCs/>
        </w:rPr>
        <w:t>,</w:t>
      </w:r>
      <w:r w:rsidR="001545EF" w:rsidRPr="00A272D3">
        <w:rPr>
          <w:iCs/>
        </w:rPr>
        <w:t xml:space="preserve"> </w:t>
      </w:r>
      <w:r w:rsidR="009D5DDB" w:rsidRPr="00A272D3">
        <w:rPr>
          <w:iCs/>
        </w:rPr>
        <w:t xml:space="preserve">with the modelled treatment effect considerably greater than the observed benefit (see paragraph </w:t>
      </w:r>
      <w:r w:rsidR="009D5DDB" w:rsidRPr="00A272D3">
        <w:rPr>
          <w:iCs/>
        </w:rPr>
        <w:fldChar w:fldCharType="begin"/>
      </w:r>
      <w:r w:rsidR="009D5DDB" w:rsidRPr="00A272D3">
        <w:rPr>
          <w:iCs/>
        </w:rPr>
        <w:instrText xml:space="preserve"> REF _Ref206410067 \r \h </w:instrText>
      </w:r>
      <w:r w:rsidR="009D5DDB" w:rsidRPr="00A272D3">
        <w:rPr>
          <w:iCs/>
        </w:rPr>
      </w:r>
      <w:r w:rsidR="009D5DDB" w:rsidRPr="00A272D3">
        <w:rPr>
          <w:iCs/>
        </w:rPr>
        <w:fldChar w:fldCharType="separate"/>
      </w:r>
      <w:r w:rsidR="00333CFE">
        <w:rPr>
          <w:iCs/>
        </w:rPr>
        <w:t>6.46</w:t>
      </w:r>
      <w:r w:rsidR="009D5DDB" w:rsidRPr="00A272D3">
        <w:rPr>
          <w:iCs/>
        </w:rPr>
        <w:fldChar w:fldCharType="end"/>
      </w:r>
      <w:r w:rsidR="009D5DDB" w:rsidRPr="00A272D3">
        <w:rPr>
          <w:iCs/>
        </w:rPr>
        <w:t xml:space="preserve">) </w:t>
      </w:r>
      <w:r w:rsidR="00D14D18" w:rsidRPr="00A272D3">
        <w:rPr>
          <w:iCs/>
        </w:rPr>
        <w:t xml:space="preserve">and </w:t>
      </w:r>
      <w:r w:rsidR="00EE42AF" w:rsidRPr="00A272D3">
        <w:rPr>
          <w:iCs/>
        </w:rPr>
        <w:t xml:space="preserve">noted that </w:t>
      </w:r>
      <w:r w:rsidR="00D14D18" w:rsidRPr="00A272D3">
        <w:rPr>
          <w:iCs/>
        </w:rPr>
        <w:t>the costing included non</w:t>
      </w:r>
      <w:r w:rsidR="00397B07">
        <w:rPr>
          <w:iCs/>
        </w:rPr>
        <w:noBreakHyphen/>
      </w:r>
      <w:r w:rsidR="00D14D18" w:rsidRPr="00A272D3">
        <w:rPr>
          <w:iCs/>
        </w:rPr>
        <w:t>health costs</w:t>
      </w:r>
      <w:r w:rsidR="00EE42AF" w:rsidRPr="00A272D3">
        <w:rPr>
          <w:iCs/>
        </w:rPr>
        <w:t xml:space="preserve"> (see paragraph </w:t>
      </w:r>
      <w:r w:rsidR="00EE42AF" w:rsidRPr="00A272D3">
        <w:rPr>
          <w:iCs/>
        </w:rPr>
        <w:fldChar w:fldCharType="begin"/>
      </w:r>
      <w:r w:rsidR="00EE42AF" w:rsidRPr="00A272D3">
        <w:rPr>
          <w:iCs/>
        </w:rPr>
        <w:instrText xml:space="preserve"> REF _Ref211449261 \r \h </w:instrText>
      </w:r>
      <w:r w:rsidR="00EE42AF" w:rsidRPr="00A272D3">
        <w:rPr>
          <w:iCs/>
        </w:rPr>
      </w:r>
      <w:r w:rsidR="00EE42AF" w:rsidRPr="00A272D3">
        <w:rPr>
          <w:iCs/>
        </w:rPr>
        <w:fldChar w:fldCharType="separate"/>
      </w:r>
      <w:r w:rsidR="00333CFE">
        <w:rPr>
          <w:iCs/>
        </w:rPr>
        <w:t>6.50</w:t>
      </w:r>
      <w:r w:rsidR="00EE42AF" w:rsidRPr="00A272D3">
        <w:rPr>
          <w:iCs/>
        </w:rPr>
        <w:fldChar w:fldCharType="end"/>
      </w:r>
      <w:r w:rsidR="00EE42AF" w:rsidRPr="00A272D3">
        <w:rPr>
          <w:iCs/>
        </w:rPr>
        <w:t>)</w:t>
      </w:r>
      <w:r w:rsidR="00D14D18" w:rsidRPr="00A272D3">
        <w:rPr>
          <w:iCs/>
        </w:rPr>
        <w:t xml:space="preserve">. </w:t>
      </w:r>
      <w:r w:rsidR="00E01DD9" w:rsidRPr="00A272D3">
        <w:rPr>
          <w:iCs/>
        </w:rPr>
        <w:t xml:space="preserve">The ESC noted that </w:t>
      </w:r>
      <w:r w:rsidR="00E01DD9">
        <w:t>c</w:t>
      </w:r>
      <w:r w:rsidRPr="00D04A0A">
        <w:t>onsistent with the costs, most of the incremental QALYs are accrued in ≥76 letters, 66</w:t>
      </w:r>
      <w:r w:rsidR="00397B07">
        <w:noBreakHyphen/>
      </w:r>
      <w:r w:rsidRPr="00D04A0A">
        <w:t>75, 51</w:t>
      </w:r>
      <w:r w:rsidR="00397B07">
        <w:noBreakHyphen/>
      </w:r>
      <w:r w:rsidRPr="00D04A0A">
        <w:t>65 and the 36</w:t>
      </w:r>
      <w:r w:rsidR="00397B07">
        <w:noBreakHyphen/>
      </w:r>
      <w:r w:rsidRPr="00D04A0A">
        <w:t>50 letters health state in the pegcetacoplan arm.</w:t>
      </w:r>
    </w:p>
    <w:p w14:paraId="3C52CAC6" w14:textId="09AD0809" w:rsidR="00E16BDB" w:rsidRPr="00E20031" w:rsidRDefault="00740EEB" w:rsidP="007E2C32">
      <w:pPr>
        <w:pStyle w:val="Caption"/>
        <w:rPr>
          <w:rStyle w:val="CommentReference"/>
          <w:b/>
          <w:szCs w:val="24"/>
        </w:rPr>
      </w:pPr>
      <w:bookmarkStart w:id="78" w:name="_Ref205560190"/>
      <w:r w:rsidRPr="00E20031">
        <w:lastRenderedPageBreak/>
        <w:t xml:space="preserve">Table </w:t>
      </w:r>
      <w:r w:rsidR="004C5F7F">
        <w:fldChar w:fldCharType="begin"/>
      </w:r>
      <w:r w:rsidR="004C5F7F">
        <w:instrText xml:space="preserve"> SEQ Table \* ARABIC </w:instrText>
      </w:r>
      <w:r w:rsidR="004C5F7F">
        <w:fldChar w:fldCharType="separate"/>
      </w:r>
      <w:r w:rsidR="00333CFE">
        <w:rPr>
          <w:noProof/>
        </w:rPr>
        <w:t>12</w:t>
      </w:r>
      <w:r w:rsidR="004C5F7F">
        <w:rPr>
          <w:noProof/>
        </w:rPr>
        <w:fldChar w:fldCharType="end"/>
      </w:r>
      <w:bookmarkEnd w:id="78"/>
      <w:r w:rsidR="00E16BDB" w:rsidRPr="00E20031">
        <w:rPr>
          <w:rStyle w:val="CommentReference"/>
          <w:b/>
          <w:szCs w:val="24"/>
        </w:rPr>
        <w:t xml:space="preserve">: </w:t>
      </w:r>
      <w:r w:rsidRPr="00E20031">
        <w:rPr>
          <w:rStyle w:val="CommentReference"/>
          <w:b/>
          <w:szCs w:val="24"/>
        </w:rPr>
        <w:t>D</w:t>
      </w:r>
      <w:r w:rsidR="00E16BDB" w:rsidRPr="00E20031">
        <w:rPr>
          <w:rStyle w:val="CommentReference"/>
          <w:b/>
          <w:szCs w:val="24"/>
        </w:rPr>
        <w:t>isaggregated summary of cost</w:t>
      </w:r>
      <w:r w:rsidRPr="00E20031">
        <w:rPr>
          <w:rStyle w:val="CommentReference"/>
          <w:b/>
          <w:szCs w:val="24"/>
        </w:rPr>
        <w:t xml:space="preserve"> and outcome</w:t>
      </w:r>
      <w:r w:rsidR="00E16BDB" w:rsidRPr="00E20031">
        <w:rPr>
          <w:rStyle w:val="CommentReference"/>
          <w:b/>
          <w:szCs w:val="24"/>
        </w:rPr>
        <w:t xml:space="preserve">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Disaggregated summary of cost and outcome impacts"/>
      </w:tblPr>
      <w:tblGrid>
        <w:gridCol w:w="4765"/>
        <w:gridCol w:w="1414"/>
        <w:gridCol w:w="901"/>
        <w:gridCol w:w="1137"/>
        <w:gridCol w:w="800"/>
      </w:tblGrid>
      <w:tr w:rsidR="00740EEB" w:rsidRPr="00E20031" w14:paraId="5FE65254" w14:textId="77777777" w:rsidTr="005B4CBA">
        <w:trPr>
          <w:tblHeader/>
        </w:trPr>
        <w:tc>
          <w:tcPr>
            <w:tcW w:w="4771" w:type="dxa"/>
            <w:vAlign w:val="center"/>
          </w:tcPr>
          <w:p w14:paraId="3BB67221" w14:textId="3A172825" w:rsidR="00740EEB" w:rsidRPr="00E20031" w:rsidRDefault="00740EEB" w:rsidP="007E2C32">
            <w:pPr>
              <w:pStyle w:val="In-tableHeading"/>
              <w:keepNext/>
              <w:keepLines/>
            </w:pPr>
            <w:r w:rsidRPr="00E20031">
              <w:t>Costs</w:t>
            </w:r>
          </w:p>
        </w:tc>
        <w:tc>
          <w:tcPr>
            <w:tcW w:w="1414" w:type="dxa"/>
            <w:vAlign w:val="center"/>
          </w:tcPr>
          <w:p w14:paraId="61452305" w14:textId="0C26AB7B" w:rsidR="00740EEB" w:rsidRPr="00E20031" w:rsidRDefault="00740EEB" w:rsidP="007E2C32">
            <w:pPr>
              <w:pStyle w:val="In-tableHeading"/>
              <w:keepNext/>
              <w:keepLines/>
            </w:pPr>
            <w:r w:rsidRPr="00E20031">
              <w:t>Pegcetacoplan</w:t>
            </w:r>
          </w:p>
        </w:tc>
        <w:tc>
          <w:tcPr>
            <w:tcW w:w="901" w:type="dxa"/>
            <w:vAlign w:val="center"/>
          </w:tcPr>
          <w:p w14:paraId="345D639D" w14:textId="7FA53C27" w:rsidR="00740EEB" w:rsidRPr="00E20031" w:rsidRDefault="00740EEB" w:rsidP="007E2C32">
            <w:pPr>
              <w:pStyle w:val="In-tableHeading"/>
              <w:keepNext/>
              <w:keepLines/>
            </w:pPr>
            <w:r w:rsidRPr="00E20031">
              <w:t>BSC</w:t>
            </w:r>
          </w:p>
        </w:tc>
        <w:tc>
          <w:tcPr>
            <w:tcW w:w="1137" w:type="dxa"/>
            <w:vAlign w:val="center"/>
          </w:tcPr>
          <w:p w14:paraId="7DC34DFB" w14:textId="01019EC1" w:rsidR="00740EEB" w:rsidRPr="00E20031" w:rsidRDefault="00740EEB" w:rsidP="007E2C32">
            <w:pPr>
              <w:pStyle w:val="In-tableHeading"/>
              <w:keepNext/>
              <w:keepLines/>
            </w:pPr>
            <w:r w:rsidRPr="00E20031">
              <w:t>Incremental</w:t>
            </w:r>
          </w:p>
        </w:tc>
        <w:tc>
          <w:tcPr>
            <w:tcW w:w="794" w:type="dxa"/>
            <w:vAlign w:val="center"/>
          </w:tcPr>
          <w:p w14:paraId="48938F1E" w14:textId="36340BE2" w:rsidR="00740EEB" w:rsidRPr="00E20031" w:rsidRDefault="00740EEB" w:rsidP="007E2C32">
            <w:pPr>
              <w:pStyle w:val="In-tableHeading"/>
              <w:keepNext/>
              <w:keepLines/>
            </w:pPr>
            <w:r w:rsidRPr="00E20031">
              <w:t>%</w:t>
            </w:r>
          </w:p>
        </w:tc>
      </w:tr>
      <w:tr w:rsidR="00740EEB" w:rsidRPr="00E20031" w14:paraId="431AF45D" w14:textId="77777777">
        <w:tc>
          <w:tcPr>
            <w:tcW w:w="9017" w:type="dxa"/>
            <w:gridSpan w:val="5"/>
            <w:vAlign w:val="center"/>
          </w:tcPr>
          <w:p w14:paraId="19C55A03" w14:textId="77777777" w:rsidR="00740EEB" w:rsidRPr="00E20031" w:rsidRDefault="00740EEB" w:rsidP="007E2C32">
            <w:pPr>
              <w:pStyle w:val="In-tableHeading"/>
              <w:keepNext/>
              <w:keepLines/>
            </w:pPr>
            <w:r w:rsidRPr="00E20031">
              <w:t>Treatment costs</w:t>
            </w:r>
          </w:p>
        </w:tc>
      </w:tr>
      <w:tr w:rsidR="00740EEB" w:rsidRPr="00E20031" w14:paraId="77CF77B5" w14:textId="77777777">
        <w:tc>
          <w:tcPr>
            <w:tcW w:w="4771" w:type="dxa"/>
            <w:vAlign w:val="center"/>
          </w:tcPr>
          <w:p w14:paraId="7C1D745D" w14:textId="77777777" w:rsidR="00740EEB" w:rsidRPr="00E20031" w:rsidRDefault="00740EEB" w:rsidP="007E2C32">
            <w:pPr>
              <w:pStyle w:val="TableText0"/>
            </w:pPr>
            <w:r w:rsidRPr="00E20031">
              <w:t>Pegcetacoplan acquisition</w:t>
            </w:r>
          </w:p>
        </w:tc>
        <w:tc>
          <w:tcPr>
            <w:tcW w:w="1414" w:type="dxa"/>
          </w:tcPr>
          <w:p w14:paraId="11061929" w14:textId="4B5C2E55" w:rsidR="00740EEB" w:rsidRPr="00E20031" w:rsidRDefault="00740EEB" w:rsidP="007E2C32">
            <w:pPr>
              <w:pStyle w:val="TableText0"/>
              <w:jc w:val="center"/>
            </w:pPr>
            <w:r w:rsidRPr="00E20031">
              <w:t>$</w:t>
            </w:r>
            <w:r w:rsidR="00794BDD" w:rsidRPr="00794BDD">
              <w:rPr>
                <w:highlight w:val="black"/>
              </w:rPr>
              <w:t>&amp;&amp;&amp;&amp;</w:t>
            </w:r>
          </w:p>
        </w:tc>
        <w:tc>
          <w:tcPr>
            <w:tcW w:w="901" w:type="dxa"/>
          </w:tcPr>
          <w:p w14:paraId="31FFF9A9" w14:textId="77777777" w:rsidR="00740EEB" w:rsidRPr="00E20031" w:rsidRDefault="00740EEB" w:rsidP="007E2C32">
            <w:pPr>
              <w:pStyle w:val="TableText0"/>
              <w:jc w:val="center"/>
            </w:pPr>
            <w:r w:rsidRPr="00E20031">
              <w:t>$0</w:t>
            </w:r>
          </w:p>
        </w:tc>
        <w:tc>
          <w:tcPr>
            <w:tcW w:w="1137" w:type="dxa"/>
          </w:tcPr>
          <w:p w14:paraId="441991F9" w14:textId="4C9AAEAB" w:rsidR="00740EEB" w:rsidRPr="00E20031" w:rsidRDefault="00740EEB" w:rsidP="007E2C32">
            <w:pPr>
              <w:pStyle w:val="TableText0"/>
              <w:jc w:val="center"/>
            </w:pPr>
            <w:r w:rsidRPr="00E20031">
              <w:t>$</w:t>
            </w:r>
            <w:r w:rsidR="00794BDD" w:rsidRPr="00794BDD">
              <w:rPr>
                <w:highlight w:val="black"/>
              </w:rPr>
              <w:t>&amp;&amp;&amp;&amp;</w:t>
            </w:r>
          </w:p>
        </w:tc>
        <w:tc>
          <w:tcPr>
            <w:tcW w:w="794" w:type="dxa"/>
          </w:tcPr>
          <w:p w14:paraId="2401E589" w14:textId="75FB5F3A" w:rsidR="00740EEB" w:rsidRPr="00E20031" w:rsidRDefault="000A1EB8" w:rsidP="007E2C32">
            <w:pPr>
              <w:pStyle w:val="TableText0"/>
              <w:jc w:val="center"/>
            </w:pPr>
            <w:r w:rsidRPr="008A3A78">
              <w:rPr>
                <w:highlight w:val="black"/>
              </w:rPr>
              <w:t>&amp;&amp;&amp;&amp;</w:t>
            </w:r>
            <w:r w:rsidR="00740EEB" w:rsidRPr="00E20031">
              <w:t>%</w:t>
            </w:r>
          </w:p>
        </w:tc>
      </w:tr>
      <w:tr w:rsidR="00740EEB" w:rsidRPr="00E20031" w14:paraId="5F5D337E" w14:textId="77777777">
        <w:tc>
          <w:tcPr>
            <w:tcW w:w="4771" w:type="dxa"/>
            <w:vAlign w:val="center"/>
          </w:tcPr>
          <w:p w14:paraId="6D304AC5" w14:textId="77777777" w:rsidR="00740EEB" w:rsidRPr="00E20031" w:rsidRDefault="00740EEB" w:rsidP="007E2C32">
            <w:pPr>
              <w:pStyle w:val="TableText0"/>
            </w:pPr>
            <w:r w:rsidRPr="00E20031">
              <w:t>Pegcetacoplan administration</w:t>
            </w:r>
          </w:p>
        </w:tc>
        <w:tc>
          <w:tcPr>
            <w:tcW w:w="1414" w:type="dxa"/>
          </w:tcPr>
          <w:p w14:paraId="70B156AF" w14:textId="77777777" w:rsidR="00740EEB" w:rsidRPr="00E20031" w:rsidRDefault="00740EEB" w:rsidP="007E2C32">
            <w:pPr>
              <w:pStyle w:val="TableText0"/>
              <w:jc w:val="center"/>
            </w:pPr>
            <w:r w:rsidRPr="00E20031">
              <w:t>$6,333</w:t>
            </w:r>
          </w:p>
        </w:tc>
        <w:tc>
          <w:tcPr>
            <w:tcW w:w="901" w:type="dxa"/>
          </w:tcPr>
          <w:p w14:paraId="5E575FCC" w14:textId="77777777" w:rsidR="00740EEB" w:rsidRPr="00E20031" w:rsidRDefault="00740EEB" w:rsidP="007E2C32">
            <w:pPr>
              <w:pStyle w:val="TableText0"/>
              <w:jc w:val="center"/>
            </w:pPr>
            <w:r w:rsidRPr="00E20031">
              <w:t>$0</w:t>
            </w:r>
          </w:p>
        </w:tc>
        <w:tc>
          <w:tcPr>
            <w:tcW w:w="1137" w:type="dxa"/>
          </w:tcPr>
          <w:p w14:paraId="5903086C" w14:textId="77777777" w:rsidR="00740EEB" w:rsidRPr="00E20031" w:rsidRDefault="00740EEB" w:rsidP="007E2C32">
            <w:pPr>
              <w:pStyle w:val="TableText0"/>
              <w:jc w:val="center"/>
            </w:pPr>
            <w:r w:rsidRPr="00E20031">
              <w:t>$6,333</w:t>
            </w:r>
          </w:p>
        </w:tc>
        <w:tc>
          <w:tcPr>
            <w:tcW w:w="794" w:type="dxa"/>
          </w:tcPr>
          <w:p w14:paraId="646705FA" w14:textId="77777777" w:rsidR="00740EEB" w:rsidRPr="00E20031" w:rsidRDefault="00740EEB" w:rsidP="007E2C32">
            <w:pPr>
              <w:pStyle w:val="TableText0"/>
              <w:jc w:val="center"/>
            </w:pPr>
            <w:r w:rsidRPr="00E20031">
              <w:t>54%</w:t>
            </w:r>
          </w:p>
        </w:tc>
      </w:tr>
      <w:tr w:rsidR="00740EEB" w:rsidRPr="00E20031" w14:paraId="3D5C4683" w14:textId="77777777">
        <w:tc>
          <w:tcPr>
            <w:tcW w:w="4771" w:type="dxa"/>
            <w:vAlign w:val="center"/>
          </w:tcPr>
          <w:p w14:paraId="158D434A" w14:textId="77777777" w:rsidR="00740EEB" w:rsidRPr="00E20031" w:rsidRDefault="00740EEB" w:rsidP="007E2C32">
            <w:pPr>
              <w:pStyle w:val="TableText0"/>
            </w:pPr>
            <w:r w:rsidRPr="00E20031">
              <w:t>Adverse event costs</w:t>
            </w:r>
          </w:p>
        </w:tc>
        <w:tc>
          <w:tcPr>
            <w:tcW w:w="1414" w:type="dxa"/>
          </w:tcPr>
          <w:p w14:paraId="675B318A" w14:textId="77777777" w:rsidR="00740EEB" w:rsidRPr="00E20031" w:rsidRDefault="00740EEB" w:rsidP="007E2C32">
            <w:pPr>
              <w:pStyle w:val="TableText0"/>
              <w:jc w:val="center"/>
            </w:pPr>
            <w:r w:rsidRPr="00E20031">
              <w:t>$1,793</w:t>
            </w:r>
          </w:p>
        </w:tc>
        <w:tc>
          <w:tcPr>
            <w:tcW w:w="901" w:type="dxa"/>
          </w:tcPr>
          <w:p w14:paraId="30887C29" w14:textId="77777777" w:rsidR="00740EEB" w:rsidRPr="00E20031" w:rsidRDefault="00740EEB" w:rsidP="007E2C32">
            <w:pPr>
              <w:pStyle w:val="TableText0"/>
              <w:jc w:val="center"/>
            </w:pPr>
            <w:r w:rsidRPr="00E20031">
              <w:t>$1,447</w:t>
            </w:r>
          </w:p>
        </w:tc>
        <w:tc>
          <w:tcPr>
            <w:tcW w:w="1137" w:type="dxa"/>
          </w:tcPr>
          <w:p w14:paraId="7F10027D" w14:textId="77777777" w:rsidR="00740EEB" w:rsidRPr="00E20031" w:rsidRDefault="00740EEB" w:rsidP="007E2C32">
            <w:pPr>
              <w:pStyle w:val="TableText0"/>
              <w:jc w:val="center"/>
            </w:pPr>
            <w:r w:rsidRPr="00E20031">
              <w:t>$346</w:t>
            </w:r>
          </w:p>
        </w:tc>
        <w:tc>
          <w:tcPr>
            <w:tcW w:w="794" w:type="dxa"/>
          </w:tcPr>
          <w:p w14:paraId="243C6E32" w14:textId="77777777" w:rsidR="00740EEB" w:rsidRPr="00E20031" w:rsidRDefault="00740EEB" w:rsidP="007E2C32">
            <w:pPr>
              <w:pStyle w:val="TableText0"/>
              <w:jc w:val="center"/>
            </w:pPr>
            <w:r w:rsidRPr="00E20031">
              <w:t>3%</w:t>
            </w:r>
          </w:p>
        </w:tc>
      </w:tr>
      <w:tr w:rsidR="00740EEB" w:rsidRPr="00E20031" w14:paraId="4D222B98" w14:textId="77777777">
        <w:tc>
          <w:tcPr>
            <w:tcW w:w="9017" w:type="dxa"/>
            <w:gridSpan w:val="5"/>
            <w:vAlign w:val="center"/>
          </w:tcPr>
          <w:p w14:paraId="1809DAF8" w14:textId="77777777" w:rsidR="00740EEB" w:rsidRPr="00E20031" w:rsidRDefault="00740EEB" w:rsidP="007E2C32">
            <w:pPr>
              <w:pStyle w:val="In-tableHeading"/>
              <w:keepNext/>
              <w:keepLines/>
            </w:pPr>
            <w:r w:rsidRPr="00E20031">
              <w:t>Health state costs (disease management, aged care and hospitalisation)</w:t>
            </w:r>
          </w:p>
        </w:tc>
      </w:tr>
      <w:tr w:rsidR="00740EEB" w:rsidRPr="00E20031" w14:paraId="1FFAC725" w14:textId="77777777">
        <w:tc>
          <w:tcPr>
            <w:tcW w:w="4771" w:type="dxa"/>
          </w:tcPr>
          <w:p w14:paraId="32EF3558" w14:textId="77777777" w:rsidR="00740EEB" w:rsidRPr="00E20031" w:rsidRDefault="00740EEB" w:rsidP="007E2C32">
            <w:pPr>
              <w:pStyle w:val="TableText0"/>
            </w:pPr>
            <w:r w:rsidRPr="00E20031">
              <w:t>≥76 letters</w:t>
            </w:r>
          </w:p>
        </w:tc>
        <w:tc>
          <w:tcPr>
            <w:tcW w:w="1414" w:type="dxa"/>
          </w:tcPr>
          <w:p w14:paraId="1DDE439E" w14:textId="77777777" w:rsidR="00740EEB" w:rsidRPr="00E20031" w:rsidRDefault="00740EEB" w:rsidP="007E2C32">
            <w:pPr>
              <w:pStyle w:val="TableText0"/>
              <w:jc w:val="center"/>
            </w:pPr>
            <w:r w:rsidRPr="00E20031">
              <w:t>$4,162</w:t>
            </w:r>
          </w:p>
        </w:tc>
        <w:tc>
          <w:tcPr>
            <w:tcW w:w="901" w:type="dxa"/>
          </w:tcPr>
          <w:p w14:paraId="72D4C549" w14:textId="77777777" w:rsidR="00740EEB" w:rsidRPr="00E20031" w:rsidRDefault="00740EEB" w:rsidP="007E2C32">
            <w:pPr>
              <w:pStyle w:val="TableText0"/>
              <w:jc w:val="center"/>
            </w:pPr>
            <w:r w:rsidRPr="00E20031">
              <w:t>$3,068</w:t>
            </w:r>
          </w:p>
        </w:tc>
        <w:tc>
          <w:tcPr>
            <w:tcW w:w="1137" w:type="dxa"/>
          </w:tcPr>
          <w:p w14:paraId="67A166E5" w14:textId="77777777" w:rsidR="00740EEB" w:rsidRPr="00E20031" w:rsidRDefault="00740EEB" w:rsidP="007E2C32">
            <w:pPr>
              <w:pStyle w:val="TableText0"/>
              <w:jc w:val="center"/>
            </w:pPr>
            <w:r w:rsidRPr="00E20031">
              <w:t>$1,094</w:t>
            </w:r>
          </w:p>
        </w:tc>
        <w:tc>
          <w:tcPr>
            <w:tcW w:w="794" w:type="dxa"/>
          </w:tcPr>
          <w:p w14:paraId="35F55641" w14:textId="77777777" w:rsidR="00740EEB" w:rsidRPr="00E20031" w:rsidRDefault="00740EEB" w:rsidP="007E2C32">
            <w:pPr>
              <w:pStyle w:val="TableText0"/>
              <w:jc w:val="center"/>
            </w:pPr>
            <w:r w:rsidRPr="00E20031">
              <w:t>9%</w:t>
            </w:r>
          </w:p>
        </w:tc>
      </w:tr>
      <w:tr w:rsidR="00740EEB" w:rsidRPr="00E20031" w14:paraId="2021638E" w14:textId="77777777">
        <w:tc>
          <w:tcPr>
            <w:tcW w:w="4771" w:type="dxa"/>
          </w:tcPr>
          <w:p w14:paraId="72B68D83" w14:textId="36A30226" w:rsidR="00740EEB" w:rsidRPr="00E20031" w:rsidRDefault="00740EEB" w:rsidP="007E2C32">
            <w:pPr>
              <w:pStyle w:val="TableText0"/>
            </w:pPr>
            <w:r w:rsidRPr="00E20031">
              <w:t>66</w:t>
            </w:r>
            <w:r w:rsidR="00397B07">
              <w:noBreakHyphen/>
            </w:r>
            <w:r w:rsidRPr="00E20031">
              <w:t>75 letters</w:t>
            </w:r>
          </w:p>
        </w:tc>
        <w:tc>
          <w:tcPr>
            <w:tcW w:w="1414" w:type="dxa"/>
          </w:tcPr>
          <w:p w14:paraId="605FC7D5" w14:textId="77777777" w:rsidR="00740EEB" w:rsidRPr="00E20031" w:rsidRDefault="00740EEB" w:rsidP="007E2C32">
            <w:pPr>
              <w:pStyle w:val="TableText0"/>
              <w:jc w:val="center"/>
            </w:pPr>
            <w:r w:rsidRPr="00E20031">
              <w:t>$8,628</w:t>
            </w:r>
          </w:p>
        </w:tc>
        <w:tc>
          <w:tcPr>
            <w:tcW w:w="901" w:type="dxa"/>
          </w:tcPr>
          <w:p w14:paraId="55823049" w14:textId="77777777" w:rsidR="00740EEB" w:rsidRPr="00E20031" w:rsidRDefault="00740EEB" w:rsidP="007E2C32">
            <w:pPr>
              <w:pStyle w:val="TableText0"/>
              <w:jc w:val="center"/>
            </w:pPr>
            <w:r w:rsidRPr="00E20031">
              <w:t>$6,312</w:t>
            </w:r>
          </w:p>
        </w:tc>
        <w:tc>
          <w:tcPr>
            <w:tcW w:w="1137" w:type="dxa"/>
          </w:tcPr>
          <w:p w14:paraId="7E834EA9" w14:textId="77777777" w:rsidR="00740EEB" w:rsidRPr="00E20031" w:rsidRDefault="00740EEB" w:rsidP="007E2C32">
            <w:pPr>
              <w:pStyle w:val="TableText0"/>
              <w:jc w:val="center"/>
            </w:pPr>
            <w:r w:rsidRPr="00E20031">
              <w:t>$2,316</w:t>
            </w:r>
          </w:p>
        </w:tc>
        <w:tc>
          <w:tcPr>
            <w:tcW w:w="794" w:type="dxa"/>
          </w:tcPr>
          <w:p w14:paraId="0E6DAA0D" w14:textId="77777777" w:rsidR="00740EEB" w:rsidRPr="00E20031" w:rsidRDefault="00740EEB" w:rsidP="007E2C32">
            <w:pPr>
              <w:pStyle w:val="TableText0"/>
              <w:jc w:val="center"/>
            </w:pPr>
            <w:r w:rsidRPr="00E20031">
              <w:t>20%</w:t>
            </w:r>
          </w:p>
        </w:tc>
      </w:tr>
      <w:tr w:rsidR="00740EEB" w:rsidRPr="00E20031" w14:paraId="6B381BA6" w14:textId="77777777">
        <w:tc>
          <w:tcPr>
            <w:tcW w:w="4771" w:type="dxa"/>
          </w:tcPr>
          <w:p w14:paraId="3BF50638" w14:textId="6A2668B6" w:rsidR="00740EEB" w:rsidRPr="00E20031" w:rsidRDefault="00740EEB" w:rsidP="007E2C32">
            <w:pPr>
              <w:pStyle w:val="TableText0"/>
            </w:pPr>
            <w:r w:rsidRPr="00E20031">
              <w:t>51</w:t>
            </w:r>
            <w:r w:rsidR="00397B07">
              <w:noBreakHyphen/>
            </w:r>
            <w:r w:rsidRPr="00E20031">
              <w:t>65 letters</w:t>
            </w:r>
          </w:p>
        </w:tc>
        <w:tc>
          <w:tcPr>
            <w:tcW w:w="1414" w:type="dxa"/>
          </w:tcPr>
          <w:p w14:paraId="41FC5EB2" w14:textId="77777777" w:rsidR="00740EEB" w:rsidRPr="00E20031" w:rsidRDefault="00740EEB" w:rsidP="007E2C32">
            <w:pPr>
              <w:pStyle w:val="TableText0"/>
              <w:jc w:val="center"/>
            </w:pPr>
            <w:r w:rsidRPr="00E20031">
              <w:t>$21,063</w:t>
            </w:r>
          </w:p>
        </w:tc>
        <w:tc>
          <w:tcPr>
            <w:tcW w:w="901" w:type="dxa"/>
          </w:tcPr>
          <w:p w14:paraId="09C9B007" w14:textId="77777777" w:rsidR="00740EEB" w:rsidRPr="00E20031" w:rsidRDefault="00740EEB" w:rsidP="007E2C32">
            <w:pPr>
              <w:pStyle w:val="TableText0"/>
              <w:jc w:val="center"/>
            </w:pPr>
            <w:r w:rsidRPr="00E20031">
              <w:t>$15,378</w:t>
            </w:r>
          </w:p>
        </w:tc>
        <w:tc>
          <w:tcPr>
            <w:tcW w:w="1137" w:type="dxa"/>
          </w:tcPr>
          <w:p w14:paraId="1972BC76" w14:textId="77777777" w:rsidR="00740EEB" w:rsidRPr="00E20031" w:rsidRDefault="00740EEB" w:rsidP="007E2C32">
            <w:pPr>
              <w:pStyle w:val="TableText0"/>
              <w:jc w:val="center"/>
            </w:pPr>
            <w:r w:rsidRPr="00E20031">
              <w:t>$5,685</w:t>
            </w:r>
          </w:p>
        </w:tc>
        <w:tc>
          <w:tcPr>
            <w:tcW w:w="794" w:type="dxa"/>
          </w:tcPr>
          <w:p w14:paraId="61B4AC05" w14:textId="77777777" w:rsidR="00740EEB" w:rsidRPr="00E20031" w:rsidRDefault="00740EEB" w:rsidP="007E2C32">
            <w:pPr>
              <w:pStyle w:val="TableText0"/>
              <w:jc w:val="center"/>
            </w:pPr>
            <w:r w:rsidRPr="00E20031">
              <w:t>48%</w:t>
            </w:r>
          </w:p>
        </w:tc>
      </w:tr>
      <w:tr w:rsidR="00740EEB" w:rsidRPr="00E20031" w14:paraId="59EB6C49" w14:textId="77777777">
        <w:tc>
          <w:tcPr>
            <w:tcW w:w="4771" w:type="dxa"/>
          </w:tcPr>
          <w:p w14:paraId="6289955B" w14:textId="3BDDAAAE" w:rsidR="00740EEB" w:rsidRPr="00E20031" w:rsidRDefault="00740EEB" w:rsidP="007E2C32">
            <w:pPr>
              <w:pStyle w:val="TableText0"/>
            </w:pPr>
            <w:r w:rsidRPr="00E20031">
              <w:t>36</w:t>
            </w:r>
            <w:r w:rsidR="00397B07">
              <w:noBreakHyphen/>
            </w:r>
            <w:r w:rsidRPr="00E20031">
              <w:t>50 letters</w:t>
            </w:r>
          </w:p>
        </w:tc>
        <w:tc>
          <w:tcPr>
            <w:tcW w:w="1414" w:type="dxa"/>
          </w:tcPr>
          <w:p w14:paraId="5333AD2F" w14:textId="77777777" w:rsidR="00740EEB" w:rsidRPr="00E20031" w:rsidRDefault="00740EEB" w:rsidP="007E2C32">
            <w:pPr>
              <w:pStyle w:val="TableText0"/>
              <w:jc w:val="center"/>
            </w:pPr>
            <w:r w:rsidRPr="00E20031">
              <w:t>$21,037</w:t>
            </w:r>
          </w:p>
        </w:tc>
        <w:tc>
          <w:tcPr>
            <w:tcW w:w="901" w:type="dxa"/>
          </w:tcPr>
          <w:p w14:paraId="0087B7D9" w14:textId="77777777" w:rsidR="00740EEB" w:rsidRPr="00E20031" w:rsidRDefault="00740EEB" w:rsidP="007E2C32">
            <w:pPr>
              <w:pStyle w:val="TableText0"/>
              <w:jc w:val="center"/>
            </w:pPr>
            <w:r w:rsidRPr="00E20031">
              <w:t>$15,616</w:t>
            </w:r>
          </w:p>
        </w:tc>
        <w:tc>
          <w:tcPr>
            <w:tcW w:w="1137" w:type="dxa"/>
          </w:tcPr>
          <w:p w14:paraId="71A4B627" w14:textId="77777777" w:rsidR="00740EEB" w:rsidRPr="00E20031" w:rsidRDefault="00740EEB" w:rsidP="007E2C32">
            <w:pPr>
              <w:pStyle w:val="TableText0"/>
              <w:jc w:val="center"/>
            </w:pPr>
            <w:r w:rsidRPr="00E20031">
              <w:t>$5,421</w:t>
            </w:r>
          </w:p>
        </w:tc>
        <w:tc>
          <w:tcPr>
            <w:tcW w:w="794" w:type="dxa"/>
          </w:tcPr>
          <w:p w14:paraId="56ECEA75" w14:textId="77777777" w:rsidR="00740EEB" w:rsidRPr="00E20031" w:rsidRDefault="00740EEB" w:rsidP="007E2C32">
            <w:pPr>
              <w:pStyle w:val="TableText0"/>
              <w:jc w:val="center"/>
            </w:pPr>
            <w:r w:rsidRPr="00E20031">
              <w:t>46%</w:t>
            </w:r>
          </w:p>
        </w:tc>
      </w:tr>
      <w:tr w:rsidR="00740EEB" w:rsidRPr="00E20031" w14:paraId="4A33B925" w14:textId="77777777">
        <w:tc>
          <w:tcPr>
            <w:tcW w:w="4771" w:type="dxa"/>
          </w:tcPr>
          <w:p w14:paraId="37A607EF" w14:textId="77777777" w:rsidR="00740EEB" w:rsidRPr="00E20031" w:rsidRDefault="00740EEB" w:rsidP="007E2C32">
            <w:pPr>
              <w:pStyle w:val="TableText0"/>
            </w:pPr>
            <w:r w:rsidRPr="00E20031">
              <w:t>≤35 letters</w:t>
            </w:r>
          </w:p>
        </w:tc>
        <w:tc>
          <w:tcPr>
            <w:tcW w:w="1414" w:type="dxa"/>
          </w:tcPr>
          <w:p w14:paraId="778B2660" w14:textId="77777777" w:rsidR="00740EEB" w:rsidRPr="00E20031" w:rsidRDefault="00740EEB" w:rsidP="007E2C32">
            <w:pPr>
              <w:pStyle w:val="TableText0"/>
              <w:jc w:val="center"/>
            </w:pPr>
            <w:r w:rsidRPr="00E20031">
              <w:t>$181,032</w:t>
            </w:r>
          </w:p>
        </w:tc>
        <w:tc>
          <w:tcPr>
            <w:tcW w:w="901" w:type="dxa"/>
          </w:tcPr>
          <w:p w14:paraId="304C26D0" w14:textId="77777777" w:rsidR="00740EEB" w:rsidRPr="00E20031" w:rsidRDefault="00740EEB" w:rsidP="007E2C32">
            <w:pPr>
              <w:pStyle w:val="TableText0"/>
              <w:jc w:val="center"/>
            </w:pPr>
            <w:r w:rsidRPr="00E20031">
              <w:t>$213,897</w:t>
            </w:r>
          </w:p>
        </w:tc>
        <w:tc>
          <w:tcPr>
            <w:tcW w:w="1137" w:type="dxa"/>
          </w:tcPr>
          <w:p w14:paraId="7479CFCD" w14:textId="3C8E7BAA" w:rsidR="00740EEB" w:rsidRPr="00E20031" w:rsidRDefault="00397B07" w:rsidP="007E2C32">
            <w:pPr>
              <w:pStyle w:val="TableText0"/>
              <w:jc w:val="center"/>
            </w:pPr>
            <w:r>
              <w:noBreakHyphen/>
            </w:r>
            <w:r w:rsidR="00740EEB" w:rsidRPr="00E20031">
              <w:t>$32,865</w:t>
            </w:r>
          </w:p>
        </w:tc>
        <w:tc>
          <w:tcPr>
            <w:tcW w:w="794" w:type="dxa"/>
          </w:tcPr>
          <w:p w14:paraId="0025EE4D" w14:textId="2760782A" w:rsidR="00740EEB" w:rsidRPr="00E20031" w:rsidRDefault="00397B07" w:rsidP="007E2C32">
            <w:pPr>
              <w:pStyle w:val="TableText0"/>
              <w:jc w:val="center"/>
            </w:pPr>
            <w:r>
              <w:noBreakHyphen/>
            </w:r>
            <w:r w:rsidR="00740EEB" w:rsidRPr="00E20031">
              <w:t>280%</w:t>
            </w:r>
          </w:p>
        </w:tc>
      </w:tr>
      <w:tr w:rsidR="00740EEB" w:rsidRPr="00E20031" w14:paraId="4E3970EF" w14:textId="77777777">
        <w:tc>
          <w:tcPr>
            <w:tcW w:w="4771" w:type="dxa"/>
            <w:vAlign w:val="center"/>
          </w:tcPr>
          <w:p w14:paraId="3D528A9F" w14:textId="77777777" w:rsidR="00740EEB" w:rsidRPr="00E20031" w:rsidRDefault="00740EEB" w:rsidP="007E2C32">
            <w:pPr>
              <w:pStyle w:val="TableText0"/>
              <w:rPr>
                <w:b/>
                <w:bCs w:val="0"/>
              </w:rPr>
            </w:pPr>
            <w:r w:rsidRPr="00E20031">
              <w:rPr>
                <w:b/>
                <w:bCs w:val="0"/>
              </w:rPr>
              <w:t>Total</w:t>
            </w:r>
          </w:p>
        </w:tc>
        <w:tc>
          <w:tcPr>
            <w:tcW w:w="1414" w:type="dxa"/>
            <w:vAlign w:val="center"/>
          </w:tcPr>
          <w:p w14:paraId="229CD73F" w14:textId="30A990B5" w:rsidR="00740EEB" w:rsidRPr="00E20031" w:rsidRDefault="00740EEB" w:rsidP="007E2C32">
            <w:pPr>
              <w:pStyle w:val="TableText0"/>
              <w:jc w:val="center"/>
            </w:pPr>
            <w:r w:rsidRPr="00E20031">
              <w:t>$</w:t>
            </w:r>
            <w:r w:rsidR="007554A3" w:rsidRPr="007554A3">
              <w:rPr>
                <w:highlight w:val="black"/>
              </w:rPr>
              <w:t>&amp;&amp;&amp;&amp;</w:t>
            </w:r>
          </w:p>
        </w:tc>
        <w:tc>
          <w:tcPr>
            <w:tcW w:w="901" w:type="dxa"/>
            <w:vAlign w:val="center"/>
          </w:tcPr>
          <w:p w14:paraId="75FA4B6C" w14:textId="77777777" w:rsidR="00740EEB" w:rsidRPr="00E20031" w:rsidRDefault="00740EEB" w:rsidP="007E2C32">
            <w:pPr>
              <w:pStyle w:val="TableText0"/>
              <w:jc w:val="center"/>
            </w:pPr>
            <w:r w:rsidRPr="00E20031">
              <w:t>$255,719</w:t>
            </w:r>
          </w:p>
        </w:tc>
        <w:tc>
          <w:tcPr>
            <w:tcW w:w="1137" w:type="dxa"/>
            <w:vAlign w:val="center"/>
          </w:tcPr>
          <w:p w14:paraId="1E2C6FA3" w14:textId="59153235" w:rsidR="00740EEB" w:rsidRPr="00E20031" w:rsidRDefault="00740EEB" w:rsidP="007E2C32">
            <w:pPr>
              <w:pStyle w:val="TableText0"/>
              <w:jc w:val="center"/>
            </w:pPr>
            <w:r w:rsidRPr="00E20031">
              <w:t>$</w:t>
            </w:r>
            <w:r w:rsidR="007554A3" w:rsidRPr="007554A3">
              <w:rPr>
                <w:highlight w:val="black"/>
              </w:rPr>
              <w:t>&amp;&amp;&amp;&amp;</w:t>
            </w:r>
          </w:p>
        </w:tc>
        <w:tc>
          <w:tcPr>
            <w:tcW w:w="794" w:type="dxa"/>
            <w:vAlign w:val="center"/>
          </w:tcPr>
          <w:p w14:paraId="29C38E5E" w14:textId="77777777" w:rsidR="00740EEB" w:rsidRPr="00E20031" w:rsidRDefault="00740EEB" w:rsidP="007E2C32">
            <w:pPr>
              <w:pStyle w:val="TableText0"/>
              <w:jc w:val="center"/>
            </w:pPr>
            <w:r w:rsidRPr="00E20031">
              <w:t>100%</w:t>
            </w:r>
          </w:p>
        </w:tc>
      </w:tr>
      <w:tr w:rsidR="00740EEB" w:rsidRPr="00E20031" w14:paraId="6E587194" w14:textId="77777777" w:rsidTr="002539C6">
        <w:tc>
          <w:tcPr>
            <w:tcW w:w="9017" w:type="dxa"/>
            <w:gridSpan w:val="5"/>
            <w:vAlign w:val="center"/>
          </w:tcPr>
          <w:p w14:paraId="335210BA" w14:textId="041966E1" w:rsidR="00740EEB" w:rsidRPr="00E20031" w:rsidRDefault="00740EEB" w:rsidP="007E2C32">
            <w:pPr>
              <w:pStyle w:val="TableText0"/>
            </w:pPr>
            <w:r w:rsidRPr="00E20031">
              <w:rPr>
                <w:b/>
                <w:bCs w:val="0"/>
              </w:rPr>
              <w:t>Outcomes – LYs (undiscounted)</w:t>
            </w:r>
          </w:p>
        </w:tc>
      </w:tr>
      <w:tr w:rsidR="00740EEB" w:rsidRPr="00E20031" w14:paraId="17C9C18F" w14:textId="77777777">
        <w:tc>
          <w:tcPr>
            <w:tcW w:w="4771" w:type="dxa"/>
            <w:vAlign w:val="center"/>
          </w:tcPr>
          <w:p w14:paraId="6A70E629" w14:textId="1F6B20F4" w:rsidR="00740EEB" w:rsidRPr="00E20031" w:rsidRDefault="00740EEB" w:rsidP="007E2C32">
            <w:pPr>
              <w:pStyle w:val="TableText0"/>
              <w:rPr>
                <w:b/>
                <w:bCs w:val="0"/>
              </w:rPr>
            </w:pPr>
            <w:r w:rsidRPr="00E20031">
              <w:t>≥76 letters</w:t>
            </w:r>
          </w:p>
        </w:tc>
        <w:tc>
          <w:tcPr>
            <w:tcW w:w="1414" w:type="dxa"/>
            <w:vAlign w:val="center"/>
          </w:tcPr>
          <w:p w14:paraId="083AACE2" w14:textId="6BDBF32D" w:rsidR="00740EEB" w:rsidRPr="00E20031" w:rsidRDefault="00740EEB" w:rsidP="007E2C32">
            <w:pPr>
              <w:pStyle w:val="TableText0"/>
              <w:jc w:val="center"/>
            </w:pPr>
            <w:r w:rsidRPr="00E20031">
              <w:t>0.57</w:t>
            </w:r>
          </w:p>
        </w:tc>
        <w:tc>
          <w:tcPr>
            <w:tcW w:w="901" w:type="dxa"/>
            <w:vAlign w:val="center"/>
          </w:tcPr>
          <w:p w14:paraId="4E07027D" w14:textId="700CEA93" w:rsidR="00740EEB" w:rsidRPr="00E20031" w:rsidRDefault="00740EEB" w:rsidP="007E2C32">
            <w:pPr>
              <w:pStyle w:val="TableText0"/>
              <w:jc w:val="center"/>
            </w:pPr>
            <w:r w:rsidRPr="00E20031">
              <w:t>0.41</w:t>
            </w:r>
          </w:p>
        </w:tc>
        <w:tc>
          <w:tcPr>
            <w:tcW w:w="1137" w:type="dxa"/>
            <w:vAlign w:val="center"/>
          </w:tcPr>
          <w:p w14:paraId="7DF74B93" w14:textId="3A8FF287" w:rsidR="00740EEB" w:rsidRPr="00E20031" w:rsidRDefault="00740EEB" w:rsidP="007E2C32">
            <w:pPr>
              <w:pStyle w:val="TableText0"/>
              <w:jc w:val="center"/>
            </w:pPr>
            <w:r w:rsidRPr="00E20031">
              <w:t>0.16</w:t>
            </w:r>
          </w:p>
        </w:tc>
        <w:tc>
          <w:tcPr>
            <w:tcW w:w="794" w:type="dxa"/>
            <w:vMerge w:val="restart"/>
            <w:vAlign w:val="center"/>
          </w:tcPr>
          <w:p w14:paraId="131B4243" w14:textId="567F6AB2" w:rsidR="00740EEB" w:rsidRPr="00E20031" w:rsidRDefault="00740EEB" w:rsidP="007E2C32">
            <w:pPr>
              <w:pStyle w:val="TableText0"/>
              <w:jc w:val="center"/>
            </w:pPr>
            <w:r w:rsidRPr="00E20031">
              <w:t>N/A</w:t>
            </w:r>
          </w:p>
        </w:tc>
      </w:tr>
      <w:tr w:rsidR="00740EEB" w:rsidRPr="00E20031" w14:paraId="11384336" w14:textId="77777777">
        <w:tc>
          <w:tcPr>
            <w:tcW w:w="4771" w:type="dxa"/>
            <w:vAlign w:val="center"/>
          </w:tcPr>
          <w:p w14:paraId="6FFE5FBC" w14:textId="71E7F020" w:rsidR="00740EEB" w:rsidRPr="00E20031" w:rsidRDefault="00740EEB" w:rsidP="007E2C32">
            <w:pPr>
              <w:pStyle w:val="TableText0"/>
              <w:rPr>
                <w:b/>
                <w:bCs w:val="0"/>
              </w:rPr>
            </w:pPr>
            <w:r w:rsidRPr="00E20031">
              <w:t>66</w:t>
            </w:r>
            <w:r w:rsidR="00397B07">
              <w:noBreakHyphen/>
            </w:r>
            <w:r w:rsidRPr="00E20031">
              <w:t>75 letters</w:t>
            </w:r>
          </w:p>
        </w:tc>
        <w:tc>
          <w:tcPr>
            <w:tcW w:w="1414" w:type="dxa"/>
            <w:vAlign w:val="center"/>
          </w:tcPr>
          <w:p w14:paraId="0CAB908F" w14:textId="2CF4001F" w:rsidR="00740EEB" w:rsidRPr="00E20031" w:rsidRDefault="00740EEB" w:rsidP="007E2C32">
            <w:pPr>
              <w:pStyle w:val="TableText0"/>
              <w:jc w:val="center"/>
            </w:pPr>
            <w:r w:rsidRPr="00E20031">
              <w:t>1.01</w:t>
            </w:r>
          </w:p>
        </w:tc>
        <w:tc>
          <w:tcPr>
            <w:tcW w:w="901" w:type="dxa"/>
            <w:vAlign w:val="center"/>
          </w:tcPr>
          <w:p w14:paraId="2CD568BC" w14:textId="27B56F11" w:rsidR="00740EEB" w:rsidRPr="00E20031" w:rsidRDefault="00740EEB" w:rsidP="007E2C32">
            <w:pPr>
              <w:pStyle w:val="TableText0"/>
              <w:jc w:val="center"/>
            </w:pPr>
            <w:r w:rsidRPr="00E20031">
              <w:t>0.71</w:t>
            </w:r>
          </w:p>
        </w:tc>
        <w:tc>
          <w:tcPr>
            <w:tcW w:w="1137" w:type="dxa"/>
            <w:vAlign w:val="center"/>
          </w:tcPr>
          <w:p w14:paraId="121FC346" w14:textId="7672B5CA" w:rsidR="00740EEB" w:rsidRPr="00E20031" w:rsidRDefault="00740EEB" w:rsidP="007E2C32">
            <w:pPr>
              <w:pStyle w:val="TableText0"/>
              <w:jc w:val="center"/>
            </w:pPr>
            <w:r w:rsidRPr="00E20031">
              <w:t>0.29</w:t>
            </w:r>
          </w:p>
        </w:tc>
        <w:tc>
          <w:tcPr>
            <w:tcW w:w="794" w:type="dxa"/>
            <w:vMerge/>
            <w:vAlign w:val="center"/>
          </w:tcPr>
          <w:p w14:paraId="67931923" w14:textId="77777777" w:rsidR="00740EEB" w:rsidRPr="00E20031" w:rsidRDefault="00740EEB" w:rsidP="007E2C32">
            <w:pPr>
              <w:pStyle w:val="TableText0"/>
              <w:jc w:val="center"/>
            </w:pPr>
          </w:p>
        </w:tc>
      </w:tr>
      <w:tr w:rsidR="00740EEB" w:rsidRPr="00E20031" w14:paraId="3BFF1F91" w14:textId="77777777">
        <w:tc>
          <w:tcPr>
            <w:tcW w:w="4771" w:type="dxa"/>
            <w:vAlign w:val="center"/>
          </w:tcPr>
          <w:p w14:paraId="4485C7C0" w14:textId="4D9B4202" w:rsidR="00740EEB" w:rsidRPr="00E20031" w:rsidRDefault="00740EEB" w:rsidP="007E2C32">
            <w:pPr>
              <w:pStyle w:val="TableText0"/>
              <w:rPr>
                <w:b/>
                <w:bCs w:val="0"/>
              </w:rPr>
            </w:pPr>
            <w:r w:rsidRPr="00E20031">
              <w:t>51</w:t>
            </w:r>
            <w:r w:rsidR="00397B07">
              <w:noBreakHyphen/>
            </w:r>
            <w:r w:rsidRPr="00E20031">
              <w:t>65 letters</w:t>
            </w:r>
          </w:p>
        </w:tc>
        <w:tc>
          <w:tcPr>
            <w:tcW w:w="1414" w:type="dxa"/>
            <w:vAlign w:val="center"/>
          </w:tcPr>
          <w:p w14:paraId="5B4CF2D4" w14:textId="20A7FBCB" w:rsidR="00740EEB" w:rsidRPr="00E20031" w:rsidRDefault="00740EEB" w:rsidP="007E2C32">
            <w:pPr>
              <w:pStyle w:val="TableText0"/>
              <w:jc w:val="center"/>
            </w:pPr>
            <w:r w:rsidRPr="00E20031">
              <w:t>1.90</w:t>
            </w:r>
          </w:p>
        </w:tc>
        <w:tc>
          <w:tcPr>
            <w:tcW w:w="901" w:type="dxa"/>
            <w:vAlign w:val="center"/>
          </w:tcPr>
          <w:p w14:paraId="320CA64D" w14:textId="67735FD4" w:rsidR="00740EEB" w:rsidRPr="00E20031" w:rsidRDefault="00740EEB" w:rsidP="007E2C32">
            <w:pPr>
              <w:pStyle w:val="TableText0"/>
              <w:jc w:val="center"/>
            </w:pPr>
            <w:r w:rsidRPr="00E20031">
              <w:t>1.31</w:t>
            </w:r>
          </w:p>
        </w:tc>
        <w:tc>
          <w:tcPr>
            <w:tcW w:w="1137" w:type="dxa"/>
            <w:vAlign w:val="center"/>
          </w:tcPr>
          <w:p w14:paraId="2A54B868" w14:textId="503033FD" w:rsidR="00740EEB" w:rsidRPr="00E20031" w:rsidRDefault="00740EEB" w:rsidP="007E2C32">
            <w:pPr>
              <w:pStyle w:val="TableText0"/>
              <w:jc w:val="center"/>
            </w:pPr>
            <w:r w:rsidRPr="00E20031">
              <w:t>0.59</w:t>
            </w:r>
          </w:p>
        </w:tc>
        <w:tc>
          <w:tcPr>
            <w:tcW w:w="794" w:type="dxa"/>
            <w:vMerge/>
            <w:vAlign w:val="center"/>
          </w:tcPr>
          <w:p w14:paraId="0F333EDB" w14:textId="77777777" w:rsidR="00740EEB" w:rsidRPr="00E20031" w:rsidRDefault="00740EEB" w:rsidP="007E2C32">
            <w:pPr>
              <w:pStyle w:val="TableText0"/>
              <w:jc w:val="center"/>
            </w:pPr>
          </w:p>
        </w:tc>
      </w:tr>
      <w:tr w:rsidR="00740EEB" w:rsidRPr="00E20031" w14:paraId="5680E6F3" w14:textId="77777777">
        <w:tc>
          <w:tcPr>
            <w:tcW w:w="4771" w:type="dxa"/>
            <w:vAlign w:val="center"/>
          </w:tcPr>
          <w:p w14:paraId="64951672" w14:textId="32222A56" w:rsidR="00740EEB" w:rsidRPr="00E20031" w:rsidRDefault="00740EEB" w:rsidP="007E2C32">
            <w:pPr>
              <w:pStyle w:val="TableText0"/>
              <w:rPr>
                <w:b/>
                <w:bCs w:val="0"/>
              </w:rPr>
            </w:pPr>
            <w:r w:rsidRPr="00E20031">
              <w:t>36</w:t>
            </w:r>
            <w:r w:rsidR="00397B07">
              <w:noBreakHyphen/>
            </w:r>
            <w:r w:rsidRPr="00E20031">
              <w:t>50 letters</w:t>
            </w:r>
          </w:p>
        </w:tc>
        <w:tc>
          <w:tcPr>
            <w:tcW w:w="1414" w:type="dxa"/>
            <w:vAlign w:val="center"/>
          </w:tcPr>
          <w:p w14:paraId="468AF126" w14:textId="1C92EA5E" w:rsidR="00740EEB" w:rsidRPr="00E20031" w:rsidRDefault="00740EEB" w:rsidP="007E2C32">
            <w:pPr>
              <w:pStyle w:val="TableText0"/>
              <w:jc w:val="center"/>
            </w:pPr>
            <w:r w:rsidRPr="00E20031">
              <w:t>1.34</w:t>
            </w:r>
          </w:p>
        </w:tc>
        <w:tc>
          <w:tcPr>
            <w:tcW w:w="901" w:type="dxa"/>
            <w:vAlign w:val="center"/>
          </w:tcPr>
          <w:p w14:paraId="5B52218F" w14:textId="4B35CDF2" w:rsidR="00740EEB" w:rsidRPr="00E20031" w:rsidRDefault="00740EEB" w:rsidP="007E2C32">
            <w:pPr>
              <w:pStyle w:val="TableText0"/>
              <w:jc w:val="center"/>
            </w:pPr>
            <w:r w:rsidRPr="00E20031">
              <w:t>0.93</w:t>
            </w:r>
          </w:p>
        </w:tc>
        <w:tc>
          <w:tcPr>
            <w:tcW w:w="1137" w:type="dxa"/>
            <w:vAlign w:val="center"/>
          </w:tcPr>
          <w:p w14:paraId="78DE5438" w14:textId="6A2AA6C9" w:rsidR="00740EEB" w:rsidRPr="00E20031" w:rsidRDefault="00740EEB" w:rsidP="007E2C32">
            <w:pPr>
              <w:pStyle w:val="TableText0"/>
              <w:jc w:val="center"/>
            </w:pPr>
            <w:r w:rsidRPr="00E20031">
              <w:t>0.41</w:t>
            </w:r>
          </w:p>
        </w:tc>
        <w:tc>
          <w:tcPr>
            <w:tcW w:w="794" w:type="dxa"/>
            <w:vMerge/>
            <w:vAlign w:val="center"/>
          </w:tcPr>
          <w:p w14:paraId="0451F06B" w14:textId="77777777" w:rsidR="00740EEB" w:rsidRPr="00E20031" w:rsidRDefault="00740EEB" w:rsidP="007E2C32">
            <w:pPr>
              <w:pStyle w:val="TableText0"/>
              <w:jc w:val="center"/>
            </w:pPr>
          </w:p>
        </w:tc>
      </w:tr>
      <w:tr w:rsidR="00740EEB" w:rsidRPr="00E20031" w14:paraId="2C5B6799" w14:textId="77777777">
        <w:tc>
          <w:tcPr>
            <w:tcW w:w="4771" w:type="dxa"/>
            <w:vAlign w:val="center"/>
          </w:tcPr>
          <w:p w14:paraId="76D961D0" w14:textId="014D601D" w:rsidR="00740EEB" w:rsidRPr="00E20031" w:rsidRDefault="00740EEB" w:rsidP="007E2C32">
            <w:pPr>
              <w:pStyle w:val="TableText0"/>
              <w:rPr>
                <w:b/>
                <w:bCs w:val="0"/>
              </w:rPr>
            </w:pPr>
            <w:r w:rsidRPr="00E20031">
              <w:t>≤35 letters</w:t>
            </w:r>
          </w:p>
        </w:tc>
        <w:tc>
          <w:tcPr>
            <w:tcW w:w="1414" w:type="dxa"/>
            <w:vAlign w:val="center"/>
          </w:tcPr>
          <w:p w14:paraId="0C8A653F" w14:textId="106CEC04" w:rsidR="00740EEB" w:rsidRPr="00E20031" w:rsidRDefault="00740EEB" w:rsidP="007E2C32">
            <w:pPr>
              <w:pStyle w:val="TableText0"/>
              <w:jc w:val="center"/>
            </w:pPr>
            <w:r w:rsidRPr="00E20031">
              <w:t>9.88</w:t>
            </w:r>
          </w:p>
        </w:tc>
        <w:tc>
          <w:tcPr>
            <w:tcW w:w="901" w:type="dxa"/>
            <w:vAlign w:val="center"/>
          </w:tcPr>
          <w:p w14:paraId="345AEA7E" w14:textId="3DA700C3" w:rsidR="00740EEB" w:rsidRPr="00E20031" w:rsidRDefault="00740EEB" w:rsidP="007E2C32">
            <w:pPr>
              <w:pStyle w:val="TableText0"/>
              <w:jc w:val="center"/>
            </w:pPr>
            <w:r w:rsidRPr="00E20031">
              <w:t>11.34</w:t>
            </w:r>
          </w:p>
        </w:tc>
        <w:tc>
          <w:tcPr>
            <w:tcW w:w="1137" w:type="dxa"/>
            <w:vAlign w:val="center"/>
          </w:tcPr>
          <w:p w14:paraId="1EE2BDFD" w14:textId="2FC88BC3" w:rsidR="00740EEB" w:rsidRPr="00E20031" w:rsidRDefault="00397B07" w:rsidP="007E2C32">
            <w:pPr>
              <w:pStyle w:val="TableText0"/>
              <w:jc w:val="center"/>
            </w:pPr>
            <w:r>
              <w:noBreakHyphen/>
            </w:r>
            <w:r w:rsidR="00740EEB" w:rsidRPr="00E20031">
              <w:t>1.46</w:t>
            </w:r>
          </w:p>
        </w:tc>
        <w:tc>
          <w:tcPr>
            <w:tcW w:w="794" w:type="dxa"/>
            <w:vMerge/>
            <w:vAlign w:val="center"/>
          </w:tcPr>
          <w:p w14:paraId="7B9F610F" w14:textId="77777777" w:rsidR="00740EEB" w:rsidRPr="00E20031" w:rsidRDefault="00740EEB" w:rsidP="007E2C32">
            <w:pPr>
              <w:pStyle w:val="TableText0"/>
              <w:jc w:val="center"/>
            </w:pPr>
          </w:p>
        </w:tc>
      </w:tr>
      <w:tr w:rsidR="00740EEB" w:rsidRPr="00E20031" w14:paraId="1F04AC55" w14:textId="77777777">
        <w:tc>
          <w:tcPr>
            <w:tcW w:w="4771" w:type="dxa"/>
            <w:vAlign w:val="center"/>
          </w:tcPr>
          <w:p w14:paraId="121BC8CE" w14:textId="6CE26BD8" w:rsidR="00740EEB" w:rsidRPr="00E20031" w:rsidRDefault="00740EEB" w:rsidP="007E2C32">
            <w:pPr>
              <w:pStyle w:val="TableText0"/>
              <w:rPr>
                <w:b/>
                <w:bCs w:val="0"/>
              </w:rPr>
            </w:pPr>
            <w:r w:rsidRPr="00E20031">
              <w:rPr>
                <w:b/>
              </w:rPr>
              <w:t>Total</w:t>
            </w:r>
          </w:p>
        </w:tc>
        <w:tc>
          <w:tcPr>
            <w:tcW w:w="1414" w:type="dxa"/>
            <w:vAlign w:val="center"/>
          </w:tcPr>
          <w:p w14:paraId="4EF33AFC" w14:textId="4550204D" w:rsidR="00740EEB" w:rsidRPr="00E20031" w:rsidRDefault="00740EEB" w:rsidP="007E2C32">
            <w:pPr>
              <w:pStyle w:val="TableText0"/>
              <w:jc w:val="center"/>
            </w:pPr>
            <w:r w:rsidRPr="00E20031">
              <w:t>14.70</w:t>
            </w:r>
          </w:p>
        </w:tc>
        <w:tc>
          <w:tcPr>
            <w:tcW w:w="901" w:type="dxa"/>
            <w:vAlign w:val="center"/>
          </w:tcPr>
          <w:p w14:paraId="642ABF92" w14:textId="2DF3F3EE" w:rsidR="00740EEB" w:rsidRPr="00E20031" w:rsidRDefault="00740EEB" w:rsidP="007E2C32">
            <w:pPr>
              <w:pStyle w:val="TableText0"/>
              <w:jc w:val="center"/>
            </w:pPr>
            <w:r w:rsidRPr="00E20031">
              <w:t>14.70</w:t>
            </w:r>
          </w:p>
        </w:tc>
        <w:tc>
          <w:tcPr>
            <w:tcW w:w="1137" w:type="dxa"/>
            <w:vAlign w:val="center"/>
          </w:tcPr>
          <w:p w14:paraId="57041EB4" w14:textId="02E1AFA8" w:rsidR="00740EEB" w:rsidRPr="00E20031" w:rsidRDefault="00740EEB" w:rsidP="007E2C32">
            <w:pPr>
              <w:pStyle w:val="TableText0"/>
              <w:jc w:val="center"/>
            </w:pPr>
            <w:r w:rsidRPr="00E20031">
              <w:t>0.00</w:t>
            </w:r>
          </w:p>
        </w:tc>
        <w:tc>
          <w:tcPr>
            <w:tcW w:w="794" w:type="dxa"/>
            <w:vMerge/>
            <w:vAlign w:val="center"/>
          </w:tcPr>
          <w:p w14:paraId="541AB0FD" w14:textId="77777777" w:rsidR="00740EEB" w:rsidRPr="00E20031" w:rsidRDefault="00740EEB" w:rsidP="007E2C32">
            <w:pPr>
              <w:pStyle w:val="TableText0"/>
              <w:jc w:val="center"/>
            </w:pPr>
          </w:p>
        </w:tc>
      </w:tr>
      <w:tr w:rsidR="00740EEB" w:rsidRPr="00E20031" w14:paraId="04E35E37" w14:textId="77777777" w:rsidTr="002539C6">
        <w:tc>
          <w:tcPr>
            <w:tcW w:w="9017" w:type="dxa"/>
            <w:gridSpan w:val="5"/>
            <w:vAlign w:val="center"/>
          </w:tcPr>
          <w:p w14:paraId="63F33920" w14:textId="08F7C863" w:rsidR="00740EEB" w:rsidRPr="00E20031" w:rsidRDefault="00740EEB" w:rsidP="007E2C32">
            <w:pPr>
              <w:pStyle w:val="TableText0"/>
            </w:pPr>
            <w:r w:rsidRPr="00E20031">
              <w:rPr>
                <w:b/>
                <w:bCs w:val="0"/>
              </w:rPr>
              <w:t>Outcomes – QALYs (discounted)</w:t>
            </w:r>
          </w:p>
        </w:tc>
      </w:tr>
      <w:tr w:rsidR="00740EEB" w:rsidRPr="00E20031" w14:paraId="526AAD6A" w14:textId="77777777">
        <w:tc>
          <w:tcPr>
            <w:tcW w:w="4771" w:type="dxa"/>
            <w:vAlign w:val="center"/>
          </w:tcPr>
          <w:p w14:paraId="3D681597" w14:textId="696FE470" w:rsidR="00740EEB" w:rsidRPr="00E20031" w:rsidRDefault="00740EEB" w:rsidP="007E2C32">
            <w:pPr>
              <w:pStyle w:val="TableText0"/>
              <w:rPr>
                <w:b/>
                <w:bCs w:val="0"/>
              </w:rPr>
            </w:pPr>
            <w:r w:rsidRPr="00E20031">
              <w:t>≥76 letters</w:t>
            </w:r>
          </w:p>
        </w:tc>
        <w:tc>
          <w:tcPr>
            <w:tcW w:w="1414" w:type="dxa"/>
            <w:vAlign w:val="center"/>
          </w:tcPr>
          <w:p w14:paraId="5D111852" w14:textId="049B8A03" w:rsidR="00740EEB" w:rsidRPr="00E20031" w:rsidRDefault="00740EEB" w:rsidP="007E2C32">
            <w:pPr>
              <w:pStyle w:val="TableText0"/>
              <w:jc w:val="center"/>
            </w:pPr>
            <w:r w:rsidRPr="00E20031">
              <w:t>0.43</w:t>
            </w:r>
          </w:p>
        </w:tc>
        <w:tc>
          <w:tcPr>
            <w:tcW w:w="901" w:type="dxa"/>
            <w:vAlign w:val="center"/>
          </w:tcPr>
          <w:p w14:paraId="73DEF327" w14:textId="5E0A4917" w:rsidR="00740EEB" w:rsidRPr="00E20031" w:rsidRDefault="00740EEB" w:rsidP="007E2C32">
            <w:pPr>
              <w:pStyle w:val="TableText0"/>
              <w:jc w:val="center"/>
            </w:pPr>
            <w:r w:rsidRPr="00E20031">
              <w:t>0.31</w:t>
            </w:r>
          </w:p>
        </w:tc>
        <w:tc>
          <w:tcPr>
            <w:tcW w:w="1137" w:type="dxa"/>
          </w:tcPr>
          <w:p w14:paraId="4B23188D" w14:textId="4BA2D371" w:rsidR="00740EEB" w:rsidRPr="00E20031" w:rsidRDefault="00740EEB" w:rsidP="007E2C32">
            <w:pPr>
              <w:pStyle w:val="TableText0"/>
              <w:jc w:val="center"/>
            </w:pPr>
            <w:r w:rsidRPr="00E20031">
              <w:t>0.11</w:t>
            </w:r>
          </w:p>
        </w:tc>
        <w:tc>
          <w:tcPr>
            <w:tcW w:w="794" w:type="dxa"/>
            <w:vAlign w:val="center"/>
          </w:tcPr>
          <w:p w14:paraId="1C71BCF4" w14:textId="409678F5" w:rsidR="00740EEB" w:rsidRPr="00E20031" w:rsidRDefault="00740EEB" w:rsidP="007E2C32">
            <w:pPr>
              <w:pStyle w:val="TableText0"/>
              <w:jc w:val="center"/>
            </w:pPr>
            <w:r w:rsidRPr="00E20031">
              <w:t>43%</w:t>
            </w:r>
          </w:p>
        </w:tc>
      </w:tr>
      <w:tr w:rsidR="00740EEB" w:rsidRPr="00E20031" w14:paraId="1E007533" w14:textId="77777777">
        <w:tc>
          <w:tcPr>
            <w:tcW w:w="4771" w:type="dxa"/>
            <w:vAlign w:val="center"/>
          </w:tcPr>
          <w:p w14:paraId="11A0B750" w14:textId="7D4153A2" w:rsidR="00740EEB" w:rsidRPr="00E20031" w:rsidRDefault="00740EEB" w:rsidP="007E2C32">
            <w:pPr>
              <w:pStyle w:val="TableText0"/>
              <w:rPr>
                <w:b/>
                <w:bCs w:val="0"/>
              </w:rPr>
            </w:pPr>
            <w:r w:rsidRPr="00E20031">
              <w:t>66</w:t>
            </w:r>
            <w:r w:rsidR="00397B07">
              <w:noBreakHyphen/>
            </w:r>
            <w:r w:rsidRPr="00E20031">
              <w:t>75 letters</w:t>
            </w:r>
          </w:p>
        </w:tc>
        <w:tc>
          <w:tcPr>
            <w:tcW w:w="1414" w:type="dxa"/>
            <w:vAlign w:val="center"/>
          </w:tcPr>
          <w:p w14:paraId="5DA53294" w14:textId="2AF1C7A9" w:rsidR="00740EEB" w:rsidRPr="00E20031" w:rsidRDefault="00740EEB" w:rsidP="007E2C32">
            <w:pPr>
              <w:pStyle w:val="TableText0"/>
              <w:jc w:val="center"/>
            </w:pPr>
            <w:r w:rsidRPr="00E20031">
              <w:t>0.62</w:t>
            </w:r>
          </w:p>
        </w:tc>
        <w:tc>
          <w:tcPr>
            <w:tcW w:w="901" w:type="dxa"/>
            <w:vAlign w:val="center"/>
          </w:tcPr>
          <w:p w14:paraId="259252A6" w14:textId="18857397" w:rsidR="00740EEB" w:rsidRPr="00E20031" w:rsidRDefault="00740EEB" w:rsidP="007E2C32">
            <w:pPr>
              <w:pStyle w:val="TableText0"/>
              <w:jc w:val="center"/>
            </w:pPr>
            <w:r w:rsidRPr="00E20031">
              <w:t>0.45</w:t>
            </w:r>
          </w:p>
        </w:tc>
        <w:tc>
          <w:tcPr>
            <w:tcW w:w="1137" w:type="dxa"/>
          </w:tcPr>
          <w:p w14:paraId="79797FF2" w14:textId="52B02F7C" w:rsidR="00740EEB" w:rsidRPr="00E20031" w:rsidRDefault="00740EEB" w:rsidP="007E2C32">
            <w:pPr>
              <w:pStyle w:val="TableText0"/>
              <w:jc w:val="center"/>
            </w:pPr>
            <w:r w:rsidRPr="00E20031">
              <w:t>0.17</w:t>
            </w:r>
          </w:p>
        </w:tc>
        <w:tc>
          <w:tcPr>
            <w:tcW w:w="794" w:type="dxa"/>
            <w:vAlign w:val="center"/>
          </w:tcPr>
          <w:p w14:paraId="452E585B" w14:textId="4C1A9AC3" w:rsidR="00740EEB" w:rsidRPr="00E20031" w:rsidRDefault="00740EEB" w:rsidP="007E2C32">
            <w:pPr>
              <w:pStyle w:val="TableText0"/>
              <w:jc w:val="center"/>
            </w:pPr>
            <w:r w:rsidRPr="00E20031">
              <w:t>64%</w:t>
            </w:r>
          </w:p>
        </w:tc>
      </w:tr>
      <w:tr w:rsidR="00740EEB" w:rsidRPr="00E20031" w14:paraId="3EA31EC1" w14:textId="77777777">
        <w:tc>
          <w:tcPr>
            <w:tcW w:w="4771" w:type="dxa"/>
            <w:vAlign w:val="center"/>
          </w:tcPr>
          <w:p w14:paraId="68AD3331" w14:textId="7FDA3F13" w:rsidR="00740EEB" w:rsidRPr="00E20031" w:rsidRDefault="00740EEB" w:rsidP="007E2C32">
            <w:pPr>
              <w:pStyle w:val="TableText0"/>
              <w:rPr>
                <w:b/>
                <w:bCs w:val="0"/>
              </w:rPr>
            </w:pPr>
            <w:r w:rsidRPr="00E20031">
              <w:t>51</w:t>
            </w:r>
            <w:r w:rsidR="00397B07">
              <w:noBreakHyphen/>
            </w:r>
            <w:r w:rsidRPr="00E20031">
              <w:t>65 letters</w:t>
            </w:r>
          </w:p>
        </w:tc>
        <w:tc>
          <w:tcPr>
            <w:tcW w:w="1414" w:type="dxa"/>
            <w:vAlign w:val="center"/>
          </w:tcPr>
          <w:p w14:paraId="5791DC01" w14:textId="033772CF" w:rsidR="00740EEB" w:rsidRPr="00E20031" w:rsidRDefault="00740EEB" w:rsidP="007E2C32">
            <w:pPr>
              <w:pStyle w:val="TableText0"/>
              <w:jc w:val="center"/>
            </w:pPr>
            <w:r w:rsidRPr="00E20031">
              <w:t>0.94</w:t>
            </w:r>
          </w:p>
        </w:tc>
        <w:tc>
          <w:tcPr>
            <w:tcW w:w="901" w:type="dxa"/>
            <w:vAlign w:val="center"/>
          </w:tcPr>
          <w:p w14:paraId="11B20036" w14:textId="013C205B" w:rsidR="00740EEB" w:rsidRPr="00E20031" w:rsidRDefault="00740EEB" w:rsidP="007E2C32">
            <w:pPr>
              <w:pStyle w:val="TableText0"/>
              <w:jc w:val="center"/>
            </w:pPr>
            <w:r w:rsidRPr="00E20031">
              <w:t>0.68</w:t>
            </w:r>
          </w:p>
        </w:tc>
        <w:tc>
          <w:tcPr>
            <w:tcW w:w="1137" w:type="dxa"/>
          </w:tcPr>
          <w:p w14:paraId="74BED608" w14:textId="7AB1FC87" w:rsidR="00740EEB" w:rsidRPr="00E20031" w:rsidRDefault="00740EEB" w:rsidP="007E2C32">
            <w:pPr>
              <w:pStyle w:val="TableText0"/>
              <w:jc w:val="center"/>
            </w:pPr>
            <w:r w:rsidRPr="00E20031">
              <w:t>0.25</w:t>
            </w:r>
          </w:p>
        </w:tc>
        <w:tc>
          <w:tcPr>
            <w:tcW w:w="794" w:type="dxa"/>
            <w:vAlign w:val="center"/>
          </w:tcPr>
          <w:p w14:paraId="5825D682" w14:textId="1931C418" w:rsidR="00740EEB" w:rsidRPr="00E20031" w:rsidRDefault="00740EEB" w:rsidP="007E2C32">
            <w:pPr>
              <w:pStyle w:val="TableText0"/>
              <w:jc w:val="center"/>
            </w:pPr>
            <w:r w:rsidRPr="00E20031">
              <w:t>97%</w:t>
            </w:r>
          </w:p>
        </w:tc>
      </w:tr>
      <w:tr w:rsidR="00740EEB" w:rsidRPr="00E20031" w14:paraId="51334763" w14:textId="77777777">
        <w:tc>
          <w:tcPr>
            <w:tcW w:w="4771" w:type="dxa"/>
            <w:vAlign w:val="center"/>
          </w:tcPr>
          <w:p w14:paraId="3DBAACF2" w14:textId="4B8E64A9" w:rsidR="00740EEB" w:rsidRPr="00E20031" w:rsidRDefault="00740EEB" w:rsidP="007E2C32">
            <w:pPr>
              <w:pStyle w:val="TableText0"/>
              <w:rPr>
                <w:b/>
                <w:bCs w:val="0"/>
              </w:rPr>
            </w:pPr>
            <w:r w:rsidRPr="00E20031">
              <w:t>36</w:t>
            </w:r>
            <w:r w:rsidR="00397B07">
              <w:noBreakHyphen/>
            </w:r>
            <w:r w:rsidRPr="00E20031">
              <w:t>50 letters</w:t>
            </w:r>
          </w:p>
        </w:tc>
        <w:tc>
          <w:tcPr>
            <w:tcW w:w="1414" w:type="dxa"/>
            <w:vAlign w:val="center"/>
          </w:tcPr>
          <w:p w14:paraId="3D89A691" w14:textId="20DA6420" w:rsidR="00740EEB" w:rsidRPr="00E20031" w:rsidRDefault="00740EEB" w:rsidP="007E2C32">
            <w:pPr>
              <w:pStyle w:val="TableText0"/>
              <w:jc w:val="center"/>
            </w:pPr>
            <w:r w:rsidRPr="00E20031">
              <w:t>0.52</w:t>
            </w:r>
          </w:p>
        </w:tc>
        <w:tc>
          <w:tcPr>
            <w:tcW w:w="901" w:type="dxa"/>
            <w:vAlign w:val="center"/>
          </w:tcPr>
          <w:p w14:paraId="64C7E822" w14:textId="753FED2C" w:rsidR="00740EEB" w:rsidRPr="00E20031" w:rsidRDefault="00740EEB" w:rsidP="007E2C32">
            <w:pPr>
              <w:pStyle w:val="TableText0"/>
              <w:jc w:val="center"/>
            </w:pPr>
            <w:r w:rsidRPr="00E20031">
              <w:t>0.38</w:t>
            </w:r>
          </w:p>
        </w:tc>
        <w:tc>
          <w:tcPr>
            <w:tcW w:w="1137" w:type="dxa"/>
          </w:tcPr>
          <w:p w14:paraId="642149EC" w14:textId="307AB11D" w:rsidR="00740EEB" w:rsidRPr="00E20031" w:rsidRDefault="00740EEB" w:rsidP="007E2C32">
            <w:pPr>
              <w:pStyle w:val="TableText0"/>
              <w:jc w:val="center"/>
            </w:pPr>
            <w:r w:rsidRPr="00E20031">
              <w:t>0.13</w:t>
            </w:r>
          </w:p>
        </w:tc>
        <w:tc>
          <w:tcPr>
            <w:tcW w:w="794" w:type="dxa"/>
            <w:vAlign w:val="center"/>
          </w:tcPr>
          <w:p w14:paraId="6C1DE050" w14:textId="6DE97063" w:rsidR="00740EEB" w:rsidRPr="00E20031" w:rsidRDefault="00740EEB" w:rsidP="007E2C32">
            <w:pPr>
              <w:pStyle w:val="TableText0"/>
              <w:jc w:val="center"/>
            </w:pPr>
            <w:r w:rsidRPr="00E20031">
              <w:t>51%</w:t>
            </w:r>
          </w:p>
        </w:tc>
      </w:tr>
      <w:tr w:rsidR="00740EEB" w:rsidRPr="00E20031" w14:paraId="7CA74D98" w14:textId="77777777">
        <w:tc>
          <w:tcPr>
            <w:tcW w:w="4771" w:type="dxa"/>
            <w:vAlign w:val="center"/>
          </w:tcPr>
          <w:p w14:paraId="714FECF1" w14:textId="2F89716A" w:rsidR="00740EEB" w:rsidRPr="00E20031" w:rsidRDefault="00740EEB" w:rsidP="007E2C32">
            <w:pPr>
              <w:pStyle w:val="TableText0"/>
              <w:rPr>
                <w:b/>
                <w:bCs w:val="0"/>
              </w:rPr>
            </w:pPr>
            <w:r w:rsidRPr="00E20031">
              <w:t>≤35 letters</w:t>
            </w:r>
          </w:p>
        </w:tc>
        <w:tc>
          <w:tcPr>
            <w:tcW w:w="1414" w:type="dxa"/>
            <w:vAlign w:val="center"/>
          </w:tcPr>
          <w:p w14:paraId="2241C78C" w14:textId="46D0B544" w:rsidR="00740EEB" w:rsidRPr="00E20031" w:rsidRDefault="00740EEB" w:rsidP="007E2C32">
            <w:pPr>
              <w:pStyle w:val="TableText0"/>
              <w:jc w:val="center"/>
            </w:pPr>
            <w:r w:rsidRPr="00E20031">
              <w:t>2.22</w:t>
            </w:r>
          </w:p>
        </w:tc>
        <w:tc>
          <w:tcPr>
            <w:tcW w:w="901" w:type="dxa"/>
            <w:vAlign w:val="center"/>
          </w:tcPr>
          <w:p w14:paraId="50911236" w14:textId="4FC6CFAA" w:rsidR="00740EEB" w:rsidRPr="00E20031" w:rsidRDefault="00740EEB" w:rsidP="007E2C32">
            <w:pPr>
              <w:pStyle w:val="TableText0"/>
              <w:jc w:val="center"/>
            </w:pPr>
            <w:r w:rsidRPr="00E20031">
              <w:t>2.63</w:t>
            </w:r>
          </w:p>
        </w:tc>
        <w:tc>
          <w:tcPr>
            <w:tcW w:w="1137" w:type="dxa"/>
          </w:tcPr>
          <w:p w14:paraId="68747EFA" w14:textId="30233967" w:rsidR="00740EEB" w:rsidRPr="00E20031" w:rsidRDefault="00397B07" w:rsidP="007E2C32">
            <w:pPr>
              <w:pStyle w:val="TableText0"/>
              <w:jc w:val="center"/>
            </w:pPr>
            <w:r>
              <w:noBreakHyphen/>
            </w:r>
            <w:r w:rsidR="00740EEB" w:rsidRPr="00E20031">
              <w:t>0.40</w:t>
            </w:r>
          </w:p>
        </w:tc>
        <w:tc>
          <w:tcPr>
            <w:tcW w:w="794" w:type="dxa"/>
            <w:vAlign w:val="center"/>
          </w:tcPr>
          <w:p w14:paraId="58382319" w14:textId="79634D7E" w:rsidR="00740EEB" w:rsidRPr="00E20031" w:rsidRDefault="00397B07" w:rsidP="007E2C32">
            <w:pPr>
              <w:pStyle w:val="TableText0"/>
              <w:jc w:val="center"/>
            </w:pPr>
            <w:r>
              <w:noBreakHyphen/>
            </w:r>
            <w:r w:rsidR="00740EEB" w:rsidRPr="00E20031">
              <w:t>155%</w:t>
            </w:r>
          </w:p>
        </w:tc>
      </w:tr>
      <w:tr w:rsidR="00740EEB" w:rsidRPr="00E20031" w14:paraId="7F50F881" w14:textId="77777777">
        <w:tc>
          <w:tcPr>
            <w:tcW w:w="4771" w:type="dxa"/>
            <w:vAlign w:val="center"/>
          </w:tcPr>
          <w:p w14:paraId="7DD328DF" w14:textId="310A0878" w:rsidR="00740EEB" w:rsidRPr="00E20031" w:rsidRDefault="00740EEB" w:rsidP="007E2C32">
            <w:pPr>
              <w:pStyle w:val="TableText0"/>
              <w:rPr>
                <w:b/>
                <w:bCs w:val="0"/>
              </w:rPr>
            </w:pPr>
            <w:r w:rsidRPr="00E20031">
              <w:rPr>
                <w:b/>
              </w:rPr>
              <w:t>Total</w:t>
            </w:r>
          </w:p>
        </w:tc>
        <w:tc>
          <w:tcPr>
            <w:tcW w:w="1414" w:type="dxa"/>
          </w:tcPr>
          <w:p w14:paraId="28D3E20F" w14:textId="68F3AD79" w:rsidR="00740EEB" w:rsidRPr="00E20031" w:rsidRDefault="00740EEB" w:rsidP="007E2C32">
            <w:pPr>
              <w:pStyle w:val="TableText0"/>
              <w:jc w:val="center"/>
            </w:pPr>
            <w:r w:rsidRPr="00E20031">
              <w:t>4.72</w:t>
            </w:r>
          </w:p>
        </w:tc>
        <w:tc>
          <w:tcPr>
            <w:tcW w:w="901" w:type="dxa"/>
          </w:tcPr>
          <w:p w14:paraId="6394146A" w14:textId="6752EF8B" w:rsidR="00740EEB" w:rsidRPr="00E20031" w:rsidRDefault="00740EEB" w:rsidP="007E2C32">
            <w:pPr>
              <w:pStyle w:val="TableText0"/>
              <w:jc w:val="center"/>
            </w:pPr>
            <w:r w:rsidRPr="00E20031">
              <w:t>4.46</w:t>
            </w:r>
          </w:p>
        </w:tc>
        <w:tc>
          <w:tcPr>
            <w:tcW w:w="1137" w:type="dxa"/>
          </w:tcPr>
          <w:p w14:paraId="42E024D6" w14:textId="73BC999C" w:rsidR="00740EEB" w:rsidRPr="00E20031" w:rsidRDefault="00740EEB" w:rsidP="007E2C32">
            <w:pPr>
              <w:pStyle w:val="TableText0"/>
              <w:jc w:val="center"/>
            </w:pPr>
            <w:r w:rsidRPr="00E20031">
              <w:t>0.26</w:t>
            </w:r>
          </w:p>
        </w:tc>
        <w:tc>
          <w:tcPr>
            <w:tcW w:w="794" w:type="dxa"/>
            <w:vAlign w:val="center"/>
          </w:tcPr>
          <w:p w14:paraId="2BF20906" w14:textId="255DE804" w:rsidR="00740EEB" w:rsidRPr="00E20031" w:rsidRDefault="00740EEB" w:rsidP="007E2C32">
            <w:pPr>
              <w:pStyle w:val="TableText0"/>
              <w:jc w:val="center"/>
            </w:pPr>
            <w:r w:rsidRPr="00E20031">
              <w:t>100%</w:t>
            </w:r>
          </w:p>
        </w:tc>
      </w:tr>
    </w:tbl>
    <w:p w14:paraId="192645E8" w14:textId="77777777" w:rsidR="00E16BDB" w:rsidRPr="00E20031" w:rsidRDefault="00E16BDB" w:rsidP="007E2C32">
      <w:pPr>
        <w:pStyle w:val="FooterTableFigure"/>
        <w:keepNext/>
        <w:keepLines/>
      </w:pPr>
      <w:r w:rsidRPr="00E20031">
        <w:t xml:space="preserve">Source: </w:t>
      </w:r>
      <w:r w:rsidRPr="00406928">
        <w:t>Constructed during the evaluation from the</w:t>
      </w:r>
      <w:r w:rsidRPr="00A272D3">
        <w:rPr>
          <w:iCs/>
        </w:rPr>
        <w:t xml:space="preserve"> </w:t>
      </w:r>
      <w:r w:rsidRPr="00E20031">
        <w:t>“A3.1_Pegcetacoplan PBAC CE model submission 2025 vF” attachment provided with the submission.</w:t>
      </w:r>
    </w:p>
    <w:p w14:paraId="1CD81DDC" w14:textId="41E986FC" w:rsidR="00740EEB" w:rsidRPr="00E20031" w:rsidRDefault="00E16BDB" w:rsidP="007E2C32">
      <w:pPr>
        <w:pStyle w:val="FooterTableFigure"/>
        <w:keepNext/>
        <w:keepLines/>
      </w:pPr>
      <w:r w:rsidRPr="00E20031">
        <w:t>BSC = best supportive care; LYs = life years; QALYs= quality</w:t>
      </w:r>
      <w:r w:rsidR="00397B07">
        <w:noBreakHyphen/>
      </w:r>
      <w:r w:rsidRPr="00E20031">
        <w:t>adjusted life year.</w:t>
      </w:r>
    </w:p>
    <w:p w14:paraId="37D48F55" w14:textId="1D3F8686" w:rsidR="00146339" w:rsidRPr="00A272D3" w:rsidRDefault="00740EEB" w:rsidP="00146339">
      <w:pPr>
        <w:pStyle w:val="3-BodyText"/>
        <w:rPr>
          <w:iCs/>
        </w:rPr>
      </w:pPr>
      <w:r w:rsidRPr="00D04A0A">
        <w:t>Key sensitivity analyses performed during the evaluation are presented in</w:t>
      </w:r>
      <w:r w:rsidR="00297DF6" w:rsidRPr="00D04A0A">
        <w:t xml:space="preserve"> </w:t>
      </w:r>
      <w:r w:rsidR="00297DF6" w:rsidRPr="00D04A0A">
        <w:fldChar w:fldCharType="begin"/>
      </w:r>
      <w:r w:rsidR="00297DF6" w:rsidRPr="00D04A0A">
        <w:instrText xml:space="preserve"> REF _Ref206438016 \h  \* MERGEFORMAT </w:instrText>
      </w:r>
      <w:r w:rsidR="00297DF6" w:rsidRPr="00D04A0A">
        <w:fldChar w:fldCharType="separate"/>
      </w:r>
      <w:r w:rsidR="00333CFE">
        <w:t xml:space="preserve">Table </w:t>
      </w:r>
      <w:r w:rsidR="00333CFE">
        <w:rPr>
          <w:noProof/>
        </w:rPr>
        <w:t>13</w:t>
      </w:r>
      <w:r w:rsidR="00297DF6" w:rsidRPr="00D04A0A">
        <w:fldChar w:fldCharType="end"/>
      </w:r>
      <w:r w:rsidR="00297DF6" w:rsidRPr="00D04A0A">
        <w:t>.</w:t>
      </w:r>
      <w:r w:rsidR="00C4120B">
        <w:t xml:space="preserve"> The additional multivariate sensitivity analyses requested by the PBAC are </w:t>
      </w:r>
      <w:r w:rsidR="00162F5A">
        <w:t xml:space="preserve">also presented in </w:t>
      </w:r>
      <w:r w:rsidR="00162F5A" w:rsidRPr="00D04A0A">
        <w:fldChar w:fldCharType="begin"/>
      </w:r>
      <w:r w:rsidR="00162F5A" w:rsidRPr="00D04A0A">
        <w:instrText xml:space="preserve"> REF _Ref206438016 \h  \* MERGEFORMAT </w:instrText>
      </w:r>
      <w:r w:rsidR="00162F5A" w:rsidRPr="00D04A0A">
        <w:fldChar w:fldCharType="separate"/>
      </w:r>
      <w:r w:rsidR="00333CFE">
        <w:t xml:space="preserve">Table </w:t>
      </w:r>
      <w:r w:rsidR="00333CFE">
        <w:rPr>
          <w:noProof/>
        </w:rPr>
        <w:t>13</w:t>
      </w:r>
      <w:r w:rsidR="00162F5A" w:rsidRPr="00D04A0A">
        <w:fldChar w:fldCharType="end"/>
      </w:r>
      <w:r w:rsidR="00162F5A" w:rsidRPr="00D04A0A">
        <w:t>.</w:t>
      </w:r>
      <w:r w:rsidR="00146339">
        <w:t xml:space="preserve"> </w:t>
      </w:r>
      <w:r w:rsidR="00146339">
        <w:rPr>
          <w:snapToGrid w:val="0"/>
          <w:lang w:val="en-GB"/>
        </w:rPr>
        <w:t xml:space="preserve">The PBAC requested multivariate analyses that reduced the time horizon to 15 years along and included a utility decrement due to pegcetacoplan administration. In addition, the PBAC requested analyses which </w:t>
      </w:r>
      <w:r w:rsidR="00146339" w:rsidRPr="00E20031">
        <w:t>re</w:t>
      </w:r>
      <w:r w:rsidR="00146339">
        <w:t>vised inputs for the tre</w:t>
      </w:r>
      <w:r w:rsidR="00146339" w:rsidRPr="00E20031">
        <w:t>atment effect beyond the observed period</w:t>
      </w:r>
      <w:r w:rsidR="00146339">
        <w:t>, the number of pegcetacoplan injections and the HCP</w:t>
      </w:r>
      <w:r w:rsidR="00146339" w:rsidRPr="00D04A0A">
        <w:t xml:space="preserve"> and </w:t>
      </w:r>
      <w:r w:rsidR="00146339">
        <w:t xml:space="preserve">CHSP costs. The PBAC noted that multivariate analyses that incorporated each of these inputs increased the base case ICER from </w:t>
      </w:r>
      <w:r w:rsidR="00777451" w:rsidRPr="00777451">
        <w:t>$45,000 to &lt; $55,000</w:t>
      </w:r>
      <w:r w:rsidR="00B31A97">
        <w:t xml:space="preserve"> </w:t>
      </w:r>
      <w:r w:rsidR="00146339">
        <w:t xml:space="preserve">per QALY gained to </w:t>
      </w:r>
      <w:r w:rsidR="00805774" w:rsidRPr="00805774">
        <w:t>$95,000 to &lt; $115,000</w:t>
      </w:r>
      <w:r w:rsidR="002800EE">
        <w:t xml:space="preserve"> </w:t>
      </w:r>
      <w:r w:rsidR="00146339">
        <w:t>per QALY gained. The PBAC acknowledged that incorporating aflibercept and ranibizumab effective prices would further impact the ICER (data not shown).</w:t>
      </w:r>
    </w:p>
    <w:p w14:paraId="04463877" w14:textId="708B8166" w:rsidR="005E1468" w:rsidRPr="00D04A0A" w:rsidRDefault="005E1468" w:rsidP="00FA0B3E">
      <w:pPr>
        <w:pStyle w:val="3-BodyText"/>
        <w:numPr>
          <w:ilvl w:val="0"/>
          <w:numId w:val="0"/>
        </w:numPr>
        <w:ind w:left="720"/>
      </w:pPr>
    </w:p>
    <w:p w14:paraId="71D2EE08" w14:textId="58874758" w:rsidR="00740EEB" w:rsidRPr="00E20031" w:rsidRDefault="005E1468" w:rsidP="005E1468">
      <w:pPr>
        <w:pStyle w:val="Caption"/>
      </w:pPr>
      <w:bookmarkStart w:id="79" w:name="_Ref206438016"/>
      <w:r>
        <w:lastRenderedPageBreak/>
        <w:t xml:space="preserve">Table </w:t>
      </w:r>
      <w:r w:rsidR="004C5F7F">
        <w:fldChar w:fldCharType="begin"/>
      </w:r>
      <w:r w:rsidR="004C5F7F">
        <w:instrText xml:space="preserve"> SEQ Table \* ARABIC </w:instrText>
      </w:r>
      <w:r w:rsidR="004C5F7F">
        <w:fldChar w:fldCharType="separate"/>
      </w:r>
      <w:r w:rsidR="00333CFE">
        <w:rPr>
          <w:noProof/>
        </w:rPr>
        <w:t>13</w:t>
      </w:r>
      <w:r w:rsidR="004C5F7F">
        <w:rPr>
          <w:noProof/>
        </w:rPr>
        <w:fldChar w:fldCharType="end"/>
      </w:r>
      <w:bookmarkEnd w:id="79"/>
      <w:r>
        <w:t>: Key sensitivity analyses</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Key sensitivity analyses"/>
      </w:tblPr>
      <w:tblGrid>
        <w:gridCol w:w="5018"/>
        <w:gridCol w:w="1137"/>
        <w:gridCol w:w="1137"/>
        <w:gridCol w:w="912"/>
        <w:gridCol w:w="854"/>
      </w:tblGrid>
      <w:tr w:rsidR="00740EEB" w:rsidRPr="00E20031" w14:paraId="27B48A43" w14:textId="77777777">
        <w:trPr>
          <w:trHeight w:val="449"/>
          <w:tblHeader/>
        </w:trPr>
        <w:tc>
          <w:tcPr>
            <w:tcW w:w="5053" w:type="dxa"/>
            <w:vAlign w:val="center"/>
          </w:tcPr>
          <w:p w14:paraId="7A784BD9" w14:textId="77777777" w:rsidR="00740EEB" w:rsidRPr="00E20031" w:rsidRDefault="00740EEB" w:rsidP="00077D48">
            <w:pPr>
              <w:pStyle w:val="In-tableHeading"/>
            </w:pPr>
            <w:r w:rsidRPr="00E20031">
              <w:t>Analyses</w:t>
            </w:r>
          </w:p>
        </w:tc>
        <w:tc>
          <w:tcPr>
            <w:tcW w:w="1137" w:type="dxa"/>
            <w:vAlign w:val="center"/>
          </w:tcPr>
          <w:p w14:paraId="7402BF63" w14:textId="77777777" w:rsidR="00740EEB" w:rsidRPr="00E20031" w:rsidRDefault="00740EEB" w:rsidP="00077D48">
            <w:pPr>
              <w:pStyle w:val="In-tableHeading"/>
            </w:pPr>
            <w:r w:rsidRPr="00E20031">
              <w:t>Incremental cost</w:t>
            </w:r>
          </w:p>
        </w:tc>
        <w:tc>
          <w:tcPr>
            <w:tcW w:w="1137" w:type="dxa"/>
            <w:vAlign w:val="center"/>
          </w:tcPr>
          <w:p w14:paraId="28752709" w14:textId="77777777" w:rsidR="00740EEB" w:rsidRPr="00E20031" w:rsidRDefault="00740EEB" w:rsidP="00077D48">
            <w:pPr>
              <w:pStyle w:val="In-tableHeading"/>
            </w:pPr>
            <w:r w:rsidRPr="00E20031">
              <w:t>Incremental QALY</w:t>
            </w:r>
          </w:p>
        </w:tc>
        <w:tc>
          <w:tcPr>
            <w:tcW w:w="913" w:type="dxa"/>
            <w:vAlign w:val="center"/>
          </w:tcPr>
          <w:p w14:paraId="316757AA" w14:textId="77777777" w:rsidR="00740EEB" w:rsidRPr="00E20031" w:rsidRDefault="00740EEB" w:rsidP="00077D48">
            <w:pPr>
              <w:pStyle w:val="In-tableHeading"/>
            </w:pPr>
            <w:r w:rsidRPr="00E20031">
              <w:t>ICER</w:t>
            </w:r>
          </w:p>
        </w:tc>
        <w:tc>
          <w:tcPr>
            <w:tcW w:w="818" w:type="dxa"/>
            <w:vAlign w:val="center"/>
          </w:tcPr>
          <w:p w14:paraId="649AF4F7" w14:textId="77777777" w:rsidR="00740EEB" w:rsidRPr="00E20031" w:rsidRDefault="00740EEB" w:rsidP="00077D48">
            <w:pPr>
              <w:pStyle w:val="In-tableHeading"/>
            </w:pPr>
            <w:r w:rsidRPr="00E20031">
              <w:t>% Change</w:t>
            </w:r>
          </w:p>
        </w:tc>
      </w:tr>
      <w:tr w:rsidR="00740EEB" w:rsidRPr="00E20031" w14:paraId="23FB616C" w14:textId="77777777">
        <w:trPr>
          <w:trHeight w:val="237"/>
        </w:trPr>
        <w:tc>
          <w:tcPr>
            <w:tcW w:w="5053" w:type="dxa"/>
          </w:tcPr>
          <w:p w14:paraId="542900B5" w14:textId="77777777" w:rsidR="00740EEB" w:rsidRPr="00E20031" w:rsidRDefault="00740EEB">
            <w:pPr>
              <w:pStyle w:val="TableText0"/>
              <w:rPr>
                <w:b/>
              </w:rPr>
            </w:pPr>
            <w:r w:rsidRPr="00E20031">
              <w:rPr>
                <w:b/>
              </w:rPr>
              <w:t>Base case</w:t>
            </w:r>
          </w:p>
        </w:tc>
        <w:tc>
          <w:tcPr>
            <w:tcW w:w="1137" w:type="dxa"/>
          </w:tcPr>
          <w:p w14:paraId="440D0DD3" w14:textId="58FBB72D" w:rsidR="00740EEB" w:rsidRPr="00E20031" w:rsidRDefault="00740EEB">
            <w:pPr>
              <w:pStyle w:val="TableText0"/>
              <w:jc w:val="center"/>
              <w:rPr>
                <w:b/>
              </w:rPr>
            </w:pPr>
            <w:r w:rsidRPr="00E20031">
              <w:t>$</w:t>
            </w:r>
            <w:r w:rsidR="00794BDD" w:rsidRPr="00794BDD">
              <w:rPr>
                <w:highlight w:val="black"/>
              </w:rPr>
              <w:t>&amp;&amp;&amp;&amp;</w:t>
            </w:r>
          </w:p>
        </w:tc>
        <w:tc>
          <w:tcPr>
            <w:tcW w:w="1137" w:type="dxa"/>
          </w:tcPr>
          <w:p w14:paraId="43D82AF9" w14:textId="77777777" w:rsidR="00740EEB" w:rsidRPr="00E20031" w:rsidRDefault="00740EEB">
            <w:pPr>
              <w:pStyle w:val="TableText0"/>
              <w:jc w:val="center"/>
              <w:rPr>
                <w:b/>
              </w:rPr>
            </w:pPr>
            <w:r w:rsidRPr="00E20031">
              <w:t>0.261</w:t>
            </w:r>
          </w:p>
        </w:tc>
        <w:tc>
          <w:tcPr>
            <w:tcW w:w="913" w:type="dxa"/>
          </w:tcPr>
          <w:p w14:paraId="56F56BB2" w14:textId="164C2C71" w:rsidR="00740EEB" w:rsidRPr="00843E09" w:rsidRDefault="00740EEB">
            <w:pPr>
              <w:pStyle w:val="TableText0"/>
              <w:jc w:val="center"/>
              <w:rPr>
                <w:b/>
                <w:vertAlign w:val="superscript"/>
              </w:rPr>
            </w:pPr>
            <w:r w:rsidRPr="00E20031">
              <w:t>$</w:t>
            </w:r>
            <w:r w:rsidR="00794BDD" w:rsidRPr="00794BDD">
              <w:rPr>
                <w:highlight w:val="black"/>
              </w:rPr>
              <w:t>&amp;&amp;&amp;&amp;</w:t>
            </w:r>
            <w:r w:rsidR="00843E09">
              <w:rPr>
                <w:vertAlign w:val="superscript"/>
              </w:rPr>
              <w:t>1</w:t>
            </w:r>
          </w:p>
        </w:tc>
        <w:tc>
          <w:tcPr>
            <w:tcW w:w="818" w:type="dxa"/>
          </w:tcPr>
          <w:p w14:paraId="20317251" w14:textId="77777777" w:rsidR="00740EEB" w:rsidRPr="00E20031" w:rsidRDefault="00740EEB">
            <w:pPr>
              <w:pStyle w:val="TableText0"/>
              <w:jc w:val="center"/>
            </w:pPr>
            <w:r w:rsidRPr="00E20031">
              <w:t>0%</w:t>
            </w:r>
          </w:p>
        </w:tc>
      </w:tr>
      <w:tr w:rsidR="00740EEB" w:rsidRPr="00E20031" w14:paraId="77BD91CA" w14:textId="77777777">
        <w:trPr>
          <w:trHeight w:val="163"/>
        </w:trPr>
        <w:tc>
          <w:tcPr>
            <w:tcW w:w="9058" w:type="dxa"/>
            <w:gridSpan w:val="5"/>
            <w:vAlign w:val="center"/>
          </w:tcPr>
          <w:p w14:paraId="7DD53775" w14:textId="77777777" w:rsidR="00740EEB" w:rsidRPr="00E20031" w:rsidRDefault="00740EEB">
            <w:pPr>
              <w:pStyle w:val="TableText0"/>
            </w:pPr>
            <w:r w:rsidRPr="00E20031">
              <w:t>Discount rate (base case: 5% costs and outcomes)</w:t>
            </w:r>
          </w:p>
        </w:tc>
      </w:tr>
      <w:tr w:rsidR="00740EEB" w:rsidRPr="00E20031" w14:paraId="33A52C3C" w14:textId="77777777">
        <w:trPr>
          <w:trHeight w:val="237"/>
        </w:trPr>
        <w:tc>
          <w:tcPr>
            <w:tcW w:w="5053" w:type="dxa"/>
          </w:tcPr>
          <w:p w14:paraId="3E8EF030" w14:textId="77777777" w:rsidR="00740EEB" w:rsidRPr="00E20031" w:rsidRDefault="00740EEB" w:rsidP="00BC758F">
            <w:pPr>
              <w:pStyle w:val="TableText0"/>
              <w:numPr>
                <w:ilvl w:val="0"/>
                <w:numId w:val="5"/>
              </w:numPr>
            </w:pPr>
            <w:r w:rsidRPr="00E20031">
              <w:t>0% costs and outcomes</w:t>
            </w:r>
          </w:p>
        </w:tc>
        <w:tc>
          <w:tcPr>
            <w:tcW w:w="1137" w:type="dxa"/>
          </w:tcPr>
          <w:p w14:paraId="0CA13A61" w14:textId="6CC877E3" w:rsidR="00740EEB" w:rsidRPr="00E20031" w:rsidRDefault="00740EEB">
            <w:pPr>
              <w:pStyle w:val="TableText0"/>
              <w:jc w:val="center"/>
            </w:pPr>
            <w:r w:rsidRPr="00E20031">
              <w:t>$</w:t>
            </w:r>
            <w:r w:rsidR="00794BDD" w:rsidRPr="00794BDD">
              <w:rPr>
                <w:highlight w:val="black"/>
              </w:rPr>
              <w:t>&amp;&amp;&amp;&amp;</w:t>
            </w:r>
          </w:p>
        </w:tc>
        <w:tc>
          <w:tcPr>
            <w:tcW w:w="1137" w:type="dxa"/>
          </w:tcPr>
          <w:p w14:paraId="20496605" w14:textId="77777777" w:rsidR="00740EEB" w:rsidRPr="00E20031" w:rsidRDefault="00740EEB">
            <w:pPr>
              <w:pStyle w:val="TableText0"/>
              <w:jc w:val="center"/>
            </w:pPr>
            <w:r w:rsidRPr="00E20031">
              <w:t>0.337</w:t>
            </w:r>
          </w:p>
        </w:tc>
        <w:tc>
          <w:tcPr>
            <w:tcW w:w="913" w:type="dxa"/>
          </w:tcPr>
          <w:p w14:paraId="3ADB8BEF" w14:textId="23F75B22" w:rsidR="00740EEB" w:rsidRPr="00843E09" w:rsidRDefault="00740EEB">
            <w:pPr>
              <w:pStyle w:val="TableText0"/>
              <w:jc w:val="center"/>
              <w:rPr>
                <w:vertAlign w:val="superscript"/>
              </w:rPr>
            </w:pPr>
            <w:r w:rsidRPr="00E20031">
              <w:t>$</w:t>
            </w:r>
            <w:r w:rsidR="00794BDD" w:rsidRPr="00794BDD">
              <w:rPr>
                <w:highlight w:val="black"/>
              </w:rPr>
              <w:t>&amp;&amp;&amp;&amp;</w:t>
            </w:r>
            <w:r w:rsidR="00843E09">
              <w:rPr>
                <w:vertAlign w:val="superscript"/>
              </w:rPr>
              <w:t>2</w:t>
            </w:r>
          </w:p>
        </w:tc>
        <w:tc>
          <w:tcPr>
            <w:tcW w:w="818" w:type="dxa"/>
          </w:tcPr>
          <w:p w14:paraId="1394198F" w14:textId="558F6429" w:rsidR="00740EEB" w:rsidRPr="00E20031" w:rsidRDefault="00397B07">
            <w:pPr>
              <w:pStyle w:val="TableText0"/>
              <w:jc w:val="center"/>
            </w:pPr>
            <w:r>
              <w:noBreakHyphen/>
            </w:r>
            <w:r w:rsidR="00794BDD" w:rsidRPr="00794BDD">
              <w:rPr>
                <w:highlight w:val="black"/>
              </w:rPr>
              <w:t>&amp;&amp;&amp;&amp;</w:t>
            </w:r>
            <w:r w:rsidR="00740EEB" w:rsidRPr="00E20031">
              <w:t>%</w:t>
            </w:r>
          </w:p>
        </w:tc>
      </w:tr>
      <w:tr w:rsidR="00740EEB" w:rsidRPr="00E20031" w14:paraId="363B4C42" w14:textId="77777777">
        <w:trPr>
          <w:trHeight w:val="237"/>
        </w:trPr>
        <w:tc>
          <w:tcPr>
            <w:tcW w:w="5053" w:type="dxa"/>
          </w:tcPr>
          <w:p w14:paraId="629ED6DB" w14:textId="77777777" w:rsidR="00740EEB" w:rsidRPr="00E20031" w:rsidRDefault="00740EEB" w:rsidP="00BC758F">
            <w:pPr>
              <w:pStyle w:val="TableText0"/>
              <w:numPr>
                <w:ilvl w:val="0"/>
                <w:numId w:val="5"/>
              </w:numPr>
            </w:pPr>
            <w:r w:rsidRPr="00E20031">
              <w:t>3.5% costs and outcomes</w:t>
            </w:r>
          </w:p>
        </w:tc>
        <w:tc>
          <w:tcPr>
            <w:tcW w:w="1137" w:type="dxa"/>
          </w:tcPr>
          <w:p w14:paraId="02A58054" w14:textId="6A7D18D6" w:rsidR="00740EEB" w:rsidRPr="00E20031" w:rsidRDefault="00740EEB">
            <w:pPr>
              <w:pStyle w:val="TableText0"/>
              <w:jc w:val="center"/>
            </w:pPr>
            <w:r w:rsidRPr="00E20031">
              <w:t>$</w:t>
            </w:r>
            <w:r w:rsidR="00794BDD" w:rsidRPr="00794BDD">
              <w:rPr>
                <w:highlight w:val="black"/>
              </w:rPr>
              <w:t>&amp;&amp;&amp;&amp;</w:t>
            </w:r>
          </w:p>
        </w:tc>
        <w:tc>
          <w:tcPr>
            <w:tcW w:w="1137" w:type="dxa"/>
          </w:tcPr>
          <w:p w14:paraId="2238D828" w14:textId="77777777" w:rsidR="00740EEB" w:rsidRPr="00E20031" w:rsidRDefault="00740EEB">
            <w:pPr>
              <w:pStyle w:val="TableText0"/>
              <w:jc w:val="center"/>
            </w:pPr>
            <w:r w:rsidRPr="00E20031">
              <w:t>0.281</w:t>
            </w:r>
          </w:p>
        </w:tc>
        <w:tc>
          <w:tcPr>
            <w:tcW w:w="913" w:type="dxa"/>
          </w:tcPr>
          <w:p w14:paraId="79C92E80" w14:textId="06B340DF" w:rsidR="00740EEB" w:rsidRPr="00652939" w:rsidRDefault="00740EEB">
            <w:pPr>
              <w:pStyle w:val="TableText0"/>
              <w:jc w:val="center"/>
              <w:rPr>
                <w:vertAlign w:val="superscript"/>
              </w:rPr>
            </w:pPr>
            <w:r w:rsidRPr="00E20031">
              <w:t>$</w:t>
            </w:r>
            <w:r w:rsidR="00794BDD" w:rsidRPr="00794BDD">
              <w:rPr>
                <w:highlight w:val="black"/>
              </w:rPr>
              <w:t>&amp;&amp;&amp;&amp;</w:t>
            </w:r>
            <w:r w:rsidR="00652939">
              <w:rPr>
                <w:vertAlign w:val="superscript"/>
              </w:rPr>
              <w:t>3</w:t>
            </w:r>
          </w:p>
        </w:tc>
        <w:tc>
          <w:tcPr>
            <w:tcW w:w="818" w:type="dxa"/>
          </w:tcPr>
          <w:p w14:paraId="3609EFA5" w14:textId="2B15814F" w:rsidR="00740EEB" w:rsidRPr="00E20031" w:rsidRDefault="00397B07">
            <w:pPr>
              <w:pStyle w:val="TableText0"/>
              <w:jc w:val="center"/>
            </w:pPr>
            <w:r>
              <w:noBreakHyphen/>
            </w:r>
            <w:r w:rsidR="00794BDD" w:rsidRPr="00794BDD">
              <w:rPr>
                <w:highlight w:val="black"/>
              </w:rPr>
              <w:t>&amp;&amp;&amp;&amp;</w:t>
            </w:r>
            <w:r w:rsidR="00740EEB" w:rsidRPr="00E20031">
              <w:t>%</w:t>
            </w:r>
          </w:p>
        </w:tc>
      </w:tr>
      <w:tr w:rsidR="00740EEB" w:rsidRPr="00E20031" w14:paraId="5F337A9C" w14:textId="77777777">
        <w:trPr>
          <w:trHeight w:val="237"/>
        </w:trPr>
        <w:tc>
          <w:tcPr>
            <w:tcW w:w="9058" w:type="dxa"/>
            <w:gridSpan w:val="5"/>
            <w:vAlign w:val="center"/>
          </w:tcPr>
          <w:p w14:paraId="1BE9461D" w14:textId="77777777" w:rsidR="00740EEB" w:rsidRPr="00E20031" w:rsidRDefault="00740EEB">
            <w:pPr>
              <w:pStyle w:val="TableText0"/>
            </w:pPr>
            <w:r w:rsidRPr="00E20031">
              <w:t xml:space="preserve">Time horizon (base case: 20 years) </w:t>
            </w:r>
          </w:p>
        </w:tc>
      </w:tr>
      <w:tr w:rsidR="00740EEB" w:rsidRPr="00E20031" w14:paraId="24DE7D4F" w14:textId="77777777">
        <w:trPr>
          <w:trHeight w:val="224"/>
        </w:trPr>
        <w:tc>
          <w:tcPr>
            <w:tcW w:w="5053" w:type="dxa"/>
          </w:tcPr>
          <w:p w14:paraId="60CD8409" w14:textId="77777777" w:rsidR="00740EEB" w:rsidRPr="00E20031" w:rsidRDefault="00740EEB" w:rsidP="00BC758F">
            <w:pPr>
              <w:pStyle w:val="TableText0"/>
              <w:numPr>
                <w:ilvl w:val="0"/>
                <w:numId w:val="6"/>
              </w:numPr>
            </w:pPr>
            <w:r w:rsidRPr="00E20031">
              <w:t>10 years</w:t>
            </w:r>
          </w:p>
        </w:tc>
        <w:tc>
          <w:tcPr>
            <w:tcW w:w="1137" w:type="dxa"/>
          </w:tcPr>
          <w:p w14:paraId="474F36B2" w14:textId="0F3945BE" w:rsidR="00740EEB" w:rsidRPr="00E20031" w:rsidRDefault="00740EEB">
            <w:pPr>
              <w:pStyle w:val="TableText0"/>
              <w:jc w:val="center"/>
            </w:pPr>
            <w:r w:rsidRPr="00E20031">
              <w:t>$</w:t>
            </w:r>
            <w:r w:rsidR="00794BDD" w:rsidRPr="00794BDD">
              <w:rPr>
                <w:highlight w:val="black"/>
              </w:rPr>
              <w:t>&amp;&amp;&amp;&amp;</w:t>
            </w:r>
          </w:p>
        </w:tc>
        <w:tc>
          <w:tcPr>
            <w:tcW w:w="1137" w:type="dxa"/>
          </w:tcPr>
          <w:p w14:paraId="44F213F2" w14:textId="77777777" w:rsidR="00740EEB" w:rsidRPr="00E20031" w:rsidRDefault="00740EEB">
            <w:pPr>
              <w:pStyle w:val="TableText0"/>
              <w:jc w:val="center"/>
            </w:pPr>
            <w:r w:rsidRPr="00E20031">
              <w:t>0.245</w:t>
            </w:r>
          </w:p>
        </w:tc>
        <w:tc>
          <w:tcPr>
            <w:tcW w:w="913" w:type="dxa"/>
          </w:tcPr>
          <w:p w14:paraId="15F3F71E" w14:textId="4AFE3AC3" w:rsidR="00740EEB" w:rsidRPr="00990931" w:rsidRDefault="00740EEB">
            <w:pPr>
              <w:pStyle w:val="TableText0"/>
              <w:jc w:val="center"/>
              <w:rPr>
                <w:vertAlign w:val="superscript"/>
              </w:rPr>
            </w:pPr>
            <w:r w:rsidRPr="00E20031">
              <w:t>$</w:t>
            </w:r>
            <w:r w:rsidR="00794BDD" w:rsidRPr="00794BDD">
              <w:rPr>
                <w:highlight w:val="black"/>
              </w:rPr>
              <w:t>&amp;&amp;&amp;&amp;</w:t>
            </w:r>
            <w:r w:rsidR="00990931">
              <w:rPr>
                <w:vertAlign w:val="superscript"/>
              </w:rPr>
              <w:t>1</w:t>
            </w:r>
          </w:p>
        </w:tc>
        <w:tc>
          <w:tcPr>
            <w:tcW w:w="818" w:type="dxa"/>
          </w:tcPr>
          <w:p w14:paraId="4B5C0952" w14:textId="0E38D387" w:rsidR="00740EEB" w:rsidRPr="00E20031" w:rsidRDefault="00794BDD">
            <w:pPr>
              <w:pStyle w:val="TableText0"/>
              <w:jc w:val="center"/>
            </w:pPr>
            <w:r w:rsidRPr="00794BDD">
              <w:rPr>
                <w:highlight w:val="black"/>
              </w:rPr>
              <w:t>&amp;&amp;&amp;&amp;</w:t>
            </w:r>
            <w:r w:rsidR="00740EEB" w:rsidRPr="00E20031">
              <w:t>%</w:t>
            </w:r>
          </w:p>
        </w:tc>
      </w:tr>
      <w:tr w:rsidR="00A063CA" w:rsidRPr="00E20031" w14:paraId="13EEA703" w14:textId="77777777">
        <w:trPr>
          <w:trHeight w:val="224"/>
        </w:trPr>
        <w:tc>
          <w:tcPr>
            <w:tcW w:w="5053" w:type="dxa"/>
          </w:tcPr>
          <w:p w14:paraId="0C2040D6" w14:textId="0C82AFC2" w:rsidR="00A063CA" w:rsidRPr="00E20031" w:rsidRDefault="00A063CA" w:rsidP="00A063CA">
            <w:pPr>
              <w:pStyle w:val="TableText0"/>
              <w:numPr>
                <w:ilvl w:val="0"/>
                <w:numId w:val="6"/>
              </w:numPr>
            </w:pPr>
            <w:r w:rsidRPr="0035517B">
              <w:t>15 years #1</w:t>
            </w:r>
          </w:p>
        </w:tc>
        <w:tc>
          <w:tcPr>
            <w:tcW w:w="1137" w:type="dxa"/>
          </w:tcPr>
          <w:p w14:paraId="4C63F927" w14:textId="657C593A" w:rsidR="00A063CA" w:rsidRPr="00E20031" w:rsidRDefault="00A063CA" w:rsidP="00A063CA">
            <w:pPr>
              <w:pStyle w:val="TableText0"/>
              <w:jc w:val="center"/>
            </w:pPr>
            <w:r w:rsidRPr="0035517B">
              <w:t>$</w:t>
            </w:r>
            <w:r w:rsidR="00794BDD" w:rsidRPr="00794BDD">
              <w:rPr>
                <w:highlight w:val="black"/>
              </w:rPr>
              <w:t>&amp;&amp;&amp;&amp;</w:t>
            </w:r>
          </w:p>
        </w:tc>
        <w:tc>
          <w:tcPr>
            <w:tcW w:w="1137" w:type="dxa"/>
          </w:tcPr>
          <w:p w14:paraId="325A3BD7" w14:textId="19D621C9" w:rsidR="00A063CA" w:rsidRPr="00E20031" w:rsidRDefault="00A063CA" w:rsidP="00A063CA">
            <w:pPr>
              <w:pStyle w:val="TableText0"/>
              <w:jc w:val="center"/>
            </w:pPr>
            <w:r w:rsidRPr="0035517B">
              <w:t>0.2</w:t>
            </w:r>
            <w:r w:rsidR="0049796B">
              <w:t>60</w:t>
            </w:r>
          </w:p>
        </w:tc>
        <w:tc>
          <w:tcPr>
            <w:tcW w:w="913" w:type="dxa"/>
          </w:tcPr>
          <w:p w14:paraId="4AB66572" w14:textId="0AF4DB5E" w:rsidR="00A063CA" w:rsidRPr="00843E09" w:rsidRDefault="00A063CA" w:rsidP="00A063CA">
            <w:pPr>
              <w:pStyle w:val="TableText0"/>
              <w:jc w:val="center"/>
              <w:rPr>
                <w:vertAlign w:val="superscript"/>
              </w:rPr>
            </w:pPr>
            <w:r w:rsidRPr="0035517B">
              <w:t>$</w:t>
            </w:r>
            <w:r w:rsidR="00794BDD" w:rsidRPr="00794BDD">
              <w:rPr>
                <w:highlight w:val="black"/>
              </w:rPr>
              <w:t>&amp;&amp;&amp;&amp;</w:t>
            </w:r>
            <w:r w:rsidR="00843E09">
              <w:rPr>
                <w:vertAlign w:val="superscript"/>
              </w:rPr>
              <w:t>1</w:t>
            </w:r>
          </w:p>
        </w:tc>
        <w:tc>
          <w:tcPr>
            <w:tcW w:w="818" w:type="dxa"/>
          </w:tcPr>
          <w:p w14:paraId="525EA50C" w14:textId="335CBB85" w:rsidR="00A063CA" w:rsidRPr="00E20031" w:rsidRDefault="00794BDD" w:rsidP="00A063CA">
            <w:pPr>
              <w:pStyle w:val="TableText0"/>
              <w:jc w:val="center"/>
            </w:pPr>
            <w:r w:rsidRPr="00794BDD">
              <w:rPr>
                <w:highlight w:val="black"/>
              </w:rPr>
              <w:t>&amp;&amp;&amp;&amp;</w:t>
            </w:r>
            <w:r w:rsidR="00A063CA" w:rsidRPr="0035517B">
              <w:t>%</w:t>
            </w:r>
          </w:p>
        </w:tc>
      </w:tr>
      <w:tr w:rsidR="00740EEB" w:rsidRPr="00E20031" w14:paraId="695329E0" w14:textId="77777777">
        <w:trPr>
          <w:trHeight w:val="121"/>
        </w:trPr>
        <w:tc>
          <w:tcPr>
            <w:tcW w:w="9058" w:type="dxa"/>
            <w:gridSpan w:val="5"/>
          </w:tcPr>
          <w:p w14:paraId="08DEE065" w14:textId="77777777" w:rsidR="00740EEB" w:rsidRPr="00E20031" w:rsidRDefault="00740EEB">
            <w:pPr>
              <w:pStyle w:val="TableText0"/>
            </w:pPr>
            <w:r w:rsidRPr="00E20031">
              <w:t>Treatment effect beyond the observed period (base case: RRR of 0.35)</w:t>
            </w:r>
          </w:p>
        </w:tc>
      </w:tr>
      <w:tr w:rsidR="00740EEB" w:rsidRPr="00E20031" w14:paraId="200508FD" w14:textId="77777777">
        <w:trPr>
          <w:trHeight w:val="121"/>
        </w:trPr>
        <w:tc>
          <w:tcPr>
            <w:tcW w:w="5053" w:type="dxa"/>
          </w:tcPr>
          <w:p w14:paraId="367A7681" w14:textId="2AFF7841" w:rsidR="00740EEB" w:rsidRPr="00E20031" w:rsidRDefault="00740EEB" w:rsidP="00BC758F">
            <w:pPr>
              <w:pStyle w:val="TableText0"/>
              <w:numPr>
                <w:ilvl w:val="0"/>
                <w:numId w:val="7"/>
              </w:numPr>
            </w:pPr>
            <w:r w:rsidRPr="00E20031">
              <w:t>RRR of 0.32 (the same as the end of the observed period)</w:t>
            </w:r>
            <w:r w:rsidR="00036442">
              <w:t xml:space="preserve"> #2</w:t>
            </w:r>
          </w:p>
        </w:tc>
        <w:tc>
          <w:tcPr>
            <w:tcW w:w="1137" w:type="dxa"/>
            <w:vAlign w:val="center"/>
          </w:tcPr>
          <w:p w14:paraId="1320FD92" w14:textId="2335C372" w:rsidR="00740EEB" w:rsidRPr="00E20031" w:rsidRDefault="00740EEB">
            <w:pPr>
              <w:pStyle w:val="TableText0"/>
              <w:jc w:val="center"/>
            </w:pPr>
            <w:r w:rsidRPr="00E20031">
              <w:t>$</w:t>
            </w:r>
            <w:r w:rsidR="00794BDD" w:rsidRPr="00794BDD">
              <w:rPr>
                <w:highlight w:val="black"/>
              </w:rPr>
              <w:t>&amp;&amp;&amp;&amp;</w:t>
            </w:r>
          </w:p>
        </w:tc>
        <w:tc>
          <w:tcPr>
            <w:tcW w:w="1137" w:type="dxa"/>
            <w:vAlign w:val="center"/>
          </w:tcPr>
          <w:p w14:paraId="73AC812F" w14:textId="77777777" w:rsidR="00740EEB" w:rsidRPr="00E20031" w:rsidRDefault="00740EEB">
            <w:pPr>
              <w:pStyle w:val="TableText0"/>
              <w:jc w:val="center"/>
            </w:pPr>
            <w:r w:rsidRPr="00E20031">
              <w:t>0.240</w:t>
            </w:r>
          </w:p>
        </w:tc>
        <w:tc>
          <w:tcPr>
            <w:tcW w:w="913" w:type="dxa"/>
            <w:vAlign w:val="center"/>
          </w:tcPr>
          <w:p w14:paraId="3BE4DC4A" w14:textId="36FCDB8C" w:rsidR="00740EEB" w:rsidRPr="00843E09" w:rsidRDefault="00740EEB">
            <w:pPr>
              <w:pStyle w:val="TableText0"/>
              <w:jc w:val="center"/>
              <w:rPr>
                <w:vertAlign w:val="superscript"/>
              </w:rPr>
            </w:pPr>
            <w:r w:rsidRPr="00E20031">
              <w:t>$</w:t>
            </w:r>
            <w:r w:rsidR="00794BDD" w:rsidRPr="00794BDD">
              <w:rPr>
                <w:highlight w:val="black"/>
              </w:rPr>
              <w:t>&amp;&amp;&amp;&amp;</w:t>
            </w:r>
            <w:r w:rsidR="00843E09">
              <w:rPr>
                <w:vertAlign w:val="superscript"/>
              </w:rPr>
              <w:t>1</w:t>
            </w:r>
          </w:p>
        </w:tc>
        <w:tc>
          <w:tcPr>
            <w:tcW w:w="818" w:type="dxa"/>
            <w:vAlign w:val="center"/>
          </w:tcPr>
          <w:p w14:paraId="55E3D23B" w14:textId="3BD8936C" w:rsidR="00740EEB" w:rsidRPr="00E20031" w:rsidRDefault="00794BDD">
            <w:pPr>
              <w:pStyle w:val="TableText0"/>
              <w:jc w:val="center"/>
            </w:pPr>
            <w:r w:rsidRPr="00794BDD">
              <w:rPr>
                <w:highlight w:val="black"/>
              </w:rPr>
              <w:t>&amp;&amp;&amp;&amp;</w:t>
            </w:r>
            <w:r w:rsidR="00740EEB" w:rsidRPr="00E20031">
              <w:t>%</w:t>
            </w:r>
          </w:p>
        </w:tc>
      </w:tr>
      <w:tr w:rsidR="00740EEB" w:rsidRPr="00E20031" w14:paraId="5BE0362D" w14:textId="77777777">
        <w:trPr>
          <w:trHeight w:val="121"/>
        </w:trPr>
        <w:tc>
          <w:tcPr>
            <w:tcW w:w="5053" w:type="dxa"/>
          </w:tcPr>
          <w:p w14:paraId="05180114" w14:textId="77777777" w:rsidR="00740EEB" w:rsidRPr="00E20031" w:rsidRDefault="00740EEB" w:rsidP="00BC758F">
            <w:pPr>
              <w:pStyle w:val="TableText0"/>
              <w:numPr>
                <w:ilvl w:val="0"/>
                <w:numId w:val="7"/>
              </w:numPr>
            </w:pPr>
            <w:r w:rsidRPr="00E20031">
              <w:t>RRR of 0.00</w:t>
            </w:r>
          </w:p>
        </w:tc>
        <w:tc>
          <w:tcPr>
            <w:tcW w:w="1137" w:type="dxa"/>
            <w:vAlign w:val="center"/>
          </w:tcPr>
          <w:p w14:paraId="04EE2074" w14:textId="532B1313" w:rsidR="00740EEB" w:rsidRPr="00E20031" w:rsidRDefault="00740EEB">
            <w:pPr>
              <w:pStyle w:val="TableText0"/>
              <w:jc w:val="center"/>
            </w:pPr>
            <w:r w:rsidRPr="00E20031">
              <w:t>$</w:t>
            </w:r>
            <w:r w:rsidR="00794BDD" w:rsidRPr="00794BDD">
              <w:rPr>
                <w:highlight w:val="black"/>
              </w:rPr>
              <w:t>&amp;&amp;&amp;&amp;</w:t>
            </w:r>
          </w:p>
        </w:tc>
        <w:tc>
          <w:tcPr>
            <w:tcW w:w="1137" w:type="dxa"/>
            <w:vAlign w:val="center"/>
          </w:tcPr>
          <w:p w14:paraId="3E5FC0DB" w14:textId="77777777" w:rsidR="00740EEB" w:rsidRPr="00E20031" w:rsidRDefault="00740EEB">
            <w:pPr>
              <w:pStyle w:val="TableText0"/>
              <w:jc w:val="center"/>
            </w:pPr>
            <w:r w:rsidRPr="00E20031">
              <w:t>0.104</w:t>
            </w:r>
          </w:p>
        </w:tc>
        <w:tc>
          <w:tcPr>
            <w:tcW w:w="913" w:type="dxa"/>
            <w:vAlign w:val="center"/>
          </w:tcPr>
          <w:p w14:paraId="7A766CAB" w14:textId="09BD6FBC" w:rsidR="00740EEB" w:rsidRPr="00567DB9" w:rsidRDefault="00740EEB">
            <w:pPr>
              <w:pStyle w:val="TableText0"/>
              <w:jc w:val="center"/>
              <w:rPr>
                <w:vertAlign w:val="superscript"/>
              </w:rPr>
            </w:pPr>
            <w:r w:rsidRPr="00E20031">
              <w:t>$</w:t>
            </w:r>
            <w:r w:rsidR="00794BDD" w:rsidRPr="00794BDD">
              <w:rPr>
                <w:highlight w:val="black"/>
              </w:rPr>
              <w:t>&amp;&amp;&amp;&amp;</w:t>
            </w:r>
            <w:r w:rsidR="00567DB9">
              <w:rPr>
                <w:vertAlign w:val="superscript"/>
              </w:rPr>
              <w:t>4</w:t>
            </w:r>
          </w:p>
        </w:tc>
        <w:tc>
          <w:tcPr>
            <w:tcW w:w="818" w:type="dxa"/>
            <w:vAlign w:val="center"/>
          </w:tcPr>
          <w:p w14:paraId="2C33D788" w14:textId="5D92D32B" w:rsidR="00740EEB" w:rsidRPr="00E20031" w:rsidRDefault="00794BDD">
            <w:pPr>
              <w:pStyle w:val="TableText0"/>
              <w:jc w:val="center"/>
            </w:pPr>
            <w:r w:rsidRPr="00794BDD">
              <w:rPr>
                <w:highlight w:val="black"/>
              </w:rPr>
              <w:t>&amp;&amp;&amp;&amp;</w:t>
            </w:r>
            <w:r w:rsidR="00740EEB" w:rsidRPr="00E20031">
              <w:t>%</w:t>
            </w:r>
          </w:p>
        </w:tc>
      </w:tr>
      <w:tr w:rsidR="00740EEB" w:rsidRPr="00E20031" w14:paraId="4EECBE22" w14:textId="77777777">
        <w:trPr>
          <w:trHeight w:val="121"/>
        </w:trPr>
        <w:tc>
          <w:tcPr>
            <w:tcW w:w="9058" w:type="dxa"/>
            <w:gridSpan w:val="5"/>
            <w:vAlign w:val="center"/>
          </w:tcPr>
          <w:p w14:paraId="438B37E9" w14:textId="77777777" w:rsidR="00740EEB" w:rsidRPr="00E20031" w:rsidRDefault="00740EEB">
            <w:pPr>
              <w:pStyle w:val="TableText0"/>
            </w:pPr>
            <w:r w:rsidRPr="00E20031">
              <w:t>Difference in utilities across the two treatment arms (base case: no difference)</w:t>
            </w:r>
          </w:p>
        </w:tc>
      </w:tr>
      <w:tr w:rsidR="00740EEB" w:rsidRPr="00E20031" w14:paraId="63C948C7" w14:textId="77777777">
        <w:trPr>
          <w:trHeight w:val="121"/>
        </w:trPr>
        <w:tc>
          <w:tcPr>
            <w:tcW w:w="5053" w:type="dxa"/>
          </w:tcPr>
          <w:p w14:paraId="6B470C0B" w14:textId="77777777" w:rsidR="00740EEB" w:rsidRPr="00E20031" w:rsidRDefault="00740EEB" w:rsidP="00BC758F">
            <w:pPr>
              <w:pStyle w:val="TableText0"/>
              <w:numPr>
                <w:ilvl w:val="0"/>
                <w:numId w:val="7"/>
              </w:numPr>
            </w:pPr>
            <w:r w:rsidRPr="00E20031">
              <w:t>Utilities in the pegcetacoplan arm 5% lower than BSC (except for the ≤35 letters health state)</w:t>
            </w:r>
          </w:p>
        </w:tc>
        <w:tc>
          <w:tcPr>
            <w:tcW w:w="1137" w:type="dxa"/>
            <w:vAlign w:val="center"/>
          </w:tcPr>
          <w:p w14:paraId="1FA5FF34" w14:textId="19686982" w:rsidR="00740EEB" w:rsidRPr="00E20031" w:rsidRDefault="00740EEB">
            <w:pPr>
              <w:pStyle w:val="TableText0"/>
              <w:jc w:val="center"/>
            </w:pPr>
            <w:r w:rsidRPr="00E20031">
              <w:t>$</w:t>
            </w:r>
            <w:r w:rsidR="00794BDD" w:rsidRPr="00794BDD">
              <w:rPr>
                <w:highlight w:val="black"/>
              </w:rPr>
              <w:t>&amp;&amp;&amp;&amp;</w:t>
            </w:r>
          </w:p>
        </w:tc>
        <w:tc>
          <w:tcPr>
            <w:tcW w:w="1137" w:type="dxa"/>
            <w:vAlign w:val="center"/>
          </w:tcPr>
          <w:p w14:paraId="3E3C3573" w14:textId="77777777" w:rsidR="00740EEB" w:rsidRPr="00E20031" w:rsidRDefault="00740EEB">
            <w:pPr>
              <w:pStyle w:val="TableText0"/>
              <w:jc w:val="center"/>
            </w:pPr>
            <w:r w:rsidRPr="00E20031">
              <w:t>0.136</w:t>
            </w:r>
          </w:p>
        </w:tc>
        <w:tc>
          <w:tcPr>
            <w:tcW w:w="913" w:type="dxa"/>
            <w:vAlign w:val="center"/>
          </w:tcPr>
          <w:p w14:paraId="26DB422A" w14:textId="1CE9A988" w:rsidR="00740EEB" w:rsidRPr="00722A1C" w:rsidRDefault="00740EEB">
            <w:pPr>
              <w:pStyle w:val="TableText0"/>
              <w:jc w:val="center"/>
              <w:rPr>
                <w:vertAlign w:val="superscript"/>
              </w:rPr>
            </w:pPr>
            <w:r w:rsidRPr="00E20031">
              <w:t>$</w:t>
            </w:r>
            <w:r w:rsidR="00794BDD" w:rsidRPr="00794BDD">
              <w:rPr>
                <w:highlight w:val="black"/>
              </w:rPr>
              <w:t>&amp;&amp;&amp;&amp;</w:t>
            </w:r>
            <w:r w:rsidR="00722A1C">
              <w:rPr>
                <w:vertAlign w:val="superscript"/>
              </w:rPr>
              <w:t>5</w:t>
            </w:r>
          </w:p>
        </w:tc>
        <w:tc>
          <w:tcPr>
            <w:tcW w:w="818" w:type="dxa"/>
            <w:vAlign w:val="center"/>
          </w:tcPr>
          <w:p w14:paraId="44860060" w14:textId="2AD02B80" w:rsidR="00740EEB" w:rsidRPr="00E20031" w:rsidRDefault="00794BDD">
            <w:pPr>
              <w:pStyle w:val="TableText0"/>
              <w:jc w:val="center"/>
            </w:pPr>
            <w:r w:rsidRPr="00794BDD">
              <w:rPr>
                <w:highlight w:val="black"/>
              </w:rPr>
              <w:t>&amp;&amp;&amp;&amp;</w:t>
            </w:r>
            <w:r w:rsidR="00740EEB" w:rsidRPr="00E20031">
              <w:t>%</w:t>
            </w:r>
          </w:p>
        </w:tc>
      </w:tr>
      <w:tr w:rsidR="00740EEB" w:rsidRPr="00E20031" w14:paraId="7A79EBF3" w14:textId="77777777">
        <w:trPr>
          <w:trHeight w:val="121"/>
        </w:trPr>
        <w:tc>
          <w:tcPr>
            <w:tcW w:w="9058" w:type="dxa"/>
            <w:gridSpan w:val="5"/>
            <w:vAlign w:val="center"/>
          </w:tcPr>
          <w:p w14:paraId="3BF9D555" w14:textId="77777777" w:rsidR="00740EEB" w:rsidRPr="00E20031" w:rsidRDefault="00740EEB">
            <w:pPr>
              <w:pStyle w:val="TableText0"/>
            </w:pPr>
            <w:r w:rsidRPr="00E20031">
              <w:t>Utility decrement due to pegcetacoplan administration</w:t>
            </w:r>
          </w:p>
        </w:tc>
      </w:tr>
      <w:tr w:rsidR="00740EEB" w:rsidRPr="00E20031" w14:paraId="1880B856" w14:textId="77777777">
        <w:trPr>
          <w:trHeight w:val="121"/>
        </w:trPr>
        <w:tc>
          <w:tcPr>
            <w:tcW w:w="5053" w:type="dxa"/>
          </w:tcPr>
          <w:p w14:paraId="325DD3D2" w14:textId="4E78EE19" w:rsidR="00740EEB" w:rsidRPr="00E20031" w:rsidRDefault="00740EEB" w:rsidP="00BC758F">
            <w:pPr>
              <w:pStyle w:val="TableText0"/>
              <w:numPr>
                <w:ilvl w:val="0"/>
                <w:numId w:val="7"/>
              </w:numPr>
            </w:pPr>
            <w:r w:rsidRPr="00E20031">
              <w:t xml:space="preserve">100% utility </w:t>
            </w:r>
            <w:r w:rsidR="00114A35">
              <w:t xml:space="preserve">loss </w:t>
            </w:r>
            <w:r w:rsidRPr="00E20031">
              <w:t>for one day for 50% of patients per administration (NICE recommendation</w:t>
            </w:r>
            <w:r w:rsidRPr="00E20031">
              <w:rPr>
                <w:vertAlign w:val="superscript"/>
              </w:rPr>
              <w:t>a</w:t>
            </w:r>
            <w:r w:rsidRPr="00E20031">
              <w:t>)</w:t>
            </w:r>
            <w:r w:rsidR="00990D28">
              <w:t xml:space="preserve"> #3</w:t>
            </w:r>
          </w:p>
        </w:tc>
        <w:tc>
          <w:tcPr>
            <w:tcW w:w="1137" w:type="dxa"/>
            <w:vAlign w:val="center"/>
          </w:tcPr>
          <w:p w14:paraId="5493F395" w14:textId="16AAE279" w:rsidR="00740EEB" w:rsidRPr="00E20031" w:rsidRDefault="00740EEB">
            <w:pPr>
              <w:pStyle w:val="TableText0"/>
              <w:jc w:val="center"/>
            </w:pPr>
            <w:r w:rsidRPr="00E20031">
              <w:t>$</w:t>
            </w:r>
            <w:r w:rsidR="00794BDD" w:rsidRPr="00794BDD">
              <w:rPr>
                <w:highlight w:val="black"/>
              </w:rPr>
              <w:t>&amp;&amp;&amp;&amp;</w:t>
            </w:r>
          </w:p>
        </w:tc>
        <w:tc>
          <w:tcPr>
            <w:tcW w:w="1137" w:type="dxa"/>
            <w:vAlign w:val="center"/>
          </w:tcPr>
          <w:p w14:paraId="4AF4823B" w14:textId="77777777" w:rsidR="00740EEB" w:rsidRPr="00E20031" w:rsidRDefault="00740EEB">
            <w:pPr>
              <w:pStyle w:val="TableText0"/>
              <w:jc w:val="center"/>
            </w:pPr>
            <w:r w:rsidRPr="00E20031">
              <w:t>0.244</w:t>
            </w:r>
          </w:p>
        </w:tc>
        <w:tc>
          <w:tcPr>
            <w:tcW w:w="913" w:type="dxa"/>
            <w:vAlign w:val="center"/>
          </w:tcPr>
          <w:p w14:paraId="2134E8E1" w14:textId="1E4A2C19" w:rsidR="00740EEB" w:rsidRPr="00843E09" w:rsidRDefault="00740EEB">
            <w:pPr>
              <w:pStyle w:val="TableText0"/>
              <w:jc w:val="center"/>
              <w:rPr>
                <w:vertAlign w:val="superscript"/>
              </w:rPr>
            </w:pPr>
            <w:r w:rsidRPr="00E20031">
              <w:t>$</w:t>
            </w:r>
            <w:r w:rsidR="00794BDD" w:rsidRPr="00794BDD">
              <w:rPr>
                <w:highlight w:val="black"/>
              </w:rPr>
              <w:t>&amp;&amp;&amp;&amp;</w:t>
            </w:r>
            <w:r w:rsidR="00843E09">
              <w:rPr>
                <w:vertAlign w:val="superscript"/>
              </w:rPr>
              <w:t>1</w:t>
            </w:r>
          </w:p>
        </w:tc>
        <w:tc>
          <w:tcPr>
            <w:tcW w:w="818" w:type="dxa"/>
            <w:vAlign w:val="center"/>
          </w:tcPr>
          <w:p w14:paraId="05D6B23E" w14:textId="4374CAF2" w:rsidR="00740EEB" w:rsidRPr="00E20031" w:rsidRDefault="00794BDD">
            <w:pPr>
              <w:pStyle w:val="TableText0"/>
              <w:jc w:val="center"/>
            </w:pPr>
            <w:r w:rsidRPr="00794BDD">
              <w:rPr>
                <w:highlight w:val="black"/>
              </w:rPr>
              <w:t>&amp;&amp;&amp;&amp;</w:t>
            </w:r>
            <w:r w:rsidR="00740EEB" w:rsidRPr="00E20031">
              <w:t>%</w:t>
            </w:r>
          </w:p>
        </w:tc>
      </w:tr>
      <w:tr w:rsidR="00740EEB" w:rsidRPr="00E20031" w14:paraId="2A9CDE0C" w14:textId="77777777">
        <w:trPr>
          <w:trHeight w:val="121"/>
        </w:trPr>
        <w:tc>
          <w:tcPr>
            <w:tcW w:w="9058" w:type="dxa"/>
            <w:gridSpan w:val="5"/>
            <w:vAlign w:val="center"/>
          </w:tcPr>
          <w:p w14:paraId="49DC7C64" w14:textId="3DFC8748" w:rsidR="00740EEB" w:rsidRPr="00E20031" w:rsidRDefault="00740EEB">
            <w:pPr>
              <w:pStyle w:val="TableText0"/>
            </w:pPr>
            <w:r w:rsidRPr="00E20031">
              <w:t>Number of pegcetacoplan injections per year (base case: 4.71)</w:t>
            </w:r>
          </w:p>
        </w:tc>
      </w:tr>
      <w:tr w:rsidR="00740EEB" w:rsidRPr="00E20031" w14:paraId="233F1E32" w14:textId="77777777">
        <w:trPr>
          <w:trHeight w:val="121"/>
        </w:trPr>
        <w:tc>
          <w:tcPr>
            <w:tcW w:w="5053" w:type="dxa"/>
          </w:tcPr>
          <w:p w14:paraId="5EFF4467" w14:textId="3D8FD0AA" w:rsidR="00740EEB" w:rsidRPr="00E20031" w:rsidRDefault="00740EEB" w:rsidP="00BC758F">
            <w:pPr>
              <w:pStyle w:val="TableText0"/>
              <w:numPr>
                <w:ilvl w:val="0"/>
                <w:numId w:val="7"/>
              </w:numPr>
            </w:pPr>
            <w:r w:rsidRPr="00E20031">
              <w:t xml:space="preserve">5.39 (applying treatment compliance from the key trials) </w:t>
            </w:r>
            <w:r w:rsidR="000B6178">
              <w:t>#4</w:t>
            </w:r>
          </w:p>
        </w:tc>
        <w:tc>
          <w:tcPr>
            <w:tcW w:w="1137" w:type="dxa"/>
            <w:vAlign w:val="center"/>
          </w:tcPr>
          <w:p w14:paraId="01F01FA7" w14:textId="297D7F4F" w:rsidR="00740EEB" w:rsidRPr="00E20031" w:rsidRDefault="00740EEB">
            <w:pPr>
              <w:pStyle w:val="TableText0"/>
              <w:jc w:val="center"/>
            </w:pPr>
            <w:r w:rsidRPr="00E20031">
              <w:t>$</w:t>
            </w:r>
            <w:r w:rsidR="00794BDD" w:rsidRPr="00794BDD">
              <w:rPr>
                <w:highlight w:val="black"/>
              </w:rPr>
              <w:t>&amp;&amp;&amp;&amp;</w:t>
            </w:r>
          </w:p>
        </w:tc>
        <w:tc>
          <w:tcPr>
            <w:tcW w:w="1137" w:type="dxa"/>
            <w:vAlign w:val="center"/>
          </w:tcPr>
          <w:p w14:paraId="73FB0349" w14:textId="77777777" w:rsidR="00740EEB" w:rsidRPr="00E20031" w:rsidRDefault="00740EEB">
            <w:pPr>
              <w:pStyle w:val="TableText0"/>
              <w:jc w:val="center"/>
            </w:pPr>
            <w:r w:rsidRPr="00E20031">
              <w:t>0.261</w:t>
            </w:r>
          </w:p>
        </w:tc>
        <w:tc>
          <w:tcPr>
            <w:tcW w:w="913" w:type="dxa"/>
            <w:vAlign w:val="center"/>
          </w:tcPr>
          <w:p w14:paraId="7FB9FB82" w14:textId="14BF5243" w:rsidR="00740EEB" w:rsidRPr="00553D04" w:rsidRDefault="00740EEB">
            <w:pPr>
              <w:pStyle w:val="TableText0"/>
              <w:jc w:val="center"/>
              <w:rPr>
                <w:vertAlign w:val="superscript"/>
              </w:rPr>
            </w:pPr>
            <w:r w:rsidRPr="00E20031">
              <w:t>$</w:t>
            </w:r>
            <w:r w:rsidR="00794BDD" w:rsidRPr="00794BDD">
              <w:rPr>
                <w:highlight w:val="black"/>
              </w:rPr>
              <w:t>&amp;&amp;&amp;&amp;</w:t>
            </w:r>
            <w:r w:rsidR="00553D04">
              <w:rPr>
                <w:vertAlign w:val="superscript"/>
              </w:rPr>
              <w:t>6</w:t>
            </w:r>
          </w:p>
        </w:tc>
        <w:tc>
          <w:tcPr>
            <w:tcW w:w="818" w:type="dxa"/>
            <w:vAlign w:val="center"/>
          </w:tcPr>
          <w:p w14:paraId="1CF2A20A" w14:textId="0AB6E92B" w:rsidR="00740EEB" w:rsidRPr="00E20031" w:rsidRDefault="00794BDD">
            <w:pPr>
              <w:pStyle w:val="TableText0"/>
              <w:jc w:val="center"/>
            </w:pPr>
            <w:r w:rsidRPr="00794BDD">
              <w:rPr>
                <w:highlight w:val="black"/>
              </w:rPr>
              <w:t>&amp;&amp;&amp;&amp;</w:t>
            </w:r>
            <w:r w:rsidR="00740EEB" w:rsidRPr="00E20031">
              <w:t>%</w:t>
            </w:r>
          </w:p>
        </w:tc>
      </w:tr>
      <w:tr w:rsidR="00740EEB" w:rsidRPr="00E20031" w14:paraId="15A93359" w14:textId="77777777">
        <w:trPr>
          <w:trHeight w:val="121"/>
        </w:trPr>
        <w:tc>
          <w:tcPr>
            <w:tcW w:w="5053" w:type="dxa"/>
          </w:tcPr>
          <w:p w14:paraId="47761F5B" w14:textId="77777777" w:rsidR="00740EEB" w:rsidRPr="00E20031" w:rsidRDefault="00740EEB">
            <w:pPr>
              <w:pStyle w:val="TableText0"/>
            </w:pPr>
            <w:r w:rsidRPr="00E20031">
              <w:t>Aged care costs (base case: included)</w:t>
            </w:r>
          </w:p>
        </w:tc>
        <w:tc>
          <w:tcPr>
            <w:tcW w:w="1137" w:type="dxa"/>
            <w:vAlign w:val="center"/>
          </w:tcPr>
          <w:p w14:paraId="199DD2EF" w14:textId="77777777" w:rsidR="00740EEB" w:rsidRPr="00E20031" w:rsidRDefault="00740EEB">
            <w:pPr>
              <w:pStyle w:val="TableText0"/>
              <w:jc w:val="center"/>
            </w:pPr>
          </w:p>
        </w:tc>
        <w:tc>
          <w:tcPr>
            <w:tcW w:w="1137" w:type="dxa"/>
            <w:vAlign w:val="center"/>
          </w:tcPr>
          <w:p w14:paraId="56B1CB60" w14:textId="77777777" w:rsidR="00740EEB" w:rsidRPr="00E20031" w:rsidRDefault="00740EEB">
            <w:pPr>
              <w:pStyle w:val="TableText0"/>
              <w:jc w:val="center"/>
            </w:pPr>
          </w:p>
        </w:tc>
        <w:tc>
          <w:tcPr>
            <w:tcW w:w="913" w:type="dxa"/>
            <w:vAlign w:val="center"/>
          </w:tcPr>
          <w:p w14:paraId="7DD416AF" w14:textId="77777777" w:rsidR="00740EEB" w:rsidRPr="00E20031" w:rsidRDefault="00740EEB">
            <w:pPr>
              <w:pStyle w:val="TableText0"/>
              <w:jc w:val="center"/>
            </w:pPr>
          </w:p>
        </w:tc>
        <w:tc>
          <w:tcPr>
            <w:tcW w:w="818" w:type="dxa"/>
            <w:vAlign w:val="center"/>
          </w:tcPr>
          <w:p w14:paraId="4C773E98" w14:textId="77777777" w:rsidR="00740EEB" w:rsidRPr="00E20031" w:rsidRDefault="00740EEB">
            <w:pPr>
              <w:pStyle w:val="TableText0"/>
              <w:jc w:val="center"/>
            </w:pPr>
          </w:p>
        </w:tc>
      </w:tr>
      <w:tr w:rsidR="00740EEB" w:rsidRPr="00E20031" w14:paraId="512D01FC" w14:textId="77777777">
        <w:trPr>
          <w:trHeight w:val="121"/>
        </w:trPr>
        <w:tc>
          <w:tcPr>
            <w:tcW w:w="5053" w:type="dxa"/>
          </w:tcPr>
          <w:p w14:paraId="1723A6EA" w14:textId="0DD9A4A3" w:rsidR="00740EEB" w:rsidRPr="00E20031" w:rsidRDefault="00740EEB" w:rsidP="00BC758F">
            <w:pPr>
              <w:pStyle w:val="TableText0"/>
              <w:numPr>
                <w:ilvl w:val="0"/>
                <w:numId w:val="7"/>
              </w:numPr>
            </w:pPr>
            <w:r w:rsidRPr="00E20031">
              <w:t>Exclude HCP costs</w:t>
            </w:r>
          </w:p>
        </w:tc>
        <w:tc>
          <w:tcPr>
            <w:tcW w:w="1137" w:type="dxa"/>
          </w:tcPr>
          <w:p w14:paraId="4DC720B8" w14:textId="15E25334" w:rsidR="00740EEB" w:rsidRPr="00E20031" w:rsidRDefault="00740EEB">
            <w:pPr>
              <w:pStyle w:val="TableText0"/>
              <w:jc w:val="center"/>
            </w:pPr>
            <w:r w:rsidRPr="00E20031">
              <w:t>$</w:t>
            </w:r>
            <w:r w:rsidR="00794BDD" w:rsidRPr="00794BDD">
              <w:rPr>
                <w:highlight w:val="black"/>
              </w:rPr>
              <w:t>&amp;&amp;&amp;&amp;</w:t>
            </w:r>
          </w:p>
        </w:tc>
        <w:tc>
          <w:tcPr>
            <w:tcW w:w="1137" w:type="dxa"/>
          </w:tcPr>
          <w:p w14:paraId="6B3F1825" w14:textId="77777777" w:rsidR="00740EEB" w:rsidRPr="00E20031" w:rsidRDefault="00740EEB">
            <w:pPr>
              <w:pStyle w:val="TableText0"/>
              <w:jc w:val="center"/>
            </w:pPr>
            <w:r w:rsidRPr="00E20031">
              <w:t>0.261</w:t>
            </w:r>
          </w:p>
        </w:tc>
        <w:tc>
          <w:tcPr>
            <w:tcW w:w="913" w:type="dxa"/>
          </w:tcPr>
          <w:p w14:paraId="6E8E3375" w14:textId="2DF32791" w:rsidR="00740EEB" w:rsidRPr="0027205E" w:rsidRDefault="00740EEB">
            <w:pPr>
              <w:pStyle w:val="TableText0"/>
              <w:jc w:val="center"/>
              <w:rPr>
                <w:vertAlign w:val="superscript"/>
              </w:rPr>
            </w:pPr>
            <w:r w:rsidRPr="00E20031">
              <w:t>$</w:t>
            </w:r>
            <w:r w:rsidR="00794BDD" w:rsidRPr="00794BDD">
              <w:rPr>
                <w:highlight w:val="black"/>
              </w:rPr>
              <w:t>&amp;&amp;&amp;&amp;</w:t>
            </w:r>
            <w:r w:rsidR="0027205E">
              <w:rPr>
                <w:vertAlign w:val="superscript"/>
              </w:rPr>
              <w:t>7</w:t>
            </w:r>
          </w:p>
        </w:tc>
        <w:tc>
          <w:tcPr>
            <w:tcW w:w="818" w:type="dxa"/>
          </w:tcPr>
          <w:p w14:paraId="6058FE9F" w14:textId="44F62F52" w:rsidR="00740EEB" w:rsidRPr="00E20031" w:rsidRDefault="00794BDD">
            <w:pPr>
              <w:pStyle w:val="TableText0"/>
              <w:jc w:val="center"/>
            </w:pPr>
            <w:r w:rsidRPr="00794BDD">
              <w:rPr>
                <w:highlight w:val="black"/>
              </w:rPr>
              <w:t>&amp;&amp;&amp;&amp;</w:t>
            </w:r>
            <w:r w:rsidR="00740EEB" w:rsidRPr="00E20031">
              <w:t>%</w:t>
            </w:r>
          </w:p>
        </w:tc>
      </w:tr>
      <w:tr w:rsidR="00740EEB" w:rsidRPr="00E20031" w14:paraId="35B60FF1" w14:textId="77777777">
        <w:trPr>
          <w:trHeight w:val="121"/>
        </w:trPr>
        <w:tc>
          <w:tcPr>
            <w:tcW w:w="5053" w:type="dxa"/>
          </w:tcPr>
          <w:p w14:paraId="46B213C9" w14:textId="718DA7A6" w:rsidR="00740EEB" w:rsidRPr="00E20031" w:rsidRDefault="00740EEB" w:rsidP="00BC758F">
            <w:pPr>
              <w:pStyle w:val="TableText0"/>
              <w:numPr>
                <w:ilvl w:val="0"/>
                <w:numId w:val="7"/>
              </w:numPr>
            </w:pPr>
            <w:r w:rsidRPr="00E20031">
              <w:t>Exclude CHSP costs</w:t>
            </w:r>
          </w:p>
        </w:tc>
        <w:tc>
          <w:tcPr>
            <w:tcW w:w="1137" w:type="dxa"/>
          </w:tcPr>
          <w:p w14:paraId="38ADEDCC" w14:textId="260649B2" w:rsidR="00740EEB" w:rsidRPr="00E20031" w:rsidRDefault="00740EEB">
            <w:pPr>
              <w:pStyle w:val="TableText0"/>
              <w:jc w:val="center"/>
            </w:pPr>
            <w:r w:rsidRPr="00E20031">
              <w:t>$</w:t>
            </w:r>
            <w:r w:rsidR="00794BDD" w:rsidRPr="00794BDD">
              <w:rPr>
                <w:highlight w:val="black"/>
              </w:rPr>
              <w:t>&amp;&amp;&amp;&amp;</w:t>
            </w:r>
          </w:p>
        </w:tc>
        <w:tc>
          <w:tcPr>
            <w:tcW w:w="1137" w:type="dxa"/>
          </w:tcPr>
          <w:p w14:paraId="0388748B" w14:textId="77777777" w:rsidR="00740EEB" w:rsidRPr="00E20031" w:rsidRDefault="00740EEB">
            <w:pPr>
              <w:pStyle w:val="TableText0"/>
              <w:jc w:val="center"/>
            </w:pPr>
            <w:r w:rsidRPr="00E20031">
              <w:t>0.261</w:t>
            </w:r>
          </w:p>
        </w:tc>
        <w:tc>
          <w:tcPr>
            <w:tcW w:w="913" w:type="dxa"/>
          </w:tcPr>
          <w:p w14:paraId="24EBAC46" w14:textId="4A00BEE2" w:rsidR="00740EEB" w:rsidRPr="00843E09" w:rsidRDefault="00740EEB">
            <w:pPr>
              <w:pStyle w:val="TableText0"/>
              <w:jc w:val="center"/>
              <w:rPr>
                <w:vertAlign w:val="superscript"/>
              </w:rPr>
            </w:pPr>
            <w:r w:rsidRPr="00E20031">
              <w:t>$</w:t>
            </w:r>
            <w:r w:rsidR="00794BDD" w:rsidRPr="00794BDD">
              <w:rPr>
                <w:highlight w:val="black"/>
              </w:rPr>
              <w:t>&amp;&amp;&amp;&amp;</w:t>
            </w:r>
            <w:r w:rsidR="00843E09">
              <w:rPr>
                <w:vertAlign w:val="superscript"/>
              </w:rPr>
              <w:t>1</w:t>
            </w:r>
          </w:p>
        </w:tc>
        <w:tc>
          <w:tcPr>
            <w:tcW w:w="818" w:type="dxa"/>
          </w:tcPr>
          <w:p w14:paraId="003CC09E" w14:textId="536DD560" w:rsidR="00740EEB" w:rsidRPr="00E20031" w:rsidRDefault="00794BDD">
            <w:pPr>
              <w:pStyle w:val="TableText0"/>
              <w:jc w:val="center"/>
            </w:pPr>
            <w:r w:rsidRPr="00794BDD">
              <w:rPr>
                <w:highlight w:val="black"/>
              </w:rPr>
              <w:t>&amp;&amp;&amp;&amp;</w:t>
            </w:r>
            <w:r w:rsidR="00740EEB" w:rsidRPr="00E20031">
              <w:t>%</w:t>
            </w:r>
          </w:p>
        </w:tc>
      </w:tr>
      <w:tr w:rsidR="00740EEB" w:rsidRPr="00E20031" w14:paraId="4A02220F" w14:textId="77777777">
        <w:trPr>
          <w:trHeight w:val="121"/>
        </w:trPr>
        <w:tc>
          <w:tcPr>
            <w:tcW w:w="5053" w:type="dxa"/>
          </w:tcPr>
          <w:p w14:paraId="248E6047" w14:textId="149F92EC" w:rsidR="00740EEB" w:rsidRPr="00E20031" w:rsidRDefault="00740EEB" w:rsidP="00BC758F">
            <w:pPr>
              <w:pStyle w:val="TableText0"/>
              <w:numPr>
                <w:ilvl w:val="0"/>
                <w:numId w:val="7"/>
              </w:numPr>
            </w:pPr>
            <w:r w:rsidRPr="00E20031">
              <w:t>Exclude institutionalisation costs</w:t>
            </w:r>
          </w:p>
        </w:tc>
        <w:tc>
          <w:tcPr>
            <w:tcW w:w="1137" w:type="dxa"/>
          </w:tcPr>
          <w:p w14:paraId="05104FD9" w14:textId="050A1DC6" w:rsidR="00740EEB" w:rsidRPr="00E20031" w:rsidRDefault="00740EEB">
            <w:pPr>
              <w:pStyle w:val="TableText0"/>
              <w:jc w:val="center"/>
            </w:pPr>
            <w:r w:rsidRPr="00E20031">
              <w:t>$</w:t>
            </w:r>
            <w:r w:rsidR="00794BDD" w:rsidRPr="00794BDD">
              <w:rPr>
                <w:highlight w:val="black"/>
              </w:rPr>
              <w:t>&amp;&amp;&amp;&amp;</w:t>
            </w:r>
          </w:p>
        </w:tc>
        <w:tc>
          <w:tcPr>
            <w:tcW w:w="1137" w:type="dxa"/>
          </w:tcPr>
          <w:p w14:paraId="5DD3F951" w14:textId="77777777" w:rsidR="00740EEB" w:rsidRPr="00E20031" w:rsidRDefault="00740EEB">
            <w:pPr>
              <w:pStyle w:val="TableText0"/>
              <w:jc w:val="center"/>
            </w:pPr>
            <w:r w:rsidRPr="00E20031">
              <w:t>0.261</w:t>
            </w:r>
          </w:p>
        </w:tc>
        <w:tc>
          <w:tcPr>
            <w:tcW w:w="913" w:type="dxa"/>
          </w:tcPr>
          <w:p w14:paraId="28108F30" w14:textId="50BB890F" w:rsidR="00740EEB" w:rsidRPr="00843E09" w:rsidRDefault="00740EEB">
            <w:pPr>
              <w:pStyle w:val="TableText0"/>
              <w:jc w:val="center"/>
              <w:rPr>
                <w:vertAlign w:val="superscript"/>
              </w:rPr>
            </w:pPr>
            <w:r w:rsidRPr="00E20031">
              <w:t>$</w:t>
            </w:r>
            <w:r w:rsidR="00794BDD" w:rsidRPr="00794BDD">
              <w:rPr>
                <w:highlight w:val="black"/>
              </w:rPr>
              <w:t>&amp;&amp;&amp;&amp;</w:t>
            </w:r>
            <w:r w:rsidR="00843E09">
              <w:rPr>
                <w:vertAlign w:val="superscript"/>
              </w:rPr>
              <w:t>1</w:t>
            </w:r>
          </w:p>
        </w:tc>
        <w:tc>
          <w:tcPr>
            <w:tcW w:w="818" w:type="dxa"/>
          </w:tcPr>
          <w:p w14:paraId="1E51FA75" w14:textId="3D28FD7C" w:rsidR="00740EEB" w:rsidRPr="00E20031" w:rsidRDefault="00794BDD">
            <w:pPr>
              <w:pStyle w:val="TableText0"/>
              <w:jc w:val="center"/>
            </w:pPr>
            <w:r w:rsidRPr="00794BDD">
              <w:rPr>
                <w:highlight w:val="black"/>
              </w:rPr>
              <w:t>&amp;&amp;&amp;&amp;</w:t>
            </w:r>
            <w:r w:rsidR="00740EEB" w:rsidRPr="00E20031">
              <w:t>%</w:t>
            </w:r>
          </w:p>
        </w:tc>
      </w:tr>
      <w:tr w:rsidR="00740EEB" w:rsidRPr="00E20031" w14:paraId="32827F27" w14:textId="77777777">
        <w:trPr>
          <w:trHeight w:val="121"/>
        </w:trPr>
        <w:tc>
          <w:tcPr>
            <w:tcW w:w="5053" w:type="dxa"/>
          </w:tcPr>
          <w:p w14:paraId="4EE18532" w14:textId="038807CA" w:rsidR="00740EEB" w:rsidRPr="00E20031" w:rsidRDefault="00740EEB" w:rsidP="00BC758F">
            <w:pPr>
              <w:pStyle w:val="TableText0"/>
              <w:numPr>
                <w:ilvl w:val="0"/>
                <w:numId w:val="7"/>
              </w:numPr>
            </w:pPr>
            <w:r w:rsidRPr="00E20031">
              <w:t>Exclude both HCP and CHSP</w:t>
            </w:r>
          </w:p>
        </w:tc>
        <w:tc>
          <w:tcPr>
            <w:tcW w:w="1137" w:type="dxa"/>
          </w:tcPr>
          <w:p w14:paraId="3CBFB0A5" w14:textId="29CBBDD0" w:rsidR="00740EEB" w:rsidRPr="00E20031" w:rsidRDefault="00740EEB">
            <w:pPr>
              <w:pStyle w:val="TableText0"/>
              <w:jc w:val="center"/>
            </w:pPr>
            <w:r w:rsidRPr="00E20031">
              <w:t>$</w:t>
            </w:r>
            <w:r w:rsidR="00794BDD" w:rsidRPr="00794BDD">
              <w:rPr>
                <w:highlight w:val="black"/>
              </w:rPr>
              <w:t>&amp;&amp;&amp;&amp;</w:t>
            </w:r>
          </w:p>
        </w:tc>
        <w:tc>
          <w:tcPr>
            <w:tcW w:w="1137" w:type="dxa"/>
          </w:tcPr>
          <w:p w14:paraId="20E88FD9" w14:textId="77777777" w:rsidR="00740EEB" w:rsidRPr="00E20031" w:rsidRDefault="00740EEB">
            <w:pPr>
              <w:pStyle w:val="TableText0"/>
              <w:jc w:val="center"/>
            </w:pPr>
            <w:r w:rsidRPr="00E20031">
              <w:t>0.261</w:t>
            </w:r>
          </w:p>
        </w:tc>
        <w:tc>
          <w:tcPr>
            <w:tcW w:w="913" w:type="dxa"/>
          </w:tcPr>
          <w:p w14:paraId="14E32C82" w14:textId="3E8F972A" w:rsidR="00740EEB" w:rsidRPr="0027205E" w:rsidRDefault="00740EEB">
            <w:pPr>
              <w:pStyle w:val="TableText0"/>
              <w:jc w:val="center"/>
              <w:rPr>
                <w:vertAlign w:val="superscript"/>
              </w:rPr>
            </w:pPr>
            <w:r w:rsidRPr="00E20031">
              <w:t>$</w:t>
            </w:r>
            <w:r w:rsidR="00794BDD" w:rsidRPr="00794BDD">
              <w:rPr>
                <w:highlight w:val="black"/>
              </w:rPr>
              <w:t>&amp;&amp;&amp;&amp;</w:t>
            </w:r>
            <w:r w:rsidR="0027205E">
              <w:rPr>
                <w:vertAlign w:val="superscript"/>
              </w:rPr>
              <w:t>7</w:t>
            </w:r>
          </w:p>
        </w:tc>
        <w:tc>
          <w:tcPr>
            <w:tcW w:w="818" w:type="dxa"/>
          </w:tcPr>
          <w:p w14:paraId="6A2F454D" w14:textId="10996954" w:rsidR="00740EEB" w:rsidRPr="00E20031" w:rsidRDefault="00794BDD">
            <w:pPr>
              <w:pStyle w:val="TableText0"/>
              <w:jc w:val="center"/>
            </w:pPr>
            <w:r w:rsidRPr="00794BDD">
              <w:rPr>
                <w:highlight w:val="black"/>
              </w:rPr>
              <w:t>&amp;&amp;&amp;&amp;</w:t>
            </w:r>
            <w:r w:rsidR="00740EEB" w:rsidRPr="00E20031">
              <w:t>%</w:t>
            </w:r>
          </w:p>
        </w:tc>
      </w:tr>
      <w:tr w:rsidR="00740EEB" w:rsidRPr="00E20031" w14:paraId="3F45D9CE" w14:textId="77777777">
        <w:trPr>
          <w:trHeight w:val="121"/>
        </w:trPr>
        <w:tc>
          <w:tcPr>
            <w:tcW w:w="5053" w:type="dxa"/>
          </w:tcPr>
          <w:p w14:paraId="5354CF63" w14:textId="3CF7A52A" w:rsidR="00740EEB" w:rsidRPr="00E20031" w:rsidRDefault="00740EEB" w:rsidP="00BC758F">
            <w:pPr>
              <w:pStyle w:val="TableText0"/>
              <w:numPr>
                <w:ilvl w:val="0"/>
                <w:numId w:val="7"/>
              </w:numPr>
            </w:pPr>
            <w:r w:rsidRPr="00E20031">
              <w:t>Exclude HCP, CHSP and institutionalisation costs</w:t>
            </w:r>
          </w:p>
        </w:tc>
        <w:tc>
          <w:tcPr>
            <w:tcW w:w="1137" w:type="dxa"/>
          </w:tcPr>
          <w:p w14:paraId="77A4E918" w14:textId="587B3D90" w:rsidR="00740EEB" w:rsidRPr="00E20031" w:rsidRDefault="00740EEB">
            <w:pPr>
              <w:pStyle w:val="TableText0"/>
              <w:jc w:val="center"/>
            </w:pPr>
            <w:r w:rsidRPr="00E20031">
              <w:t>$</w:t>
            </w:r>
            <w:r w:rsidR="00794BDD" w:rsidRPr="00794BDD">
              <w:rPr>
                <w:highlight w:val="black"/>
              </w:rPr>
              <w:t>&amp;&amp;&amp;&amp;</w:t>
            </w:r>
          </w:p>
        </w:tc>
        <w:tc>
          <w:tcPr>
            <w:tcW w:w="1137" w:type="dxa"/>
          </w:tcPr>
          <w:p w14:paraId="0C8F3FA6" w14:textId="77777777" w:rsidR="00740EEB" w:rsidRPr="00E20031" w:rsidRDefault="00740EEB">
            <w:pPr>
              <w:pStyle w:val="TableText0"/>
              <w:jc w:val="center"/>
            </w:pPr>
            <w:r w:rsidRPr="00E20031">
              <w:t>0.261</w:t>
            </w:r>
          </w:p>
        </w:tc>
        <w:tc>
          <w:tcPr>
            <w:tcW w:w="913" w:type="dxa"/>
          </w:tcPr>
          <w:p w14:paraId="6E897594" w14:textId="0B21BFEE" w:rsidR="00740EEB" w:rsidRPr="0027205E" w:rsidRDefault="00740EEB">
            <w:pPr>
              <w:pStyle w:val="TableText0"/>
              <w:jc w:val="center"/>
              <w:rPr>
                <w:vertAlign w:val="superscript"/>
              </w:rPr>
            </w:pPr>
            <w:r w:rsidRPr="00E20031">
              <w:t>$</w:t>
            </w:r>
            <w:r w:rsidR="00794BDD" w:rsidRPr="00794BDD">
              <w:rPr>
                <w:highlight w:val="black"/>
              </w:rPr>
              <w:t>&amp;&amp;&amp;&amp;</w:t>
            </w:r>
            <w:r w:rsidR="0027205E">
              <w:rPr>
                <w:vertAlign w:val="superscript"/>
              </w:rPr>
              <w:t>8</w:t>
            </w:r>
          </w:p>
        </w:tc>
        <w:tc>
          <w:tcPr>
            <w:tcW w:w="818" w:type="dxa"/>
          </w:tcPr>
          <w:p w14:paraId="2A70AA66" w14:textId="51888F11" w:rsidR="00740EEB" w:rsidRPr="00E20031" w:rsidRDefault="00794BDD">
            <w:pPr>
              <w:pStyle w:val="TableText0"/>
              <w:jc w:val="center"/>
            </w:pPr>
            <w:r w:rsidRPr="00794BDD">
              <w:rPr>
                <w:highlight w:val="black"/>
              </w:rPr>
              <w:t>&amp;&amp;&amp;&amp;</w:t>
            </w:r>
            <w:r w:rsidR="00740EEB" w:rsidRPr="00E20031">
              <w:t>%</w:t>
            </w:r>
          </w:p>
        </w:tc>
      </w:tr>
      <w:tr w:rsidR="00654B41" w:rsidRPr="00E20031" w14:paraId="53D2B9BA" w14:textId="77777777">
        <w:trPr>
          <w:trHeight w:val="121"/>
        </w:trPr>
        <w:tc>
          <w:tcPr>
            <w:tcW w:w="5053" w:type="dxa"/>
          </w:tcPr>
          <w:p w14:paraId="3833C329" w14:textId="4E63C961" w:rsidR="00654B41" w:rsidRPr="00E20031" w:rsidRDefault="006B74FA" w:rsidP="00BC758F">
            <w:pPr>
              <w:pStyle w:val="TableText0"/>
              <w:numPr>
                <w:ilvl w:val="0"/>
                <w:numId w:val="7"/>
              </w:numPr>
            </w:pPr>
            <w:r>
              <w:t>HCP and CHSP costs reduced by 50%</w:t>
            </w:r>
            <w:r w:rsidR="00B44C46">
              <w:t xml:space="preserve"> #5</w:t>
            </w:r>
          </w:p>
        </w:tc>
        <w:tc>
          <w:tcPr>
            <w:tcW w:w="1137" w:type="dxa"/>
          </w:tcPr>
          <w:p w14:paraId="34D2CA45" w14:textId="4069768E" w:rsidR="00654B41" w:rsidRPr="00E20031" w:rsidRDefault="009A1C6D">
            <w:pPr>
              <w:pStyle w:val="TableText0"/>
              <w:jc w:val="center"/>
            </w:pPr>
            <w:r>
              <w:t>$</w:t>
            </w:r>
            <w:r w:rsidR="00794BDD" w:rsidRPr="00794BDD">
              <w:rPr>
                <w:highlight w:val="black"/>
              </w:rPr>
              <w:t>&amp;&amp;&amp;&amp;</w:t>
            </w:r>
          </w:p>
        </w:tc>
        <w:tc>
          <w:tcPr>
            <w:tcW w:w="1137" w:type="dxa"/>
          </w:tcPr>
          <w:p w14:paraId="15A692C2" w14:textId="39E7A86F" w:rsidR="00654B41" w:rsidRPr="00E20031" w:rsidRDefault="009A1C6D">
            <w:pPr>
              <w:pStyle w:val="TableText0"/>
              <w:jc w:val="center"/>
            </w:pPr>
            <w:r>
              <w:t>0.261</w:t>
            </w:r>
          </w:p>
        </w:tc>
        <w:tc>
          <w:tcPr>
            <w:tcW w:w="913" w:type="dxa"/>
          </w:tcPr>
          <w:p w14:paraId="3258E037" w14:textId="008E47B0" w:rsidR="00654B41" w:rsidRPr="00722A1C" w:rsidRDefault="006B74FA">
            <w:pPr>
              <w:pStyle w:val="TableText0"/>
              <w:jc w:val="center"/>
              <w:rPr>
                <w:vertAlign w:val="superscript"/>
              </w:rPr>
            </w:pPr>
            <w:r>
              <w:t>$</w:t>
            </w:r>
            <w:r w:rsidR="00794BDD" w:rsidRPr="00794BDD">
              <w:rPr>
                <w:highlight w:val="black"/>
              </w:rPr>
              <w:t>&amp;&amp;&amp;&amp;</w:t>
            </w:r>
            <w:r w:rsidR="00722A1C">
              <w:rPr>
                <w:vertAlign w:val="superscript"/>
              </w:rPr>
              <w:t>5</w:t>
            </w:r>
          </w:p>
        </w:tc>
        <w:tc>
          <w:tcPr>
            <w:tcW w:w="818" w:type="dxa"/>
          </w:tcPr>
          <w:p w14:paraId="169E5940" w14:textId="3755A4C9" w:rsidR="00654B41" w:rsidRPr="00E20031" w:rsidRDefault="00794BDD">
            <w:pPr>
              <w:pStyle w:val="TableText0"/>
              <w:jc w:val="center"/>
            </w:pPr>
            <w:r w:rsidRPr="00794BDD">
              <w:rPr>
                <w:highlight w:val="black"/>
              </w:rPr>
              <w:t>&amp;&amp;&amp;&amp;</w:t>
            </w:r>
            <w:r w:rsidR="00866FDE">
              <w:t>%</w:t>
            </w:r>
          </w:p>
        </w:tc>
      </w:tr>
      <w:tr w:rsidR="009606C3" w:rsidRPr="00E20031" w14:paraId="48134D0D" w14:textId="77777777">
        <w:trPr>
          <w:trHeight w:val="121"/>
        </w:trPr>
        <w:tc>
          <w:tcPr>
            <w:tcW w:w="9058" w:type="dxa"/>
            <w:gridSpan w:val="5"/>
          </w:tcPr>
          <w:p w14:paraId="38C065EF" w14:textId="13652C65" w:rsidR="009606C3" w:rsidRDefault="006050AC" w:rsidP="006050AC">
            <w:pPr>
              <w:pStyle w:val="TableText0"/>
            </w:pPr>
            <w:r w:rsidRPr="006050AC">
              <w:rPr>
                <w:b/>
              </w:rPr>
              <w:t>Multivariate analyses</w:t>
            </w:r>
          </w:p>
        </w:tc>
      </w:tr>
      <w:tr w:rsidR="005E4E70" w:rsidRPr="00E20031" w14:paraId="1F87E7AC" w14:textId="77777777">
        <w:trPr>
          <w:trHeight w:val="121"/>
        </w:trPr>
        <w:tc>
          <w:tcPr>
            <w:tcW w:w="5053" w:type="dxa"/>
          </w:tcPr>
          <w:p w14:paraId="63506518" w14:textId="548D127D" w:rsidR="005E4E70" w:rsidRDefault="005E4E70" w:rsidP="005E4E70">
            <w:pPr>
              <w:pStyle w:val="TableText0"/>
            </w:pPr>
            <w:r w:rsidRPr="009367BC">
              <w:t>#1 and #2</w:t>
            </w:r>
          </w:p>
        </w:tc>
        <w:tc>
          <w:tcPr>
            <w:tcW w:w="1137" w:type="dxa"/>
          </w:tcPr>
          <w:p w14:paraId="1E43256F" w14:textId="637B5F20" w:rsidR="005E4E70" w:rsidRDefault="005E4E70" w:rsidP="005E4E70">
            <w:pPr>
              <w:pStyle w:val="TableText0"/>
              <w:jc w:val="center"/>
            </w:pPr>
            <w:r w:rsidRPr="009367BC">
              <w:t>$</w:t>
            </w:r>
            <w:r w:rsidR="00794BDD" w:rsidRPr="00794BDD">
              <w:rPr>
                <w:highlight w:val="black"/>
              </w:rPr>
              <w:t>&amp;&amp;&amp;&amp;</w:t>
            </w:r>
          </w:p>
        </w:tc>
        <w:tc>
          <w:tcPr>
            <w:tcW w:w="1137" w:type="dxa"/>
          </w:tcPr>
          <w:p w14:paraId="10FFD364" w14:textId="1DD17F61" w:rsidR="005E4E70" w:rsidRDefault="005E4E70" w:rsidP="005E4E70">
            <w:pPr>
              <w:pStyle w:val="TableText0"/>
              <w:jc w:val="center"/>
            </w:pPr>
            <w:r w:rsidRPr="009367BC">
              <w:t>0.239</w:t>
            </w:r>
          </w:p>
        </w:tc>
        <w:tc>
          <w:tcPr>
            <w:tcW w:w="913" w:type="dxa"/>
          </w:tcPr>
          <w:p w14:paraId="415D626B" w14:textId="2492860A" w:rsidR="005E4E70" w:rsidRPr="00843E09" w:rsidRDefault="005E4E70" w:rsidP="005E4E70">
            <w:pPr>
              <w:pStyle w:val="TableText0"/>
              <w:jc w:val="center"/>
              <w:rPr>
                <w:vertAlign w:val="superscript"/>
              </w:rPr>
            </w:pPr>
            <w:r w:rsidRPr="009367BC">
              <w:t>$</w:t>
            </w:r>
            <w:r w:rsidR="00794BDD" w:rsidRPr="00794BDD">
              <w:rPr>
                <w:highlight w:val="black"/>
              </w:rPr>
              <w:t>&amp;&amp;&amp;&amp;</w:t>
            </w:r>
            <w:r w:rsidR="00843E09">
              <w:rPr>
                <w:vertAlign w:val="superscript"/>
              </w:rPr>
              <w:t>1</w:t>
            </w:r>
          </w:p>
        </w:tc>
        <w:tc>
          <w:tcPr>
            <w:tcW w:w="818" w:type="dxa"/>
          </w:tcPr>
          <w:p w14:paraId="36957A77" w14:textId="6903FDFF" w:rsidR="005E4E70" w:rsidRDefault="00794BDD" w:rsidP="005E4E70">
            <w:pPr>
              <w:pStyle w:val="TableText0"/>
              <w:jc w:val="center"/>
            </w:pPr>
            <w:r w:rsidRPr="00794BDD">
              <w:rPr>
                <w:highlight w:val="black"/>
              </w:rPr>
              <w:t>&amp;&amp;&amp;&amp;</w:t>
            </w:r>
            <w:r w:rsidR="005E4E70" w:rsidRPr="009367BC">
              <w:t>%</w:t>
            </w:r>
          </w:p>
        </w:tc>
      </w:tr>
      <w:tr w:rsidR="008D5F43" w:rsidRPr="00E20031" w14:paraId="1ECCD962" w14:textId="77777777">
        <w:trPr>
          <w:trHeight w:val="121"/>
        </w:trPr>
        <w:tc>
          <w:tcPr>
            <w:tcW w:w="5053" w:type="dxa"/>
          </w:tcPr>
          <w:p w14:paraId="75F12E63" w14:textId="15BB34D5" w:rsidR="008D5F43" w:rsidRDefault="008D5F43" w:rsidP="008D5F43">
            <w:pPr>
              <w:pStyle w:val="TableText0"/>
            </w:pPr>
            <w:r>
              <w:t xml:space="preserve">#1, #2 and #3 </w:t>
            </w:r>
          </w:p>
        </w:tc>
        <w:tc>
          <w:tcPr>
            <w:tcW w:w="1137" w:type="dxa"/>
          </w:tcPr>
          <w:p w14:paraId="408D93F6" w14:textId="3D8E659C" w:rsidR="008D5F43" w:rsidRDefault="008D5F43" w:rsidP="008D5F43">
            <w:pPr>
              <w:pStyle w:val="TableText0"/>
              <w:jc w:val="center"/>
            </w:pPr>
            <w:r w:rsidRPr="00E678F4">
              <w:t>$</w:t>
            </w:r>
            <w:r w:rsidR="00794BDD" w:rsidRPr="00794BDD">
              <w:rPr>
                <w:highlight w:val="black"/>
              </w:rPr>
              <w:t>&amp;&amp;&amp;&amp;</w:t>
            </w:r>
          </w:p>
        </w:tc>
        <w:tc>
          <w:tcPr>
            <w:tcW w:w="1137" w:type="dxa"/>
          </w:tcPr>
          <w:p w14:paraId="127211EC" w14:textId="6B76690B" w:rsidR="008D5F43" w:rsidRDefault="008D5F43" w:rsidP="008D5F43">
            <w:pPr>
              <w:pStyle w:val="TableText0"/>
              <w:jc w:val="center"/>
            </w:pPr>
            <w:r w:rsidRPr="00E678F4">
              <w:t>0.2</w:t>
            </w:r>
            <w:r w:rsidR="00D72414">
              <w:t>22</w:t>
            </w:r>
          </w:p>
        </w:tc>
        <w:tc>
          <w:tcPr>
            <w:tcW w:w="913" w:type="dxa"/>
          </w:tcPr>
          <w:p w14:paraId="3D263E23" w14:textId="260AABDF" w:rsidR="008D5F43" w:rsidRPr="00553D04" w:rsidRDefault="008D5F43" w:rsidP="008D5F43">
            <w:pPr>
              <w:pStyle w:val="TableText0"/>
              <w:jc w:val="center"/>
              <w:rPr>
                <w:vertAlign w:val="superscript"/>
              </w:rPr>
            </w:pPr>
            <w:r w:rsidRPr="00E678F4">
              <w:t>$</w:t>
            </w:r>
            <w:r w:rsidR="00794BDD" w:rsidRPr="00794BDD">
              <w:rPr>
                <w:highlight w:val="black"/>
              </w:rPr>
              <w:t>&amp;&amp;&amp;&amp;</w:t>
            </w:r>
            <w:r w:rsidR="00553D04">
              <w:rPr>
                <w:vertAlign w:val="superscript"/>
              </w:rPr>
              <w:t>6</w:t>
            </w:r>
          </w:p>
        </w:tc>
        <w:tc>
          <w:tcPr>
            <w:tcW w:w="818" w:type="dxa"/>
          </w:tcPr>
          <w:p w14:paraId="7F2A8F6A" w14:textId="286F2503" w:rsidR="008D5F43" w:rsidRDefault="00794BDD" w:rsidP="008D5F43">
            <w:pPr>
              <w:pStyle w:val="TableText0"/>
              <w:jc w:val="center"/>
            </w:pPr>
            <w:r w:rsidRPr="00794BDD">
              <w:rPr>
                <w:highlight w:val="black"/>
              </w:rPr>
              <w:t>&amp;&amp;&amp;&amp;</w:t>
            </w:r>
            <w:r w:rsidR="00BB58AE">
              <w:t>%</w:t>
            </w:r>
          </w:p>
        </w:tc>
      </w:tr>
      <w:tr w:rsidR="00EC22C6" w:rsidRPr="00E20031" w14:paraId="718AC191" w14:textId="77777777">
        <w:trPr>
          <w:trHeight w:val="121"/>
        </w:trPr>
        <w:tc>
          <w:tcPr>
            <w:tcW w:w="5053" w:type="dxa"/>
          </w:tcPr>
          <w:p w14:paraId="605105AB" w14:textId="36D7C012" w:rsidR="00EC22C6" w:rsidRDefault="00BB58AE" w:rsidP="00BB58AE">
            <w:pPr>
              <w:pStyle w:val="TableText0"/>
            </w:pPr>
            <w:r>
              <w:t>#1, #2, #3 and #4</w:t>
            </w:r>
          </w:p>
        </w:tc>
        <w:tc>
          <w:tcPr>
            <w:tcW w:w="1137" w:type="dxa"/>
          </w:tcPr>
          <w:p w14:paraId="1F535D3F" w14:textId="4FC888CF" w:rsidR="00EC22C6" w:rsidRDefault="00BB58AE">
            <w:pPr>
              <w:pStyle w:val="TableText0"/>
              <w:jc w:val="center"/>
            </w:pPr>
            <w:r>
              <w:t>$</w:t>
            </w:r>
            <w:r w:rsidR="00794BDD" w:rsidRPr="00794BDD">
              <w:rPr>
                <w:highlight w:val="black"/>
              </w:rPr>
              <w:t>&amp;&amp;&amp;&amp;</w:t>
            </w:r>
          </w:p>
        </w:tc>
        <w:tc>
          <w:tcPr>
            <w:tcW w:w="1137" w:type="dxa"/>
          </w:tcPr>
          <w:p w14:paraId="5C2CF17B" w14:textId="468C332C" w:rsidR="00EC22C6" w:rsidRDefault="008664BA">
            <w:pPr>
              <w:pStyle w:val="TableText0"/>
              <w:jc w:val="center"/>
            </w:pPr>
            <w:r>
              <w:t>0.220</w:t>
            </w:r>
          </w:p>
        </w:tc>
        <w:tc>
          <w:tcPr>
            <w:tcW w:w="913" w:type="dxa"/>
          </w:tcPr>
          <w:p w14:paraId="4338F358" w14:textId="278E29D0" w:rsidR="00EC22C6" w:rsidRPr="00722A1C" w:rsidRDefault="008664BA">
            <w:pPr>
              <w:pStyle w:val="TableText0"/>
              <w:jc w:val="center"/>
              <w:rPr>
                <w:vertAlign w:val="superscript"/>
              </w:rPr>
            </w:pPr>
            <w:r>
              <w:t>$</w:t>
            </w:r>
            <w:r w:rsidR="00794BDD" w:rsidRPr="00794BDD">
              <w:rPr>
                <w:highlight w:val="black"/>
              </w:rPr>
              <w:t>&amp;&amp;&amp;&amp;</w:t>
            </w:r>
            <w:r w:rsidR="00722A1C">
              <w:rPr>
                <w:vertAlign w:val="superscript"/>
              </w:rPr>
              <w:t>5</w:t>
            </w:r>
          </w:p>
        </w:tc>
        <w:tc>
          <w:tcPr>
            <w:tcW w:w="818" w:type="dxa"/>
          </w:tcPr>
          <w:p w14:paraId="7ADC53E0" w14:textId="1A963BCB" w:rsidR="00EC22C6" w:rsidRDefault="00794BDD">
            <w:pPr>
              <w:pStyle w:val="TableText0"/>
              <w:jc w:val="center"/>
            </w:pPr>
            <w:r w:rsidRPr="00794BDD">
              <w:rPr>
                <w:highlight w:val="black"/>
              </w:rPr>
              <w:t>&amp;&amp;&amp;&amp;</w:t>
            </w:r>
            <w:r w:rsidR="00B44C46">
              <w:t>%</w:t>
            </w:r>
          </w:p>
        </w:tc>
      </w:tr>
      <w:tr w:rsidR="00EC22C6" w:rsidRPr="00E20031" w14:paraId="4CB36AF1" w14:textId="77777777">
        <w:trPr>
          <w:trHeight w:val="121"/>
        </w:trPr>
        <w:tc>
          <w:tcPr>
            <w:tcW w:w="5053" w:type="dxa"/>
          </w:tcPr>
          <w:p w14:paraId="266ECEC1" w14:textId="55AEDCF0" w:rsidR="00EC22C6" w:rsidRDefault="00204D43" w:rsidP="007E5BB1">
            <w:pPr>
              <w:pStyle w:val="TableText0"/>
            </w:pPr>
            <w:r>
              <w:t>#1, #2, #3, #4 and #5</w:t>
            </w:r>
          </w:p>
        </w:tc>
        <w:tc>
          <w:tcPr>
            <w:tcW w:w="1137" w:type="dxa"/>
          </w:tcPr>
          <w:p w14:paraId="03FE93A4" w14:textId="31C570E2" w:rsidR="00EC22C6" w:rsidRDefault="009732A1">
            <w:pPr>
              <w:pStyle w:val="TableText0"/>
              <w:jc w:val="center"/>
            </w:pPr>
            <w:r>
              <w:t>$</w:t>
            </w:r>
            <w:r w:rsidR="00794BDD" w:rsidRPr="00794BDD">
              <w:rPr>
                <w:highlight w:val="black"/>
              </w:rPr>
              <w:t>&amp;&amp;&amp;&amp;</w:t>
            </w:r>
          </w:p>
        </w:tc>
        <w:tc>
          <w:tcPr>
            <w:tcW w:w="1137" w:type="dxa"/>
          </w:tcPr>
          <w:p w14:paraId="58729FAB" w14:textId="589CF444" w:rsidR="00EC22C6" w:rsidRDefault="00910FD2">
            <w:pPr>
              <w:pStyle w:val="TableText0"/>
              <w:jc w:val="center"/>
            </w:pPr>
            <w:r>
              <w:t>0.220</w:t>
            </w:r>
          </w:p>
        </w:tc>
        <w:tc>
          <w:tcPr>
            <w:tcW w:w="913" w:type="dxa"/>
          </w:tcPr>
          <w:p w14:paraId="40643997" w14:textId="52FCAF3B" w:rsidR="00EC22C6" w:rsidRPr="0027205E" w:rsidRDefault="00910FD2">
            <w:pPr>
              <w:pStyle w:val="TableText0"/>
              <w:jc w:val="center"/>
              <w:rPr>
                <w:vertAlign w:val="superscript"/>
              </w:rPr>
            </w:pPr>
            <w:r>
              <w:t>$</w:t>
            </w:r>
            <w:r w:rsidR="00794BDD" w:rsidRPr="00794BDD">
              <w:rPr>
                <w:highlight w:val="black"/>
              </w:rPr>
              <w:t>&amp;&amp;&amp;&amp;</w:t>
            </w:r>
            <w:r w:rsidR="0027205E">
              <w:rPr>
                <w:vertAlign w:val="superscript"/>
              </w:rPr>
              <w:t>7</w:t>
            </w:r>
          </w:p>
        </w:tc>
        <w:tc>
          <w:tcPr>
            <w:tcW w:w="818" w:type="dxa"/>
          </w:tcPr>
          <w:p w14:paraId="600220DB" w14:textId="70080C69" w:rsidR="00EC22C6" w:rsidRDefault="00794BDD">
            <w:pPr>
              <w:pStyle w:val="TableText0"/>
              <w:jc w:val="center"/>
            </w:pPr>
            <w:r w:rsidRPr="00794BDD">
              <w:rPr>
                <w:highlight w:val="black"/>
              </w:rPr>
              <w:t>&amp;&amp;&amp;&amp;</w:t>
            </w:r>
            <w:r w:rsidR="00587586">
              <w:t>%</w:t>
            </w:r>
          </w:p>
        </w:tc>
      </w:tr>
    </w:tbl>
    <w:bookmarkEnd w:id="77"/>
    <w:p w14:paraId="016B4DA4" w14:textId="77777777" w:rsidR="00740EEB" w:rsidRPr="00E20031" w:rsidRDefault="00740EEB" w:rsidP="00740EEB">
      <w:pPr>
        <w:pStyle w:val="FooterTableFigure"/>
      </w:pPr>
      <w:r w:rsidRPr="00E20031">
        <w:t xml:space="preserve">Source: </w:t>
      </w:r>
      <w:r w:rsidRPr="00406928">
        <w:t>Constructed during the evaluation from the</w:t>
      </w:r>
      <w:r w:rsidRPr="00A272D3">
        <w:rPr>
          <w:iCs/>
        </w:rPr>
        <w:t xml:space="preserve"> </w:t>
      </w:r>
      <w:r w:rsidRPr="00E20031">
        <w:t>“A3.1_Pegcetacoplan PBAC CE model submission 2025 vF” attachment provided with the submission.</w:t>
      </w:r>
    </w:p>
    <w:p w14:paraId="7CAC35E8" w14:textId="748EE954" w:rsidR="00740EEB" w:rsidRPr="00E20031" w:rsidRDefault="00740EEB" w:rsidP="00740EEB">
      <w:pPr>
        <w:pStyle w:val="FooterTableFigure"/>
      </w:pPr>
      <w:r w:rsidRPr="00E20031">
        <w:t>AE = adverse event; BSC = best supportive care; CHSP = Commonwealth Home Support Package; HCP = Home Care Package; ICER = incremental cost effective ratio; OCT = Optical Coherence Tomography; QALY = quality</w:t>
      </w:r>
      <w:r w:rsidR="00397B07">
        <w:noBreakHyphen/>
      </w:r>
      <w:r w:rsidRPr="00E20031">
        <w:t>adjusted life year; RRR = relative risk reduction</w:t>
      </w:r>
    </w:p>
    <w:p w14:paraId="334DAC22" w14:textId="40B5D382" w:rsidR="00740EEB" w:rsidRDefault="00740EEB" w:rsidP="00740EEB">
      <w:pPr>
        <w:pStyle w:val="FooterTableFigure"/>
      </w:pPr>
      <w:r w:rsidRPr="00E20031">
        <w:rPr>
          <w:vertAlign w:val="superscript"/>
        </w:rPr>
        <w:t xml:space="preserve">a </w:t>
      </w:r>
      <w:r w:rsidRPr="00E20031">
        <w:t>NICE guideline NG82</w:t>
      </w:r>
      <w:r w:rsidR="00CD3AA1">
        <w:t>; Appendix J: Health Economics</w:t>
      </w:r>
      <w:r w:rsidRPr="00E20031">
        <w:t>.</w:t>
      </w:r>
    </w:p>
    <w:p w14:paraId="401BFDF8" w14:textId="77777777" w:rsidR="00030BC4" w:rsidRPr="00030BC4" w:rsidRDefault="00030BC4" w:rsidP="00030BC4">
      <w:pPr>
        <w:pStyle w:val="FooterTableFigure"/>
        <w:rPr>
          <w:i/>
        </w:rPr>
      </w:pPr>
      <w:r w:rsidRPr="00030BC4">
        <w:rPr>
          <w:i/>
        </w:rPr>
        <w:t xml:space="preserve">The redacted values correspond to the following ranges: </w:t>
      </w:r>
    </w:p>
    <w:p w14:paraId="0CEADB07" w14:textId="4DE2068E" w:rsidR="00030BC4" w:rsidRPr="00030BC4" w:rsidRDefault="00030BC4" w:rsidP="00030BC4">
      <w:pPr>
        <w:pStyle w:val="FooterTableFigure"/>
        <w:rPr>
          <w:i/>
        </w:rPr>
      </w:pPr>
      <w:r w:rsidRPr="00030BC4">
        <w:rPr>
          <w:i/>
          <w:vertAlign w:val="superscript"/>
        </w:rPr>
        <w:t>1</w:t>
      </w:r>
      <w:r w:rsidRPr="00030BC4">
        <w:rPr>
          <w:i/>
        </w:rPr>
        <w:t xml:space="preserve"> </w:t>
      </w:r>
      <w:r w:rsidR="00843E09" w:rsidRPr="00843E09">
        <w:rPr>
          <w:i/>
        </w:rPr>
        <w:t>$45,000 to &lt; $55,000</w:t>
      </w:r>
    </w:p>
    <w:p w14:paraId="28E15D68" w14:textId="5B4F986E" w:rsidR="00030BC4" w:rsidRPr="00030BC4" w:rsidRDefault="00030BC4" w:rsidP="00030BC4">
      <w:pPr>
        <w:pStyle w:val="FooterTableFigure"/>
        <w:rPr>
          <w:i/>
        </w:rPr>
      </w:pPr>
      <w:r w:rsidRPr="00030BC4">
        <w:rPr>
          <w:i/>
          <w:vertAlign w:val="superscript"/>
        </w:rPr>
        <w:t>2</w:t>
      </w:r>
      <w:r w:rsidRPr="00030BC4">
        <w:rPr>
          <w:i/>
        </w:rPr>
        <w:t xml:space="preserve"> </w:t>
      </w:r>
      <w:r w:rsidR="00652939" w:rsidRPr="00652939">
        <w:rPr>
          <w:i/>
        </w:rPr>
        <w:t>$25,000 to &lt; $35,000</w:t>
      </w:r>
    </w:p>
    <w:p w14:paraId="68C92BA8" w14:textId="557B06C2" w:rsidR="00030BC4" w:rsidRPr="00030BC4" w:rsidRDefault="00030BC4" w:rsidP="00030BC4">
      <w:pPr>
        <w:pStyle w:val="FooterTableFigure"/>
        <w:rPr>
          <w:i/>
        </w:rPr>
      </w:pPr>
      <w:r w:rsidRPr="00030BC4">
        <w:rPr>
          <w:i/>
          <w:vertAlign w:val="superscript"/>
        </w:rPr>
        <w:t>3</w:t>
      </w:r>
      <w:r w:rsidRPr="00030BC4">
        <w:rPr>
          <w:i/>
        </w:rPr>
        <w:t xml:space="preserve"> </w:t>
      </w:r>
      <w:r w:rsidR="00990931" w:rsidRPr="00990931">
        <w:rPr>
          <w:i/>
        </w:rPr>
        <w:t>$35,000 to &lt; $45,000</w:t>
      </w:r>
    </w:p>
    <w:p w14:paraId="089CB3D0" w14:textId="63E0F329" w:rsidR="00030BC4" w:rsidRPr="00030BC4" w:rsidRDefault="00030BC4" w:rsidP="00030BC4">
      <w:pPr>
        <w:pStyle w:val="FooterTableFigure"/>
        <w:rPr>
          <w:i/>
        </w:rPr>
      </w:pPr>
      <w:r w:rsidRPr="00030BC4">
        <w:rPr>
          <w:i/>
          <w:vertAlign w:val="superscript"/>
        </w:rPr>
        <w:t>4</w:t>
      </w:r>
      <w:r w:rsidRPr="00030BC4">
        <w:rPr>
          <w:i/>
        </w:rPr>
        <w:t xml:space="preserve"> </w:t>
      </w:r>
      <w:r w:rsidR="00567DB9" w:rsidRPr="00567DB9">
        <w:rPr>
          <w:i/>
        </w:rPr>
        <w:t>$155,000 to &lt; $255,000</w:t>
      </w:r>
    </w:p>
    <w:p w14:paraId="7EAAD5A0" w14:textId="187FE024" w:rsidR="00030BC4" w:rsidRPr="00030BC4" w:rsidRDefault="00030BC4" w:rsidP="00030BC4">
      <w:pPr>
        <w:pStyle w:val="FooterTableFigure"/>
        <w:rPr>
          <w:i/>
        </w:rPr>
      </w:pPr>
      <w:r w:rsidRPr="00030BC4">
        <w:rPr>
          <w:i/>
          <w:vertAlign w:val="superscript"/>
        </w:rPr>
        <w:t>5</w:t>
      </w:r>
      <w:r w:rsidRPr="00030BC4">
        <w:rPr>
          <w:i/>
        </w:rPr>
        <w:t xml:space="preserve"> </w:t>
      </w:r>
      <w:r w:rsidR="00722A1C" w:rsidRPr="00722A1C">
        <w:rPr>
          <w:i/>
        </w:rPr>
        <w:t>$75,000 to &lt; $95,000</w:t>
      </w:r>
    </w:p>
    <w:p w14:paraId="0B7E28F2" w14:textId="77777777" w:rsidR="00553D04" w:rsidRPr="00553D04" w:rsidRDefault="00030BC4" w:rsidP="00553D04">
      <w:pPr>
        <w:pStyle w:val="FooterTableFigure"/>
        <w:rPr>
          <w:i/>
        </w:rPr>
      </w:pPr>
      <w:r w:rsidRPr="00030BC4">
        <w:rPr>
          <w:i/>
          <w:vertAlign w:val="superscript"/>
        </w:rPr>
        <w:t>6</w:t>
      </w:r>
      <w:r w:rsidRPr="00030BC4">
        <w:rPr>
          <w:i/>
        </w:rPr>
        <w:t xml:space="preserve"> </w:t>
      </w:r>
      <w:r w:rsidR="00553D04" w:rsidRPr="00553D04">
        <w:rPr>
          <w:i/>
        </w:rPr>
        <w:t xml:space="preserve">$55,000 to &lt; $75,000 </w:t>
      </w:r>
    </w:p>
    <w:p w14:paraId="2333185E" w14:textId="77777777" w:rsidR="005B5E49" w:rsidRDefault="00553D04" w:rsidP="0027205E">
      <w:pPr>
        <w:pStyle w:val="FooterTableFigure"/>
        <w:rPr>
          <w:i/>
        </w:rPr>
      </w:pPr>
      <w:r>
        <w:rPr>
          <w:i/>
          <w:vertAlign w:val="superscript"/>
        </w:rPr>
        <w:t xml:space="preserve">7 </w:t>
      </w:r>
      <w:r w:rsidR="0027205E" w:rsidRPr="0027205E">
        <w:rPr>
          <w:i/>
        </w:rPr>
        <w:t>$95,000 to &lt; $115,000</w:t>
      </w:r>
    </w:p>
    <w:p w14:paraId="7AD25BA0" w14:textId="072C4F24" w:rsidR="00030BC4" w:rsidRPr="00030BC4" w:rsidRDefault="005B5E49" w:rsidP="00030BC4">
      <w:pPr>
        <w:pStyle w:val="FooterTableFigure"/>
        <w:rPr>
          <w:i/>
        </w:rPr>
      </w:pPr>
      <w:r>
        <w:rPr>
          <w:i/>
          <w:vertAlign w:val="superscript"/>
        </w:rPr>
        <w:t>8</w:t>
      </w:r>
      <w:r>
        <w:rPr>
          <w:i/>
        </w:rPr>
        <w:t xml:space="preserve"> </w:t>
      </w:r>
      <w:r w:rsidRPr="005B5E49">
        <w:rPr>
          <w:i/>
        </w:rPr>
        <w:t>$115,000 to &lt; $135,000</w:t>
      </w:r>
    </w:p>
    <w:p w14:paraId="040788A4" w14:textId="77777777" w:rsidR="00030BC4" w:rsidRDefault="00030BC4" w:rsidP="00740EEB">
      <w:pPr>
        <w:pStyle w:val="FooterTableFigure"/>
      </w:pPr>
    </w:p>
    <w:p w14:paraId="472842D7" w14:textId="0D99BAC1" w:rsidR="00C25D9C" w:rsidRPr="00E20031" w:rsidRDefault="00B7681E" w:rsidP="005B3513">
      <w:pPr>
        <w:pStyle w:val="4-SubsectionHeading"/>
      </w:pPr>
      <w:bookmarkStart w:id="80" w:name="_Toc22897646"/>
      <w:bookmarkStart w:id="81" w:name="_Toc208920198"/>
      <w:r>
        <w:lastRenderedPageBreak/>
        <w:t>Drug</w:t>
      </w:r>
      <w:r w:rsidR="00C25D9C" w:rsidRPr="00E20031">
        <w:t xml:space="preserve"> cost/patient/</w:t>
      </w:r>
      <w:bookmarkEnd w:id="80"/>
      <w:r w:rsidR="00740EEB" w:rsidRPr="00E20031">
        <w:t>year</w:t>
      </w:r>
      <w:bookmarkEnd w:id="81"/>
    </w:p>
    <w:p w14:paraId="454BA2DC" w14:textId="18574719" w:rsidR="00AD033C" w:rsidRPr="00D04A0A" w:rsidRDefault="00AD033C" w:rsidP="00AD033C">
      <w:pPr>
        <w:pStyle w:val="3-BodyText"/>
      </w:pPr>
      <w:bookmarkStart w:id="82" w:name="_Ref104805102"/>
      <w:r w:rsidRPr="00D04A0A">
        <w:t xml:space="preserve">The drug costs per patient are presented in </w:t>
      </w:r>
      <w:r w:rsidRPr="00D04A0A">
        <w:fldChar w:fldCharType="begin"/>
      </w:r>
      <w:r w:rsidRPr="00D04A0A">
        <w:instrText xml:space="preserve"> REF _Ref205561254 \h </w:instrText>
      </w:r>
      <w:r w:rsidR="00D04A0A" w:rsidRPr="00D04A0A">
        <w:instrText xml:space="preserve"> \* MERGEFORMAT </w:instrText>
      </w:r>
      <w:r w:rsidRPr="00D04A0A">
        <w:fldChar w:fldCharType="separate"/>
      </w:r>
      <w:r w:rsidR="00333CFE" w:rsidRPr="00E20031">
        <w:t xml:space="preserve">Table </w:t>
      </w:r>
      <w:r w:rsidR="00333CFE">
        <w:rPr>
          <w:noProof/>
        </w:rPr>
        <w:t>14</w:t>
      </w:r>
      <w:r w:rsidRPr="00D04A0A">
        <w:fldChar w:fldCharType="end"/>
      </w:r>
      <w:r w:rsidRPr="00D04A0A">
        <w:t xml:space="preserve">. There were significant differences between the number of injections per year in the trial versus the model </w:t>
      </w:r>
      <w:r w:rsidR="00BE6AB3" w:rsidRPr="00D04A0A">
        <w:t>versus the financial estimates</w:t>
      </w:r>
      <w:r w:rsidRPr="00D04A0A">
        <w:t xml:space="preserve">. </w:t>
      </w:r>
      <w:r w:rsidR="00BE6AB3" w:rsidRPr="00D04A0A">
        <w:t xml:space="preserve">This was not appropriate and the </w:t>
      </w:r>
      <w:r w:rsidRPr="00D04A0A">
        <w:t>evaluation conducted a sensitivity analyses using the trials’ mean number of injections per year.</w:t>
      </w:r>
    </w:p>
    <w:p w14:paraId="6C708C80" w14:textId="77777777" w:rsidR="00F00911" w:rsidRPr="00E20031" w:rsidRDefault="00F00911" w:rsidP="00F00911"/>
    <w:p w14:paraId="51691BD3" w14:textId="4736E52C" w:rsidR="00494207" w:rsidRPr="00E20031" w:rsidRDefault="00E16AD8" w:rsidP="00BE6AB3">
      <w:pPr>
        <w:pStyle w:val="Caption"/>
        <w:rPr>
          <w:rStyle w:val="CommentReference"/>
          <w:b/>
          <w:szCs w:val="24"/>
        </w:rPr>
      </w:pPr>
      <w:bookmarkStart w:id="83" w:name="_Ref205561254"/>
      <w:r w:rsidRPr="00E20031">
        <w:t xml:space="preserve">Table </w:t>
      </w:r>
      <w:r w:rsidR="004C5F7F">
        <w:fldChar w:fldCharType="begin"/>
      </w:r>
      <w:r w:rsidR="004C5F7F">
        <w:instrText xml:space="preserve"> SEQ Table \* ARABIC </w:instrText>
      </w:r>
      <w:r w:rsidR="004C5F7F">
        <w:fldChar w:fldCharType="separate"/>
      </w:r>
      <w:r w:rsidR="00333CFE">
        <w:rPr>
          <w:noProof/>
        </w:rPr>
        <w:t>14</w:t>
      </w:r>
      <w:r w:rsidR="004C5F7F">
        <w:rPr>
          <w:noProof/>
        </w:rPr>
        <w:fldChar w:fldCharType="end"/>
      </w:r>
      <w:bookmarkEnd w:id="82"/>
      <w:bookmarkEnd w:id="83"/>
      <w:r w:rsidRPr="00E20031">
        <w:t>:</w:t>
      </w:r>
      <w:r w:rsidR="00494207" w:rsidRPr="00E20031">
        <w:rPr>
          <w:rStyle w:val="CommentReference"/>
          <w:b/>
          <w:szCs w:val="24"/>
        </w:rPr>
        <w:t xml:space="preserve"> </w:t>
      </w:r>
      <w:r w:rsidR="00AD033C" w:rsidRPr="00E20031">
        <w:rPr>
          <w:rStyle w:val="CommentReference"/>
          <w:b/>
          <w:szCs w:val="24"/>
        </w:rPr>
        <w:t>Pegcetacoplan</w:t>
      </w:r>
      <w:r w:rsidR="00494207" w:rsidRPr="00E20031">
        <w:rPr>
          <w:rStyle w:val="CommentReference"/>
          <w:b/>
          <w:szCs w:val="24"/>
        </w:rPr>
        <w:t xml:space="preserve"> cost per patient for proposed and comparator drugs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Pegcetacoplan cost per patient for proposed and comparator drugs"/>
      </w:tblPr>
      <w:tblGrid>
        <w:gridCol w:w="2831"/>
        <w:gridCol w:w="2032"/>
        <w:gridCol w:w="2032"/>
        <w:gridCol w:w="2032"/>
      </w:tblGrid>
      <w:tr w:rsidR="00740EEB" w:rsidRPr="00E20031" w14:paraId="21AC90BD" w14:textId="77777777" w:rsidTr="00AD033C">
        <w:trPr>
          <w:cantSplit/>
          <w:tblHeader/>
          <w:jc w:val="center"/>
        </w:trPr>
        <w:tc>
          <w:tcPr>
            <w:tcW w:w="1586" w:type="pct"/>
            <w:vAlign w:val="center"/>
          </w:tcPr>
          <w:p w14:paraId="485D48B1" w14:textId="77777777" w:rsidR="00740EEB" w:rsidRPr="00E20031" w:rsidRDefault="00740EEB" w:rsidP="00077D48">
            <w:pPr>
              <w:pStyle w:val="In-tableHeading"/>
            </w:pPr>
          </w:p>
        </w:tc>
        <w:tc>
          <w:tcPr>
            <w:tcW w:w="1138" w:type="pct"/>
            <w:vAlign w:val="center"/>
          </w:tcPr>
          <w:p w14:paraId="3642530E" w14:textId="57D1C94F" w:rsidR="00740EEB" w:rsidRPr="00E20031" w:rsidRDefault="00AD033C" w:rsidP="00077D48">
            <w:pPr>
              <w:pStyle w:val="In-tableHeading"/>
              <w:rPr>
                <w:vertAlign w:val="superscript"/>
              </w:rPr>
            </w:pPr>
            <w:r w:rsidRPr="00E20031">
              <w:t>DERBY and OAKS</w:t>
            </w:r>
          </w:p>
        </w:tc>
        <w:tc>
          <w:tcPr>
            <w:tcW w:w="1138" w:type="pct"/>
            <w:vAlign w:val="center"/>
          </w:tcPr>
          <w:p w14:paraId="250CD479" w14:textId="43C8B4F1" w:rsidR="00740EEB" w:rsidRPr="00E20031" w:rsidRDefault="00BE6AB3" w:rsidP="00077D48">
            <w:pPr>
              <w:pStyle w:val="In-tableHeading"/>
            </w:pPr>
            <w:r>
              <w:t xml:space="preserve">Economic </w:t>
            </w:r>
            <w:r w:rsidR="00740EEB" w:rsidRPr="00E20031">
              <w:t>Model</w:t>
            </w:r>
            <w:r w:rsidR="00AD033C" w:rsidRPr="00E20031">
              <w:t xml:space="preserve"> </w:t>
            </w:r>
          </w:p>
        </w:tc>
        <w:tc>
          <w:tcPr>
            <w:tcW w:w="1138" w:type="pct"/>
            <w:vAlign w:val="center"/>
          </w:tcPr>
          <w:p w14:paraId="44C76606" w14:textId="77777777" w:rsidR="00740EEB" w:rsidRPr="00E20031" w:rsidRDefault="00740EEB" w:rsidP="00077D48">
            <w:pPr>
              <w:pStyle w:val="In-tableHeading"/>
            </w:pPr>
            <w:r w:rsidRPr="00E20031">
              <w:t>Financial estimates</w:t>
            </w:r>
          </w:p>
        </w:tc>
      </w:tr>
      <w:tr w:rsidR="00740EEB" w:rsidRPr="00E20031" w14:paraId="745DAF0B" w14:textId="77777777" w:rsidTr="00AD033C">
        <w:trPr>
          <w:cantSplit/>
          <w:jc w:val="center"/>
        </w:trPr>
        <w:tc>
          <w:tcPr>
            <w:tcW w:w="1586" w:type="pct"/>
            <w:vAlign w:val="center"/>
          </w:tcPr>
          <w:p w14:paraId="743973CE" w14:textId="7B58C7CE" w:rsidR="00740EEB" w:rsidRPr="00E20031" w:rsidRDefault="00AD033C" w:rsidP="00BE6AB3">
            <w:pPr>
              <w:pStyle w:val="TableText0"/>
            </w:pPr>
            <w:r w:rsidRPr="00E20031">
              <w:t>Mean number i</w:t>
            </w:r>
            <w:r w:rsidR="00740EEB" w:rsidRPr="00E20031">
              <w:t>njections per year</w:t>
            </w:r>
          </w:p>
        </w:tc>
        <w:tc>
          <w:tcPr>
            <w:tcW w:w="1138" w:type="pct"/>
            <w:vAlign w:val="center"/>
          </w:tcPr>
          <w:p w14:paraId="5B1C9B2C" w14:textId="17F61D61" w:rsidR="00740EEB" w:rsidRPr="00E20031" w:rsidRDefault="00AD033C" w:rsidP="00BE6AB3">
            <w:pPr>
              <w:pStyle w:val="TableText0"/>
              <w:jc w:val="center"/>
              <w:rPr>
                <w:bCs w:val="0"/>
                <w:vertAlign w:val="superscript"/>
              </w:rPr>
            </w:pPr>
            <w:r w:rsidRPr="00E20031">
              <w:rPr>
                <w:bCs w:val="0"/>
              </w:rPr>
              <w:t>5.39</w:t>
            </w:r>
            <w:r w:rsidRPr="00E20031">
              <w:rPr>
                <w:bCs w:val="0"/>
                <w:vertAlign w:val="superscript"/>
              </w:rPr>
              <w:t>a</w:t>
            </w:r>
          </w:p>
        </w:tc>
        <w:tc>
          <w:tcPr>
            <w:tcW w:w="1138" w:type="pct"/>
            <w:vAlign w:val="center"/>
          </w:tcPr>
          <w:p w14:paraId="7379D234" w14:textId="7BE2FBA8" w:rsidR="00740EEB" w:rsidRPr="00E20031" w:rsidRDefault="00AD033C" w:rsidP="00BE6AB3">
            <w:pPr>
              <w:pStyle w:val="TableText0"/>
              <w:jc w:val="center"/>
              <w:rPr>
                <w:bCs w:val="0"/>
              </w:rPr>
            </w:pPr>
            <w:r w:rsidRPr="00E20031">
              <w:rPr>
                <w:bCs w:val="0"/>
              </w:rPr>
              <w:t>4.71</w:t>
            </w:r>
            <w:r w:rsidR="00F817A7" w:rsidRPr="00E20031">
              <w:rPr>
                <w:bCs w:val="0"/>
                <w:vertAlign w:val="superscript"/>
              </w:rPr>
              <w:t>b</w:t>
            </w:r>
          </w:p>
        </w:tc>
        <w:tc>
          <w:tcPr>
            <w:tcW w:w="1138" w:type="pct"/>
            <w:vAlign w:val="center"/>
          </w:tcPr>
          <w:p w14:paraId="23821253" w14:textId="59E2EFAF" w:rsidR="00740EEB" w:rsidRPr="00E20031" w:rsidRDefault="00F00911" w:rsidP="00BE6AB3">
            <w:pPr>
              <w:pStyle w:val="TableText0"/>
              <w:jc w:val="center"/>
              <w:rPr>
                <w:b/>
                <w:vertAlign w:val="superscript"/>
              </w:rPr>
            </w:pPr>
            <w:r w:rsidRPr="00E20031">
              <w:rPr>
                <w:b/>
              </w:rPr>
              <w:t>4.5</w:t>
            </w:r>
            <w:r w:rsidR="004B2CAE" w:rsidRPr="00E20031">
              <w:rPr>
                <w:b/>
                <w:vertAlign w:val="superscript"/>
              </w:rPr>
              <w:t>c</w:t>
            </w:r>
          </w:p>
        </w:tc>
      </w:tr>
      <w:tr w:rsidR="00AD033C" w:rsidRPr="00E20031" w14:paraId="0B84FE33" w14:textId="77777777" w:rsidTr="00AD033C">
        <w:trPr>
          <w:cantSplit/>
          <w:jc w:val="center"/>
        </w:trPr>
        <w:tc>
          <w:tcPr>
            <w:tcW w:w="1586" w:type="pct"/>
            <w:vAlign w:val="center"/>
          </w:tcPr>
          <w:p w14:paraId="49111F6C" w14:textId="1ADD69EC" w:rsidR="00AD033C" w:rsidRPr="00E20031" w:rsidRDefault="00AD033C" w:rsidP="00BE6AB3">
            <w:pPr>
              <w:pStyle w:val="TableText0"/>
            </w:pPr>
            <w:r w:rsidRPr="00E20031">
              <w:t>Cost per injection</w:t>
            </w:r>
          </w:p>
        </w:tc>
        <w:tc>
          <w:tcPr>
            <w:tcW w:w="3414" w:type="pct"/>
            <w:gridSpan w:val="3"/>
            <w:vAlign w:val="center"/>
          </w:tcPr>
          <w:p w14:paraId="40F6D5BC" w14:textId="53C14365" w:rsidR="00AD033C" w:rsidRPr="00E20031" w:rsidRDefault="00AD033C" w:rsidP="00BE6AB3">
            <w:pPr>
              <w:pStyle w:val="TableText0"/>
              <w:jc w:val="center"/>
              <w:rPr>
                <w:bCs w:val="0"/>
              </w:rPr>
            </w:pPr>
            <w:r w:rsidRPr="00E20031">
              <w:rPr>
                <w:bCs w:val="0"/>
              </w:rPr>
              <w:t>$</w:t>
            </w:r>
            <w:r w:rsidR="00A402A1" w:rsidRPr="00A402A1">
              <w:rPr>
                <w:bCs w:val="0"/>
                <w:highlight w:val="black"/>
              </w:rPr>
              <w:t>&amp;&amp;&amp;&amp;</w:t>
            </w:r>
          </w:p>
        </w:tc>
      </w:tr>
      <w:tr w:rsidR="00740EEB" w:rsidRPr="00E20031" w14:paraId="06512171" w14:textId="77777777" w:rsidTr="00AD033C">
        <w:trPr>
          <w:cantSplit/>
          <w:jc w:val="center"/>
        </w:trPr>
        <w:tc>
          <w:tcPr>
            <w:tcW w:w="1586" w:type="pct"/>
            <w:vAlign w:val="center"/>
          </w:tcPr>
          <w:p w14:paraId="6EB9C80D" w14:textId="1CB2580A" w:rsidR="00740EEB" w:rsidRPr="00E20031" w:rsidRDefault="00740EEB" w:rsidP="00BE6AB3">
            <w:pPr>
              <w:pStyle w:val="TableText0"/>
            </w:pPr>
            <w:r w:rsidRPr="00E20031">
              <w:t>Cost/patient/year</w:t>
            </w:r>
          </w:p>
        </w:tc>
        <w:tc>
          <w:tcPr>
            <w:tcW w:w="1138" w:type="pct"/>
            <w:vAlign w:val="center"/>
          </w:tcPr>
          <w:p w14:paraId="683C9E98" w14:textId="6960DDE9" w:rsidR="00740EEB" w:rsidRPr="00E20031" w:rsidRDefault="00AD033C" w:rsidP="00BE6AB3">
            <w:pPr>
              <w:pStyle w:val="TableText0"/>
              <w:jc w:val="center"/>
            </w:pPr>
            <w:r w:rsidRPr="00E20031">
              <w:t>$</w:t>
            </w:r>
            <w:r w:rsidR="00794BDD" w:rsidRPr="00794BDD">
              <w:rPr>
                <w:highlight w:val="black"/>
              </w:rPr>
              <w:t>&amp;&amp;&amp;&amp;</w:t>
            </w:r>
          </w:p>
        </w:tc>
        <w:tc>
          <w:tcPr>
            <w:tcW w:w="1138" w:type="pct"/>
            <w:vAlign w:val="center"/>
          </w:tcPr>
          <w:p w14:paraId="789D216E" w14:textId="38408345" w:rsidR="00740EEB" w:rsidRPr="00E20031" w:rsidRDefault="00AD033C" w:rsidP="00BE6AB3">
            <w:pPr>
              <w:pStyle w:val="TableText0"/>
              <w:jc w:val="center"/>
            </w:pPr>
            <w:r w:rsidRPr="00E20031">
              <w:t>$</w:t>
            </w:r>
            <w:r w:rsidR="00794BDD" w:rsidRPr="00794BDD">
              <w:rPr>
                <w:highlight w:val="black"/>
              </w:rPr>
              <w:t>&amp;&amp;&amp;&amp;</w:t>
            </w:r>
          </w:p>
        </w:tc>
        <w:tc>
          <w:tcPr>
            <w:tcW w:w="1138" w:type="pct"/>
            <w:vAlign w:val="center"/>
          </w:tcPr>
          <w:p w14:paraId="3F186E99" w14:textId="68654BA1" w:rsidR="00740EEB" w:rsidRPr="00E20031" w:rsidRDefault="00F00911" w:rsidP="00BE6AB3">
            <w:pPr>
              <w:pStyle w:val="TableText0"/>
              <w:jc w:val="center"/>
            </w:pPr>
            <w:r w:rsidRPr="00E20031">
              <w:t>$</w:t>
            </w:r>
            <w:r w:rsidR="00794BDD" w:rsidRPr="00794BDD">
              <w:rPr>
                <w:highlight w:val="black"/>
              </w:rPr>
              <w:t>&amp;&amp;&amp;&amp;</w:t>
            </w:r>
          </w:p>
        </w:tc>
      </w:tr>
    </w:tbl>
    <w:p w14:paraId="6C3DBF4F" w14:textId="77777777" w:rsidR="00AD033C" w:rsidRPr="00E20031" w:rsidRDefault="00AD033C" w:rsidP="00BE6AB3">
      <w:pPr>
        <w:pStyle w:val="FooterTableFigure"/>
        <w:keepNext/>
      </w:pPr>
      <w:r w:rsidRPr="00E20031">
        <w:t xml:space="preserve">Source: </w:t>
      </w:r>
      <w:r w:rsidRPr="00406928">
        <w:t>Constructed during the evaluation from the</w:t>
      </w:r>
      <w:r w:rsidRPr="00A272D3">
        <w:rPr>
          <w:iCs/>
        </w:rPr>
        <w:t xml:space="preserve"> </w:t>
      </w:r>
      <w:r w:rsidRPr="00E20031">
        <w:t>“A3.1_Pegcetacoplan PBAC CE model submission 2025 vF” attachment provided with the submission.</w:t>
      </w:r>
    </w:p>
    <w:p w14:paraId="404D99CA" w14:textId="3259DBF7" w:rsidR="00F817A7" w:rsidRPr="00E20031" w:rsidRDefault="00A272E5" w:rsidP="00BE6AB3">
      <w:pPr>
        <w:pStyle w:val="FooterTableFigure"/>
        <w:keepNext/>
      </w:pPr>
      <w:r w:rsidRPr="00E20031">
        <w:rPr>
          <w:vertAlign w:val="superscript"/>
        </w:rPr>
        <w:t xml:space="preserve">a </w:t>
      </w:r>
      <w:r w:rsidRPr="00E20031">
        <w:t>Assuming treatment compliance rates of 89% and 91% from the DERBY and OAKS trials, respectively, weighted by the number of patients in each trial and multiplied by the number of scheduled injections (</w:t>
      </w:r>
      <w:r w:rsidR="000A617B">
        <w:t>6</w:t>
      </w:r>
      <w:r w:rsidRPr="00E20031">
        <w:t>).</w:t>
      </w:r>
    </w:p>
    <w:p w14:paraId="3816D043" w14:textId="245030FC" w:rsidR="004B2CAE" w:rsidRPr="00406928" w:rsidRDefault="00F817A7" w:rsidP="00BE6AB3">
      <w:pPr>
        <w:pStyle w:val="FooterTableFigure"/>
        <w:keepNext/>
      </w:pPr>
      <w:r w:rsidRPr="00E20031">
        <w:rPr>
          <w:vertAlign w:val="superscript"/>
        </w:rPr>
        <w:t xml:space="preserve">b </w:t>
      </w:r>
      <w:r w:rsidR="000A617B" w:rsidRPr="000A617B">
        <w:t xml:space="preserve">The </w:t>
      </w:r>
      <w:r w:rsidR="000A617B" w:rsidRPr="00406928">
        <w:t>submission a</w:t>
      </w:r>
      <w:r w:rsidRPr="00406928">
        <w:t>ssum</w:t>
      </w:r>
      <w:r w:rsidR="000A617B" w:rsidRPr="00406928">
        <w:t>ed</w:t>
      </w:r>
      <w:r w:rsidRPr="00406928">
        <w:t xml:space="preserve"> patients who completed the </w:t>
      </w:r>
      <w:r w:rsidR="005816E9" w:rsidRPr="00406928">
        <w:t xml:space="preserve">24 months </w:t>
      </w:r>
      <w:r w:rsidRPr="00406928">
        <w:t>trial</w:t>
      </w:r>
      <w:r w:rsidR="005816E9" w:rsidRPr="00406928">
        <w:t>s</w:t>
      </w:r>
      <w:r w:rsidRPr="00406928">
        <w:t xml:space="preserve"> </w:t>
      </w:r>
      <w:r w:rsidR="005816E9" w:rsidRPr="00406928">
        <w:t>(79%</w:t>
      </w:r>
      <w:r w:rsidRPr="00406928">
        <w:t>) had full treatment compliance and patients who did not complete the trial had received no injections</w:t>
      </w:r>
      <w:r w:rsidR="000A617B" w:rsidRPr="00406928">
        <w:t>. Halved to get the annual number of injections</w:t>
      </w:r>
      <w:r w:rsidRPr="00406928">
        <w:t>.</w:t>
      </w:r>
    </w:p>
    <w:p w14:paraId="189F5687" w14:textId="7EA4CBEA" w:rsidR="00A272E5" w:rsidRPr="00406928" w:rsidRDefault="004B2CAE" w:rsidP="00AD033C">
      <w:pPr>
        <w:pStyle w:val="FooterTableFigure"/>
      </w:pPr>
      <w:r w:rsidRPr="00406928">
        <w:rPr>
          <w:vertAlign w:val="superscript"/>
        </w:rPr>
        <w:t xml:space="preserve">c </w:t>
      </w:r>
      <w:r w:rsidRPr="00406928">
        <w:t xml:space="preserve">In the financial analysis, the submission further adjusted its base case number of injections per year by </w:t>
      </w:r>
      <w:r w:rsidR="00580EBE" w:rsidRPr="00406928">
        <w:t>a</w:t>
      </w:r>
      <w:r w:rsidRPr="00406928">
        <w:t xml:space="preserve"> treatment compliance rate (9</w:t>
      </w:r>
      <w:r w:rsidR="00580EBE" w:rsidRPr="00406928">
        <w:t>5.5</w:t>
      </w:r>
      <w:r w:rsidRPr="00406928">
        <w:t xml:space="preserve">%). </w:t>
      </w:r>
    </w:p>
    <w:p w14:paraId="7FC4298D" w14:textId="77777777" w:rsidR="00F00911" w:rsidRPr="00E20031" w:rsidRDefault="00F00911" w:rsidP="00F00911">
      <w:pPr>
        <w:pStyle w:val="4-SubsectionHeading"/>
      </w:pPr>
      <w:bookmarkStart w:id="84" w:name="_Toc22897647"/>
      <w:bookmarkStart w:id="85" w:name="_Toc205418252"/>
      <w:bookmarkStart w:id="86" w:name="_Toc208920199"/>
      <w:r w:rsidRPr="00E20031">
        <w:t>Estimated PBS usage &amp; financial impacts</w:t>
      </w:r>
      <w:bookmarkEnd w:id="84"/>
      <w:bookmarkEnd w:id="85"/>
      <w:bookmarkEnd w:id="86"/>
    </w:p>
    <w:p w14:paraId="532D8943" w14:textId="17060CE9" w:rsidR="001A52B9" w:rsidRPr="00E20031" w:rsidRDefault="001A52B9" w:rsidP="001A52B9">
      <w:pPr>
        <w:pStyle w:val="3-BodyText"/>
      </w:pPr>
      <w:bookmarkStart w:id="87" w:name="_Toc22897648"/>
      <w:bookmarkStart w:id="88" w:name="_Toc205418253"/>
      <w:bookmarkStart w:id="89" w:name="_Toc206434210"/>
      <w:bookmarkStart w:id="90" w:name="_Toc208920200"/>
      <w:bookmarkStart w:id="91" w:name="_Toc22897650"/>
      <w:r w:rsidRPr="00E20031">
        <w:t xml:space="preserve">This submission </w:t>
      </w:r>
      <w:r>
        <w:t>was</w:t>
      </w:r>
      <w:r w:rsidRPr="00E20031">
        <w:t xml:space="preserve"> considered by DUSC. The submission used an epidemiological approach to estimate the number of prevalent patients who would be eligible for the proposed pegcetacoplan treatment. A summary of the data sources and parameter values used to estimate the utilisation and financial impacts associated with the proposed listing of pegcetacoplan for the treatment of GA is shown in </w:t>
      </w:r>
      <w:r w:rsidRPr="00E20031">
        <w:fldChar w:fldCharType="begin"/>
      </w:r>
      <w:r w:rsidRPr="00E20031">
        <w:instrText xml:space="preserve"> REF _Ref104805262 \h  \* MERGEFORMAT </w:instrText>
      </w:r>
      <w:r w:rsidRPr="00E20031">
        <w:fldChar w:fldCharType="separate"/>
      </w:r>
      <w:r w:rsidR="00333CFE" w:rsidRPr="00E20031">
        <w:t xml:space="preserve">Table </w:t>
      </w:r>
      <w:r w:rsidR="00333CFE">
        <w:t>15</w:t>
      </w:r>
      <w:r w:rsidRPr="00E20031">
        <w:fldChar w:fldCharType="end"/>
      </w:r>
      <w:r w:rsidRPr="00E20031">
        <w:t>.</w:t>
      </w:r>
    </w:p>
    <w:p w14:paraId="14F7B64B" w14:textId="77777777" w:rsidR="001A52B9" w:rsidRPr="00E20031" w:rsidRDefault="001A52B9" w:rsidP="001A52B9"/>
    <w:p w14:paraId="7E1924BF" w14:textId="22E39DE7" w:rsidR="001A52B9" w:rsidRPr="00E20031" w:rsidRDefault="001A52B9" w:rsidP="001A52B9">
      <w:pPr>
        <w:pStyle w:val="Caption"/>
        <w:rPr>
          <w:rStyle w:val="CommentReference"/>
          <w:b/>
          <w:szCs w:val="24"/>
        </w:rPr>
      </w:pPr>
      <w:bookmarkStart w:id="92" w:name="_Ref104805262"/>
      <w:r w:rsidRPr="00E20031">
        <w:t xml:space="preserve">Table </w:t>
      </w:r>
      <w:r>
        <w:fldChar w:fldCharType="begin"/>
      </w:r>
      <w:r>
        <w:instrText xml:space="preserve"> SEQ Table \* ARABIC </w:instrText>
      </w:r>
      <w:r>
        <w:fldChar w:fldCharType="separate"/>
      </w:r>
      <w:r w:rsidR="00333CFE">
        <w:rPr>
          <w:noProof/>
        </w:rPr>
        <w:t>15</w:t>
      </w:r>
      <w:r>
        <w:rPr>
          <w:noProof/>
        </w:rPr>
        <w:fldChar w:fldCharType="end"/>
      </w:r>
      <w:bookmarkEnd w:id="92"/>
      <w:r w:rsidRPr="00E20031">
        <w:t>:</w:t>
      </w:r>
      <w:r w:rsidRPr="00E20031">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Caption w:val="Table 15: Key inputs for financial estimates"/>
      </w:tblPr>
      <w:tblGrid>
        <w:gridCol w:w="1713"/>
        <w:gridCol w:w="4094"/>
        <w:gridCol w:w="3210"/>
      </w:tblGrid>
      <w:tr w:rsidR="001A52B9" w:rsidRPr="00E20031" w14:paraId="500D1938" w14:textId="77777777">
        <w:trPr>
          <w:cantSplit/>
          <w:tblHeader/>
        </w:trPr>
        <w:tc>
          <w:tcPr>
            <w:tcW w:w="950" w:type="pct"/>
            <w:vAlign w:val="center"/>
          </w:tcPr>
          <w:p w14:paraId="25A3BADC" w14:textId="77777777" w:rsidR="001A52B9" w:rsidRPr="00E20031" w:rsidRDefault="001A52B9" w:rsidP="00077D48">
            <w:pPr>
              <w:pStyle w:val="In-tableHeading"/>
            </w:pPr>
            <w:r w:rsidRPr="00E20031">
              <w:t>Parameter</w:t>
            </w:r>
          </w:p>
        </w:tc>
        <w:tc>
          <w:tcPr>
            <w:tcW w:w="2270" w:type="pct"/>
            <w:vAlign w:val="center"/>
          </w:tcPr>
          <w:p w14:paraId="15444CFC" w14:textId="77777777" w:rsidR="001A52B9" w:rsidRPr="00E20031" w:rsidRDefault="001A52B9" w:rsidP="00077D48">
            <w:pPr>
              <w:pStyle w:val="In-tableHeading"/>
            </w:pPr>
            <w:r w:rsidRPr="00E20031">
              <w:t>Value applied and source</w:t>
            </w:r>
          </w:p>
        </w:tc>
        <w:tc>
          <w:tcPr>
            <w:tcW w:w="1780" w:type="pct"/>
            <w:vAlign w:val="center"/>
          </w:tcPr>
          <w:p w14:paraId="784A28D3" w14:textId="77777777" w:rsidR="001A52B9" w:rsidRPr="00077D48" w:rsidRDefault="001A52B9" w:rsidP="00077D48">
            <w:pPr>
              <w:pStyle w:val="In-tableHeading"/>
            </w:pPr>
            <w:r w:rsidRPr="00077D48">
              <w:t>Comment</w:t>
            </w:r>
          </w:p>
        </w:tc>
      </w:tr>
      <w:tr w:rsidR="001A52B9" w:rsidRPr="00E20031" w14:paraId="63865789" w14:textId="77777777">
        <w:trPr>
          <w:cantSplit/>
        </w:trPr>
        <w:tc>
          <w:tcPr>
            <w:tcW w:w="950" w:type="pct"/>
            <w:vAlign w:val="center"/>
          </w:tcPr>
          <w:p w14:paraId="218D48D8" w14:textId="77777777" w:rsidR="001A52B9" w:rsidRPr="00E20031" w:rsidRDefault="001A52B9">
            <w:pPr>
              <w:pStyle w:val="TableText0"/>
              <w:keepNext w:val="0"/>
              <w:keepLines w:val="0"/>
            </w:pPr>
            <w:r w:rsidRPr="00E20031">
              <w:t>Prevalent population</w:t>
            </w:r>
          </w:p>
        </w:tc>
        <w:tc>
          <w:tcPr>
            <w:tcW w:w="2270" w:type="pct"/>
            <w:vAlign w:val="center"/>
          </w:tcPr>
          <w:p w14:paraId="44305598" w14:textId="5C8DEFA7" w:rsidR="001A52B9" w:rsidRPr="00E20031" w:rsidRDefault="001A52B9">
            <w:pPr>
              <w:pStyle w:val="TableText0"/>
              <w:keepNext w:val="0"/>
              <w:keepLines w:val="0"/>
            </w:pPr>
            <w:r w:rsidRPr="00E20031">
              <w:t xml:space="preserve">Prevalence of 1.29% (patients aged 60 years and older) based on late AMD and the proportion of patients with GA as reported in </w:t>
            </w:r>
            <w:r w:rsidR="004E036C" w:rsidRPr="00E20031">
              <w:rPr>
                <w:rFonts w:cs="Calibri"/>
                <w:color w:val="000000"/>
                <w:szCs w:val="20"/>
              </w:rPr>
              <w:t>Australian National Eye Health Survey (NEHS)</w:t>
            </w:r>
            <w:r w:rsidRPr="00E20031">
              <w:t>.</w:t>
            </w:r>
          </w:p>
        </w:tc>
        <w:tc>
          <w:tcPr>
            <w:tcW w:w="1780" w:type="pct"/>
            <w:vAlign w:val="center"/>
          </w:tcPr>
          <w:p w14:paraId="0D507ADE" w14:textId="4C2FCD6F" w:rsidR="001A52B9" w:rsidRPr="00077D48" w:rsidRDefault="001A52B9">
            <w:pPr>
              <w:pStyle w:val="TableText0"/>
              <w:keepNext w:val="0"/>
              <w:keepLines w:val="0"/>
            </w:pPr>
            <w:r w:rsidRPr="00077D48">
              <w:t>Th</w:t>
            </w:r>
            <w:r w:rsidR="0042294B">
              <w:t>e evaluation considered th</w:t>
            </w:r>
            <w:r w:rsidRPr="00077D48">
              <w:t xml:space="preserve">is </w:t>
            </w:r>
            <w:r w:rsidR="0042294B">
              <w:t>wa</w:t>
            </w:r>
            <w:r w:rsidRPr="00077D48">
              <w:t xml:space="preserve">s appropriate and </w:t>
            </w:r>
            <w:r w:rsidR="0042294B">
              <w:t xml:space="preserve">confirmed </w:t>
            </w:r>
            <w:r w:rsidRPr="00077D48">
              <w:t>the method of calculation has been verified.</w:t>
            </w:r>
            <w:r w:rsidR="005E28CE">
              <w:t xml:space="preserve"> DUSC considered this approach was reasonable.</w:t>
            </w:r>
          </w:p>
        </w:tc>
      </w:tr>
      <w:tr w:rsidR="001A52B9" w:rsidRPr="00E20031" w14:paraId="5F4049DF" w14:textId="77777777">
        <w:trPr>
          <w:cantSplit/>
        </w:trPr>
        <w:tc>
          <w:tcPr>
            <w:tcW w:w="950" w:type="pct"/>
            <w:vAlign w:val="center"/>
          </w:tcPr>
          <w:p w14:paraId="33D90826" w14:textId="77777777" w:rsidR="001A52B9" w:rsidRPr="00E20031" w:rsidRDefault="001A52B9">
            <w:pPr>
              <w:pStyle w:val="TableText0"/>
              <w:keepNext w:val="0"/>
              <w:keepLines w:val="0"/>
            </w:pPr>
            <w:r w:rsidRPr="00E20031">
              <w:t>Proportion of patients meeting PBS criteria</w:t>
            </w:r>
          </w:p>
        </w:tc>
        <w:tc>
          <w:tcPr>
            <w:tcW w:w="2270" w:type="pct"/>
            <w:vAlign w:val="center"/>
          </w:tcPr>
          <w:p w14:paraId="281A6A6E" w14:textId="1BAFE214" w:rsidR="001A52B9" w:rsidRPr="00E20031" w:rsidRDefault="001A52B9">
            <w:pPr>
              <w:pStyle w:val="TableText0"/>
              <w:keepNext w:val="0"/>
              <w:keepLines w:val="0"/>
            </w:pPr>
            <w:r w:rsidRPr="00E20031">
              <w:t>Proportion of patients with bilateral GA – 63.5% (IRIS) and proportion of patients with non</w:t>
            </w:r>
            <w:r w:rsidR="00397B07">
              <w:noBreakHyphen/>
            </w:r>
            <w:r w:rsidRPr="00E20031">
              <w:t>subfoveal GA in one eye and subfoveal GA in the fellow eye 33.9% (FRB!)</w:t>
            </w:r>
          </w:p>
        </w:tc>
        <w:tc>
          <w:tcPr>
            <w:tcW w:w="1780" w:type="pct"/>
            <w:vAlign w:val="center"/>
          </w:tcPr>
          <w:p w14:paraId="29457AF1" w14:textId="7A63795F" w:rsidR="003E2AF6" w:rsidRDefault="001A52B9">
            <w:pPr>
              <w:pStyle w:val="TableText0"/>
              <w:keepNext w:val="0"/>
              <w:keepLines w:val="0"/>
              <w:rPr>
                <w:rFonts w:cs="Calibri"/>
                <w:color w:val="000000"/>
                <w:szCs w:val="20"/>
              </w:rPr>
            </w:pPr>
            <w:r w:rsidRPr="00077D48">
              <w:rPr>
                <w:rFonts w:cs="Calibri"/>
                <w:color w:val="000000"/>
                <w:szCs w:val="20"/>
              </w:rPr>
              <w:t>The IRIS data is an appropriate large</w:t>
            </w:r>
            <w:r w:rsidR="00397B07">
              <w:rPr>
                <w:rFonts w:cs="Calibri"/>
                <w:color w:val="000000"/>
                <w:szCs w:val="20"/>
              </w:rPr>
              <w:noBreakHyphen/>
            </w:r>
            <w:r w:rsidRPr="00077D48">
              <w:rPr>
                <w:rFonts w:cs="Calibri"/>
                <w:color w:val="000000"/>
                <w:szCs w:val="20"/>
              </w:rPr>
              <w:t xml:space="preserve">scale data source. </w:t>
            </w:r>
            <w:r w:rsidR="003E2AF6">
              <w:rPr>
                <w:rFonts w:cs="Calibri"/>
                <w:color w:val="000000"/>
                <w:szCs w:val="20"/>
              </w:rPr>
              <w:t>DUSC considered th</w:t>
            </w:r>
            <w:r w:rsidR="00086924">
              <w:rPr>
                <w:rFonts w:cs="Calibri"/>
                <w:color w:val="000000"/>
                <w:szCs w:val="20"/>
              </w:rPr>
              <w:t>is was</w:t>
            </w:r>
            <w:r w:rsidR="003E2AF6">
              <w:rPr>
                <w:rFonts w:cs="Calibri"/>
                <w:color w:val="000000"/>
                <w:szCs w:val="20"/>
              </w:rPr>
              <w:t xml:space="preserve"> reasonable</w:t>
            </w:r>
            <w:r w:rsidR="00086924">
              <w:rPr>
                <w:rFonts w:cs="Calibri"/>
                <w:color w:val="000000"/>
                <w:szCs w:val="20"/>
              </w:rPr>
              <w:t xml:space="preserve">. </w:t>
            </w:r>
          </w:p>
          <w:p w14:paraId="1871C286" w14:textId="4E9AE0F2" w:rsidR="001A52B9" w:rsidRPr="00077D48" w:rsidRDefault="001A52B9">
            <w:pPr>
              <w:pStyle w:val="TableText0"/>
              <w:keepNext w:val="0"/>
              <w:keepLines w:val="0"/>
            </w:pPr>
            <w:r w:rsidRPr="00077D48">
              <w:rPr>
                <w:rFonts w:cs="Calibri"/>
                <w:color w:val="000000"/>
                <w:szCs w:val="20"/>
              </w:rPr>
              <w:t>The FRB! is recent data (starting in 2023) using the Australian cohort. While noting that the cohort is small (20 out of 59 patients), it appears to be an appropriate data source for this very targeted intervention.</w:t>
            </w:r>
            <w:r w:rsidR="00086924">
              <w:rPr>
                <w:rFonts w:cs="Calibri"/>
                <w:color w:val="000000"/>
                <w:szCs w:val="20"/>
              </w:rPr>
              <w:t xml:space="preserve"> DUSC considered this input to be a possible overestimate, recognising that there is no other reliable source. </w:t>
            </w:r>
          </w:p>
        </w:tc>
      </w:tr>
      <w:tr w:rsidR="001A52B9" w:rsidRPr="00E20031" w14:paraId="021F105D" w14:textId="77777777">
        <w:trPr>
          <w:cantSplit/>
        </w:trPr>
        <w:tc>
          <w:tcPr>
            <w:tcW w:w="950" w:type="pct"/>
            <w:vAlign w:val="center"/>
          </w:tcPr>
          <w:p w14:paraId="405EDCE2" w14:textId="77777777" w:rsidR="001A52B9" w:rsidRPr="00E20031" w:rsidRDefault="001A52B9">
            <w:pPr>
              <w:pStyle w:val="TableText0"/>
              <w:keepNext w:val="0"/>
              <w:keepLines w:val="0"/>
            </w:pPr>
            <w:r w:rsidRPr="00E20031">
              <w:lastRenderedPageBreak/>
              <w:t>Uptake rate</w:t>
            </w:r>
          </w:p>
        </w:tc>
        <w:tc>
          <w:tcPr>
            <w:tcW w:w="2270" w:type="pct"/>
            <w:vAlign w:val="center"/>
          </w:tcPr>
          <w:p w14:paraId="124CA106" w14:textId="435927A9" w:rsidR="001A52B9" w:rsidRPr="00E20031" w:rsidRDefault="00794BDD">
            <w:pPr>
              <w:pStyle w:val="TableText0"/>
              <w:keepNext w:val="0"/>
              <w:keepLines w:val="0"/>
            </w:pPr>
            <w:r w:rsidRPr="00794BDD">
              <w:rPr>
                <w:highlight w:val="black"/>
              </w:rPr>
              <w:t>&amp;&amp;&amp;&amp;</w:t>
            </w:r>
            <w:r w:rsidR="001A52B9" w:rsidRPr="00E20031">
              <w:t xml:space="preserve">% in Year 1 increasing to </w:t>
            </w:r>
            <w:r w:rsidRPr="00794BDD">
              <w:rPr>
                <w:highlight w:val="black"/>
              </w:rPr>
              <w:t>&amp;&amp;&amp;&amp;</w:t>
            </w:r>
            <w:r w:rsidR="001A52B9" w:rsidRPr="00E20031">
              <w:t>% in Year 6.</w:t>
            </w:r>
          </w:p>
        </w:tc>
        <w:tc>
          <w:tcPr>
            <w:tcW w:w="1780" w:type="pct"/>
          </w:tcPr>
          <w:p w14:paraId="20CA0B45" w14:textId="543DF444" w:rsidR="001A52B9" w:rsidRPr="00077D48" w:rsidRDefault="001A52B9" w:rsidP="00AC5402">
            <w:pPr>
              <w:pStyle w:val="TableText0"/>
            </w:pPr>
            <w:r w:rsidRPr="00AC5402">
              <w:t>The uptake rate was based on the uptake of ranibizumab in its first five full years of listing (2008</w:t>
            </w:r>
            <w:r w:rsidR="00397B07">
              <w:noBreakHyphen/>
            </w:r>
            <w:r w:rsidRPr="00AC5402">
              <w:t>2012), adjusted to account for differences in annual injection rates. This rate may be affected by changes in the population in the past 15 years.</w:t>
            </w:r>
            <w:r w:rsidR="000C5417" w:rsidRPr="00AC5402">
              <w:t xml:space="preserve"> </w:t>
            </w:r>
            <w:r w:rsidR="00AC5402" w:rsidRPr="00AC5402">
              <w:t>DUSC considered that the uptake rate was uncertain. DUSC noted that ranibizumab uptake was likely higher as it provided vision improvement</w:t>
            </w:r>
            <w:r w:rsidR="00651E21">
              <w:t xml:space="preserve">. </w:t>
            </w:r>
            <w:r w:rsidR="00AC5402" w:rsidRPr="00AC5402">
              <w:t>As the target population effectively has only</w:t>
            </w:r>
            <w:r w:rsidR="00397B07">
              <w:noBreakHyphen/>
            </w:r>
            <w:r w:rsidR="00AC5402" w:rsidRPr="00AC5402">
              <w:t xml:space="preserve">eye status, more </w:t>
            </w:r>
            <w:r w:rsidR="00555AF7" w:rsidRPr="00AC5402">
              <w:t>cautio</w:t>
            </w:r>
            <w:r w:rsidR="00555AF7">
              <w:t>n</w:t>
            </w:r>
            <w:r w:rsidR="00555AF7" w:rsidRPr="00AC5402">
              <w:t xml:space="preserve"> </w:t>
            </w:r>
            <w:r w:rsidR="00AC5402" w:rsidRPr="00AC5402">
              <w:t>in treatment</w:t>
            </w:r>
            <w:r w:rsidR="00474A69">
              <w:t xml:space="preserve"> uptake</w:t>
            </w:r>
            <w:r w:rsidR="00AC5402" w:rsidRPr="00AC5402">
              <w:t xml:space="preserve"> is expected.</w:t>
            </w:r>
          </w:p>
        </w:tc>
      </w:tr>
      <w:tr w:rsidR="001A52B9" w:rsidRPr="00E20031" w14:paraId="3603ED00" w14:textId="77777777">
        <w:trPr>
          <w:cantSplit/>
        </w:trPr>
        <w:tc>
          <w:tcPr>
            <w:tcW w:w="950" w:type="pct"/>
            <w:vAlign w:val="center"/>
          </w:tcPr>
          <w:p w14:paraId="7CC37F65" w14:textId="77777777" w:rsidR="001A52B9" w:rsidRPr="00E20031" w:rsidRDefault="001A52B9">
            <w:pPr>
              <w:pStyle w:val="TableText0"/>
              <w:keepNext w:val="0"/>
              <w:keepLines w:val="0"/>
            </w:pPr>
            <w:r w:rsidRPr="00E20031">
              <w:t>Grandfathered patients</w:t>
            </w:r>
          </w:p>
        </w:tc>
        <w:tc>
          <w:tcPr>
            <w:tcW w:w="2270" w:type="pct"/>
            <w:vAlign w:val="center"/>
          </w:tcPr>
          <w:p w14:paraId="72FB4E0F" w14:textId="77777777" w:rsidR="001A52B9" w:rsidRPr="00E20031" w:rsidRDefault="001A52B9">
            <w:pPr>
              <w:pStyle w:val="TableText0"/>
              <w:keepNext w:val="0"/>
              <w:keepLines w:val="0"/>
            </w:pPr>
            <w:r w:rsidRPr="00E20031">
              <w:t xml:space="preserve">No grandfathered patients were explicitly included in the model </w:t>
            </w:r>
          </w:p>
        </w:tc>
        <w:tc>
          <w:tcPr>
            <w:tcW w:w="1780" w:type="pct"/>
            <w:vAlign w:val="center"/>
          </w:tcPr>
          <w:p w14:paraId="2DEE9CD9" w14:textId="77777777" w:rsidR="001A52B9" w:rsidRPr="00077D48" w:rsidRDefault="001A52B9">
            <w:pPr>
              <w:pStyle w:val="TableText0"/>
              <w:keepNext w:val="0"/>
              <w:keepLines w:val="0"/>
            </w:pPr>
            <w:r w:rsidRPr="00077D48">
              <w:t>The submission indicated that grandfathered patients have been included in the prevalent population and are not modelled as a distinct population. This may result in an overestimate of the financial impacts as grandfathered patients receive a shorter duration of treatment.</w:t>
            </w:r>
          </w:p>
        </w:tc>
      </w:tr>
      <w:tr w:rsidR="001A52B9" w:rsidRPr="00E20031" w14:paraId="45A8A74A" w14:textId="77777777">
        <w:trPr>
          <w:cantSplit/>
        </w:trPr>
        <w:tc>
          <w:tcPr>
            <w:tcW w:w="950" w:type="pct"/>
            <w:vAlign w:val="center"/>
          </w:tcPr>
          <w:p w14:paraId="4FA7ED5E" w14:textId="77777777" w:rsidR="001A52B9" w:rsidRPr="00E20031" w:rsidRDefault="001A52B9">
            <w:pPr>
              <w:pStyle w:val="TableText0"/>
              <w:keepNext w:val="0"/>
              <w:keepLines w:val="0"/>
            </w:pPr>
            <w:r w:rsidRPr="00E20031">
              <w:t>Dose per course of treatment</w:t>
            </w:r>
          </w:p>
        </w:tc>
        <w:tc>
          <w:tcPr>
            <w:tcW w:w="2270" w:type="pct"/>
            <w:vAlign w:val="center"/>
          </w:tcPr>
          <w:p w14:paraId="784A1D37" w14:textId="77777777" w:rsidR="001A52B9" w:rsidRPr="00E20031" w:rsidRDefault="001A52B9">
            <w:pPr>
              <w:pStyle w:val="TableText0"/>
              <w:keepNext w:val="0"/>
              <w:keepLines w:val="0"/>
            </w:pPr>
            <w:r w:rsidRPr="00E20031">
              <w:t>4.71 injections per year, calculated from the totals at 24 months for the OAK and DERBY trials and adjusted for compliance (95.5%) to derive 4.5 injections per year.</w:t>
            </w:r>
          </w:p>
        </w:tc>
        <w:tc>
          <w:tcPr>
            <w:tcW w:w="1780" w:type="pct"/>
            <w:vAlign w:val="center"/>
          </w:tcPr>
          <w:p w14:paraId="4E4FC0AA" w14:textId="77777777" w:rsidR="001A52B9" w:rsidRPr="00077D48" w:rsidRDefault="001A52B9">
            <w:pPr>
              <w:pStyle w:val="TableText0"/>
              <w:keepNext w:val="0"/>
              <w:keepLines w:val="0"/>
            </w:pPr>
            <w:r w:rsidRPr="00077D48">
              <w:t>The annual doses were held constant over the 6 years and discontinuation was applied to the patient numbers.</w:t>
            </w:r>
          </w:p>
          <w:p w14:paraId="649F12FF" w14:textId="0E3628DD" w:rsidR="001A52B9" w:rsidRPr="00077D48" w:rsidRDefault="001A52B9">
            <w:pPr>
              <w:pStyle w:val="TableText0"/>
              <w:keepNext w:val="0"/>
              <w:keepLines w:val="0"/>
              <w:rPr>
                <w:i/>
                <w:iCs/>
              </w:rPr>
            </w:pPr>
            <w:r w:rsidRPr="00077D48">
              <w:t xml:space="preserve">This is consistent with the dose per course of treatment in the economic evaluation; however, this may be underestimated as described in </w:t>
            </w:r>
            <w:r w:rsidR="00A6128D">
              <w:t xml:space="preserve">paragraph </w:t>
            </w:r>
            <w:r w:rsidR="00342830">
              <w:fldChar w:fldCharType="begin"/>
            </w:r>
            <w:r w:rsidR="00342830">
              <w:instrText xml:space="preserve"> REF _Ref205561313 \r \h </w:instrText>
            </w:r>
            <w:r w:rsidR="00342830">
              <w:fldChar w:fldCharType="separate"/>
            </w:r>
            <w:r w:rsidR="00333CFE">
              <w:t>6.49</w:t>
            </w:r>
            <w:r w:rsidR="00342830">
              <w:fldChar w:fldCharType="end"/>
            </w:r>
            <w:r w:rsidR="00342830">
              <w:t>.</w:t>
            </w:r>
          </w:p>
        </w:tc>
      </w:tr>
      <w:tr w:rsidR="001A52B9" w:rsidRPr="00E20031" w14:paraId="3ED15E66" w14:textId="77777777">
        <w:trPr>
          <w:cantSplit/>
        </w:trPr>
        <w:tc>
          <w:tcPr>
            <w:tcW w:w="950" w:type="pct"/>
            <w:vAlign w:val="center"/>
          </w:tcPr>
          <w:p w14:paraId="722695E0" w14:textId="77777777" w:rsidR="001A52B9" w:rsidRPr="00E20031" w:rsidRDefault="001A52B9">
            <w:pPr>
              <w:pStyle w:val="TableText0"/>
              <w:keepNext w:val="0"/>
              <w:keepLines w:val="0"/>
            </w:pPr>
            <w:r w:rsidRPr="00E20031">
              <w:t>Offsets</w:t>
            </w:r>
          </w:p>
        </w:tc>
        <w:tc>
          <w:tcPr>
            <w:tcW w:w="2270" w:type="pct"/>
            <w:vAlign w:val="center"/>
          </w:tcPr>
          <w:p w14:paraId="4D50A3F7" w14:textId="77777777" w:rsidR="001A52B9" w:rsidRPr="00E20031" w:rsidRDefault="001A52B9">
            <w:pPr>
              <w:pStyle w:val="TableText0"/>
              <w:keepNext w:val="0"/>
              <w:keepLines w:val="0"/>
            </w:pPr>
            <w:r w:rsidRPr="00E20031">
              <w:t>No offsets were applied to the model.</w:t>
            </w:r>
          </w:p>
        </w:tc>
        <w:tc>
          <w:tcPr>
            <w:tcW w:w="1780" w:type="pct"/>
            <w:vAlign w:val="center"/>
          </w:tcPr>
          <w:p w14:paraId="29AF22A8" w14:textId="77777777" w:rsidR="001A52B9" w:rsidRPr="00C04F16" w:rsidRDefault="001A52B9">
            <w:pPr>
              <w:pStyle w:val="TableText0"/>
              <w:keepNext w:val="0"/>
              <w:keepLines w:val="0"/>
            </w:pPr>
            <w:r w:rsidRPr="00C04F16">
              <w:t>As there is currently no treatment for GA, this approach is appropriate.</w:t>
            </w:r>
          </w:p>
        </w:tc>
      </w:tr>
      <w:tr w:rsidR="001A52B9" w:rsidRPr="00E20031" w14:paraId="6B7303B1" w14:textId="77777777">
        <w:trPr>
          <w:cantSplit/>
        </w:trPr>
        <w:tc>
          <w:tcPr>
            <w:tcW w:w="950" w:type="pct"/>
            <w:vAlign w:val="center"/>
          </w:tcPr>
          <w:p w14:paraId="011F40F5" w14:textId="77777777" w:rsidR="001A52B9" w:rsidRPr="00E20031" w:rsidRDefault="001A52B9">
            <w:pPr>
              <w:pStyle w:val="TableText0"/>
              <w:keepNext w:val="0"/>
              <w:keepLines w:val="0"/>
            </w:pPr>
            <w:r w:rsidRPr="00E20031">
              <w:t>Pegcetacoplan</w:t>
            </w:r>
          </w:p>
        </w:tc>
        <w:tc>
          <w:tcPr>
            <w:tcW w:w="2270" w:type="pct"/>
            <w:vAlign w:val="center"/>
          </w:tcPr>
          <w:p w14:paraId="270B9893" w14:textId="6ED442CF" w:rsidR="001A52B9" w:rsidRPr="00E20031" w:rsidRDefault="001A52B9">
            <w:pPr>
              <w:pStyle w:val="TableText0"/>
              <w:keepNext w:val="0"/>
              <w:keepLines w:val="0"/>
            </w:pPr>
            <w:r w:rsidRPr="00E20031">
              <w:t>$</w:t>
            </w:r>
            <w:r w:rsidR="00794BDD" w:rsidRPr="00794BDD">
              <w:rPr>
                <w:highlight w:val="black"/>
              </w:rPr>
              <w:t>&amp;&amp;&amp;&amp;</w:t>
            </w:r>
            <w:r w:rsidRPr="00E20031">
              <w:t xml:space="preserve"> (published)</w:t>
            </w:r>
          </w:p>
          <w:p w14:paraId="02E90145" w14:textId="7AEC1C25" w:rsidR="001A52B9" w:rsidRPr="00E20031" w:rsidRDefault="001A52B9">
            <w:pPr>
              <w:pStyle w:val="TableText0"/>
              <w:keepNext w:val="0"/>
              <w:keepLines w:val="0"/>
            </w:pPr>
            <w:r w:rsidRPr="00E20031">
              <w:t>$</w:t>
            </w:r>
            <w:r w:rsidR="00794BDD" w:rsidRPr="00794BDD">
              <w:rPr>
                <w:highlight w:val="black"/>
              </w:rPr>
              <w:t>&amp;&amp;&amp;&amp;</w:t>
            </w:r>
            <w:r w:rsidRPr="00E20031">
              <w:t xml:space="preserve"> (effective)</w:t>
            </w:r>
          </w:p>
        </w:tc>
        <w:tc>
          <w:tcPr>
            <w:tcW w:w="1780" w:type="pct"/>
            <w:vAlign w:val="center"/>
          </w:tcPr>
          <w:p w14:paraId="3FE26615" w14:textId="77777777" w:rsidR="001A52B9" w:rsidRPr="00C04F16" w:rsidRDefault="001A52B9">
            <w:pPr>
              <w:pStyle w:val="TableText0"/>
              <w:keepNext w:val="0"/>
              <w:keepLines w:val="0"/>
            </w:pPr>
            <w:r w:rsidRPr="00C04F16">
              <w:t>Correctly calculated DPMQs from the provided AEMPs.</w:t>
            </w:r>
          </w:p>
        </w:tc>
      </w:tr>
      <w:tr w:rsidR="001A52B9" w:rsidRPr="00E20031" w14:paraId="552FC5B9" w14:textId="77777777">
        <w:trPr>
          <w:cantSplit/>
        </w:trPr>
        <w:tc>
          <w:tcPr>
            <w:tcW w:w="5000" w:type="pct"/>
            <w:gridSpan w:val="3"/>
            <w:vAlign w:val="center"/>
          </w:tcPr>
          <w:p w14:paraId="36617E1C" w14:textId="77777777" w:rsidR="001A52B9" w:rsidRPr="00077D48" w:rsidRDefault="001A52B9">
            <w:pPr>
              <w:pStyle w:val="TableText0"/>
              <w:keepLines w:val="0"/>
              <w:rPr>
                <w:rFonts w:cs="Calibri"/>
                <w:i/>
                <w:iCs/>
                <w:color w:val="000000"/>
                <w:szCs w:val="20"/>
              </w:rPr>
            </w:pPr>
            <w:r w:rsidRPr="00077D48">
              <w:rPr>
                <w:i/>
                <w:iCs/>
              </w:rPr>
              <w:t>Affected MBS items</w:t>
            </w:r>
          </w:p>
        </w:tc>
      </w:tr>
      <w:tr w:rsidR="001A52B9" w:rsidRPr="00E20031" w14:paraId="6D66F74D" w14:textId="77777777">
        <w:trPr>
          <w:cantSplit/>
        </w:trPr>
        <w:tc>
          <w:tcPr>
            <w:tcW w:w="950" w:type="pct"/>
            <w:vAlign w:val="center"/>
          </w:tcPr>
          <w:p w14:paraId="24C123F9" w14:textId="77777777" w:rsidR="001A52B9" w:rsidRPr="00E20031" w:rsidRDefault="001A52B9">
            <w:pPr>
              <w:pStyle w:val="TableText0"/>
              <w:keepLines w:val="0"/>
            </w:pPr>
            <w:r w:rsidRPr="00E20031">
              <w:t>OCT</w:t>
            </w:r>
          </w:p>
        </w:tc>
        <w:tc>
          <w:tcPr>
            <w:tcW w:w="2270" w:type="pct"/>
            <w:vAlign w:val="center"/>
          </w:tcPr>
          <w:p w14:paraId="208DD22A" w14:textId="77777777" w:rsidR="001A52B9" w:rsidRPr="00E20031" w:rsidRDefault="001A52B9">
            <w:pPr>
              <w:keepNext/>
              <w:jc w:val="left"/>
              <w:rPr>
                <w:rFonts w:ascii="Arial Narrow" w:hAnsi="Arial Narrow" w:cs="Calibri"/>
                <w:color w:val="000000"/>
                <w:sz w:val="20"/>
                <w:szCs w:val="20"/>
              </w:rPr>
            </w:pPr>
            <w:r w:rsidRPr="00E20031">
              <w:rPr>
                <w:rFonts w:ascii="Arial Narrow" w:hAnsi="Arial Narrow" w:cs="Calibri"/>
                <w:color w:val="000000"/>
                <w:sz w:val="20"/>
                <w:szCs w:val="20"/>
              </w:rPr>
              <w:t>MBS item 11219</w:t>
            </w:r>
          </w:p>
          <w:p w14:paraId="7BC44C67" w14:textId="77777777" w:rsidR="001A52B9" w:rsidRPr="00A41A7B" w:rsidRDefault="001A52B9">
            <w:pPr>
              <w:keepNext/>
              <w:jc w:val="left"/>
              <w:rPr>
                <w:rFonts w:ascii="Arial Narrow" w:hAnsi="Arial Narrow" w:cs="Calibri"/>
                <w:color w:val="000000"/>
                <w:sz w:val="20"/>
                <w:szCs w:val="20"/>
              </w:rPr>
            </w:pPr>
            <w:r w:rsidRPr="00E20031">
              <w:rPr>
                <w:rFonts w:ascii="Arial Narrow" w:hAnsi="Arial Narrow" w:cs="Calibri"/>
                <w:color w:val="000000"/>
                <w:sz w:val="20"/>
                <w:szCs w:val="20"/>
              </w:rPr>
              <w:t xml:space="preserve">$45.50 </w:t>
            </w:r>
            <w:r w:rsidRPr="00A41A7B">
              <w:rPr>
                <w:rFonts w:ascii="Arial Narrow" w:hAnsi="Arial Narrow" w:cs="Calibri"/>
                <w:color w:val="000000"/>
                <w:sz w:val="20"/>
                <w:szCs w:val="20"/>
              </w:rPr>
              <w:t>($46.60)</w:t>
            </w:r>
          </w:p>
          <w:p w14:paraId="34B3FFA2" w14:textId="77777777" w:rsidR="001A52B9" w:rsidRPr="00E20031" w:rsidRDefault="001A52B9">
            <w:pPr>
              <w:keepNext/>
              <w:jc w:val="left"/>
              <w:rPr>
                <w:rFonts w:ascii="Arial Narrow" w:hAnsi="Arial Narrow" w:cs="Calibri"/>
                <w:color w:val="000000"/>
                <w:sz w:val="20"/>
                <w:szCs w:val="20"/>
              </w:rPr>
            </w:pPr>
            <w:r w:rsidRPr="00E20031">
              <w:rPr>
                <w:rFonts w:ascii="Arial Narrow" w:hAnsi="Arial Narrow" w:cs="Calibri"/>
                <w:color w:val="000000"/>
                <w:sz w:val="20"/>
                <w:szCs w:val="20"/>
              </w:rPr>
              <w:t>2 services at initiation</w:t>
            </w:r>
          </w:p>
          <w:p w14:paraId="7862B933" w14:textId="77777777" w:rsidR="001A52B9" w:rsidRPr="00E20031" w:rsidRDefault="001A52B9">
            <w:pPr>
              <w:keepNext/>
              <w:jc w:val="left"/>
              <w:rPr>
                <w:rFonts w:ascii="Arial Narrow" w:hAnsi="Arial Narrow" w:cs="Calibri"/>
                <w:color w:val="000000"/>
                <w:sz w:val="20"/>
                <w:szCs w:val="20"/>
              </w:rPr>
            </w:pPr>
            <w:r w:rsidRPr="00E20031">
              <w:rPr>
                <w:rFonts w:ascii="Arial Narrow" w:hAnsi="Arial Narrow" w:cs="Calibri"/>
                <w:color w:val="000000"/>
                <w:sz w:val="20"/>
                <w:szCs w:val="20"/>
              </w:rPr>
              <w:t>3 services per year during treatment</w:t>
            </w:r>
          </w:p>
        </w:tc>
        <w:tc>
          <w:tcPr>
            <w:tcW w:w="1780" w:type="pct"/>
          </w:tcPr>
          <w:p w14:paraId="1D9C974F" w14:textId="77777777" w:rsidR="006C2FF8" w:rsidRDefault="001A52B9">
            <w:pPr>
              <w:pStyle w:val="TableText0"/>
              <w:keepLines w:val="0"/>
              <w:rPr>
                <w:rFonts w:cs="Calibri"/>
                <w:color w:val="000000"/>
                <w:szCs w:val="20"/>
              </w:rPr>
            </w:pPr>
            <w:r w:rsidRPr="00C04F16">
              <w:rPr>
                <w:rFonts w:cs="Calibri"/>
                <w:color w:val="000000"/>
                <w:szCs w:val="20"/>
              </w:rPr>
              <w:t>This was the appropriate MBS item. The item cost was subject to annual indexation after the submission was provided.</w:t>
            </w:r>
          </w:p>
          <w:p w14:paraId="7E67C113" w14:textId="494E4236" w:rsidR="001A52B9" w:rsidRPr="00C04F16" w:rsidRDefault="006C2FF8">
            <w:pPr>
              <w:pStyle w:val="TableText0"/>
              <w:keepLines w:val="0"/>
            </w:pPr>
            <w:r>
              <w:rPr>
                <w:rFonts w:cs="Calibri"/>
                <w:color w:val="000000"/>
                <w:szCs w:val="20"/>
              </w:rPr>
              <w:t xml:space="preserve">DUSC noted that OCT </w:t>
            </w:r>
            <w:r w:rsidR="00F84712">
              <w:rPr>
                <w:rFonts w:cs="Calibri"/>
                <w:color w:val="000000"/>
                <w:szCs w:val="20"/>
              </w:rPr>
              <w:t>was limited to once every 12 months but was modelled more frequently</w:t>
            </w:r>
            <w:r w:rsidR="00FD2023">
              <w:rPr>
                <w:rFonts w:cs="Calibri"/>
                <w:color w:val="000000"/>
                <w:szCs w:val="20"/>
              </w:rPr>
              <w:t xml:space="preserve"> for both initiation </w:t>
            </w:r>
            <w:r w:rsidR="00B37B23">
              <w:rPr>
                <w:rFonts w:cs="Calibri"/>
                <w:color w:val="000000"/>
                <w:szCs w:val="20"/>
              </w:rPr>
              <w:t xml:space="preserve">(2 services) </w:t>
            </w:r>
            <w:r w:rsidR="00FD2023">
              <w:rPr>
                <w:rFonts w:cs="Calibri"/>
                <w:color w:val="000000"/>
                <w:szCs w:val="20"/>
              </w:rPr>
              <w:t>and monitoring</w:t>
            </w:r>
            <w:r w:rsidR="00B37B23">
              <w:rPr>
                <w:rFonts w:cs="Calibri"/>
                <w:color w:val="000000"/>
                <w:szCs w:val="20"/>
              </w:rPr>
              <w:t xml:space="preserve"> (3 services)</w:t>
            </w:r>
            <w:r w:rsidR="00F84712">
              <w:rPr>
                <w:rFonts w:cs="Calibri"/>
                <w:color w:val="000000"/>
                <w:szCs w:val="20"/>
              </w:rPr>
              <w:t xml:space="preserve"> in the financial model</w:t>
            </w:r>
            <w:r w:rsidR="008915D6">
              <w:rPr>
                <w:rFonts w:cs="Calibri"/>
                <w:color w:val="000000"/>
                <w:szCs w:val="20"/>
              </w:rPr>
              <w:t>.</w:t>
            </w:r>
            <w:r w:rsidR="001A52B9" w:rsidRPr="00C04F16">
              <w:rPr>
                <w:rFonts w:cs="Calibri"/>
                <w:color w:val="000000"/>
                <w:szCs w:val="20"/>
              </w:rPr>
              <w:t xml:space="preserve"> </w:t>
            </w:r>
          </w:p>
        </w:tc>
      </w:tr>
      <w:tr w:rsidR="001A52B9" w:rsidRPr="00E20031" w14:paraId="63311DA1" w14:textId="77777777">
        <w:trPr>
          <w:cantSplit/>
        </w:trPr>
        <w:tc>
          <w:tcPr>
            <w:tcW w:w="950" w:type="pct"/>
            <w:vAlign w:val="center"/>
          </w:tcPr>
          <w:p w14:paraId="222A397D" w14:textId="77777777" w:rsidR="001A52B9" w:rsidRPr="00E20031" w:rsidRDefault="001A52B9">
            <w:pPr>
              <w:pStyle w:val="TableText0"/>
              <w:keepLines w:val="0"/>
            </w:pPr>
            <w:r w:rsidRPr="00E20031">
              <w:t>IVT injection</w:t>
            </w:r>
          </w:p>
        </w:tc>
        <w:tc>
          <w:tcPr>
            <w:tcW w:w="2270" w:type="pct"/>
            <w:vAlign w:val="center"/>
          </w:tcPr>
          <w:p w14:paraId="48EC3545" w14:textId="77777777" w:rsidR="001A52B9" w:rsidRPr="00E20031" w:rsidRDefault="001A52B9">
            <w:pPr>
              <w:keepNext/>
              <w:jc w:val="left"/>
              <w:rPr>
                <w:rFonts w:ascii="Arial Narrow" w:hAnsi="Arial Narrow" w:cs="Calibri"/>
                <w:color w:val="000000"/>
                <w:sz w:val="20"/>
                <w:szCs w:val="20"/>
              </w:rPr>
            </w:pPr>
            <w:r w:rsidRPr="00E20031">
              <w:rPr>
                <w:rFonts w:ascii="Arial Narrow" w:hAnsi="Arial Narrow" w:cs="Calibri"/>
                <w:color w:val="000000"/>
                <w:sz w:val="20"/>
                <w:szCs w:val="20"/>
              </w:rPr>
              <w:t>MBS item 42738</w:t>
            </w:r>
          </w:p>
          <w:p w14:paraId="28C46F23" w14:textId="77777777" w:rsidR="001A52B9" w:rsidRPr="00E20031" w:rsidRDefault="001A52B9">
            <w:pPr>
              <w:keepNext/>
              <w:jc w:val="left"/>
              <w:rPr>
                <w:rFonts w:ascii="Arial Narrow" w:hAnsi="Arial Narrow" w:cs="Calibri"/>
                <w:color w:val="000000"/>
                <w:sz w:val="20"/>
                <w:szCs w:val="20"/>
              </w:rPr>
            </w:pPr>
            <w:r w:rsidRPr="00E20031">
              <w:rPr>
                <w:rFonts w:ascii="Arial Narrow" w:hAnsi="Arial Narrow" w:cs="Calibri"/>
                <w:color w:val="000000"/>
                <w:sz w:val="20"/>
                <w:szCs w:val="20"/>
              </w:rPr>
              <w:t>$342.65 (</w:t>
            </w:r>
            <w:r w:rsidRPr="00E20031">
              <w:rPr>
                <w:rFonts w:ascii="Arial Narrow" w:hAnsi="Arial Narrow" w:cs="Calibri"/>
                <w:i/>
                <w:iCs/>
                <w:color w:val="000000"/>
                <w:sz w:val="20"/>
                <w:szCs w:val="20"/>
              </w:rPr>
              <w:t>$350.85</w:t>
            </w:r>
            <w:r w:rsidRPr="00E20031">
              <w:rPr>
                <w:rFonts w:ascii="Arial Narrow" w:hAnsi="Arial Narrow" w:cs="Calibri"/>
                <w:color w:val="000000"/>
                <w:sz w:val="20"/>
                <w:szCs w:val="20"/>
              </w:rPr>
              <w:t>)</w:t>
            </w:r>
          </w:p>
          <w:p w14:paraId="12E847BE" w14:textId="77777777" w:rsidR="001A52B9" w:rsidRPr="00E20031" w:rsidRDefault="001A52B9">
            <w:pPr>
              <w:keepNext/>
              <w:jc w:val="left"/>
              <w:rPr>
                <w:rFonts w:ascii="Arial Narrow" w:hAnsi="Arial Narrow" w:cs="Calibri"/>
                <w:color w:val="000000"/>
                <w:sz w:val="20"/>
                <w:szCs w:val="20"/>
              </w:rPr>
            </w:pPr>
            <w:r w:rsidRPr="00E20031">
              <w:rPr>
                <w:rFonts w:ascii="Arial Narrow" w:hAnsi="Arial Narrow" w:cs="Calibri"/>
                <w:color w:val="000000"/>
                <w:sz w:val="20"/>
                <w:szCs w:val="20"/>
              </w:rPr>
              <w:t>1 service per administration (4.5 per year)</w:t>
            </w:r>
          </w:p>
        </w:tc>
        <w:tc>
          <w:tcPr>
            <w:tcW w:w="1780" w:type="pct"/>
          </w:tcPr>
          <w:p w14:paraId="7414F613" w14:textId="77777777" w:rsidR="001A52B9" w:rsidRPr="00C04F16" w:rsidRDefault="001A52B9">
            <w:pPr>
              <w:pStyle w:val="TableText0"/>
              <w:keepLines w:val="0"/>
            </w:pPr>
            <w:r w:rsidRPr="00C04F16">
              <w:rPr>
                <w:rFonts w:cs="Calibri"/>
                <w:color w:val="000000"/>
                <w:szCs w:val="20"/>
              </w:rPr>
              <w:t>This item was removed the MBS schedule from 1 July 2025. Advice from the Department indicated that MBS item 43030 and 43032 are the most appropriate alternatives. The item cost was subject to annual indexation after the submission was provided.</w:t>
            </w:r>
          </w:p>
        </w:tc>
      </w:tr>
    </w:tbl>
    <w:p w14:paraId="6E4A8486" w14:textId="4CFE2E12" w:rsidR="001A52B9" w:rsidRPr="00E20031" w:rsidRDefault="001A52B9" w:rsidP="001A52B9">
      <w:pPr>
        <w:pStyle w:val="FooterTableFigure"/>
      </w:pPr>
      <w:r w:rsidRPr="00E20031">
        <w:t>Source: Table 139 – Table 144, pp231</w:t>
      </w:r>
      <w:r w:rsidR="00397B07">
        <w:noBreakHyphen/>
      </w:r>
      <w:r w:rsidRPr="00E20031">
        <w:t>233 of the submission.</w:t>
      </w:r>
    </w:p>
    <w:p w14:paraId="3BCAFD1E" w14:textId="53AD1D83" w:rsidR="001A52B9" w:rsidRPr="00E20031" w:rsidRDefault="001A52B9" w:rsidP="001A52B9">
      <w:pPr>
        <w:pStyle w:val="3-BodyText"/>
      </w:pPr>
      <w:r w:rsidRPr="00E20031">
        <w:t xml:space="preserve">The estimated use and financial impacts of listing pegcetacoplan are shown in </w:t>
      </w:r>
      <w:r w:rsidRPr="00E20031">
        <w:fldChar w:fldCharType="begin"/>
      </w:r>
      <w:r w:rsidRPr="00E20031">
        <w:instrText xml:space="preserve"> REF _Ref104805295 \h  \* MERGEFORMAT </w:instrText>
      </w:r>
      <w:r w:rsidRPr="00E20031">
        <w:fldChar w:fldCharType="separate"/>
      </w:r>
      <w:r w:rsidR="00333CFE" w:rsidRPr="00E20031">
        <w:t xml:space="preserve">Table </w:t>
      </w:r>
      <w:r w:rsidR="00333CFE">
        <w:t>16</w:t>
      </w:r>
      <w:r w:rsidRPr="00E20031">
        <w:fldChar w:fldCharType="end"/>
      </w:r>
      <w:r w:rsidRPr="00E20031">
        <w:t>.</w:t>
      </w:r>
    </w:p>
    <w:p w14:paraId="755D4C39" w14:textId="77777777" w:rsidR="001A52B9" w:rsidRPr="00E20031" w:rsidRDefault="001A52B9" w:rsidP="001A52B9"/>
    <w:p w14:paraId="17422F3B" w14:textId="610A1880" w:rsidR="001A52B9" w:rsidRPr="00E20031" w:rsidRDefault="001A52B9" w:rsidP="001A52B9">
      <w:pPr>
        <w:pStyle w:val="Caption"/>
        <w:rPr>
          <w:rStyle w:val="CommentReference"/>
          <w:b/>
          <w:szCs w:val="24"/>
        </w:rPr>
      </w:pPr>
      <w:bookmarkStart w:id="93" w:name="_Ref104805295"/>
      <w:r w:rsidRPr="00E20031">
        <w:t xml:space="preserve">Table </w:t>
      </w:r>
      <w:r>
        <w:fldChar w:fldCharType="begin"/>
      </w:r>
      <w:r>
        <w:instrText xml:space="preserve"> SEQ Table \* ARABIC </w:instrText>
      </w:r>
      <w:r>
        <w:fldChar w:fldCharType="separate"/>
      </w:r>
      <w:r w:rsidR="00333CFE">
        <w:rPr>
          <w:noProof/>
        </w:rPr>
        <w:t>16</w:t>
      </w:r>
      <w:r>
        <w:rPr>
          <w:noProof/>
        </w:rPr>
        <w:fldChar w:fldCharType="end"/>
      </w:r>
      <w:bookmarkEnd w:id="93"/>
      <w:r w:rsidRPr="00E20031">
        <w:t>:</w:t>
      </w:r>
      <w:r w:rsidRPr="00E20031">
        <w:rPr>
          <w:rStyle w:val="CommentReference"/>
          <w:b/>
          <w:szCs w:val="24"/>
        </w:rPr>
        <w:t xml:space="preserve"> Estimated use and financial impact of listing pegcetacoplan (effective)</w:t>
      </w:r>
    </w:p>
    <w:tbl>
      <w:tblPr>
        <w:tblW w:w="5000" w:type="pct"/>
        <w:tblCellMar>
          <w:top w:w="28" w:type="dxa"/>
          <w:left w:w="57" w:type="dxa"/>
          <w:bottom w:w="28" w:type="dxa"/>
          <w:right w:w="57" w:type="dxa"/>
        </w:tblCellMar>
        <w:tblLook w:val="04A0" w:firstRow="1" w:lastRow="0" w:firstColumn="1" w:lastColumn="0" w:noHBand="0" w:noVBand="1"/>
        <w:tblCaption w:val="Table 16: Estimated use and financial impact of listing pegcetacoplan (effective)"/>
      </w:tblPr>
      <w:tblGrid>
        <w:gridCol w:w="1862"/>
        <w:gridCol w:w="1243"/>
        <w:gridCol w:w="1132"/>
        <w:gridCol w:w="1132"/>
        <w:gridCol w:w="1216"/>
        <w:gridCol w:w="1216"/>
        <w:gridCol w:w="1216"/>
      </w:tblGrid>
      <w:tr w:rsidR="001A52B9" w:rsidRPr="00E20031" w14:paraId="54E3C86B" w14:textId="77777777">
        <w:trPr>
          <w:cantSplit/>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611A9C1C" w14:textId="77777777" w:rsidR="001A52B9" w:rsidRPr="00E20031" w:rsidRDefault="001A52B9" w:rsidP="00E05472">
            <w:pPr>
              <w:keepNext/>
              <w:keepLines/>
              <w:jc w:val="left"/>
              <w:rPr>
                <w:rFonts w:ascii="Arial Narrow" w:hAnsi="Arial Narrow" w:cs="Calibri"/>
                <w:b/>
                <w:bCs/>
                <w:color w:val="000000"/>
                <w:sz w:val="20"/>
                <w:szCs w:val="20"/>
              </w:rPr>
            </w:pPr>
            <w:r w:rsidRPr="00E20031">
              <w:rPr>
                <w:rFonts w:ascii="Arial Narrow" w:hAnsi="Arial Narrow" w:cs="Calibri"/>
                <w:b/>
                <w:bCs/>
                <w:color w:val="000000"/>
                <w:sz w:val="20"/>
                <w:szCs w:val="20"/>
              </w:rPr>
              <w:t>Scripts</w:t>
            </w:r>
          </w:p>
        </w:tc>
      </w:tr>
      <w:tr w:rsidR="001A52B9" w:rsidRPr="00E20031" w14:paraId="257CF434" w14:textId="77777777">
        <w:trPr>
          <w:cantSplit/>
        </w:trPr>
        <w:tc>
          <w:tcPr>
            <w:tcW w:w="1862" w:type="dxa"/>
            <w:tcBorders>
              <w:top w:val="nil"/>
              <w:left w:val="single" w:sz="4" w:space="0" w:color="auto"/>
              <w:bottom w:val="single" w:sz="4" w:space="0" w:color="auto"/>
              <w:right w:val="single" w:sz="4" w:space="0" w:color="auto"/>
            </w:tcBorders>
            <w:noWrap/>
            <w:vAlign w:val="bottom"/>
            <w:hideMark/>
          </w:tcPr>
          <w:p w14:paraId="418CA071" w14:textId="77777777" w:rsidR="001A52B9" w:rsidRPr="00E20031" w:rsidRDefault="001A52B9" w:rsidP="00E05472">
            <w:pPr>
              <w:keepNext/>
              <w:keepLines/>
              <w:jc w:val="left"/>
              <w:rPr>
                <w:rFonts w:ascii="Arial Narrow" w:hAnsi="Arial Narrow" w:cs="Calibri"/>
                <w:color w:val="000000"/>
                <w:sz w:val="20"/>
                <w:szCs w:val="20"/>
              </w:rPr>
            </w:pPr>
            <w:r w:rsidRPr="00E20031">
              <w:rPr>
                <w:rFonts w:ascii="Arial Narrow" w:hAnsi="Arial Narrow" w:cs="Calibri"/>
                <w:color w:val="000000"/>
                <w:sz w:val="20"/>
                <w:szCs w:val="20"/>
              </w:rPr>
              <w:t> </w:t>
            </w:r>
          </w:p>
        </w:tc>
        <w:tc>
          <w:tcPr>
            <w:tcW w:w="1243" w:type="dxa"/>
            <w:tcBorders>
              <w:top w:val="nil"/>
              <w:left w:val="nil"/>
              <w:bottom w:val="single" w:sz="4" w:space="0" w:color="auto"/>
              <w:right w:val="single" w:sz="4" w:space="0" w:color="auto"/>
            </w:tcBorders>
            <w:hideMark/>
          </w:tcPr>
          <w:p w14:paraId="4AF3D449" w14:textId="77777777" w:rsidR="001A52B9" w:rsidRPr="00E20031" w:rsidRDefault="001A52B9" w:rsidP="00E05472">
            <w:pPr>
              <w:keepNext/>
              <w:keepLines/>
              <w:jc w:val="center"/>
              <w:rPr>
                <w:rFonts w:ascii="Arial Narrow" w:hAnsi="Arial Narrow" w:cs="Calibri"/>
                <w:b/>
                <w:bCs/>
                <w:color w:val="000000"/>
                <w:sz w:val="20"/>
                <w:szCs w:val="20"/>
              </w:rPr>
            </w:pPr>
            <w:r w:rsidRPr="00E20031">
              <w:rPr>
                <w:rFonts w:ascii="Arial Narrow" w:hAnsi="Arial Narrow" w:cs="Calibri"/>
                <w:b/>
                <w:bCs/>
                <w:color w:val="000000"/>
                <w:sz w:val="20"/>
                <w:szCs w:val="20"/>
              </w:rPr>
              <w:t>Year 1</w:t>
            </w:r>
          </w:p>
        </w:tc>
        <w:tc>
          <w:tcPr>
            <w:tcW w:w="1132" w:type="dxa"/>
            <w:tcBorders>
              <w:top w:val="nil"/>
              <w:left w:val="nil"/>
              <w:bottom w:val="single" w:sz="4" w:space="0" w:color="auto"/>
              <w:right w:val="single" w:sz="4" w:space="0" w:color="auto"/>
            </w:tcBorders>
            <w:hideMark/>
          </w:tcPr>
          <w:p w14:paraId="0723C812" w14:textId="77777777" w:rsidR="001A52B9" w:rsidRPr="00E20031" w:rsidRDefault="001A52B9" w:rsidP="00E05472">
            <w:pPr>
              <w:keepNext/>
              <w:keepLines/>
              <w:jc w:val="center"/>
              <w:rPr>
                <w:rFonts w:ascii="Arial Narrow" w:hAnsi="Arial Narrow" w:cs="Calibri"/>
                <w:b/>
                <w:bCs/>
                <w:color w:val="000000"/>
                <w:sz w:val="20"/>
                <w:szCs w:val="20"/>
              </w:rPr>
            </w:pPr>
            <w:r w:rsidRPr="00E20031">
              <w:rPr>
                <w:rFonts w:ascii="Arial Narrow" w:hAnsi="Arial Narrow" w:cs="Calibri"/>
                <w:b/>
                <w:bCs/>
                <w:color w:val="000000"/>
                <w:sz w:val="20"/>
                <w:szCs w:val="20"/>
              </w:rPr>
              <w:t>Year 2</w:t>
            </w:r>
          </w:p>
        </w:tc>
        <w:tc>
          <w:tcPr>
            <w:tcW w:w="1132" w:type="dxa"/>
            <w:tcBorders>
              <w:top w:val="nil"/>
              <w:left w:val="nil"/>
              <w:bottom w:val="single" w:sz="4" w:space="0" w:color="auto"/>
              <w:right w:val="single" w:sz="4" w:space="0" w:color="auto"/>
            </w:tcBorders>
            <w:hideMark/>
          </w:tcPr>
          <w:p w14:paraId="02BEFBF6" w14:textId="77777777" w:rsidR="001A52B9" w:rsidRPr="00E20031" w:rsidRDefault="001A52B9" w:rsidP="00E05472">
            <w:pPr>
              <w:keepNext/>
              <w:keepLines/>
              <w:jc w:val="center"/>
              <w:rPr>
                <w:rFonts w:ascii="Arial Narrow" w:hAnsi="Arial Narrow" w:cs="Calibri"/>
                <w:b/>
                <w:bCs/>
                <w:color w:val="000000"/>
                <w:sz w:val="20"/>
                <w:szCs w:val="20"/>
              </w:rPr>
            </w:pPr>
            <w:r w:rsidRPr="00E20031">
              <w:rPr>
                <w:rFonts w:ascii="Arial Narrow" w:hAnsi="Arial Narrow" w:cs="Calibri"/>
                <w:b/>
                <w:bCs/>
                <w:color w:val="000000"/>
                <w:sz w:val="20"/>
                <w:szCs w:val="20"/>
              </w:rPr>
              <w:t>Year 3</w:t>
            </w:r>
          </w:p>
        </w:tc>
        <w:tc>
          <w:tcPr>
            <w:tcW w:w="1216" w:type="dxa"/>
            <w:tcBorders>
              <w:top w:val="nil"/>
              <w:left w:val="nil"/>
              <w:bottom w:val="single" w:sz="4" w:space="0" w:color="auto"/>
              <w:right w:val="single" w:sz="4" w:space="0" w:color="auto"/>
            </w:tcBorders>
            <w:hideMark/>
          </w:tcPr>
          <w:p w14:paraId="73D4C04A" w14:textId="77777777" w:rsidR="001A52B9" w:rsidRPr="00E20031" w:rsidRDefault="001A52B9" w:rsidP="00E05472">
            <w:pPr>
              <w:keepNext/>
              <w:keepLines/>
              <w:jc w:val="center"/>
              <w:rPr>
                <w:rFonts w:ascii="Arial Narrow" w:hAnsi="Arial Narrow" w:cs="Calibri"/>
                <w:b/>
                <w:bCs/>
                <w:color w:val="000000"/>
                <w:sz w:val="20"/>
                <w:szCs w:val="20"/>
              </w:rPr>
            </w:pPr>
            <w:r w:rsidRPr="00E20031">
              <w:rPr>
                <w:rFonts w:ascii="Arial Narrow" w:hAnsi="Arial Narrow" w:cs="Calibri"/>
                <w:b/>
                <w:bCs/>
                <w:color w:val="000000"/>
                <w:sz w:val="20"/>
                <w:szCs w:val="20"/>
              </w:rPr>
              <w:t>Year 4</w:t>
            </w:r>
          </w:p>
        </w:tc>
        <w:tc>
          <w:tcPr>
            <w:tcW w:w="1216" w:type="dxa"/>
            <w:tcBorders>
              <w:top w:val="nil"/>
              <w:left w:val="nil"/>
              <w:bottom w:val="single" w:sz="4" w:space="0" w:color="auto"/>
              <w:right w:val="single" w:sz="4" w:space="0" w:color="auto"/>
            </w:tcBorders>
            <w:hideMark/>
          </w:tcPr>
          <w:p w14:paraId="43E1D25E" w14:textId="77777777" w:rsidR="001A52B9" w:rsidRPr="00E20031" w:rsidRDefault="001A52B9" w:rsidP="00E05472">
            <w:pPr>
              <w:keepNext/>
              <w:keepLines/>
              <w:jc w:val="center"/>
              <w:rPr>
                <w:rFonts w:ascii="Arial Narrow" w:hAnsi="Arial Narrow" w:cs="Calibri"/>
                <w:b/>
                <w:bCs/>
                <w:color w:val="000000"/>
                <w:sz w:val="20"/>
                <w:szCs w:val="20"/>
              </w:rPr>
            </w:pPr>
            <w:r w:rsidRPr="00E20031">
              <w:rPr>
                <w:rFonts w:ascii="Arial Narrow" w:hAnsi="Arial Narrow" w:cs="Calibri"/>
                <w:b/>
                <w:bCs/>
                <w:color w:val="000000"/>
                <w:sz w:val="20"/>
                <w:szCs w:val="20"/>
              </w:rPr>
              <w:t>Year 5</w:t>
            </w:r>
          </w:p>
        </w:tc>
        <w:tc>
          <w:tcPr>
            <w:tcW w:w="1216" w:type="dxa"/>
            <w:tcBorders>
              <w:top w:val="nil"/>
              <w:left w:val="nil"/>
              <w:bottom w:val="single" w:sz="4" w:space="0" w:color="auto"/>
              <w:right w:val="single" w:sz="4" w:space="0" w:color="auto"/>
            </w:tcBorders>
            <w:hideMark/>
          </w:tcPr>
          <w:p w14:paraId="495037E4" w14:textId="77777777" w:rsidR="001A52B9" w:rsidRPr="00E20031" w:rsidRDefault="001A52B9" w:rsidP="00E05472">
            <w:pPr>
              <w:keepNext/>
              <w:keepLines/>
              <w:jc w:val="center"/>
              <w:rPr>
                <w:rFonts w:ascii="Arial Narrow" w:hAnsi="Arial Narrow" w:cs="Calibri"/>
                <w:b/>
                <w:bCs/>
                <w:color w:val="000000"/>
                <w:sz w:val="20"/>
                <w:szCs w:val="20"/>
              </w:rPr>
            </w:pPr>
            <w:r w:rsidRPr="00E20031">
              <w:rPr>
                <w:rFonts w:ascii="Arial Narrow" w:hAnsi="Arial Narrow" w:cs="Calibri"/>
                <w:b/>
                <w:bCs/>
                <w:color w:val="000000"/>
                <w:sz w:val="20"/>
                <w:szCs w:val="20"/>
              </w:rPr>
              <w:t>Year 6</w:t>
            </w:r>
          </w:p>
        </w:tc>
      </w:tr>
      <w:tr w:rsidR="001A52B9" w:rsidRPr="00E20031" w14:paraId="07E62062" w14:textId="77777777">
        <w:trPr>
          <w:cantSplit/>
        </w:trPr>
        <w:tc>
          <w:tcPr>
            <w:tcW w:w="1862" w:type="dxa"/>
            <w:tcBorders>
              <w:top w:val="nil"/>
              <w:left w:val="single" w:sz="4" w:space="0" w:color="auto"/>
              <w:bottom w:val="single" w:sz="4" w:space="0" w:color="auto"/>
              <w:right w:val="single" w:sz="4" w:space="0" w:color="auto"/>
            </w:tcBorders>
            <w:hideMark/>
          </w:tcPr>
          <w:p w14:paraId="45B14894" w14:textId="77777777" w:rsidR="001A52B9" w:rsidRPr="00E20031" w:rsidRDefault="001A52B9" w:rsidP="00E05472">
            <w:pPr>
              <w:keepNext/>
              <w:keepLines/>
              <w:jc w:val="left"/>
              <w:rPr>
                <w:rFonts w:ascii="Arial Narrow" w:hAnsi="Arial Narrow" w:cs="Calibri"/>
                <w:color w:val="000000"/>
                <w:sz w:val="20"/>
                <w:szCs w:val="20"/>
              </w:rPr>
            </w:pPr>
            <w:r w:rsidRPr="00E20031">
              <w:rPr>
                <w:rFonts w:ascii="Arial Narrow" w:hAnsi="Arial Narrow" w:cs="Calibri"/>
                <w:color w:val="000000"/>
                <w:sz w:val="20"/>
                <w:szCs w:val="20"/>
              </w:rPr>
              <w:t>Pegcetacoplan 15mg/0.1ml</w:t>
            </w:r>
          </w:p>
        </w:tc>
        <w:tc>
          <w:tcPr>
            <w:tcW w:w="1243" w:type="dxa"/>
            <w:tcBorders>
              <w:top w:val="nil"/>
              <w:left w:val="nil"/>
              <w:bottom w:val="single" w:sz="4" w:space="0" w:color="auto"/>
              <w:right w:val="single" w:sz="4" w:space="0" w:color="auto"/>
            </w:tcBorders>
            <w:hideMark/>
          </w:tcPr>
          <w:p w14:paraId="3D3A3FDD" w14:textId="66C08712" w:rsidR="001A52B9" w:rsidRPr="00A00C0B" w:rsidRDefault="00794BDD" w:rsidP="00E05472">
            <w:pPr>
              <w:keepNext/>
              <w:keepLines/>
              <w:jc w:val="right"/>
              <w:rPr>
                <w:rFonts w:ascii="Arial Narrow" w:hAnsi="Arial Narrow" w:cs="Calibri"/>
                <w:color w:val="000000"/>
                <w:sz w:val="20"/>
                <w:szCs w:val="20"/>
                <w:vertAlign w:val="superscript"/>
              </w:rPr>
            </w:pPr>
            <w:r w:rsidRPr="00794BDD">
              <w:rPr>
                <w:rFonts w:ascii="Arial Narrow" w:hAnsi="Arial Narrow" w:cs="Calibri"/>
                <w:color w:val="000000"/>
                <w:sz w:val="20"/>
                <w:szCs w:val="20"/>
                <w:highlight w:val="black"/>
              </w:rPr>
              <w:t>&amp;&amp;&amp;&amp;</w:t>
            </w:r>
            <w:r w:rsidR="00A00C0B">
              <w:rPr>
                <w:rFonts w:ascii="Arial Narrow" w:hAnsi="Arial Narrow" w:cs="Calibri"/>
                <w:color w:val="000000"/>
                <w:sz w:val="20"/>
                <w:szCs w:val="20"/>
                <w:vertAlign w:val="superscript"/>
              </w:rPr>
              <w:t>1</w:t>
            </w:r>
          </w:p>
        </w:tc>
        <w:tc>
          <w:tcPr>
            <w:tcW w:w="1132" w:type="dxa"/>
            <w:tcBorders>
              <w:top w:val="nil"/>
              <w:left w:val="nil"/>
              <w:bottom w:val="single" w:sz="4" w:space="0" w:color="auto"/>
              <w:right w:val="single" w:sz="4" w:space="0" w:color="auto"/>
            </w:tcBorders>
            <w:hideMark/>
          </w:tcPr>
          <w:p w14:paraId="7EB0E2EA" w14:textId="4DD616EE" w:rsidR="001A52B9" w:rsidRPr="000D0445" w:rsidRDefault="00794BDD" w:rsidP="00E05472">
            <w:pPr>
              <w:keepNext/>
              <w:keepLines/>
              <w:jc w:val="right"/>
              <w:rPr>
                <w:rFonts w:ascii="Arial Narrow" w:hAnsi="Arial Narrow" w:cs="Calibri"/>
                <w:color w:val="000000"/>
                <w:sz w:val="20"/>
                <w:szCs w:val="20"/>
                <w:vertAlign w:val="superscript"/>
              </w:rPr>
            </w:pPr>
            <w:r w:rsidRPr="00794BDD">
              <w:rPr>
                <w:rFonts w:ascii="Arial Narrow" w:hAnsi="Arial Narrow" w:cs="Calibri"/>
                <w:color w:val="000000"/>
                <w:sz w:val="20"/>
                <w:szCs w:val="20"/>
                <w:highlight w:val="black"/>
              </w:rPr>
              <w:t>&amp;&amp;&amp;&amp;</w:t>
            </w:r>
            <w:r w:rsidR="000D0445">
              <w:rPr>
                <w:rFonts w:ascii="Arial Narrow" w:hAnsi="Arial Narrow" w:cs="Calibri"/>
                <w:color w:val="000000"/>
                <w:sz w:val="20"/>
                <w:szCs w:val="20"/>
                <w:vertAlign w:val="superscript"/>
              </w:rPr>
              <w:t>2</w:t>
            </w:r>
          </w:p>
        </w:tc>
        <w:tc>
          <w:tcPr>
            <w:tcW w:w="1132" w:type="dxa"/>
            <w:tcBorders>
              <w:top w:val="nil"/>
              <w:left w:val="nil"/>
              <w:bottom w:val="single" w:sz="4" w:space="0" w:color="auto"/>
              <w:right w:val="single" w:sz="4" w:space="0" w:color="auto"/>
            </w:tcBorders>
            <w:hideMark/>
          </w:tcPr>
          <w:p w14:paraId="62FE1ED8" w14:textId="42C5A23F" w:rsidR="001A52B9" w:rsidRPr="00ED3CD8" w:rsidRDefault="00794BDD" w:rsidP="00E05472">
            <w:pPr>
              <w:keepNext/>
              <w:keepLines/>
              <w:jc w:val="right"/>
              <w:rPr>
                <w:rFonts w:ascii="Arial Narrow" w:hAnsi="Arial Narrow" w:cs="Calibri"/>
                <w:color w:val="000000"/>
                <w:sz w:val="20"/>
                <w:szCs w:val="20"/>
                <w:vertAlign w:val="superscript"/>
              </w:rPr>
            </w:pPr>
            <w:r w:rsidRPr="00794BDD">
              <w:rPr>
                <w:rFonts w:ascii="Arial Narrow" w:hAnsi="Arial Narrow" w:cs="Calibri"/>
                <w:color w:val="000000"/>
                <w:sz w:val="20"/>
                <w:szCs w:val="20"/>
                <w:highlight w:val="black"/>
              </w:rPr>
              <w:t>&amp;&amp;&amp;&amp;</w:t>
            </w:r>
            <w:r w:rsidR="00ED3CD8">
              <w:rPr>
                <w:rFonts w:ascii="Arial Narrow" w:hAnsi="Arial Narrow" w:cs="Calibri"/>
                <w:color w:val="000000"/>
                <w:sz w:val="20"/>
                <w:szCs w:val="20"/>
                <w:vertAlign w:val="superscript"/>
              </w:rPr>
              <w:t>3</w:t>
            </w:r>
          </w:p>
        </w:tc>
        <w:tc>
          <w:tcPr>
            <w:tcW w:w="1216" w:type="dxa"/>
            <w:tcBorders>
              <w:top w:val="nil"/>
              <w:left w:val="nil"/>
              <w:bottom w:val="single" w:sz="4" w:space="0" w:color="auto"/>
              <w:right w:val="single" w:sz="4" w:space="0" w:color="auto"/>
            </w:tcBorders>
            <w:hideMark/>
          </w:tcPr>
          <w:p w14:paraId="49F23DC7" w14:textId="733D99AC" w:rsidR="001A52B9" w:rsidRPr="005A21D8" w:rsidRDefault="00794BDD" w:rsidP="00E05472">
            <w:pPr>
              <w:keepNext/>
              <w:keepLines/>
              <w:jc w:val="right"/>
              <w:rPr>
                <w:rFonts w:ascii="Arial Narrow" w:hAnsi="Arial Narrow" w:cs="Calibri"/>
                <w:color w:val="000000"/>
                <w:sz w:val="20"/>
                <w:szCs w:val="20"/>
                <w:vertAlign w:val="superscript"/>
              </w:rPr>
            </w:pPr>
            <w:r w:rsidRPr="00794BDD">
              <w:rPr>
                <w:rFonts w:ascii="Arial Narrow" w:hAnsi="Arial Narrow" w:cs="Calibri"/>
                <w:color w:val="000000"/>
                <w:sz w:val="20"/>
                <w:szCs w:val="20"/>
                <w:highlight w:val="black"/>
              </w:rPr>
              <w:t>&amp;&amp;&amp;&amp;</w:t>
            </w:r>
            <w:r w:rsidR="005A21D8">
              <w:rPr>
                <w:rFonts w:ascii="Arial Narrow" w:hAnsi="Arial Narrow" w:cs="Calibri"/>
                <w:color w:val="000000"/>
                <w:sz w:val="20"/>
                <w:szCs w:val="20"/>
                <w:vertAlign w:val="superscript"/>
              </w:rPr>
              <w:t>4</w:t>
            </w:r>
          </w:p>
        </w:tc>
        <w:tc>
          <w:tcPr>
            <w:tcW w:w="1216" w:type="dxa"/>
            <w:tcBorders>
              <w:top w:val="nil"/>
              <w:left w:val="nil"/>
              <w:bottom w:val="single" w:sz="4" w:space="0" w:color="auto"/>
              <w:right w:val="single" w:sz="4" w:space="0" w:color="auto"/>
            </w:tcBorders>
            <w:hideMark/>
          </w:tcPr>
          <w:p w14:paraId="6D38D80D" w14:textId="55B9C345" w:rsidR="001A52B9" w:rsidRPr="00D3540E" w:rsidRDefault="00794BDD" w:rsidP="00E05472">
            <w:pPr>
              <w:keepNext/>
              <w:keepLines/>
              <w:jc w:val="right"/>
              <w:rPr>
                <w:rFonts w:ascii="Arial Narrow" w:hAnsi="Arial Narrow" w:cs="Calibri"/>
                <w:color w:val="000000"/>
                <w:sz w:val="20"/>
                <w:szCs w:val="20"/>
                <w:vertAlign w:val="superscript"/>
              </w:rPr>
            </w:pPr>
            <w:r w:rsidRPr="00794BDD">
              <w:rPr>
                <w:rFonts w:ascii="Arial Narrow" w:hAnsi="Arial Narrow" w:cs="Calibri"/>
                <w:color w:val="000000"/>
                <w:sz w:val="20"/>
                <w:szCs w:val="20"/>
                <w:highlight w:val="black"/>
              </w:rPr>
              <w:t>&amp;&amp;&amp;&amp;</w:t>
            </w:r>
            <w:r w:rsidR="00D3540E">
              <w:rPr>
                <w:rFonts w:ascii="Arial Narrow" w:hAnsi="Arial Narrow" w:cs="Calibri"/>
                <w:color w:val="000000"/>
                <w:sz w:val="20"/>
                <w:szCs w:val="20"/>
                <w:vertAlign w:val="superscript"/>
              </w:rPr>
              <w:t>5</w:t>
            </w:r>
          </w:p>
        </w:tc>
        <w:tc>
          <w:tcPr>
            <w:tcW w:w="1216" w:type="dxa"/>
            <w:tcBorders>
              <w:top w:val="nil"/>
              <w:left w:val="nil"/>
              <w:bottom w:val="single" w:sz="4" w:space="0" w:color="auto"/>
              <w:right w:val="single" w:sz="4" w:space="0" w:color="auto"/>
            </w:tcBorders>
            <w:hideMark/>
          </w:tcPr>
          <w:p w14:paraId="38C565FB" w14:textId="5661ABDF" w:rsidR="001A52B9" w:rsidRPr="00D3540E" w:rsidRDefault="00794BDD" w:rsidP="00E05472">
            <w:pPr>
              <w:keepNext/>
              <w:keepLines/>
              <w:jc w:val="right"/>
              <w:rPr>
                <w:rFonts w:ascii="Arial Narrow" w:hAnsi="Arial Narrow" w:cs="Calibri"/>
                <w:color w:val="000000"/>
                <w:sz w:val="20"/>
                <w:szCs w:val="20"/>
                <w:vertAlign w:val="superscript"/>
              </w:rPr>
            </w:pPr>
            <w:r w:rsidRPr="00794BDD">
              <w:rPr>
                <w:rFonts w:ascii="Arial Narrow" w:hAnsi="Arial Narrow" w:cs="Calibri"/>
                <w:color w:val="000000"/>
                <w:sz w:val="20"/>
                <w:szCs w:val="20"/>
                <w:highlight w:val="black"/>
              </w:rPr>
              <w:t>&amp;&amp;&amp;&amp;</w:t>
            </w:r>
            <w:r w:rsidR="00D3540E">
              <w:rPr>
                <w:rFonts w:ascii="Arial Narrow" w:hAnsi="Arial Narrow" w:cs="Calibri"/>
                <w:color w:val="000000"/>
                <w:sz w:val="20"/>
                <w:szCs w:val="20"/>
                <w:vertAlign w:val="superscript"/>
              </w:rPr>
              <w:t>5</w:t>
            </w:r>
          </w:p>
        </w:tc>
      </w:tr>
      <w:tr w:rsidR="001A52B9" w:rsidRPr="00E20031" w14:paraId="7F8236BC" w14:textId="77777777">
        <w:trPr>
          <w:cantSplit/>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22750D0B" w14:textId="77777777" w:rsidR="001A52B9" w:rsidRPr="00E20031" w:rsidRDefault="001A52B9" w:rsidP="00E05472">
            <w:pPr>
              <w:keepNext/>
              <w:keepLines/>
              <w:jc w:val="left"/>
              <w:rPr>
                <w:rFonts w:ascii="Arial Narrow" w:hAnsi="Arial Narrow" w:cs="Calibri"/>
                <w:b/>
                <w:bCs/>
                <w:color w:val="000000"/>
                <w:sz w:val="20"/>
                <w:szCs w:val="20"/>
              </w:rPr>
            </w:pPr>
            <w:r w:rsidRPr="00E20031">
              <w:rPr>
                <w:rFonts w:ascii="Arial Narrow" w:hAnsi="Arial Narrow" w:cs="Calibri"/>
                <w:b/>
                <w:bCs/>
                <w:color w:val="000000"/>
                <w:sz w:val="20"/>
                <w:szCs w:val="20"/>
              </w:rPr>
              <w:t>Net financial impact of pegcetacoplan</w:t>
            </w:r>
          </w:p>
        </w:tc>
      </w:tr>
      <w:tr w:rsidR="001A52B9" w:rsidRPr="00E20031" w14:paraId="774B70FA" w14:textId="77777777">
        <w:trPr>
          <w:cantSplit/>
        </w:trPr>
        <w:tc>
          <w:tcPr>
            <w:tcW w:w="1862" w:type="dxa"/>
            <w:tcBorders>
              <w:top w:val="nil"/>
              <w:left w:val="single" w:sz="4" w:space="0" w:color="auto"/>
              <w:bottom w:val="single" w:sz="4" w:space="0" w:color="auto"/>
              <w:right w:val="single" w:sz="4" w:space="0" w:color="auto"/>
            </w:tcBorders>
            <w:hideMark/>
          </w:tcPr>
          <w:p w14:paraId="417ABF09" w14:textId="77777777" w:rsidR="001A52B9" w:rsidRPr="00E20031" w:rsidRDefault="001A52B9" w:rsidP="00E05472">
            <w:pPr>
              <w:keepNext/>
              <w:keepLines/>
              <w:jc w:val="left"/>
              <w:rPr>
                <w:rFonts w:ascii="Arial Narrow" w:hAnsi="Arial Narrow" w:cs="Calibri"/>
                <w:color w:val="000000"/>
                <w:sz w:val="20"/>
                <w:szCs w:val="20"/>
              </w:rPr>
            </w:pPr>
            <w:r w:rsidRPr="00E20031">
              <w:rPr>
                <w:rFonts w:ascii="Arial Narrow" w:hAnsi="Arial Narrow" w:cs="Calibri"/>
                <w:color w:val="000000"/>
                <w:sz w:val="20"/>
                <w:szCs w:val="20"/>
              </w:rPr>
              <w:t>PBS/RPBS less copayments</w:t>
            </w:r>
          </w:p>
        </w:tc>
        <w:tc>
          <w:tcPr>
            <w:tcW w:w="1243" w:type="dxa"/>
            <w:tcBorders>
              <w:top w:val="nil"/>
              <w:left w:val="nil"/>
              <w:bottom w:val="single" w:sz="4" w:space="0" w:color="auto"/>
              <w:right w:val="single" w:sz="4" w:space="0" w:color="auto"/>
            </w:tcBorders>
            <w:hideMark/>
          </w:tcPr>
          <w:p w14:paraId="1CFF961C" w14:textId="5EC2B42E" w:rsidR="001A52B9" w:rsidRPr="00D5338E"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D5338E">
              <w:rPr>
                <w:rFonts w:ascii="Arial Narrow" w:hAnsi="Arial Narrow" w:cs="Calibri"/>
                <w:color w:val="000000"/>
                <w:sz w:val="20"/>
                <w:szCs w:val="20"/>
                <w:vertAlign w:val="superscript"/>
              </w:rPr>
              <w:t>6</w:t>
            </w:r>
          </w:p>
        </w:tc>
        <w:tc>
          <w:tcPr>
            <w:tcW w:w="1132" w:type="dxa"/>
            <w:tcBorders>
              <w:top w:val="nil"/>
              <w:left w:val="nil"/>
              <w:bottom w:val="single" w:sz="4" w:space="0" w:color="auto"/>
              <w:right w:val="single" w:sz="4" w:space="0" w:color="auto"/>
            </w:tcBorders>
            <w:hideMark/>
          </w:tcPr>
          <w:p w14:paraId="142E81D9" w14:textId="55222068" w:rsidR="001A52B9" w:rsidRPr="00485867"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485867">
              <w:rPr>
                <w:rFonts w:ascii="Arial Narrow" w:hAnsi="Arial Narrow" w:cs="Calibri"/>
                <w:color w:val="000000"/>
                <w:sz w:val="20"/>
                <w:szCs w:val="20"/>
                <w:vertAlign w:val="superscript"/>
              </w:rPr>
              <w:t>7</w:t>
            </w:r>
          </w:p>
        </w:tc>
        <w:tc>
          <w:tcPr>
            <w:tcW w:w="1132" w:type="dxa"/>
            <w:tcBorders>
              <w:top w:val="nil"/>
              <w:left w:val="nil"/>
              <w:bottom w:val="single" w:sz="4" w:space="0" w:color="auto"/>
              <w:right w:val="single" w:sz="4" w:space="0" w:color="auto"/>
            </w:tcBorders>
            <w:hideMark/>
          </w:tcPr>
          <w:p w14:paraId="573814DB" w14:textId="169795DA" w:rsidR="001A52B9" w:rsidRPr="00A912FA"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A912FA">
              <w:rPr>
                <w:rFonts w:ascii="Arial Narrow" w:hAnsi="Arial Narrow" w:cs="Calibri"/>
                <w:color w:val="000000"/>
                <w:sz w:val="20"/>
                <w:szCs w:val="20"/>
                <w:vertAlign w:val="superscript"/>
              </w:rPr>
              <w:t>8</w:t>
            </w:r>
          </w:p>
        </w:tc>
        <w:tc>
          <w:tcPr>
            <w:tcW w:w="1216" w:type="dxa"/>
            <w:tcBorders>
              <w:top w:val="nil"/>
              <w:left w:val="nil"/>
              <w:bottom w:val="single" w:sz="4" w:space="0" w:color="auto"/>
              <w:right w:val="single" w:sz="4" w:space="0" w:color="auto"/>
            </w:tcBorders>
            <w:hideMark/>
          </w:tcPr>
          <w:p w14:paraId="1D850A26" w14:textId="06AF05C4" w:rsidR="001A52B9" w:rsidRPr="00CA6DC8"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CA6DC8">
              <w:rPr>
                <w:rFonts w:ascii="Arial Narrow" w:hAnsi="Arial Narrow" w:cs="Calibri"/>
                <w:color w:val="000000"/>
                <w:sz w:val="20"/>
                <w:szCs w:val="20"/>
                <w:vertAlign w:val="superscript"/>
              </w:rPr>
              <w:t>9</w:t>
            </w:r>
          </w:p>
        </w:tc>
        <w:tc>
          <w:tcPr>
            <w:tcW w:w="1216" w:type="dxa"/>
            <w:tcBorders>
              <w:top w:val="nil"/>
              <w:left w:val="nil"/>
              <w:bottom w:val="single" w:sz="4" w:space="0" w:color="auto"/>
              <w:right w:val="single" w:sz="4" w:space="0" w:color="auto"/>
            </w:tcBorders>
            <w:hideMark/>
          </w:tcPr>
          <w:p w14:paraId="13E31F8F" w14:textId="680C6955" w:rsidR="001A52B9" w:rsidRPr="00FF1216"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FF1216">
              <w:rPr>
                <w:rFonts w:ascii="Arial Narrow" w:hAnsi="Arial Narrow" w:cs="Calibri"/>
                <w:color w:val="000000"/>
                <w:sz w:val="20"/>
                <w:szCs w:val="20"/>
                <w:vertAlign w:val="superscript"/>
              </w:rPr>
              <w:t>10</w:t>
            </w:r>
          </w:p>
        </w:tc>
        <w:tc>
          <w:tcPr>
            <w:tcW w:w="1216" w:type="dxa"/>
            <w:tcBorders>
              <w:top w:val="nil"/>
              <w:left w:val="nil"/>
              <w:bottom w:val="single" w:sz="4" w:space="0" w:color="auto"/>
              <w:right w:val="single" w:sz="4" w:space="0" w:color="auto"/>
            </w:tcBorders>
            <w:hideMark/>
          </w:tcPr>
          <w:p w14:paraId="0B3E7CEE" w14:textId="72E708E8" w:rsidR="001A52B9" w:rsidRPr="00FF1216"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FF1216">
              <w:rPr>
                <w:rFonts w:ascii="Arial Narrow" w:hAnsi="Arial Narrow" w:cs="Calibri"/>
                <w:color w:val="000000"/>
                <w:sz w:val="20"/>
                <w:szCs w:val="20"/>
                <w:vertAlign w:val="superscript"/>
              </w:rPr>
              <w:t>10</w:t>
            </w:r>
          </w:p>
        </w:tc>
      </w:tr>
      <w:tr w:rsidR="001A52B9" w:rsidRPr="00E20031" w14:paraId="652BCC08" w14:textId="77777777">
        <w:trPr>
          <w:cantSplit/>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243A21B4" w14:textId="77777777" w:rsidR="001A52B9" w:rsidRPr="00E20031" w:rsidRDefault="001A52B9" w:rsidP="00E05472">
            <w:pPr>
              <w:keepNext/>
              <w:keepLines/>
              <w:jc w:val="left"/>
              <w:rPr>
                <w:rFonts w:ascii="Arial Narrow" w:hAnsi="Arial Narrow" w:cs="Calibri"/>
                <w:b/>
                <w:bCs/>
                <w:color w:val="000000"/>
                <w:sz w:val="20"/>
                <w:szCs w:val="20"/>
              </w:rPr>
            </w:pPr>
            <w:r w:rsidRPr="00E20031">
              <w:rPr>
                <w:rFonts w:ascii="Arial Narrow" w:hAnsi="Arial Narrow" w:cs="Calibri"/>
                <w:b/>
                <w:bCs/>
                <w:color w:val="000000"/>
                <w:sz w:val="20"/>
                <w:szCs w:val="20"/>
              </w:rPr>
              <w:t>Net financial impact of affected medicines</w:t>
            </w:r>
          </w:p>
        </w:tc>
      </w:tr>
      <w:tr w:rsidR="001A52B9" w:rsidRPr="00E20031" w14:paraId="34172BF3" w14:textId="77777777">
        <w:trPr>
          <w:cantSplit/>
        </w:trPr>
        <w:tc>
          <w:tcPr>
            <w:tcW w:w="1862" w:type="dxa"/>
            <w:tcBorders>
              <w:top w:val="nil"/>
              <w:left w:val="single" w:sz="4" w:space="0" w:color="auto"/>
              <w:bottom w:val="single" w:sz="4" w:space="0" w:color="auto"/>
              <w:right w:val="single" w:sz="4" w:space="0" w:color="auto"/>
            </w:tcBorders>
            <w:hideMark/>
          </w:tcPr>
          <w:p w14:paraId="5C3F4059" w14:textId="77777777" w:rsidR="001A52B9" w:rsidRPr="00E20031" w:rsidRDefault="001A52B9" w:rsidP="00E05472">
            <w:pPr>
              <w:keepNext/>
              <w:keepLines/>
              <w:jc w:val="left"/>
              <w:rPr>
                <w:rFonts w:ascii="Arial Narrow" w:hAnsi="Arial Narrow" w:cs="Calibri"/>
                <w:color w:val="000000"/>
                <w:sz w:val="20"/>
                <w:szCs w:val="20"/>
              </w:rPr>
            </w:pPr>
            <w:r w:rsidRPr="00E20031">
              <w:rPr>
                <w:rFonts w:ascii="Arial Narrow" w:hAnsi="Arial Narrow" w:cs="Calibri"/>
                <w:color w:val="000000"/>
                <w:sz w:val="20"/>
                <w:szCs w:val="20"/>
              </w:rPr>
              <w:t>PBS/RPBS less copayments</w:t>
            </w:r>
          </w:p>
        </w:tc>
        <w:tc>
          <w:tcPr>
            <w:tcW w:w="1243" w:type="dxa"/>
            <w:tcBorders>
              <w:top w:val="nil"/>
              <w:left w:val="nil"/>
              <w:bottom w:val="single" w:sz="4" w:space="0" w:color="auto"/>
              <w:right w:val="single" w:sz="4" w:space="0" w:color="auto"/>
            </w:tcBorders>
            <w:hideMark/>
          </w:tcPr>
          <w:p w14:paraId="01947053" w14:textId="77777777" w:rsidR="001A52B9" w:rsidRPr="00E20031" w:rsidRDefault="001A52B9" w:rsidP="00E05472">
            <w:pPr>
              <w:keepNext/>
              <w:keepLines/>
              <w:jc w:val="right"/>
              <w:rPr>
                <w:rFonts w:ascii="Arial Narrow" w:hAnsi="Arial Narrow" w:cs="Calibri"/>
                <w:color w:val="000000"/>
                <w:sz w:val="20"/>
                <w:szCs w:val="20"/>
              </w:rPr>
            </w:pPr>
            <w:r w:rsidRPr="00E20031">
              <w:rPr>
                <w:rFonts w:ascii="Arial Narrow" w:hAnsi="Arial Narrow" w:cs="Calibri"/>
                <w:color w:val="000000"/>
                <w:sz w:val="20"/>
                <w:szCs w:val="20"/>
              </w:rPr>
              <w:t>$0</w:t>
            </w:r>
          </w:p>
        </w:tc>
        <w:tc>
          <w:tcPr>
            <w:tcW w:w="1132" w:type="dxa"/>
            <w:tcBorders>
              <w:top w:val="nil"/>
              <w:left w:val="nil"/>
              <w:bottom w:val="single" w:sz="4" w:space="0" w:color="auto"/>
              <w:right w:val="single" w:sz="4" w:space="0" w:color="auto"/>
            </w:tcBorders>
            <w:hideMark/>
          </w:tcPr>
          <w:p w14:paraId="36A5D966" w14:textId="77777777" w:rsidR="001A52B9" w:rsidRPr="00E20031" w:rsidRDefault="001A52B9" w:rsidP="00E05472">
            <w:pPr>
              <w:keepNext/>
              <w:keepLines/>
              <w:jc w:val="right"/>
              <w:rPr>
                <w:rFonts w:ascii="Arial Narrow" w:hAnsi="Arial Narrow" w:cs="Calibri"/>
                <w:color w:val="000000"/>
                <w:sz w:val="20"/>
                <w:szCs w:val="20"/>
              </w:rPr>
            </w:pPr>
            <w:r w:rsidRPr="00E20031">
              <w:rPr>
                <w:rFonts w:ascii="Arial Narrow" w:hAnsi="Arial Narrow" w:cs="Calibri"/>
                <w:color w:val="000000"/>
                <w:sz w:val="20"/>
                <w:szCs w:val="20"/>
              </w:rPr>
              <w:t>$0</w:t>
            </w:r>
          </w:p>
        </w:tc>
        <w:tc>
          <w:tcPr>
            <w:tcW w:w="1132" w:type="dxa"/>
            <w:tcBorders>
              <w:top w:val="nil"/>
              <w:left w:val="nil"/>
              <w:bottom w:val="single" w:sz="4" w:space="0" w:color="auto"/>
              <w:right w:val="single" w:sz="4" w:space="0" w:color="auto"/>
            </w:tcBorders>
            <w:hideMark/>
          </w:tcPr>
          <w:p w14:paraId="1391EF35" w14:textId="77777777" w:rsidR="001A52B9" w:rsidRPr="00E20031" w:rsidRDefault="001A52B9" w:rsidP="00E05472">
            <w:pPr>
              <w:keepNext/>
              <w:keepLines/>
              <w:jc w:val="right"/>
              <w:rPr>
                <w:rFonts w:ascii="Arial Narrow" w:hAnsi="Arial Narrow" w:cs="Calibri"/>
                <w:color w:val="000000"/>
                <w:sz w:val="20"/>
                <w:szCs w:val="20"/>
              </w:rPr>
            </w:pPr>
            <w:r w:rsidRPr="00E20031">
              <w:rPr>
                <w:rFonts w:ascii="Arial Narrow" w:hAnsi="Arial Narrow" w:cs="Calibri"/>
                <w:color w:val="000000"/>
                <w:sz w:val="20"/>
                <w:szCs w:val="20"/>
              </w:rPr>
              <w:t>$0</w:t>
            </w:r>
          </w:p>
        </w:tc>
        <w:tc>
          <w:tcPr>
            <w:tcW w:w="1216" w:type="dxa"/>
            <w:tcBorders>
              <w:top w:val="nil"/>
              <w:left w:val="nil"/>
              <w:bottom w:val="single" w:sz="4" w:space="0" w:color="auto"/>
              <w:right w:val="single" w:sz="4" w:space="0" w:color="auto"/>
            </w:tcBorders>
            <w:hideMark/>
          </w:tcPr>
          <w:p w14:paraId="60927854" w14:textId="77777777" w:rsidR="001A52B9" w:rsidRPr="00E20031" w:rsidRDefault="001A52B9" w:rsidP="00E05472">
            <w:pPr>
              <w:keepNext/>
              <w:keepLines/>
              <w:jc w:val="right"/>
              <w:rPr>
                <w:rFonts w:ascii="Arial Narrow" w:hAnsi="Arial Narrow" w:cs="Calibri"/>
                <w:color w:val="000000"/>
                <w:sz w:val="20"/>
                <w:szCs w:val="20"/>
              </w:rPr>
            </w:pPr>
            <w:r w:rsidRPr="00E20031">
              <w:rPr>
                <w:rFonts w:ascii="Arial Narrow" w:hAnsi="Arial Narrow" w:cs="Calibri"/>
                <w:color w:val="000000"/>
                <w:sz w:val="20"/>
                <w:szCs w:val="20"/>
              </w:rPr>
              <w:t>$0</w:t>
            </w:r>
          </w:p>
        </w:tc>
        <w:tc>
          <w:tcPr>
            <w:tcW w:w="1216" w:type="dxa"/>
            <w:tcBorders>
              <w:top w:val="nil"/>
              <w:left w:val="nil"/>
              <w:bottom w:val="single" w:sz="4" w:space="0" w:color="auto"/>
              <w:right w:val="single" w:sz="4" w:space="0" w:color="auto"/>
            </w:tcBorders>
            <w:hideMark/>
          </w:tcPr>
          <w:p w14:paraId="6E1F1191" w14:textId="77777777" w:rsidR="001A52B9" w:rsidRPr="00E20031" w:rsidRDefault="001A52B9" w:rsidP="00E05472">
            <w:pPr>
              <w:keepNext/>
              <w:keepLines/>
              <w:jc w:val="right"/>
              <w:rPr>
                <w:rFonts w:ascii="Arial Narrow" w:hAnsi="Arial Narrow" w:cs="Calibri"/>
                <w:color w:val="000000"/>
                <w:sz w:val="20"/>
                <w:szCs w:val="20"/>
              </w:rPr>
            </w:pPr>
            <w:r w:rsidRPr="00E20031">
              <w:rPr>
                <w:rFonts w:ascii="Arial Narrow" w:hAnsi="Arial Narrow" w:cs="Calibri"/>
                <w:color w:val="000000"/>
                <w:sz w:val="20"/>
                <w:szCs w:val="20"/>
              </w:rPr>
              <w:t>$0</w:t>
            </w:r>
          </w:p>
        </w:tc>
        <w:tc>
          <w:tcPr>
            <w:tcW w:w="1216" w:type="dxa"/>
            <w:tcBorders>
              <w:top w:val="nil"/>
              <w:left w:val="nil"/>
              <w:bottom w:val="single" w:sz="4" w:space="0" w:color="auto"/>
              <w:right w:val="single" w:sz="4" w:space="0" w:color="auto"/>
            </w:tcBorders>
            <w:hideMark/>
          </w:tcPr>
          <w:p w14:paraId="38F1ECD3" w14:textId="77777777" w:rsidR="001A52B9" w:rsidRPr="00E20031" w:rsidRDefault="001A52B9" w:rsidP="00E05472">
            <w:pPr>
              <w:keepNext/>
              <w:keepLines/>
              <w:jc w:val="right"/>
              <w:rPr>
                <w:rFonts w:ascii="Arial Narrow" w:hAnsi="Arial Narrow" w:cs="Calibri"/>
                <w:color w:val="000000"/>
                <w:sz w:val="20"/>
                <w:szCs w:val="20"/>
              </w:rPr>
            </w:pPr>
            <w:r w:rsidRPr="00E20031">
              <w:rPr>
                <w:rFonts w:ascii="Arial Narrow" w:hAnsi="Arial Narrow" w:cs="Calibri"/>
                <w:color w:val="000000"/>
                <w:sz w:val="20"/>
                <w:szCs w:val="20"/>
              </w:rPr>
              <w:t>$0</w:t>
            </w:r>
          </w:p>
        </w:tc>
      </w:tr>
      <w:tr w:rsidR="001A52B9" w:rsidRPr="00E20031" w14:paraId="6274A244" w14:textId="77777777">
        <w:trPr>
          <w:cantSplit/>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77FDE62F" w14:textId="77777777" w:rsidR="001A52B9" w:rsidRPr="00E20031" w:rsidRDefault="001A52B9" w:rsidP="00E05472">
            <w:pPr>
              <w:keepNext/>
              <w:keepLines/>
              <w:jc w:val="left"/>
              <w:rPr>
                <w:rFonts w:ascii="Arial Narrow" w:hAnsi="Arial Narrow" w:cs="Calibri"/>
                <w:b/>
                <w:bCs/>
                <w:color w:val="000000"/>
                <w:sz w:val="20"/>
                <w:szCs w:val="20"/>
              </w:rPr>
            </w:pPr>
            <w:r w:rsidRPr="00E20031">
              <w:rPr>
                <w:rFonts w:ascii="Arial Narrow" w:hAnsi="Arial Narrow" w:cs="Calibri"/>
                <w:b/>
                <w:bCs/>
                <w:color w:val="000000"/>
                <w:sz w:val="20"/>
                <w:szCs w:val="20"/>
              </w:rPr>
              <w:t>Net financial impact</w:t>
            </w:r>
          </w:p>
        </w:tc>
      </w:tr>
      <w:tr w:rsidR="001A52B9" w:rsidRPr="00E20031" w14:paraId="4243E0A1" w14:textId="77777777">
        <w:trPr>
          <w:cantSplit/>
        </w:trPr>
        <w:tc>
          <w:tcPr>
            <w:tcW w:w="1862" w:type="dxa"/>
            <w:tcBorders>
              <w:top w:val="nil"/>
              <w:left w:val="single" w:sz="4" w:space="0" w:color="auto"/>
              <w:bottom w:val="single" w:sz="4" w:space="0" w:color="auto"/>
              <w:right w:val="single" w:sz="4" w:space="0" w:color="auto"/>
            </w:tcBorders>
            <w:hideMark/>
          </w:tcPr>
          <w:p w14:paraId="2F81FB06" w14:textId="77777777" w:rsidR="001A52B9" w:rsidRPr="00E20031" w:rsidRDefault="001A52B9" w:rsidP="00E05472">
            <w:pPr>
              <w:keepNext/>
              <w:keepLines/>
              <w:jc w:val="left"/>
              <w:rPr>
                <w:rFonts w:ascii="Arial Narrow" w:hAnsi="Arial Narrow" w:cs="Calibri"/>
                <w:color w:val="000000"/>
                <w:sz w:val="20"/>
                <w:szCs w:val="20"/>
              </w:rPr>
            </w:pPr>
            <w:r w:rsidRPr="00E20031">
              <w:rPr>
                <w:rFonts w:ascii="Arial Narrow" w:hAnsi="Arial Narrow" w:cs="Calibri"/>
                <w:color w:val="000000"/>
                <w:sz w:val="20"/>
                <w:szCs w:val="20"/>
              </w:rPr>
              <w:t>Net PBS/RPBS</w:t>
            </w:r>
          </w:p>
        </w:tc>
        <w:tc>
          <w:tcPr>
            <w:tcW w:w="1243" w:type="dxa"/>
            <w:tcBorders>
              <w:top w:val="nil"/>
              <w:left w:val="nil"/>
              <w:bottom w:val="single" w:sz="4" w:space="0" w:color="auto"/>
              <w:right w:val="single" w:sz="4" w:space="0" w:color="auto"/>
            </w:tcBorders>
            <w:hideMark/>
          </w:tcPr>
          <w:p w14:paraId="2887D35F" w14:textId="53E756E5" w:rsidR="001A52B9" w:rsidRPr="00286C85"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286C85">
              <w:rPr>
                <w:rFonts w:ascii="Arial Narrow" w:hAnsi="Arial Narrow" w:cs="Calibri"/>
                <w:color w:val="000000"/>
                <w:sz w:val="20"/>
                <w:szCs w:val="20"/>
                <w:vertAlign w:val="superscript"/>
              </w:rPr>
              <w:t>6</w:t>
            </w:r>
          </w:p>
        </w:tc>
        <w:tc>
          <w:tcPr>
            <w:tcW w:w="1132" w:type="dxa"/>
            <w:tcBorders>
              <w:top w:val="nil"/>
              <w:left w:val="nil"/>
              <w:bottom w:val="single" w:sz="4" w:space="0" w:color="auto"/>
              <w:right w:val="single" w:sz="4" w:space="0" w:color="auto"/>
            </w:tcBorders>
            <w:hideMark/>
          </w:tcPr>
          <w:p w14:paraId="7DC4B435" w14:textId="5259B691" w:rsidR="001A52B9" w:rsidRPr="00286C85"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286C85">
              <w:rPr>
                <w:rFonts w:ascii="Arial Narrow" w:hAnsi="Arial Narrow" w:cs="Calibri"/>
                <w:color w:val="000000"/>
                <w:sz w:val="20"/>
                <w:szCs w:val="20"/>
                <w:vertAlign w:val="superscript"/>
              </w:rPr>
              <w:t>7</w:t>
            </w:r>
          </w:p>
        </w:tc>
        <w:tc>
          <w:tcPr>
            <w:tcW w:w="1132" w:type="dxa"/>
            <w:tcBorders>
              <w:top w:val="nil"/>
              <w:left w:val="nil"/>
              <w:bottom w:val="single" w:sz="4" w:space="0" w:color="auto"/>
              <w:right w:val="single" w:sz="4" w:space="0" w:color="auto"/>
            </w:tcBorders>
            <w:hideMark/>
          </w:tcPr>
          <w:p w14:paraId="7E424724" w14:textId="479B766F" w:rsidR="001A52B9" w:rsidRPr="00286C85"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286C85">
              <w:rPr>
                <w:rFonts w:ascii="Arial Narrow" w:hAnsi="Arial Narrow" w:cs="Calibri"/>
                <w:color w:val="000000"/>
                <w:sz w:val="20"/>
                <w:szCs w:val="20"/>
                <w:vertAlign w:val="superscript"/>
              </w:rPr>
              <w:t>8</w:t>
            </w:r>
          </w:p>
        </w:tc>
        <w:tc>
          <w:tcPr>
            <w:tcW w:w="1216" w:type="dxa"/>
            <w:tcBorders>
              <w:top w:val="nil"/>
              <w:left w:val="nil"/>
              <w:bottom w:val="single" w:sz="4" w:space="0" w:color="auto"/>
              <w:right w:val="single" w:sz="4" w:space="0" w:color="auto"/>
            </w:tcBorders>
            <w:hideMark/>
          </w:tcPr>
          <w:p w14:paraId="4FB033E0" w14:textId="5E8CCCDC" w:rsidR="001A52B9" w:rsidRPr="00286C85"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286C85">
              <w:rPr>
                <w:rFonts w:ascii="Arial Narrow" w:hAnsi="Arial Narrow" w:cs="Calibri"/>
                <w:color w:val="000000"/>
                <w:sz w:val="20"/>
                <w:szCs w:val="20"/>
                <w:vertAlign w:val="superscript"/>
              </w:rPr>
              <w:t>8</w:t>
            </w:r>
          </w:p>
        </w:tc>
        <w:tc>
          <w:tcPr>
            <w:tcW w:w="1216" w:type="dxa"/>
            <w:tcBorders>
              <w:top w:val="nil"/>
              <w:left w:val="nil"/>
              <w:bottom w:val="single" w:sz="4" w:space="0" w:color="auto"/>
              <w:right w:val="single" w:sz="4" w:space="0" w:color="auto"/>
            </w:tcBorders>
            <w:hideMark/>
          </w:tcPr>
          <w:p w14:paraId="35C305B2" w14:textId="2C89D1AB" w:rsidR="001A52B9" w:rsidRPr="00286C85"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286C85">
              <w:rPr>
                <w:rFonts w:ascii="Arial Narrow" w:hAnsi="Arial Narrow" w:cs="Calibri"/>
                <w:color w:val="000000"/>
                <w:sz w:val="20"/>
                <w:szCs w:val="20"/>
                <w:vertAlign w:val="superscript"/>
              </w:rPr>
              <w:t>10</w:t>
            </w:r>
          </w:p>
        </w:tc>
        <w:tc>
          <w:tcPr>
            <w:tcW w:w="1216" w:type="dxa"/>
            <w:tcBorders>
              <w:top w:val="nil"/>
              <w:left w:val="nil"/>
              <w:bottom w:val="single" w:sz="4" w:space="0" w:color="auto"/>
              <w:right w:val="single" w:sz="4" w:space="0" w:color="auto"/>
            </w:tcBorders>
            <w:hideMark/>
          </w:tcPr>
          <w:p w14:paraId="15BE5808" w14:textId="4FD57464" w:rsidR="001A52B9" w:rsidRPr="00E20031" w:rsidRDefault="001A52B9" w:rsidP="00E05472">
            <w:pPr>
              <w:keepNext/>
              <w:keepLines/>
              <w:jc w:val="right"/>
              <w:rPr>
                <w:rFonts w:ascii="Arial Narrow" w:hAnsi="Arial Narrow" w:cs="Calibri"/>
                <w:color w:val="000000"/>
                <w:sz w:val="20"/>
                <w:szCs w:val="20"/>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286C85" w:rsidRPr="00286C85">
              <w:rPr>
                <w:rFonts w:ascii="Arial Narrow" w:hAnsi="Arial Narrow" w:cs="Calibri"/>
                <w:color w:val="000000"/>
                <w:sz w:val="20"/>
                <w:szCs w:val="20"/>
                <w:vertAlign w:val="superscript"/>
              </w:rPr>
              <w:t>10</w:t>
            </w:r>
          </w:p>
        </w:tc>
      </w:tr>
      <w:tr w:rsidR="001A52B9" w:rsidRPr="00E20031" w14:paraId="58E3F816" w14:textId="77777777">
        <w:trPr>
          <w:cantSplit/>
        </w:trPr>
        <w:tc>
          <w:tcPr>
            <w:tcW w:w="1862" w:type="dxa"/>
            <w:tcBorders>
              <w:top w:val="nil"/>
              <w:left w:val="single" w:sz="4" w:space="0" w:color="auto"/>
              <w:bottom w:val="single" w:sz="4" w:space="0" w:color="auto"/>
              <w:right w:val="single" w:sz="4" w:space="0" w:color="auto"/>
            </w:tcBorders>
            <w:hideMark/>
          </w:tcPr>
          <w:p w14:paraId="410D6365" w14:textId="77777777" w:rsidR="001A52B9" w:rsidRPr="00E20031" w:rsidRDefault="001A52B9" w:rsidP="00E05472">
            <w:pPr>
              <w:keepNext/>
              <w:keepLines/>
              <w:jc w:val="left"/>
              <w:rPr>
                <w:rFonts w:ascii="Arial Narrow" w:hAnsi="Arial Narrow" w:cs="Calibri"/>
                <w:color w:val="000000"/>
                <w:sz w:val="20"/>
                <w:szCs w:val="20"/>
              </w:rPr>
            </w:pPr>
            <w:r w:rsidRPr="00E20031">
              <w:rPr>
                <w:rFonts w:ascii="Arial Narrow" w:hAnsi="Arial Narrow" w:cs="Calibri"/>
                <w:color w:val="000000"/>
                <w:sz w:val="20"/>
                <w:szCs w:val="20"/>
              </w:rPr>
              <w:t>MBS impact</w:t>
            </w:r>
          </w:p>
        </w:tc>
        <w:tc>
          <w:tcPr>
            <w:tcW w:w="1243" w:type="dxa"/>
            <w:tcBorders>
              <w:top w:val="nil"/>
              <w:left w:val="nil"/>
              <w:bottom w:val="single" w:sz="4" w:space="0" w:color="auto"/>
              <w:right w:val="single" w:sz="4" w:space="0" w:color="auto"/>
            </w:tcBorders>
            <w:hideMark/>
          </w:tcPr>
          <w:p w14:paraId="39AAEA8A" w14:textId="66FC579E" w:rsidR="001A52B9" w:rsidRPr="00052E79"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052E79">
              <w:rPr>
                <w:rFonts w:ascii="Arial Narrow" w:hAnsi="Arial Narrow" w:cs="Calibri"/>
                <w:color w:val="000000"/>
                <w:sz w:val="20"/>
                <w:szCs w:val="20"/>
                <w:vertAlign w:val="superscript"/>
              </w:rPr>
              <w:t>6</w:t>
            </w:r>
          </w:p>
        </w:tc>
        <w:tc>
          <w:tcPr>
            <w:tcW w:w="1132" w:type="dxa"/>
            <w:tcBorders>
              <w:top w:val="nil"/>
              <w:left w:val="nil"/>
              <w:bottom w:val="single" w:sz="4" w:space="0" w:color="auto"/>
              <w:right w:val="single" w:sz="4" w:space="0" w:color="auto"/>
            </w:tcBorders>
            <w:hideMark/>
          </w:tcPr>
          <w:p w14:paraId="6CF48998" w14:textId="7A0D12C9" w:rsidR="001A52B9" w:rsidRPr="00052E79"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052E79">
              <w:rPr>
                <w:rFonts w:ascii="Arial Narrow" w:hAnsi="Arial Narrow" w:cs="Calibri"/>
                <w:color w:val="000000"/>
                <w:sz w:val="20"/>
                <w:szCs w:val="20"/>
                <w:vertAlign w:val="superscript"/>
              </w:rPr>
              <w:t>6</w:t>
            </w:r>
          </w:p>
        </w:tc>
        <w:tc>
          <w:tcPr>
            <w:tcW w:w="1132" w:type="dxa"/>
            <w:tcBorders>
              <w:top w:val="nil"/>
              <w:left w:val="nil"/>
              <w:bottom w:val="single" w:sz="4" w:space="0" w:color="auto"/>
              <w:right w:val="single" w:sz="4" w:space="0" w:color="auto"/>
            </w:tcBorders>
            <w:hideMark/>
          </w:tcPr>
          <w:p w14:paraId="7C4F87C6" w14:textId="4A902E50" w:rsidR="001A52B9" w:rsidRPr="00052E79"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052E79">
              <w:rPr>
                <w:rFonts w:ascii="Arial Narrow" w:hAnsi="Arial Narrow" w:cs="Calibri"/>
                <w:color w:val="000000"/>
                <w:sz w:val="20"/>
                <w:szCs w:val="20"/>
                <w:vertAlign w:val="superscript"/>
              </w:rPr>
              <w:t>6</w:t>
            </w:r>
          </w:p>
        </w:tc>
        <w:tc>
          <w:tcPr>
            <w:tcW w:w="1216" w:type="dxa"/>
            <w:tcBorders>
              <w:top w:val="nil"/>
              <w:left w:val="nil"/>
              <w:bottom w:val="single" w:sz="4" w:space="0" w:color="auto"/>
              <w:right w:val="single" w:sz="4" w:space="0" w:color="auto"/>
            </w:tcBorders>
            <w:hideMark/>
          </w:tcPr>
          <w:p w14:paraId="1218A501" w14:textId="73B2D99C" w:rsidR="001A52B9" w:rsidRPr="00D9369D"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D9369D">
              <w:rPr>
                <w:rFonts w:ascii="Arial Narrow" w:hAnsi="Arial Narrow" w:cs="Calibri"/>
                <w:color w:val="000000"/>
                <w:sz w:val="20"/>
                <w:szCs w:val="20"/>
                <w:vertAlign w:val="superscript"/>
              </w:rPr>
              <w:t>11</w:t>
            </w:r>
          </w:p>
        </w:tc>
        <w:tc>
          <w:tcPr>
            <w:tcW w:w="1216" w:type="dxa"/>
            <w:tcBorders>
              <w:top w:val="nil"/>
              <w:left w:val="nil"/>
              <w:bottom w:val="single" w:sz="4" w:space="0" w:color="auto"/>
              <w:right w:val="single" w:sz="4" w:space="0" w:color="auto"/>
            </w:tcBorders>
            <w:hideMark/>
          </w:tcPr>
          <w:p w14:paraId="567EC465" w14:textId="269A004C" w:rsidR="001A52B9" w:rsidRPr="00D9369D"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D9369D">
              <w:rPr>
                <w:rFonts w:ascii="Arial Narrow" w:hAnsi="Arial Narrow" w:cs="Calibri"/>
                <w:color w:val="000000"/>
                <w:sz w:val="20"/>
                <w:szCs w:val="20"/>
                <w:vertAlign w:val="superscript"/>
              </w:rPr>
              <w:t>11</w:t>
            </w:r>
          </w:p>
        </w:tc>
        <w:tc>
          <w:tcPr>
            <w:tcW w:w="1216" w:type="dxa"/>
            <w:tcBorders>
              <w:top w:val="nil"/>
              <w:left w:val="nil"/>
              <w:bottom w:val="single" w:sz="4" w:space="0" w:color="auto"/>
              <w:right w:val="single" w:sz="4" w:space="0" w:color="auto"/>
            </w:tcBorders>
            <w:hideMark/>
          </w:tcPr>
          <w:p w14:paraId="584136E6" w14:textId="0C295EDC" w:rsidR="001A52B9" w:rsidRPr="00D9369D"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color w:val="000000"/>
                <w:sz w:val="20"/>
                <w:szCs w:val="20"/>
              </w:rPr>
              <w:t>$</w:t>
            </w:r>
            <w:r w:rsidR="00794BDD" w:rsidRPr="00794BDD">
              <w:rPr>
                <w:rFonts w:ascii="Arial Narrow" w:hAnsi="Arial Narrow" w:cs="Calibri"/>
                <w:color w:val="000000"/>
                <w:sz w:val="20"/>
                <w:szCs w:val="20"/>
                <w:highlight w:val="black"/>
              </w:rPr>
              <w:t>&amp;&amp;&amp;&amp;</w:t>
            </w:r>
            <w:r w:rsidR="00D9369D">
              <w:rPr>
                <w:rFonts w:ascii="Arial Narrow" w:hAnsi="Arial Narrow" w:cs="Calibri"/>
                <w:color w:val="000000"/>
                <w:sz w:val="20"/>
                <w:szCs w:val="20"/>
                <w:vertAlign w:val="superscript"/>
              </w:rPr>
              <w:t>11</w:t>
            </w:r>
          </w:p>
        </w:tc>
      </w:tr>
      <w:tr w:rsidR="001A52B9" w:rsidRPr="00E20031" w14:paraId="03237F47" w14:textId="77777777">
        <w:trPr>
          <w:cantSplit/>
        </w:trPr>
        <w:tc>
          <w:tcPr>
            <w:tcW w:w="1862" w:type="dxa"/>
            <w:tcBorders>
              <w:top w:val="nil"/>
              <w:left w:val="single" w:sz="4" w:space="0" w:color="auto"/>
              <w:bottom w:val="single" w:sz="4" w:space="0" w:color="auto"/>
              <w:right w:val="single" w:sz="4" w:space="0" w:color="auto"/>
            </w:tcBorders>
            <w:hideMark/>
          </w:tcPr>
          <w:p w14:paraId="3CB1385D" w14:textId="77777777" w:rsidR="001A52B9" w:rsidRPr="00E20031" w:rsidRDefault="001A52B9" w:rsidP="00E05472">
            <w:pPr>
              <w:keepNext/>
              <w:keepLines/>
              <w:jc w:val="left"/>
              <w:rPr>
                <w:rFonts w:ascii="Arial Narrow" w:hAnsi="Arial Narrow" w:cs="Calibri"/>
                <w:b/>
                <w:bCs/>
                <w:color w:val="000000"/>
                <w:sz w:val="20"/>
                <w:szCs w:val="20"/>
              </w:rPr>
            </w:pPr>
            <w:r w:rsidRPr="00E20031">
              <w:rPr>
                <w:rFonts w:ascii="Arial Narrow" w:hAnsi="Arial Narrow" w:cs="Calibri"/>
                <w:b/>
                <w:bCs/>
                <w:color w:val="000000"/>
                <w:sz w:val="20"/>
                <w:szCs w:val="20"/>
              </w:rPr>
              <w:t>Net financial impact</w:t>
            </w:r>
          </w:p>
        </w:tc>
        <w:tc>
          <w:tcPr>
            <w:tcW w:w="1243" w:type="dxa"/>
            <w:tcBorders>
              <w:top w:val="nil"/>
              <w:left w:val="nil"/>
              <w:bottom w:val="single" w:sz="4" w:space="0" w:color="auto"/>
              <w:right w:val="single" w:sz="4" w:space="0" w:color="auto"/>
            </w:tcBorders>
            <w:hideMark/>
          </w:tcPr>
          <w:p w14:paraId="75CC0F7D" w14:textId="7ACDC989" w:rsidR="001A52B9" w:rsidRPr="00BD5F7C"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b/>
                <w:bCs/>
                <w:color w:val="000000"/>
                <w:sz w:val="20"/>
                <w:szCs w:val="20"/>
              </w:rPr>
              <w:t>$</w:t>
            </w:r>
            <w:r w:rsidR="00794BDD" w:rsidRPr="00794BDD">
              <w:rPr>
                <w:rFonts w:ascii="Arial Narrow" w:hAnsi="Arial Narrow" w:cs="Calibri"/>
                <w:b/>
                <w:bCs/>
                <w:color w:val="000000"/>
                <w:sz w:val="20"/>
                <w:szCs w:val="20"/>
                <w:highlight w:val="black"/>
              </w:rPr>
              <w:t>&amp;&amp;&amp;&amp;</w:t>
            </w:r>
            <w:r w:rsidR="00BD5F7C">
              <w:rPr>
                <w:rFonts w:ascii="Arial Narrow" w:hAnsi="Arial Narrow" w:cs="Calibri"/>
                <w:color w:val="000000"/>
                <w:sz w:val="20"/>
                <w:szCs w:val="20"/>
                <w:vertAlign w:val="superscript"/>
              </w:rPr>
              <w:t>6</w:t>
            </w:r>
          </w:p>
        </w:tc>
        <w:tc>
          <w:tcPr>
            <w:tcW w:w="1132" w:type="dxa"/>
            <w:tcBorders>
              <w:top w:val="nil"/>
              <w:left w:val="nil"/>
              <w:bottom w:val="single" w:sz="4" w:space="0" w:color="auto"/>
              <w:right w:val="single" w:sz="4" w:space="0" w:color="auto"/>
            </w:tcBorders>
            <w:hideMark/>
          </w:tcPr>
          <w:p w14:paraId="307B2818" w14:textId="3D769FD4" w:rsidR="001A52B9" w:rsidRPr="00BD5F7C"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b/>
                <w:bCs/>
                <w:color w:val="000000"/>
                <w:sz w:val="20"/>
                <w:szCs w:val="20"/>
              </w:rPr>
              <w:t>$</w:t>
            </w:r>
            <w:r w:rsidR="00794BDD" w:rsidRPr="00794BDD">
              <w:rPr>
                <w:rFonts w:ascii="Arial Narrow" w:hAnsi="Arial Narrow" w:cs="Calibri"/>
                <w:b/>
                <w:bCs/>
                <w:color w:val="000000"/>
                <w:sz w:val="20"/>
                <w:szCs w:val="20"/>
                <w:highlight w:val="black"/>
              </w:rPr>
              <w:t>&amp;&amp;&amp;&amp;</w:t>
            </w:r>
            <w:r w:rsidR="00BD5F7C">
              <w:rPr>
                <w:rFonts w:ascii="Arial Narrow" w:hAnsi="Arial Narrow" w:cs="Calibri"/>
                <w:color w:val="000000"/>
                <w:sz w:val="20"/>
                <w:szCs w:val="20"/>
                <w:vertAlign w:val="superscript"/>
              </w:rPr>
              <w:t>7</w:t>
            </w:r>
          </w:p>
        </w:tc>
        <w:tc>
          <w:tcPr>
            <w:tcW w:w="1132" w:type="dxa"/>
            <w:tcBorders>
              <w:top w:val="nil"/>
              <w:left w:val="nil"/>
              <w:bottom w:val="single" w:sz="4" w:space="0" w:color="auto"/>
              <w:right w:val="single" w:sz="4" w:space="0" w:color="auto"/>
            </w:tcBorders>
            <w:hideMark/>
          </w:tcPr>
          <w:p w14:paraId="7FBDF9F4" w14:textId="10EF79A3" w:rsidR="001A52B9" w:rsidRPr="00BD5F7C"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b/>
                <w:bCs/>
                <w:color w:val="000000"/>
                <w:sz w:val="20"/>
                <w:szCs w:val="20"/>
              </w:rPr>
              <w:t>$</w:t>
            </w:r>
            <w:r w:rsidR="00794BDD" w:rsidRPr="00794BDD">
              <w:rPr>
                <w:rFonts w:ascii="Arial Narrow" w:hAnsi="Arial Narrow" w:cs="Calibri"/>
                <w:b/>
                <w:bCs/>
                <w:color w:val="000000"/>
                <w:sz w:val="20"/>
                <w:szCs w:val="20"/>
                <w:highlight w:val="black"/>
              </w:rPr>
              <w:t>&amp;&amp;&amp;&amp;</w:t>
            </w:r>
            <w:r w:rsidR="00BD5F7C">
              <w:rPr>
                <w:rFonts w:ascii="Arial Narrow" w:hAnsi="Arial Narrow" w:cs="Calibri"/>
                <w:color w:val="000000"/>
                <w:sz w:val="20"/>
                <w:szCs w:val="20"/>
                <w:vertAlign w:val="superscript"/>
              </w:rPr>
              <w:t>9</w:t>
            </w:r>
          </w:p>
        </w:tc>
        <w:tc>
          <w:tcPr>
            <w:tcW w:w="1216" w:type="dxa"/>
            <w:tcBorders>
              <w:top w:val="nil"/>
              <w:left w:val="nil"/>
              <w:bottom w:val="single" w:sz="4" w:space="0" w:color="auto"/>
              <w:right w:val="single" w:sz="4" w:space="0" w:color="auto"/>
            </w:tcBorders>
            <w:hideMark/>
          </w:tcPr>
          <w:p w14:paraId="362B12A8" w14:textId="5CAD3738" w:rsidR="001A52B9" w:rsidRPr="0042223E"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b/>
                <w:bCs/>
                <w:color w:val="000000"/>
                <w:sz w:val="20"/>
                <w:szCs w:val="20"/>
              </w:rPr>
              <w:t>$</w:t>
            </w:r>
            <w:r w:rsidR="00794BDD" w:rsidRPr="00794BDD">
              <w:rPr>
                <w:rFonts w:ascii="Arial Narrow" w:hAnsi="Arial Narrow" w:cs="Calibri"/>
                <w:b/>
                <w:bCs/>
                <w:color w:val="000000"/>
                <w:sz w:val="20"/>
                <w:szCs w:val="20"/>
                <w:highlight w:val="black"/>
              </w:rPr>
              <w:t>&amp;&amp;&amp;&amp;</w:t>
            </w:r>
            <w:r w:rsidR="0042223E">
              <w:rPr>
                <w:rFonts w:ascii="Arial Narrow" w:hAnsi="Arial Narrow" w:cs="Calibri"/>
                <w:color w:val="000000"/>
                <w:sz w:val="20"/>
                <w:szCs w:val="20"/>
                <w:vertAlign w:val="superscript"/>
              </w:rPr>
              <w:t>10</w:t>
            </w:r>
          </w:p>
        </w:tc>
        <w:tc>
          <w:tcPr>
            <w:tcW w:w="1216" w:type="dxa"/>
            <w:tcBorders>
              <w:top w:val="nil"/>
              <w:left w:val="nil"/>
              <w:bottom w:val="single" w:sz="4" w:space="0" w:color="auto"/>
              <w:right w:val="single" w:sz="4" w:space="0" w:color="auto"/>
            </w:tcBorders>
            <w:hideMark/>
          </w:tcPr>
          <w:p w14:paraId="2D778B2D" w14:textId="4752B4FB" w:rsidR="001A52B9" w:rsidRPr="00083673"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b/>
                <w:bCs/>
                <w:color w:val="000000"/>
                <w:sz w:val="20"/>
                <w:szCs w:val="20"/>
              </w:rPr>
              <w:t>$</w:t>
            </w:r>
            <w:r w:rsidR="00794BDD" w:rsidRPr="00794BDD">
              <w:rPr>
                <w:rFonts w:ascii="Arial Narrow" w:hAnsi="Arial Narrow" w:cs="Calibri"/>
                <w:b/>
                <w:bCs/>
                <w:color w:val="000000"/>
                <w:sz w:val="20"/>
                <w:szCs w:val="20"/>
                <w:highlight w:val="black"/>
              </w:rPr>
              <w:t>&amp;&amp;&amp;&amp;</w:t>
            </w:r>
            <w:r w:rsidR="00083673">
              <w:rPr>
                <w:rFonts w:ascii="Arial Narrow" w:hAnsi="Arial Narrow" w:cs="Calibri"/>
                <w:color w:val="000000"/>
                <w:sz w:val="20"/>
                <w:szCs w:val="20"/>
                <w:vertAlign w:val="superscript"/>
              </w:rPr>
              <w:t>12</w:t>
            </w:r>
          </w:p>
        </w:tc>
        <w:tc>
          <w:tcPr>
            <w:tcW w:w="1216" w:type="dxa"/>
            <w:tcBorders>
              <w:top w:val="nil"/>
              <w:left w:val="nil"/>
              <w:bottom w:val="single" w:sz="4" w:space="0" w:color="auto"/>
              <w:right w:val="single" w:sz="4" w:space="0" w:color="auto"/>
            </w:tcBorders>
            <w:hideMark/>
          </w:tcPr>
          <w:p w14:paraId="5E231683" w14:textId="53031C52" w:rsidR="001A52B9" w:rsidRPr="00083673" w:rsidRDefault="001A52B9" w:rsidP="00E05472">
            <w:pPr>
              <w:keepNext/>
              <w:keepLines/>
              <w:jc w:val="right"/>
              <w:rPr>
                <w:rFonts w:ascii="Arial Narrow" w:hAnsi="Arial Narrow" w:cs="Calibri"/>
                <w:color w:val="000000"/>
                <w:sz w:val="20"/>
                <w:szCs w:val="20"/>
                <w:vertAlign w:val="superscript"/>
              </w:rPr>
            </w:pPr>
            <w:r w:rsidRPr="00E20031">
              <w:rPr>
                <w:rFonts w:ascii="Arial Narrow" w:hAnsi="Arial Narrow" w:cs="Calibri"/>
                <w:b/>
                <w:bCs/>
                <w:color w:val="000000"/>
                <w:sz w:val="20"/>
                <w:szCs w:val="20"/>
              </w:rPr>
              <w:t>$</w:t>
            </w:r>
            <w:r w:rsidR="00794BDD" w:rsidRPr="00794BDD">
              <w:rPr>
                <w:rFonts w:ascii="Arial Narrow" w:hAnsi="Arial Narrow" w:cs="Calibri"/>
                <w:b/>
                <w:bCs/>
                <w:color w:val="000000"/>
                <w:sz w:val="20"/>
                <w:szCs w:val="20"/>
                <w:highlight w:val="black"/>
              </w:rPr>
              <w:t>&amp;&amp;&amp;&amp;</w:t>
            </w:r>
            <w:r w:rsidR="00083673">
              <w:rPr>
                <w:rFonts w:ascii="Arial Narrow" w:hAnsi="Arial Narrow" w:cs="Calibri"/>
                <w:color w:val="000000"/>
                <w:sz w:val="20"/>
                <w:szCs w:val="20"/>
                <w:vertAlign w:val="superscript"/>
              </w:rPr>
              <w:t>12</w:t>
            </w:r>
          </w:p>
        </w:tc>
      </w:tr>
    </w:tbl>
    <w:p w14:paraId="205CBC25" w14:textId="544620D1" w:rsidR="00900E07" w:rsidRDefault="001A52B9" w:rsidP="00900E07">
      <w:pPr>
        <w:keepNext/>
        <w:keepLines/>
        <w:rPr>
          <w:rFonts w:ascii="Arial Narrow" w:hAnsi="Arial Narrow"/>
          <w:i/>
          <w:sz w:val="18"/>
          <w:szCs w:val="18"/>
        </w:rPr>
      </w:pPr>
      <w:r w:rsidRPr="00E20031">
        <w:rPr>
          <w:rFonts w:ascii="Arial Narrow" w:hAnsi="Arial Narrow" w:cs="Calibri"/>
          <w:color w:val="000000"/>
          <w:sz w:val="20"/>
          <w:szCs w:val="20"/>
        </w:rPr>
        <w:t xml:space="preserve">Source: The financial estimates from the submission: 3a. Scripts – proposed, 3c. Impact </w:t>
      </w:r>
      <w:r w:rsidR="00397B07">
        <w:rPr>
          <w:rFonts w:ascii="Arial Narrow" w:hAnsi="Arial Narrow" w:cs="Calibri"/>
          <w:color w:val="000000"/>
          <w:sz w:val="20"/>
          <w:szCs w:val="20"/>
        </w:rPr>
        <w:noBreakHyphen/>
      </w:r>
      <w:r w:rsidRPr="00E20031">
        <w:rPr>
          <w:rFonts w:ascii="Arial Narrow" w:hAnsi="Arial Narrow" w:cs="Calibri"/>
          <w:color w:val="000000"/>
          <w:sz w:val="20"/>
          <w:szCs w:val="20"/>
        </w:rPr>
        <w:t xml:space="preserve"> proposed (eff), 4c. Impact </w:t>
      </w:r>
      <w:r w:rsidR="00397B07">
        <w:rPr>
          <w:rFonts w:ascii="Arial Narrow" w:hAnsi="Arial Narrow" w:cs="Calibri"/>
          <w:color w:val="000000"/>
          <w:sz w:val="20"/>
          <w:szCs w:val="20"/>
        </w:rPr>
        <w:noBreakHyphen/>
      </w:r>
      <w:r w:rsidRPr="00E20031">
        <w:rPr>
          <w:rFonts w:ascii="Arial Narrow" w:hAnsi="Arial Narrow" w:cs="Calibri"/>
          <w:color w:val="000000"/>
          <w:sz w:val="20"/>
          <w:szCs w:val="20"/>
        </w:rPr>
        <w:t xml:space="preserve"> affected (eff), 5. Impact </w:t>
      </w:r>
      <w:r w:rsidR="00397B07">
        <w:rPr>
          <w:rFonts w:ascii="Arial Narrow" w:hAnsi="Arial Narrow" w:cs="Calibri"/>
          <w:color w:val="000000"/>
          <w:sz w:val="20"/>
          <w:szCs w:val="20"/>
        </w:rPr>
        <w:noBreakHyphen/>
      </w:r>
      <w:r w:rsidRPr="00E20031">
        <w:rPr>
          <w:rFonts w:ascii="Arial Narrow" w:hAnsi="Arial Narrow" w:cs="Calibri"/>
          <w:color w:val="000000"/>
          <w:sz w:val="20"/>
          <w:szCs w:val="20"/>
        </w:rPr>
        <w:t xml:space="preserve"> net, 7. Net changes </w:t>
      </w:r>
      <w:r w:rsidR="00900E07">
        <w:rPr>
          <w:rFonts w:ascii="Arial Narrow" w:hAnsi="Arial Narrow" w:cs="Calibri"/>
          <w:color w:val="000000"/>
          <w:sz w:val="20"/>
          <w:szCs w:val="20"/>
        </w:rPr>
        <w:t>–</w:t>
      </w:r>
      <w:r w:rsidRPr="00E20031">
        <w:rPr>
          <w:rFonts w:ascii="Arial Narrow" w:hAnsi="Arial Narrow" w:cs="Calibri"/>
          <w:color w:val="000000"/>
          <w:sz w:val="20"/>
          <w:szCs w:val="20"/>
        </w:rPr>
        <w:t xml:space="preserve"> MBS</w:t>
      </w:r>
    </w:p>
    <w:p w14:paraId="48A2BA96" w14:textId="1C0253FC" w:rsidR="00900E07" w:rsidRPr="00900E07" w:rsidRDefault="00900E07" w:rsidP="00900E07">
      <w:pPr>
        <w:keepNext/>
        <w:keepLines/>
        <w:rPr>
          <w:rFonts w:ascii="Arial Narrow" w:hAnsi="Arial Narrow" w:cs="Calibri"/>
          <w:i/>
          <w:color w:val="000000"/>
          <w:sz w:val="20"/>
          <w:szCs w:val="20"/>
        </w:rPr>
      </w:pPr>
      <w:r w:rsidRPr="00900E07">
        <w:rPr>
          <w:rFonts w:ascii="Arial Narrow" w:hAnsi="Arial Narrow" w:cs="Calibri"/>
          <w:i/>
          <w:color w:val="000000"/>
          <w:sz w:val="20"/>
          <w:szCs w:val="20"/>
        </w:rPr>
        <w:t xml:space="preserve">The redacted values correspond to the following ranges: </w:t>
      </w:r>
    </w:p>
    <w:p w14:paraId="25DCEE20" w14:textId="7789F2CC" w:rsidR="00900E07" w:rsidRPr="00900E07" w:rsidRDefault="00900E07" w:rsidP="00900E07">
      <w:pPr>
        <w:keepNext/>
        <w:keepLines/>
        <w:rPr>
          <w:rFonts w:ascii="Arial Narrow" w:hAnsi="Arial Narrow" w:cs="Calibri"/>
          <w:i/>
          <w:color w:val="000000"/>
          <w:sz w:val="20"/>
          <w:szCs w:val="20"/>
        </w:rPr>
      </w:pPr>
      <w:r w:rsidRPr="00900E07">
        <w:rPr>
          <w:rFonts w:ascii="Arial Narrow" w:hAnsi="Arial Narrow" w:cs="Calibri"/>
          <w:i/>
          <w:color w:val="000000"/>
          <w:sz w:val="20"/>
          <w:szCs w:val="20"/>
          <w:vertAlign w:val="superscript"/>
        </w:rPr>
        <w:t>1</w:t>
      </w:r>
      <w:r w:rsidRPr="00900E07">
        <w:rPr>
          <w:rFonts w:ascii="Arial Narrow" w:hAnsi="Arial Narrow" w:cs="Calibri"/>
          <w:i/>
          <w:color w:val="000000"/>
          <w:sz w:val="20"/>
          <w:szCs w:val="20"/>
        </w:rPr>
        <w:t xml:space="preserve"> </w:t>
      </w:r>
      <w:r w:rsidR="00A00C0B" w:rsidRPr="00A00C0B">
        <w:rPr>
          <w:rFonts w:ascii="Arial Narrow" w:hAnsi="Arial Narrow" w:cs="Calibri"/>
          <w:i/>
          <w:color w:val="000000"/>
          <w:sz w:val="20"/>
          <w:szCs w:val="20"/>
        </w:rPr>
        <w:t>5,000 to &lt; 10,000</w:t>
      </w:r>
    </w:p>
    <w:p w14:paraId="27A80F1A" w14:textId="467270C1" w:rsidR="00900E07" w:rsidRPr="00900E07" w:rsidRDefault="00900E07" w:rsidP="00900E07">
      <w:pPr>
        <w:keepNext/>
        <w:keepLines/>
        <w:rPr>
          <w:rFonts w:ascii="Arial Narrow" w:hAnsi="Arial Narrow" w:cs="Calibri"/>
          <w:i/>
          <w:color w:val="000000"/>
          <w:sz w:val="20"/>
          <w:szCs w:val="20"/>
        </w:rPr>
      </w:pPr>
      <w:r w:rsidRPr="00900E07">
        <w:rPr>
          <w:rFonts w:ascii="Arial Narrow" w:hAnsi="Arial Narrow" w:cs="Calibri"/>
          <w:i/>
          <w:color w:val="000000"/>
          <w:sz w:val="20"/>
          <w:szCs w:val="20"/>
          <w:vertAlign w:val="superscript"/>
        </w:rPr>
        <w:t>2</w:t>
      </w:r>
      <w:r w:rsidRPr="00900E07">
        <w:rPr>
          <w:rFonts w:ascii="Arial Narrow" w:hAnsi="Arial Narrow" w:cs="Calibri"/>
          <w:i/>
          <w:color w:val="000000"/>
          <w:sz w:val="20"/>
          <w:szCs w:val="20"/>
        </w:rPr>
        <w:t xml:space="preserve"> </w:t>
      </w:r>
      <w:r w:rsidR="000D0445" w:rsidRPr="000D0445">
        <w:rPr>
          <w:rFonts w:ascii="Arial Narrow" w:hAnsi="Arial Narrow" w:cs="Calibri"/>
          <w:i/>
          <w:color w:val="000000"/>
          <w:sz w:val="20"/>
          <w:szCs w:val="20"/>
        </w:rPr>
        <w:t>10,000 to &lt; 20,000</w:t>
      </w:r>
    </w:p>
    <w:p w14:paraId="75582B3D" w14:textId="2889ED4B" w:rsidR="00900E07" w:rsidRPr="00900E07" w:rsidRDefault="00900E07" w:rsidP="00900E07">
      <w:pPr>
        <w:keepNext/>
        <w:keepLines/>
        <w:rPr>
          <w:rFonts w:ascii="Arial Narrow" w:hAnsi="Arial Narrow" w:cs="Calibri"/>
          <w:i/>
          <w:color w:val="000000"/>
          <w:sz w:val="20"/>
          <w:szCs w:val="20"/>
        </w:rPr>
      </w:pPr>
      <w:r w:rsidRPr="00900E07">
        <w:rPr>
          <w:rFonts w:ascii="Arial Narrow" w:hAnsi="Arial Narrow" w:cs="Calibri"/>
          <w:i/>
          <w:color w:val="000000"/>
          <w:sz w:val="20"/>
          <w:szCs w:val="20"/>
          <w:vertAlign w:val="superscript"/>
        </w:rPr>
        <w:t>3</w:t>
      </w:r>
      <w:r w:rsidRPr="00900E07">
        <w:rPr>
          <w:rFonts w:ascii="Arial Narrow" w:hAnsi="Arial Narrow" w:cs="Calibri"/>
          <w:i/>
          <w:color w:val="000000"/>
          <w:sz w:val="20"/>
          <w:szCs w:val="20"/>
        </w:rPr>
        <w:t xml:space="preserve"> </w:t>
      </w:r>
      <w:r w:rsidR="00ED3CD8" w:rsidRPr="00ED3CD8">
        <w:rPr>
          <w:rFonts w:ascii="Arial Narrow" w:hAnsi="Arial Narrow" w:cs="Calibri"/>
          <w:i/>
          <w:color w:val="000000"/>
          <w:sz w:val="20"/>
          <w:szCs w:val="20"/>
        </w:rPr>
        <w:t>20,000 to &lt; 30,000</w:t>
      </w:r>
    </w:p>
    <w:p w14:paraId="527FB859" w14:textId="5C9F1C65" w:rsidR="00900E07" w:rsidRPr="00900E07" w:rsidRDefault="00900E07" w:rsidP="00900E07">
      <w:pPr>
        <w:keepNext/>
        <w:keepLines/>
        <w:rPr>
          <w:rFonts w:ascii="Arial Narrow" w:hAnsi="Arial Narrow" w:cs="Calibri"/>
          <w:i/>
          <w:color w:val="000000"/>
          <w:sz w:val="20"/>
          <w:szCs w:val="20"/>
        </w:rPr>
      </w:pPr>
      <w:r w:rsidRPr="00900E07">
        <w:rPr>
          <w:rFonts w:ascii="Arial Narrow" w:hAnsi="Arial Narrow" w:cs="Calibri"/>
          <w:i/>
          <w:color w:val="000000"/>
          <w:sz w:val="20"/>
          <w:szCs w:val="20"/>
          <w:vertAlign w:val="superscript"/>
        </w:rPr>
        <w:t>4</w:t>
      </w:r>
      <w:r w:rsidRPr="00900E07">
        <w:rPr>
          <w:rFonts w:ascii="Arial Narrow" w:hAnsi="Arial Narrow" w:cs="Calibri"/>
          <w:i/>
          <w:color w:val="000000"/>
          <w:sz w:val="20"/>
          <w:szCs w:val="20"/>
        </w:rPr>
        <w:t xml:space="preserve"> </w:t>
      </w:r>
      <w:r w:rsidR="005A21D8" w:rsidRPr="005A21D8">
        <w:rPr>
          <w:rFonts w:ascii="Arial Narrow" w:hAnsi="Arial Narrow" w:cs="Calibri"/>
          <w:i/>
          <w:color w:val="000000"/>
          <w:sz w:val="20"/>
          <w:szCs w:val="20"/>
        </w:rPr>
        <w:t>30,000 to &lt; 40,000</w:t>
      </w:r>
    </w:p>
    <w:p w14:paraId="08D00B79" w14:textId="5265D70A" w:rsidR="00900E07" w:rsidRPr="00900E07" w:rsidRDefault="00900E07" w:rsidP="00900E07">
      <w:pPr>
        <w:keepNext/>
        <w:keepLines/>
        <w:rPr>
          <w:rFonts w:ascii="Arial Narrow" w:hAnsi="Arial Narrow" w:cs="Calibri"/>
          <w:i/>
          <w:color w:val="000000"/>
          <w:sz w:val="20"/>
          <w:szCs w:val="20"/>
        </w:rPr>
      </w:pPr>
      <w:r w:rsidRPr="00900E07">
        <w:rPr>
          <w:rFonts w:ascii="Arial Narrow" w:hAnsi="Arial Narrow" w:cs="Calibri"/>
          <w:i/>
          <w:color w:val="000000"/>
          <w:sz w:val="20"/>
          <w:szCs w:val="20"/>
          <w:vertAlign w:val="superscript"/>
        </w:rPr>
        <w:t>5</w:t>
      </w:r>
      <w:r w:rsidRPr="00900E07">
        <w:rPr>
          <w:rFonts w:ascii="Arial Narrow" w:hAnsi="Arial Narrow" w:cs="Calibri"/>
          <w:i/>
          <w:color w:val="000000"/>
          <w:sz w:val="20"/>
          <w:szCs w:val="20"/>
        </w:rPr>
        <w:t xml:space="preserve"> </w:t>
      </w:r>
      <w:r w:rsidR="00D3540E" w:rsidRPr="00D3540E">
        <w:rPr>
          <w:rFonts w:ascii="Arial Narrow" w:hAnsi="Arial Narrow" w:cs="Calibri"/>
          <w:i/>
          <w:color w:val="000000"/>
          <w:sz w:val="20"/>
          <w:szCs w:val="20"/>
        </w:rPr>
        <w:t>40,000 to &lt; 50,000</w:t>
      </w:r>
    </w:p>
    <w:p w14:paraId="4C6374E8" w14:textId="77777777" w:rsidR="00D5338E" w:rsidRDefault="00900E07" w:rsidP="00D5338E">
      <w:pPr>
        <w:keepNext/>
        <w:keepLines/>
        <w:rPr>
          <w:rFonts w:ascii="Arial Narrow" w:hAnsi="Arial Narrow" w:cs="Calibri"/>
          <w:i/>
          <w:color w:val="000000"/>
          <w:sz w:val="20"/>
          <w:szCs w:val="20"/>
        </w:rPr>
      </w:pPr>
      <w:r w:rsidRPr="00900E07">
        <w:rPr>
          <w:rFonts w:ascii="Arial Narrow" w:hAnsi="Arial Narrow" w:cs="Calibri"/>
          <w:i/>
          <w:color w:val="000000"/>
          <w:sz w:val="20"/>
          <w:szCs w:val="20"/>
          <w:vertAlign w:val="superscript"/>
        </w:rPr>
        <w:t>6</w:t>
      </w:r>
      <w:r w:rsidRPr="00900E07">
        <w:rPr>
          <w:rFonts w:ascii="Arial Narrow" w:hAnsi="Arial Narrow" w:cs="Calibri"/>
          <w:i/>
          <w:color w:val="000000"/>
          <w:sz w:val="20"/>
          <w:szCs w:val="20"/>
        </w:rPr>
        <w:t xml:space="preserve"> </w:t>
      </w:r>
      <w:r w:rsidR="00D5338E" w:rsidRPr="00D5338E">
        <w:rPr>
          <w:rFonts w:ascii="Arial Narrow" w:hAnsi="Arial Narrow" w:cs="Calibri"/>
          <w:i/>
          <w:color w:val="000000"/>
          <w:sz w:val="20"/>
          <w:szCs w:val="20"/>
        </w:rPr>
        <w:t>$0 to &lt; $10 million</w:t>
      </w:r>
    </w:p>
    <w:p w14:paraId="6FC48FF5" w14:textId="7093B97B" w:rsidR="00D5338E" w:rsidRDefault="00D5338E" w:rsidP="00D5338E">
      <w:pPr>
        <w:keepNext/>
        <w:keepLines/>
        <w:rPr>
          <w:rFonts w:ascii="Arial Narrow" w:hAnsi="Arial Narrow" w:cs="Calibri"/>
          <w:i/>
          <w:color w:val="000000"/>
          <w:sz w:val="20"/>
          <w:szCs w:val="20"/>
        </w:rPr>
      </w:pPr>
      <w:r>
        <w:rPr>
          <w:rFonts w:ascii="Arial Narrow" w:hAnsi="Arial Narrow" w:cs="Calibri"/>
          <w:i/>
          <w:color w:val="000000"/>
          <w:sz w:val="20"/>
          <w:szCs w:val="20"/>
          <w:vertAlign w:val="superscript"/>
        </w:rPr>
        <w:t>7</w:t>
      </w:r>
      <w:r>
        <w:rPr>
          <w:rFonts w:ascii="Arial Narrow" w:hAnsi="Arial Narrow" w:cs="Calibri"/>
          <w:i/>
          <w:color w:val="000000"/>
          <w:sz w:val="20"/>
          <w:szCs w:val="20"/>
        </w:rPr>
        <w:t xml:space="preserve"> </w:t>
      </w:r>
      <w:r w:rsidR="00485867" w:rsidRPr="00485867">
        <w:rPr>
          <w:rFonts w:ascii="Arial Narrow" w:hAnsi="Arial Narrow" w:cs="Calibri"/>
          <w:i/>
          <w:color w:val="000000"/>
          <w:sz w:val="20"/>
          <w:szCs w:val="20"/>
        </w:rPr>
        <w:t>$20 million to &lt; $30 million</w:t>
      </w:r>
    </w:p>
    <w:p w14:paraId="6F8728D3" w14:textId="6C27219B" w:rsidR="00485867" w:rsidRDefault="00485867" w:rsidP="00D5338E">
      <w:pPr>
        <w:keepNext/>
        <w:keepLines/>
        <w:rPr>
          <w:rFonts w:ascii="Arial Narrow" w:hAnsi="Arial Narrow" w:cs="Calibri"/>
          <w:i/>
          <w:color w:val="000000"/>
          <w:sz w:val="20"/>
          <w:szCs w:val="20"/>
        </w:rPr>
      </w:pPr>
      <w:r>
        <w:rPr>
          <w:rFonts w:ascii="Arial Narrow" w:hAnsi="Arial Narrow" w:cs="Calibri"/>
          <w:i/>
          <w:color w:val="000000"/>
          <w:sz w:val="20"/>
          <w:szCs w:val="20"/>
          <w:vertAlign w:val="superscript"/>
        </w:rPr>
        <w:t>8</w:t>
      </w:r>
      <w:r>
        <w:rPr>
          <w:rFonts w:ascii="Arial Narrow" w:hAnsi="Arial Narrow" w:cs="Calibri"/>
          <w:i/>
          <w:color w:val="000000"/>
          <w:sz w:val="20"/>
          <w:szCs w:val="20"/>
        </w:rPr>
        <w:t xml:space="preserve"> </w:t>
      </w:r>
      <w:r w:rsidR="00A912FA" w:rsidRPr="00A912FA">
        <w:rPr>
          <w:rFonts w:ascii="Arial Narrow" w:hAnsi="Arial Narrow" w:cs="Calibri"/>
          <w:i/>
          <w:color w:val="000000"/>
          <w:sz w:val="20"/>
          <w:szCs w:val="20"/>
        </w:rPr>
        <w:t>$30 million to &lt; $40 million</w:t>
      </w:r>
    </w:p>
    <w:p w14:paraId="4B085DD1" w14:textId="53E8CE70" w:rsidR="00CA6DC8" w:rsidRDefault="00CA6DC8" w:rsidP="00D5338E">
      <w:pPr>
        <w:keepNext/>
        <w:keepLines/>
        <w:rPr>
          <w:rFonts w:ascii="Arial Narrow" w:hAnsi="Arial Narrow" w:cs="Calibri"/>
          <w:i/>
          <w:color w:val="000000"/>
          <w:sz w:val="20"/>
          <w:szCs w:val="20"/>
        </w:rPr>
      </w:pPr>
      <w:r>
        <w:rPr>
          <w:rFonts w:ascii="Arial Narrow" w:hAnsi="Arial Narrow" w:cs="Calibri"/>
          <w:i/>
          <w:color w:val="000000"/>
          <w:sz w:val="20"/>
          <w:szCs w:val="20"/>
          <w:vertAlign w:val="superscript"/>
        </w:rPr>
        <w:t>9</w:t>
      </w:r>
      <w:r>
        <w:rPr>
          <w:rFonts w:ascii="Arial Narrow" w:hAnsi="Arial Narrow" w:cs="Calibri"/>
          <w:i/>
          <w:color w:val="000000"/>
          <w:sz w:val="20"/>
          <w:szCs w:val="20"/>
        </w:rPr>
        <w:t xml:space="preserve"> </w:t>
      </w:r>
      <w:r w:rsidRPr="00CA6DC8">
        <w:rPr>
          <w:rFonts w:ascii="Arial Narrow" w:hAnsi="Arial Narrow" w:cs="Calibri"/>
          <w:i/>
          <w:color w:val="000000"/>
          <w:sz w:val="20"/>
          <w:szCs w:val="20"/>
        </w:rPr>
        <w:t>$40 million to &lt; $50 million</w:t>
      </w:r>
    </w:p>
    <w:p w14:paraId="043D7A07" w14:textId="77777777" w:rsidR="00FF1216" w:rsidRDefault="00FF1216" w:rsidP="00FF1216">
      <w:pPr>
        <w:keepNext/>
        <w:keepLines/>
        <w:rPr>
          <w:rFonts w:ascii="Arial Narrow" w:hAnsi="Arial Narrow" w:cs="Calibri"/>
          <w:i/>
          <w:color w:val="000000"/>
          <w:sz w:val="20"/>
          <w:szCs w:val="20"/>
        </w:rPr>
      </w:pPr>
      <w:r w:rsidRPr="00FF1216">
        <w:rPr>
          <w:rFonts w:ascii="Arial Narrow" w:hAnsi="Arial Narrow" w:cs="Calibri"/>
          <w:i/>
          <w:color w:val="000000"/>
          <w:sz w:val="20"/>
          <w:szCs w:val="20"/>
          <w:vertAlign w:val="superscript"/>
        </w:rPr>
        <w:t xml:space="preserve">10 </w:t>
      </w:r>
      <w:r w:rsidRPr="00FF1216">
        <w:rPr>
          <w:rFonts w:ascii="Arial Narrow" w:hAnsi="Arial Narrow" w:cs="Calibri"/>
          <w:i/>
          <w:color w:val="000000"/>
          <w:sz w:val="20"/>
          <w:szCs w:val="20"/>
        </w:rPr>
        <w:t>$50 million to &lt; $60 million</w:t>
      </w:r>
    </w:p>
    <w:p w14:paraId="4AF29D93" w14:textId="334A21DA" w:rsidR="00052E79" w:rsidRDefault="00052E79" w:rsidP="00FF1216">
      <w:pPr>
        <w:keepNext/>
        <w:keepLines/>
        <w:rPr>
          <w:rFonts w:ascii="Arial Narrow" w:hAnsi="Arial Narrow" w:cs="Calibri"/>
          <w:i/>
          <w:color w:val="000000"/>
          <w:sz w:val="20"/>
          <w:szCs w:val="20"/>
        </w:rPr>
      </w:pPr>
      <w:r>
        <w:rPr>
          <w:rFonts w:ascii="Arial Narrow" w:hAnsi="Arial Narrow" w:cs="Calibri"/>
          <w:i/>
          <w:color w:val="000000"/>
          <w:sz w:val="20"/>
          <w:szCs w:val="20"/>
          <w:vertAlign w:val="superscript"/>
        </w:rPr>
        <w:t xml:space="preserve">11 </w:t>
      </w:r>
      <w:r w:rsidR="00EE2CA6" w:rsidRPr="00EE2CA6">
        <w:rPr>
          <w:rFonts w:ascii="Arial Narrow" w:hAnsi="Arial Narrow" w:cs="Calibri"/>
          <w:i/>
          <w:color w:val="000000"/>
          <w:sz w:val="20"/>
          <w:szCs w:val="20"/>
        </w:rPr>
        <w:t>$10 million to &lt; $20 million</w:t>
      </w:r>
    </w:p>
    <w:p w14:paraId="3054CBF8" w14:textId="2E83868B" w:rsidR="00900E07" w:rsidRPr="00900E07" w:rsidRDefault="0042223E" w:rsidP="00900E07">
      <w:pPr>
        <w:keepNext/>
        <w:keepLines/>
        <w:rPr>
          <w:rFonts w:ascii="Arial Narrow" w:hAnsi="Arial Narrow" w:cs="Calibri"/>
          <w:i/>
          <w:color w:val="000000"/>
          <w:sz w:val="20"/>
          <w:szCs w:val="20"/>
        </w:rPr>
      </w:pPr>
      <w:r>
        <w:rPr>
          <w:rFonts w:ascii="Arial Narrow" w:hAnsi="Arial Narrow" w:cs="Calibri"/>
          <w:i/>
          <w:color w:val="000000"/>
          <w:sz w:val="20"/>
          <w:szCs w:val="20"/>
          <w:vertAlign w:val="superscript"/>
        </w:rPr>
        <w:t xml:space="preserve">12 </w:t>
      </w:r>
      <w:r w:rsidR="00083673" w:rsidRPr="00083673">
        <w:rPr>
          <w:rFonts w:ascii="Arial Narrow" w:hAnsi="Arial Narrow" w:cs="Calibri"/>
          <w:i/>
          <w:color w:val="000000"/>
          <w:sz w:val="20"/>
          <w:szCs w:val="20"/>
        </w:rPr>
        <w:t>$70 million to &lt; $80 million</w:t>
      </w:r>
    </w:p>
    <w:p w14:paraId="03D6788D" w14:textId="4021A69C" w:rsidR="001A52B9" w:rsidRPr="00E20031" w:rsidRDefault="001A52B9" w:rsidP="00E05472">
      <w:pPr>
        <w:keepNext/>
        <w:keepLines/>
        <w:rPr>
          <w:rFonts w:ascii="Arial Narrow" w:hAnsi="Arial Narrow" w:cs="Calibri"/>
          <w:color w:val="000000"/>
          <w:sz w:val="20"/>
          <w:szCs w:val="20"/>
        </w:rPr>
      </w:pPr>
    </w:p>
    <w:p w14:paraId="55DB5DB7" w14:textId="77777777" w:rsidR="001A52B9" w:rsidRPr="00E20031" w:rsidRDefault="001A52B9" w:rsidP="001A52B9"/>
    <w:p w14:paraId="5BA7118E" w14:textId="4F28E0F0" w:rsidR="001A52B9" w:rsidRPr="00E20031" w:rsidRDefault="001A52B9" w:rsidP="001A52B9">
      <w:pPr>
        <w:pStyle w:val="3-BodyText"/>
      </w:pPr>
      <w:r w:rsidRPr="00E20031">
        <w:t xml:space="preserve">The total cost to the PBS/RPBS of listing pegcetacoplan was estimated to be </w:t>
      </w:r>
      <w:r w:rsidR="00D30A90" w:rsidRPr="00D30A90">
        <w:t>$50 million to &lt; $60 million</w:t>
      </w:r>
      <w:r w:rsidRPr="00E20031">
        <w:t xml:space="preserve"> in Year 6, and a total of </w:t>
      </w:r>
      <w:r w:rsidR="00F93755" w:rsidRPr="00F93755">
        <w:t>$200 million to &lt; $300 million</w:t>
      </w:r>
      <w:r w:rsidRPr="00E20031">
        <w:t xml:space="preserve"> in the first 6 years of listing</w:t>
      </w:r>
      <w:r w:rsidRPr="00E20031">
        <w:rPr>
          <w:color w:val="3366FF"/>
        </w:rPr>
        <w:t>.</w:t>
      </w:r>
    </w:p>
    <w:p w14:paraId="351A251F" w14:textId="6E07AA71" w:rsidR="001A52B9" w:rsidRPr="006A50FB" w:rsidRDefault="006A50FB" w:rsidP="006A50FB">
      <w:pPr>
        <w:pStyle w:val="3-BodyText"/>
      </w:pPr>
      <w:r>
        <w:t xml:space="preserve">The </w:t>
      </w:r>
      <w:r w:rsidR="001A52B9" w:rsidRPr="006A50FB">
        <w:t>DUSC consider</w:t>
      </w:r>
      <w:r>
        <w:t>ed</w:t>
      </w:r>
      <w:r w:rsidR="001A52B9" w:rsidRPr="006A50FB">
        <w:t xml:space="preserve"> </w:t>
      </w:r>
      <w:r w:rsidR="001A52B9" w:rsidRPr="006A50FB" w:rsidDel="0000607C">
        <w:t xml:space="preserve">the </w:t>
      </w:r>
      <w:r w:rsidR="001A52B9" w:rsidRPr="006A50FB">
        <w:t xml:space="preserve">main issues </w:t>
      </w:r>
      <w:r w:rsidR="0000607C">
        <w:t xml:space="preserve">with the estimates </w:t>
      </w:r>
      <w:r>
        <w:t>were</w:t>
      </w:r>
      <w:r w:rsidR="001A52B9" w:rsidRPr="006A50FB">
        <w:t>:</w:t>
      </w:r>
    </w:p>
    <w:p w14:paraId="470EEE4D" w14:textId="200D3B0D" w:rsidR="001A52B9" w:rsidRPr="006A50FB" w:rsidRDefault="00F97170" w:rsidP="000D0A8D">
      <w:pPr>
        <w:pStyle w:val="ListParagraph"/>
        <w:numPr>
          <w:ilvl w:val="1"/>
          <w:numId w:val="11"/>
        </w:numPr>
        <w:jc w:val="both"/>
        <w:rPr>
          <w:rFonts w:eastAsia="SimSun"/>
        </w:rPr>
      </w:pPr>
      <w:r w:rsidRPr="006A50FB">
        <w:rPr>
          <w:rFonts w:eastAsia="SimSun"/>
        </w:rPr>
        <w:t>that</w:t>
      </w:r>
      <w:r w:rsidR="001A52B9" w:rsidRPr="006A50FB">
        <w:rPr>
          <w:rFonts w:eastAsia="SimSun"/>
        </w:rPr>
        <w:t xml:space="preserve"> there was a near market comparator </w:t>
      </w:r>
      <w:r w:rsidR="00397B07">
        <w:rPr>
          <w:rFonts w:eastAsia="SimSun"/>
        </w:rPr>
        <w:noBreakHyphen/>
      </w:r>
      <w:r w:rsidR="001A52B9" w:rsidRPr="006A50FB">
        <w:rPr>
          <w:rFonts w:eastAsia="SimSun"/>
        </w:rPr>
        <w:t xml:space="preserve"> avacincaptad pegol </w:t>
      </w:r>
      <w:r w:rsidR="00397B07">
        <w:rPr>
          <w:rFonts w:eastAsia="SimSun"/>
        </w:rPr>
        <w:noBreakHyphen/>
      </w:r>
      <w:r w:rsidR="001A52B9" w:rsidRPr="006A50FB">
        <w:rPr>
          <w:rFonts w:eastAsia="SimSun"/>
        </w:rPr>
        <w:t xml:space="preserve"> which may influence the utilisation of pegcetacoplan.</w:t>
      </w:r>
    </w:p>
    <w:p w14:paraId="22D8EA39" w14:textId="12643B87" w:rsidR="001A52B9" w:rsidRPr="006A50FB" w:rsidRDefault="001A52B9" w:rsidP="000D0A8D">
      <w:pPr>
        <w:pStyle w:val="ListParagraph"/>
        <w:numPr>
          <w:ilvl w:val="1"/>
          <w:numId w:val="11"/>
        </w:numPr>
        <w:jc w:val="both"/>
        <w:rPr>
          <w:rFonts w:eastAsia="SimSun"/>
        </w:rPr>
      </w:pPr>
      <w:r w:rsidRPr="006A50FB">
        <w:rPr>
          <w:rFonts w:eastAsia="SimSun"/>
        </w:rPr>
        <w:t>that the use of scripts as a basis for the modelling was reasonable but could increase the risk of errors in the estimates of later year utilisation. DUSC considered that the utilisation could have been more accurately modelled on patient numbers rather than scripts. DUSC noted that the number of scripts for 60</w:t>
      </w:r>
      <w:r w:rsidR="00397B07">
        <w:rPr>
          <w:rFonts w:eastAsia="SimSun"/>
        </w:rPr>
        <w:noBreakHyphen/>
      </w:r>
      <w:r w:rsidRPr="006A50FB">
        <w:rPr>
          <w:rFonts w:eastAsia="SimSun"/>
        </w:rPr>
        <w:t xml:space="preserve">day dosing would come out to 6 per year. DUSC noted that the use of scripts was based only on patients who remained in the clinical trials and did not include those that </w:t>
      </w:r>
      <w:r w:rsidR="00474A69">
        <w:rPr>
          <w:rFonts w:eastAsia="SimSun"/>
        </w:rPr>
        <w:t>discontinued</w:t>
      </w:r>
      <w:r w:rsidRPr="006A50FB">
        <w:rPr>
          <w:rFonts w:eastAsia="SimSun"/>
        </w:rPr>
        <w:t xml:space="preserve">. </w:t>
      </w:r>
    </w:p>
    <w:p w14:paraId="769E55E9" w14:textId="6B854EFC" w:rsidR="001A52B9" w:rsidRPr="006A50FB" w:rsidRDefault="001A52B9" w:rsidP="000D0A8D">
      <w:pPr>
        <w:pStyle w:val="ListParagraph"/>
        <w:numPr>
          <w:ilvl w:val="1"/>
          <w:numId w:val="11"/>
        </w:numPr>
        <w:jc w:val="both"/>
        <w:rPr>
          <w:rFonts w:eastAsia="SimSun"/>
        </w:rPr>
      </w:pPr>
      <w:r w:rsidRPr="006A50FB">
        <w:rPr>
          <w:rFonts w:eastAsia="SimSun"/>
        </w:rPr>
        <w:lastRenderedPageBreak/>
        <w:t xml:space="preserve">that the uptake could be greater with improvements in models of care. DUSC considered that there may be “warehoused” patients specifically waiting for this drug to become available on the PBS. Additionally, as there are no Grandfathered patients </w:t>
      </w:r>
      <w:r w:rsidR="00452011">
        <w:rPr>
          <w:rFonts w:eastAsia="SimSun"/>
        </w:rPr>
        <w:t xml:space="preserve">explicitly </w:t>
      </w:r>
      <w:r w:rsidRPr="006A50FB">
        <w:rPr>
          <w:rFonts w:eastAsia="SimSun"/>
        </w:rPr>
        <w:t xml:space="preserve">included in the estimates, and there is uncertainty as to whether or not all patients </w:t>
      </w:r>
      <w:r w:rsidR="00794BDD" w:rsidRPr="00794BDD">
        <w:rPr>
          <w:rFonts w:eastAsia="SimSun"/>
          <w:highlight w:val="black"/>
        </w:rPr>
        <w:t>&amp;&amp;&amp;&amp;</w:t>
      </w:r>
      <w:r w:rsidR="00794BDD" w:rsidRPr="00794BDD">
        <w:rPr>
          <w:rFonts w:eastAsia="SimSun"/>
        </w:rPr>
        <w:t xml:space="preserve"> </w:t>
      </w:r>
      <w:r w:rsidR="00794BDD" w:rsidRPr="00794BDD">
        <w:rPr>
          <w:rFonts w:eastAsia="SimSun"/>
          <w:highlight w:val="black"/>
        </w:rPr>
        <w:t>&amp;&amp;&amp;&amp;</w:t>
      </w:r>
      <w:r w:rsidR="00794BDD" w:rsidRPr="00794BDD">
        <w:rPr>
          <w:rFonts w:eastAsia="SimSun"/>
        </w:rPr>
        <w:t xml:space="preserve"> </w:t>
      </w:r>
      <w:r w:rsidR="00794BDD" w:rsidRPr="00794BDD">
        <w:rPr>
          <w:rFonts w:eastAsia="SimSun"/>
          <w:highlight w:val="black"/>
        </w:rPr>
        <w:t>&amp;&amp;&amp;&amp;</w:t>
      </w:r>
      <w:r w:rsidR="00794BDD" w:rsidRPr="00794BDD">
        <w:rPr>
          <w:rFonts w:eastAsia="SimSun"/>
        </w:rPr>
        <w:t xml:space="preserve"> </w:t>
      </w:r>
      <w:r w:rsidR="00794BDD" w:rsidRPr="00794BDD">
        <w:rPr>
          <w:rFonts w:eastAsia="SimSun"/>
          <w:highlight w:val="black"/>
        </w:rPr>
        <w:t>&amp;&amp;&amp;&amp;</w:t>
      </w:r>
      <w:r w:rsidR="00794BDD" w:rsidRPr="00794BDD">
        <w:rPr>
          <w:rFonts w:eastAsia="SimSun"/>
        </w:rPr>
        <w:t xml:space="preserve"> </w:t>
      </w:r>
      <w:r w:rsidR="00794BDD" w:rsidRPr="00794BDD">
        <w:rPr>
          <w:rFonts w:eastAsia="SimSun"/>
          <w:highlight w:val="black"/>
        </w:rPr>
        <w:t>&amp;&amp;&amp;&amp;</w:t>
      </w:r>
      <w:r w:rsidRPr="00D83330">
        <w:rPr>
          <w:rFonts w:eastAsia="SimSun"/>
        </w:rPr>
        <w:t xml:space="preserve"> will meet the proposed restriction, an initial spike in use above that estimated i</w:t>
      </w:r>
      <w:r w:rsidRPr="006A50FB">
        <w:rPr>
          <w:rFonts w:eastAsia="SimSun"/>
        </w:rPr>
        <w:t xml:space="preserve">s considered a possibility. </w:t>
      </w:r>
    </w:p>
    <w:p w14:paraId="051473BA" w14:textId="670F6A39" w:rsidR="00D848E2" w:rsidRPr="006A50FB" w:rsidRDefault="001A52B9" w:rsidP="000D0A8D">
      <w:pPr>
        <w:pStyle w:val="ListParagraph"/>
        <w:numPr>
          <w:ilvl w:val="1"/>
          <w:numId w:val="11"/>
        </w:numPr>
        <w:jc w:val="both"/>
        <w:rPr>
          <w:rFonts w:eastAsia="SimSun"/>
        </w:rPr>
      </w:pPr>
      <w:r w:rsidRPr="006A50FB">
        <w:rPr>
          <w:rFonts w:eastAsia="SimSun"/>
        </w:rPr>
        <w:t>DUSC noted that there was no explicit stopping rule and that some patients may be on treatment for a prolong</w:t>
      </w:r>
      <w:r w:rsidR="00073ED8">
        <w:rPr>
          <w:rFonts w:eastAsia="SimSun"/>
        </w:rPr>
        <w:t>ed</w:t>
      </w:r>
      <w:r w:rsidRPr="006A50FB">
        <w:rPr>
          <w:rFonts w:eastAsia="SimSun"/>
        </w:rPr>
        <w:t xml:space="preserve"> duration.</w:t>
      </w:r>
      <w:r w:rsidR="001156A9">
        <w:rPr>
          <w:rFonts w:eastAsia="SimSun"/>
        </w:rPr>
        <w:t xml:space="preserve"> The pre</w:t>
      </w:r>
      <w:r w:rsidR="00397B07">
        <w:rPr>
          <w:rFonts w:eastAsia="SimSun"/>
        </w:rPr>
        <w:noBreakHyphen/>
      </w:r>
      <w:r w:rsidR="001156A9">
        <w:rPr>
          <w:rFonts w:eastAsia="SimSun"/>
        </w:rPr>
        <w:t>PBAC response</w:t>
      </w:r>
      <w:r w:rsidR="002800EE">
        <w:rPr>
          <w:rFonts w:eastAsia="SimSun"/>
        </w:rPr>
        <w:t xml:space="preserve"> </w:t>
      </w:r>
      <w:r w:rsidR="00066146">
        <w:rPr>
          <w:rFonts w:eastAsia="SimSun"/>
        </w:rPr>
        <w:t>argued that it is unlikely that pegcetacoplan would be used longer than expected as the proposed PBS continuation criteri</w:t>
      </w:r>
      <w:r w:rsidR="00700849">
        <w:rPr>
          <w:rFonts w:eastAsia="SimSun"/>
        </w:rPr>
        <w:t xml:space="preserve">on requires the treated eye to have an intact fovea. </w:t>
      </w:r>
    </w:p>
    <w:p w14:paraId="6B40E2FA" w14:textId="551C4DD7" w:rsidR="00276CB6" w:rsidRPr="00E20031" w:rsidRDefault="00276CB6" w:rsidP="00276CB6">
      <w:pPr>
        <w:pStyle w:val="4-SubsectionHeading"/>
      </w:pPr>
      <w:r w:rsidRPr="00E20031">
        <w:t>Quality Use of Medicines</w:t>
      </w:r>
      <w:bookmarkEnd w:id="87"/>
      <w:bookmarkEnd w:id="88"/>
      <w:bookmarkEnd w:id="89"/>
      <w:bookmarkEnd w:id="90"/>
    </w:p>
    <w:p w14:paraId="33507021" w14:textId="728FE463" w:rsidR="00276CB6" w:rsidRPr="00E20031" w:rsidRDefault="00276CB6" w:rsidP="00276CB6">
      <w:pPr>
        <w:pStyle w:val="3-BodyText"/>
      </w:pPr>
      <w:r w:rsidRPr="00E20031">
        <w:t>The sponsor is conducting a long</w:t>
      </w:r>
      <w:r w:rsidR="00397B07">
        <w:noBreakHyphen/>
      </w:r>
      <w:r w:rsidRPr="00E20031">
        <w:t>term extension study to evaluate the long</w:t>
      </w:r>
      <w:r w:rsidR="00397B07">
        <w:noBreakHyphen/>
      </w:r>
      <w:r w:rsidRPr="00E20031">
        <w:t>term efficacy and safety of pegcetacoplan. The data through months 24 were presented in the submission, and the results (through month 36) are expected in November 2025. The sponsor is also conducting an observational phase 4 study to evaluate real</w:t>
      </w:r>
      <w:r w:rsidR="00397B07">
        <w:noBreakHyphen/>
      </w:r>
      <w:r w:rsidRPr="00E20031">
        <w:t>world safety, tolerability, and treatment patterns of pegcetacoplan.</w:t>
      </w:r>
    </w:p>
    <w:p w14:paraId="2FEA7DA0" w14:textId="77777777" w:rsidR="00276CB6" w:rsidRPr="00E20031" w:rsidRDefault="00276CB6" w:rsidP="00276CB6">
      <w:pPr>
        <w:pStyle w:val="3-BodyText"/>
      </w:pPr>
      <w:r w:rsidRPr="00E20031">
        <w:t>The sponsor has a pharmacovigilance system in place for the Apellis Australia affiliate that work together EU and Global (based in the US) Pharmacovigilance teams.</w:t>
      </w:r>
    </w:p>
    <w:p w14:paraId="769D36C7" w14:textId="5D6C5FE4" w:rsidR="00D848E2" w:rsidRPr="000449AA" w:rsidRDefault="00D848E2" w:rsidP="000449AA">
      <w:pPr>
        <w:pStyle w:val="3-BodyText"/>
      </w:pPr>
      <w:bookmarkStart w:id="94" w:name="_Toc22897649"/>
      <w:bookmarkStart w:id="95" w:name="_Toc205418254"/>
      <w:bookmarkStart w:id="96" w:name="_Toc206434211"/>
      <w:bookmarkStart w:id="97" w:name="_Toc208920201"/>
      <w:r w:rsidRPr="00986683">
        <w:t>DUSC noted that there was a risk of increased rate of nAMD, retinal vasculitis, and intraocular inflammation. This was considered manageable, but no QUM activities are proposed.</w:t>
      </w:r>
    </w:p>
    <w:p w14:paraId="51E24295" w14:textId="77777777" w:rsidR="00276CB6" w:rsidRPr="00E20031" w:rsidRDefault="00276CB6" w:rsidP="00276CB6">
      <w:pPr>
        <w:pStyle w:val="4-SubsectionHeading"/>
      </w:pPr>
      <w:r w:rsidRPr="00E20031">
        <w:t>Financial Management – Risk Sharing Arrangements</w:t>
      </w:r>
      <w:bookmarkEnd w:id="94"/>
      <w:bookmarkEnd w:id="95"/>
      <w:bookmarkEnd w:id="96"/>
      <w:bookmarkEnd w:id="97"/>
    </w:p>
    <w:p w14:paraId="702137B3" w14:textId="267891B1" w:rsidR="00276CB6" w:rsidRPr="00E20031" w:rsidRDefault="00276CB6" w:rsidP="00276CB6">
      <w:pPr>
        <w:pStyle w:val="3-BodyText"/>
      </w:pPr>
      <w:r w:rsidRPr="00E20031">
        <w:t>The submission did not request a risk share arrangement</w:t>
      </w:r>
      <w:r w:rsidR="00F67575" w:rsidRPr="00A272D3">
        <w:rPr>
          <w:iCs/>
        </w:rPr>
        <w:t xml:space="preserve"> </w:t>
      </w:r>
    </w:p>
    <w:p w14:paraId="38899705" w14:textId="77777777" w:rsidR="00114C9A" w:rsidRPr="00C33D30" w:rsidRDefault="00114C9A" w:rsidP="00114C9A">
      <w:pPr>
        <w:ind w:firstLine="709"/>
        <w:rPr>
          <w:rFonts w:asciiTheme="minorHAnsi" w:hAnsiTheme="minorHAnsi"/>
          <w:i/>
        </w:rPr>
      </w:pPr>
      <w:bookmarkStart w:id="98" w:name="_Toc208920203"/>
      <w:bookmarkEnd w:id="91"/>
      <w:r w:rsidRPr="00C33D30">
        <w:rPr>
          <w:rFonts w:asciiTheme="minorHAnsi" w:hAnsiTheme="minorHAnsi"/>
          <w:i/>
        </w:rPr>
        <w:t>For more detail on PBAC’s view, see section 7 PBAC outcome.</w:t>
      </w:r>
    </w:p>
    <w:p w14:paraId="3033AFEC" w14:textId="77777777" w:rsidR="00D848E2" w:rsidRPr="0090150D" w:rsidRDefault="00D848E2" w:rsidP="00D848E2">
      <w:pPr>
        <w:pStyle w:val="2-SectionHeading"/>
        <w:numPr>
          <w:ilvl w:val="0"/>
          <w:numId w:val="1"/>
        </w:numPr>
      </w:pPr>
      <w:bookmarkStart w:id="99" w:name="_Hlk76381249"/>
      <w:bookmarkStart w:id="100" w:name="_Hlk76377955"/>
      <w:r w:rsidRPr="0090150D">
        <w:t>PBAC Outcome</w:t>
      </w:r>
    </w:p>
    <w:p w14:paraId="35B8D6C1" w14:textId="79EC7F55" w:rsidR="00E03424" w:rsidRPr="00987AFC" w:rsidRDefault="00E03424">
      <w:pPr>
        <w:widowControl w:val="0"/>
        <w:numPr>
          <w:ilvl w:val="1"/>
          <w:numId w:val="1"/>
        </w:numPr>
        <w:spacing w:after="120"/>
        <w:rPr>
          <w:rFonts w:asciiTheme="minorHAnsi" w:hAnsiTheme="minorHAnsi"/>
          <w:snapToGrid w:val="0"/>
          <w:lang w:val="en-GB"/>
        </w:rPr>
      </w:pPr>
      <w:r w:rsidRPr="00987AFC">
        <w:rPr>
          <w:rFonts w:asciiTheme="minorHAnsi" w:hAnsiTheme="minorHAnsi"/>
          <w:snapToGrid w:val="0"/>
          <w:lang w:val="en-GB"/>
        </w:rPr>
        <w:t xml:space="preserve">The PBAC recommended the listing of pegcetacoplan, on the basis that it should be available as a General Schedule listing for the treatment of </w:t>
      </w:r>
      <w:r>
        <w:t>g</w:t>
      </w:r>
      <w:r w:rsidRPr="00E20031">
        <w:t xml:space="preserve">eographic </w:t>
      </w:r>
      <w:r>
        <w:t>a</w:t>
      </w:r>
      <w:r w:rsidRPr="00E20031">
        <w:t xml:space="preserve">trophy </w:t>
      </w:r>
      <w:r>
        <w:t xml:space="preserve">(GA) </w:t>
      </w:r>
      <w:r w:rsidRPr="00E20031">
        <w:t>secondary to age</w:t>
      </w:r>
      <w:r w:rsidR="00397B07">
        <w:noBreakHyphen/>
      </w:r>
      <w:r w:rsidRPr="00E20031">
        <w:t>related macular degeneration</w:t>
      </w:r>
      <w:r>
        <w:t xml:space="preserve"> (AMD)</w:t>
      </w:r>
      <w:r w:rsidRPr="00987AFC">
        <w:rPr>
          <w:rFonts w:asciiTheme="minorHAnsi" w:hAnsiTheme="minorHAnsi"/>
          <w:snapToGrid w:val="0"/>
          <w:lang w:val="en-GB"/>
        </w:rPr>
        <w:t xml:space="preserve">. </w:t>
      </w:r>
      <w:r w:rsidR="004B463A" w:rsidRPr="00987AFC">
        <w:rPr>
          <w:rFonts w:asciiTheme="minorHAnsi" w:hAnsiTheme="minorHAnsi"/>
          <w:snapToGrid w:val="0"/>
        </w:rPr>
        <w:t xml:space="preserve">The Committee acknowledged the high clinical need for treatments for GA, which is a leading cause of irreversible vision loss in older Australians. </w:t>
      </w:r>
      <w:r w:rsidR="004B463A" w:rsidRPr="00987AFC">
        <w:rPr>
          <w:rFonts w:asciiTheme="minorHAnsi" w:hAnsiTheme="minorHAnsi"/>
          <w:snapToGrid w:val="0"/>
          <w:lang w:val="en-GB"/>
        </w:rPr>
        <w:t xml:space="preserve">The PBAC is satisfied that pegcetacoplan provides, for some patients, a significant improvement in efficacy over best supportive care </w:t>
      </w:r>
      <w:r w:rsidR="00D84306">
        <w:rPr>
          <w:rFonts w:asciiTheme="minorHAnsi" w:hAnsiTheme="minorHAnsi"/>
          <w:snapToGrid w:val="0"/>
          <w:lang w:val="en-GB"/>
        </w:rPr>
        <w:t xml:space="preserve">(BSC) </w:t>
      </w:r>
      <w:r w:rsidR="004B463A" w:rsidRPr="00987AFC">
        <w:rPr>
          <w:rFonts w:asciiTheme="minorHAnsi" w:hAnsiTheme="minorHAnsi"/>
          <w:snapToGrid w:val="0"/>
          <w:lang w:val="en-GB"/>
        </w:rPr>
        <w:t>in slowing the growth of GA lesions.</w:t>
      </w:r>
      <w:r w:rsidRPr="00987AFC">
        <w:rPr>
          <w:rFonts w:asciiTheme="minorHAnsi" w:hAnsiTheme="minorHAnsi"/>
          <w:snapToGrid w:val="0"/>
          <w:lang w:val="en-GB"/>
        </w:rPr>
        <w:t xml:space="preserve"> Despite no significant differences demonstrated for functional outcomes</w:t>
      </w:r>
      <w:r w:rsidR="007A3B13">
        <w:rPr>
          <w:rFonts w:asciiTheme="minorHAnsi" w:hAnsiTheme="minorHAnsi"/>
          <w:snapToGrid w:val="0"/>
          <w:lang w:val="en-GB"/>
        </w:rPr>
        <w:t xml:space="preserve"> in the key trials</w:t>
      </w:r>
      <w:r w:rsidRPr="00987AFC">
        <w:rPr>
          <w:rFonts w:asciiTheme="minorHAnsi" w:hAnsiTheme="minorHAnsi"/>
          <w:snapToGrid w:val="0"/>
          <w:lang w:val="en-GB"/>
        </w:rPr>
        <w:t>, the PBAC considered it was reasonable to assume anatomical preservation</w:t>
      </w:r>
      <w:r w:rsidR="00520CA8">
        <w:rPr>
          <w:rFonts w:asciiTheme="minorHAnsi" w:hAnsiTheme="minorHAnsi"/>
          <w:snapToGrid w:val="0"/>
          <w:lang w:val="en-GB"/>
        </w:rPr>
        <w:t>, as evidenced by microperimetry outcomes,</w:t>
      </w:r>
      <w:r w:rsidRPr="00987AFC">
        <w:rPr>
          <w:rFonts w:asciiTheme="minorHAnsi" w:hAnsiTheme="minorHAnsi"/>
          <w:snapToGrid w:val="0"/>
          <w:lang w:val="en-GB"/>
        </w:rPr>
        <w:t xml:space="preserve"> will result in better functional vision. As such, the PBAC accepted the economic model could be used to determine cost</w:t>
      </w:r>
      <w:r w:rsidR="00397B07">
        <w:rPr>
          <w:rFonts w:asciiTheme="minorHAnsi" w:hAnsiTheme="minorHAnsi"/>
          <w:snapToGrid w:val="0"/>
          <w:lang w:val="en-GB"/>
        </w:rPr>
        <w:noBreakHyphen/>
      </w:r>
      <w:r w:rsidRPr="00987AFC">
        <w:rPr>
          <w:rFonts w:asciiTheme="minorHAnsi" w:hAnsiTheme="minorHAnsi"/>
          <w:snapToGrid w:val="0"/>
          <w:lang w:val="en-GB"/>
        </w:rPr>
        <w:t xml:space="preserve">effectiveness. The PBAC </w:t>
      </w:r>
      <w:r w:rsidR="008711F0" w:rsidRPr="00987AFC">
        <w:rPr>
          <w:rFonts w:asciiTheme="minorHAnsi" w:hAnsiTheme="minorHAnsi"/>
          <w:snapToGrid w:val="0"/>
          <w:lang w:val="en-GB"/>
        </w:rPr>
        <w:t xml:space="preserve">considered </w:t>
      </w:r>
      <w:r w:rsidR="00B30297" w:rsidRPr="00987AFC">
        <w:rPr>
          <w:rFonts w:asciiTheme="minorHAnsi" w:hAnsiTheme="minorHAnsi"/>
          <w:snapToGrid w:val="0"/>
          <w:lang w:val="en-GB"/>
        </w:rPr>
        <w:t xml:space="preserve">more </w:t>
      </w:r>
      <w:r w:rsidR="00AF2B69" w:rsidRPr="00987AFC">
        <w:rPr>
          <w:rFonts w:asciiTheme="minorHAnsi" w:hAnsiTheme="minorHAnsi"/>
          <w:snapToGrid w:val="0"/>
          <w:lang w:val="en-GB"/>
        </w:rPr>
        <w:t xml:space="preserve">conservative assumptions </w:t>
      </w:r>
      <w:r w:rsidR="00B30297" w:rsidRPr="00987AFC">
        <w:rPr>
          <w:rFonts w:asciiTheme="minorHAnsi" w:hAnsiTheme="minorHAnsi"/>
          <w:snapToGrid w:val="0"/>
          <w:lang w:val="en-GB"/>
        </w:rPr>
        <w:t>for</w:t>
      </w:r>
      <w:r w:rsidR="00AF2B69" w:rsidRPr="00987AFC">
        <w:rPr>
          <w:rFonts w:asciiTheme="minorHAnsi" w:hAnsiTheme="minorHAnsi"/>
          <w:snapToGrid w:val="0"/>
          <w:lang w:val="en-GB"/>
        </w:rPr>
        <w:t xml:space="preserve"> the model would help address the uncertainty of </w:t>
      </w:r>
      <w:r w:rsidR="00D63FF5" w:rsidRPr="00987AFC">
        <w:rPr>
          <w:rFonts w:asciiTheme="minorHAnsi" w:hAnsiTheme="minorHAnsi"/>
          <w:snapToGrid w:val="0"/>
          <w:lang w:val="en-GB"/>
        </w:rPr>
        <w:lastRenderedPageBreak/>
        <w:t>transforming microperimetry outcomes to best</w:t>
      </w:r>
      <w:r w:rsidR="00397B07">
        <w:rPr>
          <w:rFonts w:asciiTheme="minorHAnsi" w:hAnsiTheme="minorHAnsi"/>
          <w:snapToGrid w:val="0"/>
          <w:lang w:val="en-GB"/>
        </w:rPr>
        <w:noBreakHyphen/>
      </w:r>
      <w:r w:rsidR="00D63FF5" w:rsidRPr="00987AFC">
        <w:rPr>
          <w:rFonts w:asciiTheme="minorHAnsi" w:hAnsiTheme="minorHAnsi"/>
          <w:snapToGrid w:val="0"/>
          <w:lang w:val="en-GB"/>
        </w:rPr>
        <w:t>corrected visual acuity (BCVA)</w:t>
      </w:r>
      <w:r w:rsidR="00740E16" w:rsidRPr="00987AFC">
        <w:rPr>
          <w:rFonts w:asciiTheme="minorHAnsi" w:hAnsiTheme="minorHAnsi"/>
          <w:snapToGrid w:val="0"/>
          <w:lang w:val="en-GB"/>
        </w:rPr>
        <w:t>. The PBAC considered</w:t>
      </w:r>
      <w:r w:rsidR="004B463A" w:rsidRPr="00987AFC" w:rsidDel="002A67A6">
        <w:rPr>
          <w:rFonts w:asciiTheme="minorHAnsi" w:hAnsiTheme="minorHAnsi"/>
          <w:snapToGrid w:val="0"/>
          <w:lang w:val="en-GB"/>
        </w:rPr>
        <w:t xml:space="preserve"> </w:t>
      </w:r>
      <w:r w:rsidR="004B463A" w:rsidRPr="00987AFC">
        <w:rPr>
          <w:rFonts w:asciiTheme="minorHAnsi" w:hAnsiTheme="minorHAnsi"/>
          <w:snapToGrid w:val="0"/>
          <w:lang w:val="en-GB"/>
        </w:rPr>
        <w:t>the cost</w:t>
      </w:r>
      <w:r w:rsidR="00397B07">
        <w:rPr>
          <w:rFonts w:asciiTheme="minorHAnsi" w:hAnsiTheme="minorHAnsi"/>
          <w:snapToGrid w:val="0"/>
          <w:lang w:val="en-GB"/>
        </w:rPr>
        <w:noBreakHyphen/>
      </w:r>
      <w:r w:rsidR="004B463A" w:rsidRPr="00987AFC">
        <w:rPr>
          <w:rFonts w:asciiTheme="minorHAnsi" w:hAnsiTheme="minorHAnsi"/>
          <w:snapToGrid w:val="0"/>
          <w:lang w:val="en-GB"/>
        </w:rPr>
        <w:t xml:space="preserve">effectiveness analysis would be more reliable </w:t>
      </w:r>
      <w:r w:rsidR="002A67A6" w:rsidRPr="00987AFC">
        <w:rPr>
          <w:rFonts w:asciiTheme="minorHAnsi" w:hAnsiTheme="minorHAnsi"/>
          <w:snapToGrid w:val="0"/>
          <w:lang w:val="en-GB"/>
        </w:rPr>
        <w:t xml:space="preserve">with these alternative parameters </w:t>
      </w:r>
      <w:r w:rsidR="004B463A" w:rsidRPr="00987AFC">
        <w:rPr>
          <w:rFonts w:asciiTheme="minorHAnsi" w:hAnsiTheme="minorHAnsi"/>
          <w:snapToGrid w:val="0"/>
          <w:lang w:val="en-GB"/>
        </w:rPr>
        <w:t>and an incremental cost</w:t>
      </w:r>
      <w:r w:rsidR="00397B07">
        <w:rPr>
          <w:rFonts w:asciiTheme="minorHAnsi" w:hAnsiTheme="minorHAnsi"/>
          <w:snapToGrid w:val="0"/>
          <w:lang w:val="en-GB"/>
        </w:rPr>
        <w:noBreakHyphen/>
      </w:r>
      <w:r w:rsidR="004B463A" w:rsidRPr="00987AFC">
        <w:rPr>
          <w:rFonts w:asciiTheme="minorHAnsi" w:hAnsiTheme="minorHAnsi"/>
          <w:snapToGrid w:val="0"/>
          <w:lang w:val="en-GB"/>
        </w:rPr>
        <w:t>effectiveness ratio</w:t>
      </w:r>
      <w:r w:rsidR="006623FF" w:rsidRPr="00987AFC">
        <w:rPr>
          <w:snapToGrid w:val="0"/>
        </w:rPr>
        <w:t xml:space="preserve"> </w:t>
      </w:r>
      <w:r w:rsidR="004D4A8B">
        <w:rPr>
          <w:snapToGrid w:val="0"/>
        </w:rPr>
        <w:t xml:space="preserve">(ICER) </w:t>
      </w:r>
      <w:r w:rsidR="00987AFC">
        <w:rPr>
          <w:snapToGrid w:val="0"/>
        </w:rPr>
        <w:t xml:space="preserve">in </w:t>
      </w:r>
      <w:r w:rsidR="006623FF" w:rsidRPr="00987AFC">
        <w:rPr>
          <w:snapToGrid w:val="0"/>
        </w:rPr>
        <w:t>the order of</w:t>
      </w:r>
      <w:r w:rsidR="004546B8" w:rsidRPr="00987AFC">
        <w:rPr>
          <w:rFonts w:asciiTheme="minorHAnsi" w:hAnsiTheme="minorHAnsi"/>
          <w:snapToGrid w:val="0"/>
          <w:lang w:val="en-GB"/>
        </w:rPr>
        <w:t xml:space="preserve"> </w:t>
      </w:r>
      <w:r w:rsidR="000E115A" w:rsidRPr="000E115A">
        <w:rPr>
          <w:rFonts w:asciiTheme="minorHAnsi" w:hAnsiTheme="minorHAnsi"/>
          <w:snapToGrid w:val="0"/>
          <w:lang w:val="en-GB"/>
        </w:rPr>
        <w:t>$55,000 to &lt; $75,000</w:t>
      </w:r>
      <w:r w:rsidR="006A4EB0">
        <w:rPr>
          <w:rFonts w:asciiTheme="minorHAnsi" w:hAnsiTheme="minorHAnsi"/>
          <w:snapToGrid w:val="0"/>
          <w:lang w:val="en-GB"/>
        </w:rPr>
        <w:t xml:space="preserve"> per </w:t>
      </w:r>
      <w:r w:rsidR="004546B8" w:rsidRPr="00987AFC">
        <w:rPr>
          <w:rFonts w:asciiTheme="minorHAnsi" w:hAnsiTheme="minorHAnsi"/>
          <w:snapToGrid w:val="0"/>
          <w:lang w:val="en-GB"/>
        </w:rPr>
        <w:t>QALY gained</w:t>
      </w:r>
      <w:r w:rsidR="006623FF" w:rsidRPr="00987AFC">
        <w:rPr>
          <w:rFonts w:asciiTheme="minorHAnsi" w:hAnsiTheme="minorHAnsi"/>
          <w:snapToGrid w:val="0"/>
          <w:lang w:val="en-GB"/>
        </w:rPr>
        <w:t xml:space="preserve"> would be </w:t>
      </w:r>
      <w:r w:rsidR="00973F59" w:rsidRPr="00987AFC">
        <w:rPr>
          <w:rFonts w:asciiTheme="minorHAnsi" w:hAnsiTheme="minorHAnsi"/>
          <w:snapToGrid w:val="0"/>
          <w:lang w:val="en-GB"/>
        </w:rPr>
        <w:t>acceptable</w:t>
      </w:r>
      <w:r w:rsidR="004546B8" w:rsidRPr="00987AFC">
        <w:rPr>
          <w:rFonts w:asciiTheme="minorHAnsi" w:hAnsiTheme="minorHAnsi"/>
          <w:snapToGrid w:val="0"/>
          <w:lang w:val="en-GB"/>
        </w:rPr>
        <w:t xml:space="preserve">. </w:t>
      </w:r>
      <w:r w:rsidR="002A67A6">
        <w:rPr>
          <w:rFonts w:asciiTheme="minorHAnsi" w:hAnsiTheme="minorHAnsi"/>
          <w:snapToGrid w:val="0"/>
          <w:lang w:val="en-GB"/>
        </w:rPr>
        <w:t xml:space="preserve">A price reduction </w:t>
      </w:r>
      <w:r w:rsidR="00EA360F">
        <w:rPr>
          <w:rFonts w:asciiTheme="minorHAnsi" w:hAnsiTheme="minorHAnsi"/>
          <w:snapToGrid w:val="0"/>
          <w:lang w:val="en-GB"/>
        </w:rPr>
        <w:t>would be required</w:t>
      </w:r>
      <w:r w:rsidR="002A67A6">
        <w:rPr>
          <w:rFonts w:asciiTheme="minorHAnsi" w:hAnsiTheme="minorHAnsi"/>
          <w:snapToGrid w:val="0"/>
          <w:lang w:val="en-GB"/>
        </w:rPr>
        <w:t xml:space="preserve"> to </w:t>
      </w:r>
      <w:r w:rsidR="00040E37">
        <w:rPr>
          <w:rFonts w:asciiTheme="minorHAnsi" w:hAnsiTheme="minorHAnsi"/>
          <w:snapToGrid w:val="0"/>
          <w:lang w:val="en-GB"/>
        </w:rPr>
        <w:t>achieve cost</w:t>
      </w:r>
      <w:r w:rsidR="00397B07">
        <w:rPr>
          <w:rFonts w:asciiTheme="minorHAnsi" w:hAnsiTheme="minorHAnsi"/>
          <w:snapToGrid w:val="0"/>
          <w:lang w:val="en-GB"/>
        </w:rPr>
        <w:noBreakHyphen/>
      </w:r>
      <w:r w:rsidR="00040E37">
        <w:rPr>
          <w:rFonts w:asciiTheme="minorHAnsi" w:hAnsiTheme="minorHAnsi"/>
          <w:snapToGrid w:val="0"/>
          <w:lang w:val="en-GB"/>
        </w:rPr>
        <w:t>effectiveness</w:t>
      </w:r>
      <w:r w:rsidR="00180585">
        <w:rPr>
          <w:rFonts w:asciiTheme="minorHAnsi" w:hAnsiTheme="minorHAnsi"/>
          <w:snapToGrid w:val="0"/>
          <w:lang w:val="en-GB"/>
        </w:rPr>
        <w:t xml:space="preserve"> based on the revised model</w:t>
      </w:r>
      <w:r w:rsidR="00040E37">
        <w:rPr>
          <w:rFonts w:asciiTheme="minorHAnsi" w:hAnsiTheme="minorHAnsi"/>
          <w:snapToGrid w:val="0"/>
          <w:lang w:val="en-GB"/>
        </w:rPr>
        <w:t xml:space="preserve">. </w:t>
      </w:r>
      <w:r w:rsidR="00987AFC" w:rsidRPr="00987AFC">
        <w:rPr>
          <w:rFonts w:asciiTheme="minorHAnsi" w:hAnsiTheme="minorHAnsi"/>
          <w:snapToGrid w:val="0"/>
        </w:rPr>
        <w:t xml:space="preserve">In addition, the PBAC considered a risk sharing arrangement was </w:t>
      </w:r>
      <w:r w:rsidR="005C0EB2">
        <w:rPr>
          <w:rFonts w:asciiTheme="minorHAnsi" w:hAnsiTheme="minorHAnsi"/>
          <w:snapToGrid w:val="0"/>
        </w:rPr>
        <w:t>needed</w:t>
      </w:r>
      <w:r w:rsidR="005C0EB2" w:rsidRPr="00987AFC">
        <w:rPr>
          <w:rFonts w:asciiTheme="minorHAnsi" w:hAnsiTheme="minorHAnsi"/>
          <w:snapToGrid w:val="0"/>
        </w:rPr>
        <w:t xml:space="preserve"> </w:t>
      </w:r>
      <w:r w:rsidR="00987AFC" w:rsidRPr="00987AFC">
        <w:rPr>
          <w:rFonts w:asciiTheme="minorHAnsi" w:hAnsiTheme="minorHAnsi"/>
          <w:snapToGrid w:val="0"/>
        </w:rPr>
        <w:t>to address any residual uncertainty regarding estimated patient numbers and to ensure PBS reimbursement was for treatment in one eye only.</w:t>
      </w:r>
    </w:p>
    <w:p w14:paraId="0131C14E" w14:textId="3265C44C" w:rsidR="00BD0665" w:rsidRPr="00CE42B4" w:rsidRDefault="00BD0665" w:rsidP="00BD0665">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support from health care professional, organisations and individuals for the PBS listing of pegcetacoplan, to provide an affordable, effective treatment to slow the progression of the disease which will impact </w:t>
      </w:r>
      <w:r w:rsidRPr="00D83304">
        <w:rPr>
          <w:rFonts w:asciiTheme="minorHAnsi" w:hAnsiTheme="minorHAnsi"/>
          <w:snapToGrid w:val="0"/>
          <w:lang w:val="en-GB"/>
        </w:rPr>
        <w:t>different aspects of quality of life, including independent living, physical mobility and mental health.</w:t>
      </w:r>
    </w:p>
    <w:p w14:paraId="450CD24F" w14:textId="0CB13D99" w:rsidR="00D848E2" w:rsidRDefault="00987AFC" w:rsidP="00D848E2">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high clinical need for treatments to prevent vision loss in patients with </w:t>
      </w:r>
      <w:r w:rsidR="000C5386">
        <w:rPr>
          <w:rFonts w:asciiTheme="minorHAnsi" w:hAnsiTheme="minorHAnsi"/>
          <w:snapToGrid w:val="0"/>
          <w:lang w:val="en-GB"/>
        </w:rPr>
        <w:t xml:space="preserve">GA secondary to </w:t>
      </w:r>
      <w:r>
        <w:rPr>
          <w:rFonts w:asciiTheme="minorHAnsi" w:hAnsiTheme="minorHAnsi"/>
          <w:snapToGrid w:val="0"/>
          <w:lang w:val="en-GB"/>
        </w:rPr>
        <w:t xml:space="preserve">AMD. The PBAC noted the proposed population, who had already experienced vision loss in one eye, were the highest </w:t>
      </w:r>
      <w:r w:rsidR="003A3911">
        <w:rPr>
          <w:rFonts w:asciiTheme="minorHAnsi" w:hAnsiTheme="minorHAnsi"/>
          <w:snapToGrid w:val="0"/>
          <w:lang w:val="en-GB"/>
        </w:rPr>
        <w:t>priority</w:t>
      </w:r>
      <w:r>
        <w:rPr>
          <w:rFonts w:asciiTheme="minorHAnsi" w:hAnsiTheme="minorHAnsi"/>
          <w:snapToGrid w:val="0"/>
          <w:lang w:val="en-GB"/>
        </w:rPr>
        <w:t xml:space="preserve"> </w:t>
      </w:r>
      <w:r w:rsidR="003A3911">
        <w:rPr>
          <w:rFonts w:asciiTheme="minorHAnsi" w:hAnsiTheme="minorHAnsi"/>
          <w:snapToGrid w:val="0"/>
          <w:lang w:val="en-GB"/>
        </w:rPr>
        <w:t>patients</w:t>
      </w:r>
      <w:r w:rsidR="00CC2B33">
        <w:rPr>
          <w:rFonts w:asciiTheme="minorHAnsi" w:hAnsiTheme="minorHAnsi"/>
          <w:snapToGrid w:val="0"/>
          <w:lang w:val="en-GB"/>
        </w:rPr>
        <w:t xml:space="preserve"> </w:t>
      </w:r>
      <w:r w:rsidR="00926847">
        <w:rPr>
          <w:rFonts w:asciiTheme="minorHAnsi" w:hAnsiTheme="minorHAnsi"/>
          <w:snapToGrid w:val="0"/>
          <w:lang w:val="en-GB"/>
        </w:rPr>
        <w:t>and</w:t>
      </w:r>
      <w:r w:rsidR="00CC2B33">
        <w:rPr>
          <w:rFonts w:asciiTheme="minorHAnsi" w:hAnsiTheme="minorHAnsi"/>
          <w:snapToGrid w:val="0"/>
          <w:lang w:val="en-GB"/>
        </w:rPr>
        <w:t xml:space="preserve"> </w:t>
      </w:r>
      <w:r w:rsidR="00986E19">
        <w:rPr>
          <w:rFonts w:asciiTheme="minorHAnsi" w:hAnsiTheme="minorHAnsi"/>
          <w:snapToGrid w:val="0"/>
          <w:lang w:val="en-GB"/>
        </w:rPr>
        <w:t xml:space="preserve">agreed with the </w:t>
      </w:r>
      <w:r w:rsidR="00C944E1" w:rsidRPr="00ED4DB3">
        <w:t>Advisory Committee on Medicines</w:t>
      </w:r>
      <w:r w:rsidR="00C944E1" w:rsidRPr="00ED4DB3">
        <w:rPr>
          <w:color w:val="000000" w:themeColor="text1"/>
        </w:rPr>
        <w:t xml:space="preserve"> (ACM) </w:t>
      </w:r>
      <w:r w:rsidR="00986E19">
        <w:rPr>
          <w:rFonts w:asciiTheme="minorHAnsi" w:hAnsiTheme="minorHAnsi"/>
          <w:snapToGrid w:val="0"/>
          <w:lang w:val="en-GB"/>
        </w:rPr>
        <w:t xml:space="preserve">that </w:t>
      </w:r>
      <w:r w:rsidR="00CC2B33">
        <w:rPr>
          <w:rFonts w:asciiTheme="minorHAnsi" w:hAnsiTheme="minorHAnsi"/>
          <w:snapToGrid w:val="0"/>
          <w:lang w:val="en-GB"/>
        </w:rPr>
        <w:t xml:space="preserve">that this was appropriate </w:t>
      </w:r>
      <w:r w:rsidR="00986E19">
        <w:rPr>
          <w:rFonts w:asciiTheme="minorHAnsi" w:hAnsiTheme="minorHAnsi"/>
          <w:snapToGrid w:val="0"/>
          <w:lang w:val="en-GB"/>
        </w:rPr>
        <w:t xml:space="preserve">as these </w:t>
      </w:r>
      <w:r w:rsidR="00253436">
        <w:rPr>
          <w:rFonts w:asciiTheme="minorHAnsi" w:hAnsiTheme="minorHAnsi"/>
          <w:snapToGrid w:val="0"/>
          <w:lang w:val="en-GB"/>
        </w:rPr>
        <w:t>patients</w:t>
      </w:r>
      <w:r w:rsidR="00986E19">
        <w:rPr>
          <w:rFonts w:asciiTheme="minorHAnsi" w:hAnsiTheme="minorHAnsi"/>
          <w:snapToGrid w:val="0"/>
          <w:lang w:val="en-GB"/>
        </w:rPr>
        <w:t xml:space="preserve"> would</w:t>
      </w:r>
      <w:r w:rsidR="00253436">
        <w:rPr>
          <w:rFonts w:asciiTheme="minorHAnsi" w:hAnsiTheme="minorHAnsi"/>
          <w:snapToGrid w:val="0"/>
          <w:lang w:val="en-GB"/>
        </w:rPr>
        <w:t xml:space="preserve"> </w:t>
      </w:r>
      <w:r w:rsidR="00986E19" w:rsidRPr="00ED4DB3">
        <w:rPr>
          <w:color w:val="000000" w:themeColor="text1"/>
        </w:rPr>
        <w:t>be motivated to accept higher risks and less certainty in outcomes in order to potentially prevent or delay the same outcome for their other eye</w:t>
      </w:r>
      <w:r w:rsidR="003A3911">
        <w:rPr>
          <w:rFonts w:asciiTheme="minorHAnsi" w:hAnsiTheme="minorHAnsi"/>
          <w:snapToGrid w:val="0"/>
          <w:lang w:val="en-GB"/>
        </w:rPr>
        <w:t>.</w:t>
      </w:r>
    </w:p>
    <w:p w14:paraId="67F8C927" w14:textId="7B75C49E" w:rsidR="001129E0" w:rsidRPr="001129E0" w:rsidRDefault="00BF449A" w:rsidP="00D848E2">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agreed with the ESC that the clinical criteria </w:t>
      </w:r>
      <w:r w:rsidR="004E25EC">
        <w:rPr>
          <w:rFonts w:asciiTheme="minorHAnsi" w:hAnsiTheme="minorHAnsi"/>
          <w:snapToGrid w:val="0"/>
          <w:lang w:val="en-GB"/>
        </w:rPr>
        <w:t>proposed for the</w:t>
      </w:r>
      <w:r w:rsidR="004E25EC" w:rsidRPr="006D69E4" w:rsidDel="004B706E">
        <w:rPr>
          <w:color w:val="000000" w:themeColor="text1"/>
        </w:rPr>
        <w:t xml:space="preserve"> </w:t>
      </w:r>
      <w:r w:rsidR="004E25EC" w:rsidRPr="006D69E4">
        <w:rPr>
          <w:iCs/>
          <w:color w:val="000000" w:themeColor="text1"/>
        </w:rPr>
        <w:t>initial and continuing treatment restrictions were clinically sound</w:t>
      </w:r>
      <w:r w:rsidR="00D76497">
        <w:rPr>
          <w:iCs/>
          <w:color w:val="000000" w:themeColor="text1"/>
        </w:rPr>
        <w:t xml:space="preserve"> and the </w:t>
      </w:r>
      <w:r w:rsidR="00CD3F47">
        <w:rPr>
          <w:iCs/>
          <w:color w:val="000000" w:themeColor="text1"/>
        </w:rPr>
        <w:t>maximum</w:t>
      </w:r>
      <w:r w:rsidR="00D76497">
        <w:rPr>
          <w:iCs/>
          <w:color w:val="000000" w:themeColor="text1"/>
        </w:rPr>
        <w:t xml:space="preserve"> quantity and repeats</w:t>
      </w:r>
      <w:r w:rsidR="00CD3F47">
        <w:rPr>
          <w:iCs/>
          <w:color w:val="000000" w:themeColor="text1"/>
        </w:rPr>
        <w:t xml:space="preserve"> as proposed were appropriate for treatment of one dose of pegcetacoplan every other month.</w:t>
      </w:r>
    </w:p>
    <w:p w14:paraId="2BC4DBBC" w14:textId="61A469A5" w:rsidR="0094169A" w:rsidRPr="0094169A" w:rsidRDefault="001129E0" w:rsidP="00D848E2">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the request for a grandfathering restriction </w:t>
      </w:r>
      <w:r w:rsidR="00717AC8">
        <w:rPr>
          <w:rFonts w:asciiTheme="minorHAnsi" w:hAnsiTheme="minorHAnsi"/>
          <w:snapToGrid w:val="0"/>
          <w:lang w:val="en-GB"/>
        </w:rPr>
        <w:t>for</w:t>
      </w:r>
      <w:r>
        <w:rPr>
          <w:rFonts w:asciiTheme="minorHAnsi" w:hAnsiTheme="minorHAnsi"/>
          <w:snapToGrid w:val="0"/>
          <w:lang w:val="en-GB"/>
        </w:rPr>
        <w:t xml:space="preserve"> </w:t>
      </w:r>
      <w:r w:rsidR="0048287C">
        <w:rPr>
          <w:rFonts w:asciiTheme="minorHAnsi" w:hAnsiTheme="minorHAnsi"/>
          <w:snapToGrid w:val="0"/>
          <w:lang w:val="en-GB"/>
        </w:rPr>
        <w:t>patients</w:t>
      </w:r>
      <w:r w:rsidR="005E5051">
        <w:rPr>
          <w:rFonts w:asciiTheme="minorHAnsi" w:hAnsiTheme="minorHAnsi"/>
          <w:snapToGrid w:val="0"/>
          <w:lang w:val="en-GB"/>
        </w:rPr>
        <w:t xml:space="preserve"> </w:t>
      </w:r>
      <w:r w:rsidR="00794BDD" w:rsidRPr="00794BDD">
        <w:rPr>
          <w:rFonts w:asciiTheme="minorHAnsi" w:hAnsiTheme="minorHAnsi"/>
          <w:snapToGrid w:val="0"/>
          <w:highlight w:val="black"/>
          <w:lang w:val="en-GB"/>
        </w:rPr>
        <w:t>&amp;&amp;&amp;&amp;</w:t>
      </w:r>
      <w:r w:rsidR="00794BDD" w:rsidRPr="00794BDD">
        <w:rPr>
          <w:rFonts w:asciiTheme="minorHAnsi" w:hAnsiTheme="minorHAnsi"/>
          <w:snapToGrid w:val="0"/>
          <w:lang w:val="en-GB"/>
        </w:rPr>
        <w:t xml:space="preserve"> </w:t>
      </w:r>
      <w:r w:rsidR="00794BDD" w:rsidRPr="00794BDD">
        <w:rPr>
          <w:rFonts w:asciiTheme="minorHAnsi" w:hAnsiTheme="minorHAnsi"/>
          <w:snapToGrid w:val="0"/>
          <w:highlight w:val="black"/>
          <w:lang w:val="en-GB"/>
        </w:rPr>
        <w:t>&amp;&amp;&amp;&amp;</w:t>
      </w:r>
      <w:r w:rsidR="00794BDD" w:rsidRPr="00794BDD">
        <w:rPr>
          <w:rFonts w:asciiTheme="minorHAnsi" w:hAnsiTheme="minorHAnsi"/>
          <w:snapToGrid w:val="0"/>
          <w:lang w:val="en-GB"/>
        </w:rPr>
        <w:t xml:space="preserve"> </w:t>
      </w:r>
      <w:r w:rsidR="00794BDD" w:rsidRPr="00794BDD">
        <w:rPr>
          <w:rFonts w:asciiTheme="minorHAnsi" w:hAnsiTheme="minorHAnsi"/>
          <w:snapToGrid w:val="0"/>
          <w:highlight w:val="black"/>
          <w:lang w:val="en-GB"/>
        </w:rPr>
        <w:t>&amp;&amp;&amp;&amp;</w:t>
      </w:r>
      <w:r w:rsidR="00794BDD" w:rsidRPr="00794BDD">
        <w:rPr>
          <w:rFonts w:asciiTheme="minorHAnsi" w:hAnsiTheme="minorHAnsi"/>
          <w:snapToGrid w:val="0"/>
          <w:lang w:val="en-GB"/>
        </w:rPr>
        <w:t xml:space="preserve"> </w:t>
      </w:r>
      <w:r w:rsidR="00794BDD" w:rsidRPr="00794BDD">
        <w:rPr>
          <w:rFonts w:asciiTheme="minorHAnsi" w:hAnsiTheme="minorHAnsi"/>
          <w:snapToGrid w:val="0"/>
          <w:highlight w:val="black"/>
          <w:lang w:val="en-GB"/>
        </w:rPr>
        <w:t>&amp;&amp;&amp;&amp;</w:t>
      </w:r>
      <w:r w:rsidR="00794BDD" w:rsidRPr="00794BDD">
        <w:rPr>
          <w:rFonts w:asciiTheme="minorHAnsi" w:hAnsiTheme="minorHAnsi"/>
          <w:snapToGrid w:val="0"/>
          <w:lang w:val="en-GB"/>
        </w:rPr>
        <w:t xml:space="preserve"> </w:t>
      </w:r>
      <w:r w:rsidR="00794BDD" w:rsidRPr="00794BDD">
        <w:rPr>
          <w:rFonts w:asciiTheme="minorHAnsi" w:hAnsiTheme="minorHAnsi"/>
          <w:snapToGrid w:val="0"/>
          <w:highlight w:val="black"/>
          <w:lang w:val="en-GB"/>
        </w:rPr>
        <w:t>&amp;&amp;&amp;&amp;</w:t>
      </w:r>
      <w:r w:rsidR="00794BDD" w:rsidRPr="00794BDD">
        <w:rPr>
          <w:rFonts w:asciiTheme="minorHAnsi" w:hAnsiTheme="minorHAnsi"/>
          <w:snapToGrid w:val="0"/>
          <w:lang w:val="en-GB"/>
        </w:rPr>
        <w:t xml:space="preserve"> </w:t>
      </w:r>
      <w:r w:rsidR="00794BDD" w:rsidRPr="00794BDD">
        <w:rPr>
          <w:rFonts w:asciiTheme="minorHAnsi" w:hAnsiTheme="minorHAnsi"/>
          <w:snapToGrid w:val="0"/>
          <w:highlight w:val="black"/>
          <w:lang w:val="en-GB"/>
        </w:rPr>
        <w:t>&amp;&amp;&amp;&amp;</w:t>
      </w:r>
      <w:r w:rsidR="005E5051" w:rsidDel="00621E7C">
        <w:rPr>
          <w:rFonts w:asciiTheme="minorHAnsi" w:hAnsiTheme="minorHAnsi"/>
          <w:snapToGrid w:val="0"/>
          <w:lang w:val="en-GB"/>
        </w:rPr>
        <w:t xml:space="preserve"> </w:t>
      </w:r>
      <w:r w:rsidR="005E5051" w:rsidRPr="005E5051">
        <w:rPr>
          <w:rFonts w:asciiTheme="minorHAnsi" w:hAnsiTheme="minorHAnsi"/>
          <w:snapToGrid w:val="0"/>
        </w:rPr>
        <w:t>would not be required</w:t>
      </w:r>
      <w:r w:rsidR="00621E7C">
        <w:rPr>
          <w:rFonts w:asciiTheme="minorHAnsi" w:hAnsiTheme="minorHAnsi"/>
          <w:snapToGrid w:val="0"/>
        </w:rPr>
        <w:t xml:space="preserve"> as patients </w:t>
      </w:r>
      <w:r w:rsidR="000253E5">
        <w:rPr>
          <w:rFonts w:asciiTheme="minorHAnsi" w:hAnsiTheme="minorHAnsi"/>
          <w:snapToGrid w:val="0"/>
        </w:rPr>
        <w:t xml:space="preserve">that </w:t>
      </w:r>
      <w:r w:rsidR="00621E7C">
        <w:rPr>
          <w:rFonts w:asciiTheme="minorHAnsi" w:hAnsiTheme="minorHAnsi"/>
          <w:snapToGrid w:val="0"/>
        </w:rPr>
        <w:t xml:space="preserve">would </w:t>
      </w:r>
      <w:r w:rsidR="00621E7C" w:rsidRPr="005E5051">
        <w:rPr>
          <w:rFonts w:asciiTheme="minorHAnsi" w:hAnsiTheme="minorHAnsi"/>
          <w:snapToGrid w:val="0"/>
        </w:rPr>
        <w:t xml:space="preserve">not meet the proposed PBS restriction </w:t>
      </w:r>
      <w:r w:rsidR="00621E7C">
        <w:rPr>
          <w:rFonts w:asciiTheme="minorHAnsi" w:hAnsiTheme="minorHAnsi"/>
          <w:snapToGrid w:val="0"/>
        </w:rPr>
        <w:t xml:space="preserve">eligibility </w:t>
      </w:r>
      <w:r w:rsidR="009A13BC">
        <w:rPr>
          <w:rFonts w:asciiTheme="minorHAnsi" w:hAnsiTheme="minorHAnsi"/>
          <w:snapToGrid w:val="0"/>
        </w:rPr>
        <w:t xml:space="preserve">criteria </w:t>
      </w:r>
      <w:r w:rsidR="00621E7C">
        <w:rPr>
          <w:rFonts w:asciiTheme="minorHAnsi" w:hAnsiTheme="minorHAnsi"/>
          <w:snapToGrid w:val="0"/>
        </w:rPr>
        <w:t>sh</w:t>
      </w:r>
      <w:r w:rsidR="00621E7C" w:rsidRPr="005E5051">
        <w:rPr>
          <w:rFonts w:asciiTheme="minorHAnsi" w:hAnsiTheme="minorHAnsi"/>
          <w:snapToGrid w:val="0"/>
        </w:rPr>
        <w:t xml:space="preserve">ould not be eligible for PBS </w:t>
      </w:r>
      <w:r w:rsidR="00982FBA">
        <w:rPr>
          <w:rFonts w:asciiTheme="minorHAnsi" w:hAnsiTheme="minorHAnsi"/>
          <w:snapToGrid w:val="0"/>
        </w:rPr>
        <w:t>subsidy for pegcetacoplan</w:t>
      </w:r>
      <w:r w:rsidR="005E5051" w:rsidRPr="005E5051">
        <w:rPr>
          <w:rFonts w:asciiTheme="minorHAnsi" w:hAnsiTheme="minorHAnsi"/>
          <w:snapToGrid w:val="0"/>
        </w:rPr>
        <w:t xml:space="preserve"> (</w:t>
      </w:r>
      <w:r w:rsidR="0094169A">
        <w:rPr>
          <w:rFonts w:asciiTheme="minorHAnsi" w:hAnsiTheme="minorHAnsi"/>
          <w:snapToGrid w:val="0"/>
        </w:rPr>
        <w:t xml:space="preserve">this </w:t>
      </w:r>
      <w:r w:rsidR="004A5A0B">
        <w:rPr>
          <w:rFonts w:asciiTheme="minorHAnsi" w:hAnsiTheme="minorHAnsi"/>
          <w:snapToGrid w:val="0"/>
        </w:rPr>
        <w:t>would</w:t>
      </w:r>
      <w:r w:rsidR="0094169A">
        <w:rPr>
          <w:rFonts w:asciiTheme="minorHAnsi" w:hAnsiTheme="minorHAnsi"/>
          <w:snapToGrid w:val="0"/>
        </w:rPr>
        <w:t xml:space="preserve"> potentially </w:t>
      </w:r>
      <w:r w:rsidR="004A5A0B">
        <w:rPr>
          <w:rFonts w:asciiTheme="minorHAnsi" w:hAnsiTheme="minorHAnsi"/>
          <w:snapToGrid w:val="0"/>
        </w:rPr>
        <w:t xml:space="preserve">have included </w:t>
      </w:r>
      <w:r w:rsidR="0094169A">
        <w:rPr>
          <w:rFonts w:asciiTheme="minorHAnsi" w:hAnsiTheme="minorHAnsi"/>
          <w:snapToGrid w:val="0"/>
        </w:rPr>
        <w:t>patients with</w:t>
      </w:r>
      <w:r w:rsidR="005E5051" w:rsidRPr="005E5051">
        <w:rPr>
          <w:rFonts w:asciiTheme="minorHAnsi" w:hAnsiTheme="minorHAnsi"/>
          <w:snapToGrid w:val="0"/>
        </w:rPr>
        <w:t xml:space="preserve"> intact fovea in the untreated eye)</w:t>
      </w:r>
      <w:r w:rsidR="0094169A">
        <w:rPr>
          <w:rFonts w:asciiTheme="minorHAnsi" w:hAnsiTheme="minorHAnsi"/>
          <w:snapToGrid w:val="0"/>
        </w:rPr>
        <w:t>.</w:t>
      </w:r>
    </w:p>
    <w:p w14:paraId="0010CF88" w14:textId="3DAA62FB" w:rsidR="00C81D43" w:rsidRPr="00C81D43" w:rsidRDefault="00FF4E98" w:rsidP="00D848E2">
      <w:pPr>
        <w:widowControl w:val="0"/>
        <w:numPr>
          <w:ilvl w:val="1"/>
          <w:numId w:val="1"/>
        </w:numPr>
        <w:spacing w:after="120"/>
        <w:rPr>
          <w:rFonts w:asciiTheme="minorHAnsi" w:hAnsiTheme="minorHAnsi"/>
          <w:snapToGrid w:val="0"/>
          <w:lang w:val="en-GB"/>
        </w:rPr>
      </w:pPr>
      <w:bookmarkStart w:id="101" w:name="_Ref214437548"/>
      <w:r>
        <w:rPr>
          <w:rFonts w:asciiTheme="minorHAnsi" w:hAnsiTheme="minorHAnsi"/>
          <w:iCs/>
          <w:snapToGrid w:val="0"/>
        </w:rPr>
        <w:t xml:space="preserve">The PBAC </w:t>
      </w:r>
      <w:r w:rsidR="00047F1F">
        <w:rPr>
          <w:rFonts w:asciiTheme="minorHAnsi" w:hAnsiTheme="minorHAnsi"/>
          <w:iCs/>
          <w:snapToGrid w:val="0"/>
        </w:rPr>
        <w:t>advised</w:t>
      </w:r>
      <w:r>
        <w:rPr>
          <w:rFonts w:asciiTheme="minorHAnsi" w:hAnsiTheme="minorHAnsi"/>
          <w:iCs/>
          <w:snapToGrid w:val="0"/>
        </w:rPr>
        <w:t xml:space="preserve"> that</w:t>
      </w:r>
      <w:r w:rsidRPr="00FF4E98">
        <w:rPr>
          <w:rFonts w:asciiTheme="minorHAnsi" w:hAnsiTheme="minorHAnsi"/>
          <w:iCs/>
          <w:snapToGrid w:val="0"/>
        </w:rPr>
        <w:t xml:space="preserve"> it was </w:t>
      </w:r>
      <w:r>
        <w:rPr>
          <w:rFonts w:eastAsia="SimSun"/>
        </w:rPr>
        <w:t>unlikely that pegcetacoplan would be used longer than expected, as the proposed PBS continuation criterion requires the treated eye to have an intact fovea</w:t>
      </w:r>
      <w:r w:rsidR="00CE09EA">
        <w:rPr>
          <w:rFonts w:eastAsia="SimSun"/>
        </w:rPr>
        <w:t xml:space="preserve"> and this would be assessed regularly</w:t>
      </w:r>
      <w:r>
        <w:rPr>
          <w:rFonts w:eastAsia="SimSun"/>
        </w:rPr>
        <w:t>.</w:t>
      </w:r>
    </w:p>
    <w:p w14:paraId="5277DD4B" w14:textId="0A2F0C7A" w:rsidR="003F56B6" w:rsidRDefault="0094169A" w:rsidP="00D848E2">
      <w:pPr>
        <w:widowControl w:val="0"/>
        <w:numPr>
          <w:ilvl w:val="1"/>
          <w:numId w:val="1"/>
        </w:numPr>
        <w:spacing w:after="120"/>
        <w:rPr>
          <w:rFonts w:asciiTheme="minorHAnsi" w:hAnsiTheme="minorHAnsi"/>
          <w:snapToGrid w:val="0"/>
          <w:lang w:val="en-GB"/>
        </w:rPr>
      </w:pPr>
      <w:r w:rsidRPr="00542243">
        <w:rPr>
          <w:rFonts w:asciiTheme="minorHAnsi" w:hAnsiTheme="minorHAnsi"/>
          <w:snapToGrid w:val="0"/>
        </w:rPr>
        <w:t>The PBAC noted that</w:t>
      </w:r>
      <w:r w:rsidR="00DB5265" w:rsidRPr="00542243">
        <w:rPr>
          <w:rFonts w:asciiTheme="minorHAnsi" w:hAnsiTheme="minorHAnsi"/>
          <w:snapToGrid w:val="0"/>
        </w:rPr>
        <w:t xml:space="preserve"> in </w:t>
      </w:r>
      <w:r w:rsidR="00186A17" w:rsidRPr="00542243">
        <w:rPr>
          <w:rFonts w:asciiTheme="minorHAnsi" w:hAnsiTheme="minorHAnsi"/>
          <w:snapToGrid w:val="0"/>
        </w:rPr>
        <w:t>clinical</w:t>
      </w:r>
      <w:r w:rsidR="00DB5265" w:rsidRPr="00542243">
        <w:rPr>
          <w:rFonts w:asciiTheme="minorHAnsi" w:hAnsiTheme="minorHAnsi"/>
          <w:snapToGrid w:val="0"/>
        </w:rPr>
        <w:t xml:space="preserve"> practice, </w:t>
      </w:r>
      <w:r w:rsidR="00CE09EA">
        <w:rPr>
          <w:rFonts w:asciiTheme="minorHAnsi" w:hAnsiTheme="minorHAnsi"/>
          <w:snapToGrid w:val="0"/>
        </w:rPr>
        <w:t>as intra</w:t>
      </w:r>
      <w:r w:rsidR="00397B07">
        <w:rPr>
          <w:rFonts w:asciiTheme="minorHAnsi" w:hAnsiTheme="minorHAnsi"/>
          <w:snapToGrid w:val="0"/>
        </w:rPr>
        <w:noBreakHyphen/>
      </w:r>
      <w:r w:rsidR="00CE09EA">
        <w:rPr>
          <w:rFonts w:asciiTheme="minorHAnsi" w:hAnsiTheme="minorHAnsi"/>
          <w:snapToGrid w:val="0"/>
        </w:rPr>
        <w:t xml:space="preserve">ocular inflammation most commonly occurs after the first dose of pegcetacoplan, some </w:t>
      </w:r>
      <w:r w:rsidR="00186A17" w:rsidRPr="00542243">
        <w:rPr>
          <w:rFonts w:asciiTheme="minorHAnsi" w:hAnsiTheme="minorHAnsi"/>
          <w:snapToGrid w:val="0"/>
        </w:rPr>
        <w:t>clinicians</w:t>
      </w:r>
      <w:r w:rsidR="00DB5265" w:rsidRPr="00542243">
        <w:rPr>
          <w:rFonts w:asciiTheme="minorHAnsi" w:hAnsiTheme="minorHAnsi"/>
          <w:snapToGrid w:val="0"/>
        </w:rPr>
        <w:t xml:space="preserve"> </w:t>
      </w:r>
      <w:r w:rsidR="00CE09EA">
        <w:rPr>
          <w:rFonts w:asciiTheme="minorHAnsi" w:hAnsiTheme="minorHAnsi"/>
          <w:snapToGrid w:val="0"/>
        </w:rPr>
        <w:t xml:space="preserve">and patients </w:t>
      </w:r>
      <w:r w:rsidR="00DB5265" w:rsidRPr="00542243">
        <w:rPr>
          <w:rFonts w:asciiTheme="minorHAnsi" w:hAnsiTheme="minorHAnsi"/>
          <w:snapToGrid w:val="0"/>
        </w:rPr>
        <w:t xml:space="preserve">may wish to test the </w:t>
      </w:r>
      <w:r w:rsidR="00186A17" w:rsidRPr="00542243">
        <w:rPr>
          <w:rFonts w:asciiTheme="minorHAnsi" w:hAnsiTheme="minorHAnsi"/>
          <w:snapToGrid w:val="0"/>
        </w:rPr>
        <w:t>safety</w:t>
      </w:r>
      <w:r w:rsidR="00DB5265" w:rsidRPr="00542243">
        <w:rPr>
          <w:rFonts w:asciiTheme="minorHAnsi" w:hAnsiTheme="minorHAnsi"/>
          <w:snapToGrid w:val="0"/>
        </w:rPr>
        <w:t xml:space="preserve"> of </w:t>
      </w:r>
      <w:r w:rsidR="00CE09EA">
        <w:rPr>
          <w:rFonts w:asciiTheme="minorHAnsi" w:hAnsiTheme="minorHAnsi"/>
          <w:snapToGrid w:val="0"/>
        </w:rPr>
        <w:t>the drug</w:t>
      </w:r>
      <w:r w:rsidR="00CE09EA" w:rsidRPr="00542243">
        <w:rPr>
          <w:rFonts w:asciiTheme="minorHAnsi" w:hAnsiTheme="minorHAnsi"/>
          <w:snapToGrid w:val="0"/>
        </w:rPr>
        <w:t xml:space="preserve"> </w:t>
      </w:r>
      <w:r w:rsidR="00DB5265" w:rsidRPr="00542243">
        <w:rPr>
          <w:rFonts w:asciiTheme="minorHAnsi" w:hAnsiTheme="minorHAnsi"/>
          <w:snapToGrid w:val="0"/>
        </w:rPr>
        <w:t xml:space="preserve">in the </w:t>
      </w:r>
      <w:r w:rsidR="00EF3C32" w:rsidRPr="00542243">
        <w:rPr>
          <w:rFonts w:asciiTheme="minorHAnsi" w:hAnsiTheme="minorHAnsi"/>
          <w:snapToGrid w:val="0"/>
          <w:lang w:val="en-GB"/>
        </w:rPr>
        <w:t>worst eye</w:t>
      </w:r>
      <w:r w:rsidR="00FB105D" w:rsidRPr="00542243">
        <w:rPr>
          <w:rFonts w:asciiTheme="minorHAnsi" w:hAnsiTheme="minorHAnsi"/>
          <w:snapToGrid w:val="0"/>
          <w:lang w:val="en-GB"/>
        </w:rPr>
        <w:t xml:space="preserve"> </w:t>
      </w:r>
      <w:r w:rsidR="002F6DE2">
        <w:rPr>
          <w:rFonts w:asciiTheme="minorHAnsi" w:hAnsiTheme="minorHAnsi"/>
          <w:snapToGrid w:val="0"/>
          <w:lang w:val="en-GB"/>
        </w:rPr>
        <w:t xml:space="preserve">(i.e. the eye that does not have an intact fovea) </w:t>
      </w:r>
      <w:r w:rsidR="00FB105D" w:rsidRPr="00542243">
        <w:rPr>
          <w:rFonts w:asciiTheme="minorHAnsi" w:hAnsiTheme="minorHAnsi"/>
          <w:snapToGrid w:val="0"/>
          <w:lang w:val="en-GB"/>
        </w:rPr>
        <w:t xml:space="preserve">before </w:t>
      </w:r>
      <w:r w:rsidR="00CA4EBD" w:rsidRPr="00542243">
        <w:rPr>
          <w:rFonts w:asciiTheme="minorHAnsi" w:hAnsiTheme="minorHAnsi"/>
          <w:snapToGrid w:val="0"/>
          <w:lang w:val="en-GB"/>
        </w:rPr>
        <w:t>proceeding</w:t>
      </w:r>
      <w:r w:rsidR="00FB105D" w:rsidRPr="00542243">
        <w:rPr>
          <w:rFonts w:asciiTheme="minorHAnsi" w:hAnsiTheme="minorHAnsi"/>
          <w:snapToGrid w:val="0"/>
          <w:lang w:val="en-GB"/>
        </w:rPr>
        <w:t xml:space="preserve"> to treat the </w:t>
      </w:r>
      <w:r w:rsidR="00CA4EBD" w:rsidRPr="00542243">
        <w:rPr>
          <w:rFonts w:asciiTheme="minorHAnsi" w:hAnsiTheme="minorHAnsi"/>
          <w:snapToGrid w:val="0"/>
          <w:lang w:val="en-GB"/>
        </w:rPr>
        <w:t xml:space="preserve">other </w:t>
      </w:r>
      <w:r w:rsidR="00FB105D" w:rsidRPr="00542243">
        <w:rPr>
          <w:rFonts w:asciiTheme="minorHAnsi" w:hAnsiTheme="minorHAnsi"/>
          <w:snapToGrid w:val="0"/>
          <w:lang w:val="en-GB"/>
        </w:rPr>
        <w:t>eye</w:t>
      </w:r>
      <w:r w:rsidR="00CA4EBD" w:rsidRPr="00542243">
        <w:rPr>
          <w:rFonts w:asciiTheme="minorHAnsi" w:hAnsiTheme="minorHAnsi"/>
          <w:snapToGrid w:val="0"/>
          <w:lang w:val="en-GB"/>
        </w:rPr>
        <w:t xml:space="preserve">. The PBAC </w:t>
      </w:r>
      <w:r w:rsidR="00CE09EA">
        <w:rPr>
          <w:rFonts w:asciiTheme="minorHAnsi" w:hAnsiTheme="minorHAnsi"/>
          <w:snapToGrid w:val="0"/>
          <w:lang w:val="en-GB"/>
        </w:rPr>
        <w:t xml:space="preserve">noted this was not part of the submission or proposed restriction and </w:t>
      </w:r>
      <w:r w:rsidR="00CA4EBD" w:rsidRPr="00542243">
        <w:rPr>
          <w:rFonts w:asciiTheme="minorHAnsi" w:hAnsiTheme="minorHAnsi"/>
          <w:snapToGrid w:val="0"/>
          <w:lang w:val="en-GB"/>
        </w:rPr>
        <w:t xml:space="preserve">did not expect </w:t>
      </w:r>
      <w:r w:rsidR="00E47DE7" w:rsidRPr="00542243">
        <w:rPr>
          <w:rFonts w:asciiTheme="minorHAnsi" w:hAnsiTheme="minorHAnsi"/>
          <w:snapToGrid w:val="0"/>
          <w:lang w:val="en-GB"/>
        </w:rPr>
        <w:t>this dose to be PBS</w:t>
      </w:r>
      <w:r w:rsidR="00397B07">
        <w:rPr>
          <w:rFonts w:asciiTheme="minorHAnsi" w:hAnsiTheme="minorHAnsi"/>
          <w:snapToGrid w:val="0"/>
          <w:lang w:val="en-GB"/>
        </w:rPr>
        <w:noBreakHyphen/>
      </w:r>
      <w:r w:rsidR="00E47DE7" w:rsidRPr="00542243">
        <w:rPr>
          <w:rFonts w:asciiTheme="minorHAnsi" w:hAnsiTheme="minorHAnsi"/>
          <w:snapToGrid w:val="0"/>
          <w:lang w:val="en-GB"/>
        </w:rPr>
        <w:t xml:space="preserve">subsidised, </w:t>
      </w:r>
      <w:r w:rsidR="00CE09EA">
        <w:rPr>
          <w:rFonts w:asciiTheme="minorHAnsi" w:hAnsiTheme="minorHAnsi"/>
          <w:snapToGrid w:val="0"/>
          <w:lang w:val="en-GB"/>
        </w:rPr>
        <w:t>hence</w:t>
      </w:r>
      <w:r w:rsidR="00CE09EA" w:rsidRPr="00542243">
        <w:rPr>
          <w:rFonts w:asciiTheme="minorHAnsi" w:hAnsiTheme="minorHAnsi"/>
          <w:snapToGrid w:val="0"/>
          <w:lang w:val="en-GB"/>
        </w:rPr>
        <w:t xml:space="preserve"> </w:t>
      </w:r>
      <w:r w:rsidR="00E47DE7" w:rsidRPr="00542243">
        <w:rPr>
          <w:rFonts w:asciiTheme="minorHAnsi" w:hAnsiTheme="minorHAnsi"/>
          <w:snapToGrid w:val="0"/>
          <w:lang w:val="en-GB"/>
        </w:rPr>
        <w:t xml:space="preserve">no increase in </w:t>
      </w:r>
      <w:r w:rsidR="004C5C07" w:rsidRPr="00542243">
        <w:rPr>
          <w:rFonts w:asciiTheme="minorHAnsi" w:hAnsiTheme="minorHAnsi"/>
          <w:snapToGrid w:val="0"/>
          <w:lang w:val="en-GB"/>
        </w:rPr>
        <w:t>maximum</w:t>
      </w:r>
      <w:r w:rsidR="00E47DE7" w:rsidRPr="00542243">
        <w:rPr>
          <w:rFonts w:asciiTheme="minorHAnsi" w:hAnsiTheme="minorHAnsi"/>
          <w:snapToGrid w:val="0"/>
          <w:lang w:val="en-GB"/>
        </w:rPr>
        <w:t xml:space="preserve"> quantities or repeats </w:t>
      </w:r>
      <w:r w:rsidR="00CE09EA">
        <w:rPr>
          <w:rFonts w:asciiTheme="minorHAnsi" w:hAnsiTheme="minorHAnsi"/>
          <w:snapToGrid w:val="0"/>
          <w:lang w:val="en-GB"/>
        </w:rPr>
        <w:t>would be required for this</w:t>
      </w:r>
      <w:r w:rsidR="004C5C07" w:rsidRPr="00542243">
        <w:rPr>
          <w:rFonts w:asciiTheme="minorHAnsi" w:hAnsiTheme="minorHAnsi"/>
          <w:snapToGrid w:val="0"/>
          <w:lang w:val="en-GB"/>
        </w:rPr>
        <w:t>.</w:t>
      </w:r>
      <w:bookmarkEnd w:id="101"/>
    </w:p>
    <w:p w14:paraId="34795933" w14:textId="6F6C2001" w:rsidR="00D848E2" w:rsidRPr="00CE42B4" w:rsidRDefault="007B3437" w:rsidP="00D848E2">
      <w:pPr>
        <w:widowControl w:val="0"/>
        <w:numPr>
          <w:ilvl w:val="1"/>
          <w:numId w:val="1"/>
        </w:numPr>
        <w:spacing w:after="120"/>
        <w:rPr>
          <w:rFonts w:asciiTheme="minorHAnsi" w:hAnsiTheme="minorHAnsi"/>
          <w:snapToGrid w:val="0"/>
          <w:lang w:val="en-GB"/>
        </w:rPr>
      </w:pPr>
      <w:r>
        <w:t>The PBAC accepted</w:t>
      </w:r>
      <w:r w:rsidRPr="006D69E4">
        <w:rPr>
          <w:iCs/>
        </w:rPr>
        <w:t xml:space="preserve"> the </w:t>
      </w:r>
      <w:r w:rsidRPr="00D04A0A">
        <w:t xml:space="preserve">nominated comparator </w:t>
      </w:r>
      <w:r>
        <w:t xml:space="preserve">of </w:t>
      </w:r>
      <w:r w:rsidR="00B05EEB">
        <w:t>BSC</w:t>
      </w:r>
      <w:r>
        <w:t xml:space="preserve"> </w:t>
      </w:r>
      <w:r w:rsidRPr="00D04A0A">
        <w:t>was appropriate</w:t>
      </w:r>
      <w:r>
        <w:t>.</w:t>
      </w:r>
      <w:r w:rsidR="005F52DD">
        <w:t xml:space="preserve"> The PBAC noted </w:t>
      </w:r>
      <w:r w:rsidR="001F23FB">
        <w:t>fr</w:t>
      </w:r>
      <w:r w:rsidR="00F05565">
        <w:t>o</w:t>
      </w:r>
      <w:r w:rsidR="001F23FB">
        <w:t xml:space="preserve">m the sponsor hearing (paragraph </w:t>
      </w:r>
      <w:r w:rsidR="00F05565">
        <w:fldChar w:fldCharType="begin"/>
      </w:r>
      <w:r w:rsidR="00F05565">
        <w:instrText xml:space="preserve"> REF _Ref213944145 \r \h </w:instrText>
      </w:r>
      <w:r w:rsidR="00F05565">
        <w:fldChar w:fldCharType="separate"/>
      </w:r>
      <w:r w:rsidR="00333CFE">
        <w:t>6.1</w:t>
      </w:r>
      <w:r w:rsidR="00F05565">
        <w:fldChar w:fldCharType="end"/>
      </w:r>
      <w:r w:rsidR="00F05565">
        <w:t xml:space="preserve">) </w:t>
      </w:r>
      <w:r w:rsidR="005F52DD">
        <w:t xml:space="preserve">that therapy for </w:t>
      </w:r>
      <w:r w:rsidR="00CE09EA">
        <w:t xml:space="preserve">concomitant or </w:t>
      </w:r>
      <w:r w:rsidR="00CE09EA">
        <w:lastRenderedPageBreak/>
        <w:t xml:space="preserve">developing </w:t>
      </w:r>
      <w:r w:rsidR="000F5847">
        <w:t>neovascular (or</w:t>
      </w:r>
      <w:r w:rsidR="005D0D43">
        <w:t xml:space="preserve"> </w:t>
      </w:r>
      <w:r w:rsidR="005F52DD">
        <w:t>wet</w:t>
      </w:r>
      <w:r w:rsidR="005D0D43">
        <w:t>)</w:t>
      </w:r>
      <w:r w:rsidR="005F52DD">
        <w:t xml:space="preserve"> AMD would </w:t>
      </w:r>
      <w:r w:rsidR="001F23FB">
        <w:t>receive priority and would not be used in combination with pegcetacoplan</w:t>
      </w:r>
      <w:r w:rsidR="00F05565">
        <w:t>.</w:t>
      </w:r>
    </w:p>
    <w:p w14:paraId="07E31A02" w14:textId="40FDBF65" w:rsidR="00FC4D0D" w:rsidRPr="003826B9" w:rsidRDefault="00660921" w:rsidP="00660921">
      <w:pPr>
        <w:pStyle w:val="3-BodyText"/>
        <w:rPr>
          <w:color w:val="0066FF"/>
        </w:rPr>
      </w:pPr>
      <w:r>
        <w:t>The PBAC noted th</w:t>
      </w:r>
      <w:r w:rsidRPr="00E20031">
        <w:t>e submission was based on 2 phase 3 randomised controlled trials (RCTs) comparing pegcetacoplan intravitreal (IVT) monthly (PM) or every other month (PEOM) to sham injection monthly or every other month: DERBY (n=621) and OAKS (n=637). This was supplemented by two other studies: FILLY (n=246), a phase 2 RCT comparing PM or PEOM with sham injections and GALE (n=780), an ongoing, open label, long</w:t>
      </w:r>
      <w:r w:rsidR="00397B07">
        <w:noBreakHyphen/>
      </w:r>
      <w:r w:rsidRPr="00E20031">
        <w:t xml:space="preserve">term extension study to DERBY and OAKS. </w:t>
      </w:r>
      <w:r w:rsidR="00A64591">
        <w:t xml:space="preserve">The PBAC </w:t>
      </w:r>
      <w:r w:rsidR="00154727">
        <w:t>noted</w:t>
      </w:r>
      <w:r w:rsidR="00527567">
        <w:t xml:space="preserve"> the results of the OAKs trial </w:t>
      </w:r>
      <w:r w:rsidR="00BF6AE5">
        <w:t>showed a</w:t>
      </w:r>
      <w:r w:rsidR="00E431BC">
        <w:t xml:space="preserve"> statistically significant difference in the change from baseline in total area of GA lesion at 12 months </w:t>
      </w:r>
      <w:r w:rsidR="002D7893">
        <w:t>in both the PM and PEOM groups compared to sham (</w:t>
      </w:r>
      <w:r w:rsidR="00452568">
        <w:t>difference in least s</w:t>
      </w:r>
      <w:r w:rsidR="00EF06B7">
        <w:t xml:space="preserve">quares </w:t>
      </w:r>
      <w:r w:rsidR="00224D9E">
        <w:t>[</w:t>
      </w:r>
      <w:r w:rsidR="004C3761">
        <w:t>LS</w:t>
      </w:r>
      <w:r w:rsidR="00224D9E">
        <w:t>]</w:t>
      </w:r>
      <w:r w:rsidR="004C3761">
        <w:t xml:space="preserve"> </w:t>
      </w:r>
      <w:r w:rsidR="00EF06B7">
        <w:t>mean</w:t>
      </w:r>
      <w:r w:rsidR="005B6BCC">
        <w:t xml:space="preserve">: PM </w:t>
      </w:r>
      <w:r w:rsidR="00397B07">
        <w:noBreakHyphen/>
      </w:r>
      <w:r w:rsidR="005B6BCC">
        <w:t xml:space="preserve">0.41, 95% confidence interval </w:t>
      </w:r>
      <w:r w:rsidR="00224D9E">
        <w:t>[</w:t>
      </w:r>
      <w:r w:rsidR="005B6BCC">
        <w:t>CI</w:t>
      </w:r>
      <w:r w:rsidR="00224D9E">
        <w:t>]</w:t>
      </w:r>
      <w:r w:rsidR="005B6BCC">
        <w:t xml:space="preserve"> </w:t>
      </w:r>
      <w:r w:rsidR="008C05FD">
        <w:br/>
      </w:r>
      <w:r w:rsidR="00397B07">
        <w:rPr>
          <w:color w:val="000000" w:themeColor="text1"/>
        </w:rPr>
        <w:noBreakHyphen/>
      </w:r>
      <w:r w:rsidR="00B8346E" w:rsidRPr="00E20031">
        <w:rPr>
          <w:color w:val="000000" w:themeColor="text1"/>
        </w:rPr>
        <w:t xml:space="preserve">0.64, </w:t>
      </w:r>
      <w:r w:rsidR="00397B07">
        <w:rPr>
          <w:color w:val="000000" w:themeColor="text1"/>
        </w:rPr>
        <w:noBreakHyphen/>
      </w:r>
      <w:r w:rsidR="00B8346E" w:rsidRPr="00E20031">
        <w:rPr>
          <w:color w:val="000000" w:themeColor="text1"/>
        </w:rPr>
        <w:t>0.18</w:t>
      </w:r>
      <w:r w:rsidR="00B8346E">
        <w:rPr>
          <w:color w:val="000000" w:themeColor="text1"/>
        </w:rPr>
        <w:t xml:space="preserve">; PEOM: </w:t>
      </w:r>
      <w:r w:rsidR="00397B07">
        <w:rPr>
          <w:color w:val="000000" w:themeColor="text1"/>
        </w:rPr>
        <w:noBreakHyphen/>
      </w:r>
      <w:r w:rsidR="00D2143F" w:rsidRPr="00E20031">
        <w:rPr>
          <w:color w:val="000000" w:themeColor="text1"/>
        </w:rPr>
        <w:t>0.32</w:t>
      </w:r>
      <w:r w:rsidR="00D2143F">
        <w:rPr>
          <w:color w:val="000000" w:themeColor="text1"/>
        </w:rPr>
        <w:t xml:space="preserve">, </w:t>
      </w:r>
      <w:r w:rsidR="00D2143F" w:rsidRPr="00E20031">
        <w:rPr>
          <w:color w:val="000000" w:themeColor="text1"/>
        </w:rPr>
        <w:t xml:space="preserve">95% CI: </w:t>
      </w:r>
      <w:r w:rsidR="00397B07">
        <w:rPr>
          <w:color w:val="000000" w:themeColor="text1"/>
        </w:rPr>
        <w:noBreakHyphen/>
      </w:r>
      <w:r w:rsidR="00D2143F" w:rsidRPr="00E20031">
        <w:rPr>
          <w:color w:val="000000" w:themeColor="text1"/>
        </w:rPr>
        <w:t xml:space="preserve">0.54, </w:t>
      </w:r>
      <w:r w:rsidR="00397B07">
        <w:rPr>
          <w:color w:val="000000" w:themeColor="text1"/>
        </w:rPr>
        <w:noBreakHyphen/>
      </w:r>
      <w:r w:rsidR="00D2143F" w:rsidRPr="00E20031">
        <w:rPr>
          <w:color w:val="000000" w:themeColor="text1"/>
        </w:rPr>
        <w:t>0.09</w:t>
      </w:r>
      <w:r w:rsidR="00D2143F">
        <w:rPr>
          <w:color w:val="000000" w:themeColor="text1"/>
        </w:rPr>
        <w:t xml:space="preserve">). </w:t>
      </w:r>
      <w:r w:rsidR="00C16E19">
        <w:rPr>
          <w:color w:val="000000" w:themeColor="text1"/>
        </w:rPr>
        <w:t xml:space="preserve">The PBAC </w:t>
      </w:r>
      <w:r w:rsidR="00856851">
        <w:rPr>
          <w:color w:val="000000" w:themeColor="text1"/>
        </w:rPr>
        <w:t xml:space="preserve">accepted that, when adjusted for imbalances in baseline characteristics, the DERBY trial </w:t>
      </w:r>
      <w:r w:rsidR="00F700D6">
        <w:rPr>
          <w:color w:val="000000" w:themeColor="text1"/>
        </w:rPr>
        <w:t xml:space="preserve">also </w:t>
      </w:r>
      <w:r w:rsidR="00280F0F">
        <w:rPr>
          <w:color w:val="000000" w:themeColor="text1"/>
        </w:rPr>
        <w:t xml:space="preserve">reported a </w:t>
      </w:r>
      <w:r w:rsidR="004B5546">
        <w:rPr>
          <w:color w:val="000000" w:themeColor="text1"/>
        </w:rPr>
        <w:t>statistically significant differen</w:t>
      </w:r>
      <w:r w:rsidR="003374CD">
        <w:rPr>
          <w:color w:val="000000" w:themeColor="text1"/>
        </w:rPr>
        <w:t>ce</w:t>
      </w:r>
      <w:r w:rsidR="00362A2F">
        <w:rPr>
          <w:color w:val="000000" w:themeColor="text1"/>
        </w:rPr>
        <w:t xml:space="preserve"> in both the PM and</w:t>
      </w:r>
      <w:r w:rsidR="003374CD">
        <w:rPr>
          <w:color w:val="000000" w:themeColor="text1"/>
        </w:rPr>
        <w:t xml:space="preserve"> </w:t>
      </w:r>
      <w:r w:rsidR="001161BE" w:rsidRPr="00D04A0A">
        <w:t xml:space="preserve">PEOM </w:t>
      </w:r>
      <w:r w:rsidR="00362A2F">
        <w:t>groups compared to</w:t>
      </w:r>
      <w:r w:rsidR="001161BE" w:rsidRPr="00D04A0A">
        <w:t xml:space="preserve"> sham </w:t>
      </w:r>
      <w:r w:rsidR="00362A2F">
        <w:t xml:space="preserve">for this outcome </w:t>
      </w:r>
      <w:r w:rsidR="001161BE" w:rsidRPr="00D04A0A">
        <w:t>(</w:t>
      </w:r>
      <w:r w:rsidR="004C3761">
        <w:t xml:space="preserve">difference in LS mean: PM </w:t>
      </w:r>
      <w:r w:rsidR="00397B07">
        <w:noBreakHyphen/>
      </w:r>
      <w:r w:rsidR="004C3761">
        <w:t>0.31, 95%CI:</w:t>
      </w:r>
      <w:r w:rsidR="00FB04F3">
        <w:t xml:space="preserve"> </w:t>
      </w:r>
      <w:r w:rsidR="00397B07">
        <w:noBreakHyphen/>
      </w:r>
      <w:r w:rsidR="004C3761">
        <w:t xml:space="preserve">0.54, </w:t>
      </w:r>
      <w:r w:rsidR="00397B07">
        <w:noBreakHyphen/>
      </w:r>
      <w:r w:rsidR="004C3761">
        <w:t>0.</w:t>
      </w:r>
      <w:r w:rsidR="00C04B19">
        <w:t xml:space="preserve">087; PEOM: </w:t>
      </w:r>
      <w:r w:rsidR="00397B07">
        <w:noBreakHyphen/>
      </w:r>
      <w:r w:rsidR="001161BE" w:rsidRPr="00D04A0A">
        <w:t xml:space="preserve">0.29, 95% CI: </w:t>
      </w:r>
      <w:r w:rsidR="00397B07">
        <w:noBreakHyphen/>
      </w:r>
      <w:r w:rsidR="001161BE" w:rsidRPr="00D04A0A">
        <w:t xml:space="preserve">0.51, </w:t>
      </w:r>
      <w:r w:rsidR="00397B07">
        <w:noBreakHyphen/>
      </w:r>
      <w:r w:rsidR="001161BE" w:rsidRPr="00D04A0A">
        <w:t>0.07)</w:t>
      </w:r>
      <w:r w:rsidR="001161BE">
        <w:t xml:space="preserve">. </w:t>
      </w:r>
      <w:r w:rsidR="00546B10">
        <w:t xml:space="preserve">The PBAC agreed with the ESC that the </w:t>
      </w:r>
      <w:r w:rsidR="006966E0">
        <w:t xml:space="preserve">results of the GALE study indicated a continued </w:t>
      </w:r>
      <w:r w:rsidR="001B3FCA">
        <w:t>treatment effect on GA lesions out to 48 months</w:t>
      </w:r>
      <w:r w:rsidR="00CE09EA">
        <w:t>, although this was not comparative data</w:t>
      </w:r>
      <w:r w:rsidR="001B3FCA">
        <w:t>.</w:t>
      </w:r>
    </w:p>
    <w:p w14:paraId="0D56D156" w14:textId="157EEAAE" w:rsidR="00F36D39" w:rsidRPr="00F36D39" w:rsidRDefault="003826B9">
      <w:pPr>
        <w:pStyle w:val="3-BodyText"/>
        <w:rPr>
          <w:color w:val="0066FF"/>
        </w:rPr>
      </w:pPr>
      <w:r>
        <w:t xml:space="preserve">The PBAC noted that the approved </w:t>
      </w:r>
      <w:r w:rsidR="00982FBA">
        <w:t xml:space="preserve">TGA </w:t>
      </w:r>
      <w:r>
        <w:t xml:space="preserve">product information only includes pegcetacoplan dosed every other month and considered the PEOM results most relevant to the proposed PBS population. </w:t>
      </w:r>
      <w:r w:rsidR="00D11638">
        <w:t xml:space="preserve">The PBAC also noted that </w:t>
      </w:r>
      <w:r w:rsidR="004D3AB3">
        <w:t xml:space="preserve">the </w:t>
      </w:r>
      <w:r w:rsidR="00B61A08" w:rsidRPr="00361845">
        <w:rPr>
          <w:color w:val="000000" w:themeColor="text1"/>
        </w:rPr>
        <w:t>whole trials populations of the DERBY and OAKS trials do not align with the requested PBS population as the whole trial populations included patients with subfoveal and non</w:t>
      </w:r>
      <w:r w:rsidR="00397B07">
        <w:rPr>
          <w:color w:val="000000" w:themeColor="text1"/>
        </w:rPr>
        <w:noBreakHyphen/>
      </w:r>
      <w:r w:rsidR="00B61A08" w:rsidRPr="00361845">
        <w:rPr>
          <w:color w:val="000000" w:themeColor="text1"/>
        </w:rPr>
        <w:t>subfoveal GA lesions at base line</w:t>
      </w:r>
      <w:r w:rsidR="0020421A" w:rsidRPr="00361845">
        <w:rPr>
          <w:color w:val="000000" w:themeColor="text1"/>
        </w:rPr>
        <w:t xml:space="preserve">. </w:t>
      </w:r>
      <w:r w:rsidR="00540007" w:rsidRPr="00361845">
        <w:rPr>
          <w:color w:val="000000" w:themeColor="text1"/>
        </w:rPr>
        <w:t xml:space="preserve">The PBAC </w:t>
      </w:r>
      <w:r w:rsidR="00F36D39">
        <w:rPr>
          <w:color w:val="000000" w:themeColor="text1"/>
        </w:rPr>
        <w:t>noted</w:t>
      </w:r>
      <w:r w:rsidR="00540007" w:rsidRPr="00361845">
        <w:rPr>
          <w:color w:val="000000" w:themeColor="text1"/>
        </w:rPr>
        <w:t xml:space="preserve"> that</w:t>
      </w:r>
      <w:r w:rsidR="007545BA" w:rsidRPr="00361845">
        <w:rPr>
          <w:color w:val="000000" w:themeColor="text1"/>
        </w:rPr>
        <w:t xml:space="preserve"> pooled data from the DERBY and OAKs trial </w:t>
      </w:r>
      <w:r w:rsidR="00361845" w:rsidRPr="00D04A0A">
        <w:t>for PEOM in patients with non</w:t>
      </w:r>
      <w:r w:rsidR="00397B07">
        <w:noBreakHyphen/>
      </w:r>
      <w:r w:rsidR="00361845" w:rsidRPr="00D04A0A">
        <w:t xml:space="preserve">subfoveal GA lesions at baseline for the outcome of </w:t>
      </w:r>
      <w:r w:rsidR="0035220A">
        <w:t xml:space="preserve">change from baseline </w:t>
      </w:r>
      <w:r w:rsidR="00361845" w:rsidRPr="00D04A0A">
        <w:t xml:space="preserve">in GA lesion size </w:t>
      </w:r>
      <w:r w:rsidR="00F36D39">
        <w:t xml:space="preserve">reported a relative difference of </w:t>
      </w:r>
      <w:r w:rsidR="00517213" w:rsidRPr="00E20031">
        <w:t>−1.11 mm</w:t>
      </w:r>
      <w:r w:rsidR="00517213" w:rsidRPr="00E20031">
        <w:rPr>
          <w:rStyle w:val="FootnoteReference"/>
        </w:rPr>
        <w:t>2</w:t>
      </w:r>
      <w:r w:rsidR="00517213" w:rsidRPr="00E20031">
        <w:t xml:space="preserve"> (95% CI: −1.66, −0.57)</w:t>
      </w:r>
      <w:r w:rsidR="00517213">
        <w:t xml:space="preserve">. </w:t>
      </w:r>
      <w:r w:rsidR="00B4558B">
        <w:t xml:space="preserve">The </w:t>
      </w:r>
      <w:r w:rsidR="00B313CD">
        <w:rPr>
          <w:rFonts w:eastAsia="Calibri"/>
        </w:rPr>
        <w:t xml:space="preserve">PBAC considered that these data </w:t>
      </w:r>
      <w:r w:rsidR="00B4558B" w:rsidRPr="00D04A0A">
        <w:rPr>
          <w:rFonts w:eastAsia="Calibri"/>
        </w:rPr>
        <w:t>demonstrated that pegcetacoplan dosed every other month in patients with non</w:t>
      </w:r>
      <w:r w:rsidR="00397B07">
        <w:rPr>
          <w:rFonts w:eastAsia="Calibri"/>
        </w:rPr>
        <w:noBreakHyphen/>
      </w:r>
      <w:r w:rsidR="00B4558B" w:rsidRPr="00D04A0A">
        <w:rPr>
          <w:rFonts w:eastAsia="Calibri"/>
        </w:rPr>
        <w:t>subfoveal GA lesions at baseline slowed the growth of the GA lesions</w:t>
      </w:r>
      <w:r w:rsidR="007E38FC">
        <w:rPr>
          <w:rFonts w:eastAsia="Calibri"/>
        </w:rPr>
        <w:t>.</w:t>
      </w:r>
    </w:p>
    <w:p w14:paraId="6B33C640" w14:textId="7FFFDAEE" w:rsidR="000A6F50" w:rsidRPr="000A6F50" w:rsidRDefault="00A62A71">
      <w:pPr>
        <w:pStyle w:val="3-BodyText"/>
        <w:rPr>
          <w:color w:val="0066FF"/>
        </w:rPr>
      </w:pPr>
      <w:r>
        <w:t>The PBAC noted that a</w:t>
      </w:r>
      <w:r w:rsidR="009973BB" w:rsidRPr="00ED4DB3">
        <w:t xml:space="preserve"> statistically significant difference was not observed between the pegcetacoplan arms and the sham arms of the </w:t>
      </w:r>
      <w:r w:rsidR="00C477D9">
        <w:t xml:space="preserve">DERBY and OAKS </w:t>
      </w:r>
      <w:r w:rsidR="009973BB" w:rsidRPr="00ED4DB3">
        <w:t xml:space="preserve">trials in the secondary, functional outcomes of normal luminance </w:t>
      </w:r>
      <w:r w:rsidR="006D545C">
        <w:t>BCVA</w:t>
      </w:r>
      <w:r w:rsidR="009973BB" w:rsidRPr="00ED4DB3">
        <w:t>, monocular maximum reading speed, functional reading independence (FRI) score, or National Eye Institute 25</w:t>
      </w:r>
      <w:r w:rsidR="00397B07">
        <w:noBreakHyphen/>
      </w:r>
      <w:r w:rsidR="009973BB" w:rsidRPr="00ED4DB3">
        <w:t>Item Visual Function Questionnaire (NEI VFQ</w:t>
      </w:r>
      <w:r w:rsidR="00397B07">
        <w:noBreakHyphen/>
      </w:r>
      <w:r w:rsidR="009973BB" w:rsidRPr="00ED4DB3">
        <w:t xml:space="preserve">25). </w:t>
      </w:r>
      <w:r w:rsidR="007B323C">
        <w:t>As such, t</w:t>
      </w:r>
      <w:r w:rsidR="009973BB" w:rsidRPr="009973BB">
        <w:t xml:space="preserve">he </w:t>
      </w:r>
      <w:r w:rsidR="00854DD1">
        <w:t xml:space="preserve">PBAC agreed with the </w:t>
      </w:r>
      <w:r w:rsidR="009973BB" w:rsidRPr="009973BB">
        <w:t xml:space="preserve">ESC </w:t>
      </w:r>
      <w:r w:rsidR="00E712B9">
        <w:t xml:space="preserve">that </w:t>
      </w:r>
      <w:r w:rsidR="007B6B11">
        <w:t>there was considerable uncertainty</w:t>
      </w:r>
      <w:r w:rsidR="00E712B9">
        <w:t xml:space="preserve"> </w:t>
      </w:r>
      <w:r w:rsidR="007B6B11">
        <w:t xml:space="preserve">in </w:t>
      </w:r>
      <w:r w:rsidR="00A20C4C">
        <w:t xml:space="preserve">the extent to which slowing </w:t>
      </w:r>
      <w:r w:rsidR="0089721B">
        <w:t>of</w:t>
      </w:r>
      <w:r w:rsidR="009973BB" w:rsidRPr="009973BB">
        <w:t xml:space="preserve"> the progression of GA lesion growth</w:t>
      </w:r>
      <w:r w:rsidR="0089721B">
        <w:t xml:space="preserve"> by pegcetacoplan would </w:t>
      </w:r>
      <w:r w:rsidR="009973BB" w:rsidRPr="009973BB">
        <w:t>translate into a delay in loss of usable vision required for independent activities of daily living.</w:t>
      </w:r>
    </w:p>
    <w:p w14:paraId="08E183A4" w14:textId="1268B68C" w:rsidR="00D930C3" w:rsidRPr="0000726B" w:rsidRDefault="006057EA" w:rsidP="00D930C3">
      <w:pPr>
        <w:pStyle w:val="3-BodyText"/>
        <w:rPr>
          <w:snapToGrid w:val="0"/>
        </w:rPr>
      </w:pPr>
      <w:r>
        <w:t xml:space="preserve">The PBAC noted the submission </w:t>
      </w:r>
      <w:r w:rsidR="00317D82">
        <w:t>argue</w:t>
      </w:r>
      <w:r w:rsidR="003B2B72">
        <w:t>d</w:t>
      </w:r>
      <w:r w:rsidR="00317D82">
        <w:t xml:space="preserve"> that</w:t>
      </w:r>
      <w:r>
        <w:t xml:space="preserve"> mic</w:t>
      </w:r>
      <w:r w:rsidR="00FA6AA9">
        <w:t xml:space="preserve">roperimetry outcomes </w:t>
      </w:r>
      <w:r w:rsidR="00A73B66">
        <w:t>were an appropriate functional measure in GA</w:t>
      </w:r>
      <w:r w:rsidR="00F51EE6">
        <w:t>.</w:t>
      </w:r>
      <w:r w:rsidR="00685093">
        <w:t xml:space="preserve"> </w:t>
      </w:r>
      <w:r w:rsidR="00685093" w:rsidRPr="00ED4DB3">
        <w:t>Using microperimetry,</w:t>
      </w:r>
      <w:r w:rsidR="003B2B72">
        <w:t xml:space="preserve"> </w:t>
      </w:r>
      <w:r w:rsidR="001136A2" w:rsidRPr="00E20031">
        <w:rPr>
          <w:color w:val="000000" w:themeColor="text1"/>
        </w:rPr>
        <w:t xml:space="preserve">treatment with pegcetacoplan every other month </w:t>
      </w:r>
      <w:r w:rsidR="00524FB4">
        <w:rPr>
          <w:color w:val="000000" w:themeColor="text1"/>
        </w:rPr>
        <w:t xml:space="preserve">in the OAKS trial </w:t>
      </w:r>
      <w:r w:rsidR="001136A2" w:rsidRPr="00E20031">
        <w:rPr>
          <w:color w:val="000000" w:themeColor="text1"/>
        </w:rPr>
        <w:t>resulted in a statistically significant hazard reduction in patients experiencing a loss of both the central 4 points (</w:t>
      </w:r>
      <w:r w:rsidR="00631EFD">
        <w:rPr>
          <w:color w:val="000000" w:themeColor="text1"/>
        </w:rPr>
        <w:t>h</w:t>
      </w:r>
      <w:r w:rsidR="001136A2" w:rsidRPr="00E20031">
        <w:rPr>
          <w:color w:val="000000" w:themeColor="text1"/>
        </w:rPr>
        <w:t xml:space="preserve">azard ratio [HR]: 0.64, 95% CI: 0.44, 0.92) and the central 16 points (HR: 0.52. 95% CI: 0.32, </w:t>
      </w:r>
      <w:r w:rsidR="001136A2" w:rsidRPr="00E20031">
        <w:rPr>
          <w:color w:val="000000" w:themeColor="text1"/>
        </w:rPr>
        <w:lastRenderedPageBreak/>
        <w:t>0.85) when compared to sham treated patients.</w:t>
      </w:r>
      <w:r w:rsidR="00524FB4">
        <w:rPr>
          <w:color w:val="000000" w:themeColor="text1"/>
        </w:rPr>
        <w:t xml:space="preserve"> </w:t>
      </w:r>
      <w:r w:rsidR="008A30C7" w:rsidRPr="00987AFC">
        <w:rPr>
          <w:snapToGrid w:val="0"/>
          <w:lang w:val="en-GB"/>
        </w:rPr>
        <w:t>Despite no significant differences demonstrated for functional outcomes</w:t>
      </w:r>
      <w:r w:rsidR="008A30C7">
        <w:rPr>
          <w:snapToGrid w:val="0"/>
          <w:lang w:val="en-GB"/>
        </w:rPr>
        <w:t xml:space="preserve"> in the key trials</w:t>
      </w:r>
      <w:r w:rsidR="008A30C7" w:rsidRPr="00987AFC">
        <w:rPr>
          <w:snapToGrid w:val="0"/>
          <w:lang w:val="en-GB"/>
        </w:rPr>
        <w:t xml:space="preserve">, the PBAC considered it was </w:t>
      </w:r>
      <w:r w:rsidR="00F53E4A">
        <w:rPr>
          <w:snapToGrid w:val="0"/>
          <w:lang w:val="en-GB"/>
        </w:rPr>
        <w:t>biologically</w:t>
      </w:r>
      <w:r w:rsidR="007B6B11">
        <w:rPr>
          <w:snapToGrid w:val="0"/>
          <w:lang w:val="en-GB"/>
        </w:rPr>
        <w:t xml:space="preserve"> and clinically plausible</w:t>
      </w:r>
      <w:r w:rsidR="007B6B11" w:rsidRPr="00987AFC">
        <w:rPr>
          <w:snapToGrid w:val="0"/>
          <w:lang w:val="en-GB"/>
        </w:rPr>
        <w:t xml:space="preserve"> </w:t>
      </w:r>
      <w:r w:rsidR="008A30C7" w:rsidRPr="00987AFC">
        <w:rPr>
          <w:snapToGrid w:val="0"/>
          <w:lang w:val="en-GB"/>
        </w:rPr>
        <w:t>to assume anatomical preservation</w:t>
      </w:r>
      <w:r w:rsidR="008A30C7">
        <w:rPr>
          <w:snapToGrid w:val="0"/>
          <w:lang w:val="en-GB"/>
        </w:rPr>
        <w:t>, as evidenced by microperimetry outcomes,</w:t>
      </w:r>
      <w:r w:rsidR="008A30C7" w:rsidRPr="00987AFC">
        <w:rPr>
          <w:snapToGrid w:val="0"/>
          <w:lang w:val="en-GB"/>
        </w:rPr>
        <w:t xml:space="preserve"> w</w:t>
      </w:r>
      <w:r w:rsidR="00D25A49">
        <w:rPr>
          <w:snapToGrid w:val="0"/>
          <w:lang w:val="en-GB"/>
        </w:rPr>
        <w:t>ould</w:t>
      </w:r>
      <w:r w:rsidR="008A30C7" w:rsidRPr="00987AFC">
        <w:rPr>
          <w:snapToGrid w:val="0"/>
          <w:lang w:val="en-GB"/>
        </w:rPr>
        <w:t xml:space="preserve"> </w:t>
      </w:r>
      <w:r w:rsidR="003B4C8D">
        <w:rPr>
          <w:snapToGrid w:val="0"/>
          <w:lang w:val="en-GB"/>
        </w:rPr>
        <w:t>delay</w:t>
      </w:r>
      <w:r w:rsidR="003B4C8D" w:rsidRPr="00987AFC">
        <w:rPr>
          <w:snapToGrid w:val="0"/>
          <w:lang w:val="en-GB"/>
        </w:rPr>
        <w:t xml:space="preserve"> </w:t>
      </w:r>
      <w:r w:rsidR="008A30C7" w:rsidRPr="00987AFC">
        <w:rPr>
          <w:snapToGrid w:val="0"/>
          <w:lang w:val="en-GB"/>
        </w:rPr>
        <w:t>functional vision</w:t>
      </w:r>
      <w:r w:rsidR="003B4C8D">
        <w:rPr>
          <w:snapToGrid w:val="0"/>
          <w:lang w:val="en-GB"/>
        </w:rPr>
        <w:t xml:space="preserve"> loss</w:t>
      </w:r>
      <w:r w:rsidR="008A30C7" w:rsidRPr="00987AFC">
        <w:rPr>
          <w:snapToGrid w:val="0"/>
          <w:lang w:val="en-GB"/>
        </w:rPr>
        <w:t>.</w:t>
      </w:r>
      <w:r w:rsidR="00D930C3">
        <w:rPr>
          <w:snapToGrid w:val="0"/>
          <w:lang w:val="en-GB"/>
        </w:rPr>
        <w:t xml:space="preserve"> </w:t>
      </w:r>
      <w:r w:rsidR="009D2005">
        <w:rPr>
          <w:snapToGrid w:val="0"/>
          <w:lang w:val="en-GB"/>
        </w:rPr>
        <w:t xml:space="preserve">The PBAC was also reassured by the sponsor hearing that </w:t>
      </w:r>
      <w:r w:rsidR="00B14869">
        <w:rPr>
          <w:snapToGrid w:val="0"/>
          <w:lang w:val="en-GB"/>
        </w:rPr>
        <w:t xml:space="preserve">this </w:t>
      </w:r>
      <w:r w:rsidR="00405F5B">
        <w:rPr>
          <w:snapToGrid w:val="0"/>
          <w:lang w:val="en-GB"/>
        </w:rPr>
        <w:t>interpretation was</w:t>
      </w:r>
      <w:r w:rsidR="003B4C8D">
        <w:rPr>
          <w:snapToGrid w:val="0"/>
          <w:lang w:val="en-GB"/>
        </w:rPr>
        <w:t xml:space="preserve"> </w:t>
      </w:r>
      <w:r w:rsidR="00F33C86">
        <w:rPr>
          <w:snapToGrid w:val="0"/>
          <w:lang w:val="en-GB"/>
        </w:rPr>
        <w:t>reasonable</w:t>
      </w:r>
      <w:r w:rsidR="00C52806">
        <w:rPr>
          <w:snapToGrid w:val="0"/>
          <w:lang w:val="en-GB"/>
        </w:rPr>
        <w:t xml:space="preserve"> </w:t>
      </w:r>
      <w:r w:rsidR="00C52806">
        <w:t xml:space="preserve">(paragraph </w:t>
      </w:r>
      <w:r w:rsidR="00C52806">
        <w:fldChar w:fldCharType="begin"/>
      </w:r>
      <w:r w:rsidR="00C52806">
        <w:instrText xml:space="preserve"> REF _Ref213944145 \r \h </w:instrText>
      </w:r>
      <w:r w:rsidR="00C52806">
        <w:fldChar w:fldCharType="separate"/>
      </w:r>
      <w:r w:rsidR="00333CFE">
        <w:t>6.1</w:t>
      </w:r>
      <w:r w:rsidR="00C52806">
        <w:fldChar w:fldCharType="end"/>
      </w:r>
      <w:r w:rsidR="00C52806">
        <w:t>)</w:t>
      </w:r>
      <w:r w:rsidR="00F33C86">
        <w:rPr>
          <w:snapToGrid w:val="0"/>
          <w:lang w:val="en-GB"/>
        </w:rPr>
        <w:t>.</w:t>
      </w:r>
      <w:r w:rsidR="00405F5B">
        <w:rPr>
          <w:snapToGrid w:val="0"/>
          <w:lang w:val="en-GB"/>
        </w:rPr>
        <w:t xml:space="preserve"> </w:t>
      </w:r>
      <w:r w:rsidR="00D930C3">
        <w:rPr>
          <w:snapToGrid w:val="0"/>
          <w:lang w:val="en-GB"/>
        </w:rPr>
        <w:t xml:space="preserve">Overall, the PBAC </w:t>
      </w:r>
      <w:r w:rsidR="00D930C3" w:rsidRPr="0000726B">
        <w:rPr>
          <w:snapToGrid w:val="0"/>
        </w:rPr>
        <w:t>considered that the claim of superior comparative effectiveness was reasonable</w:t>
      </w:r>
      <w:r w:rsidR="00D930C3">
        <w:rPr>
          <w:snapToGrid w:val="0"/>
        </w:rPr>
        <w:t xml:space="preserve"> but the magnitude of the effect </w:t>
      </w:r>
      <w:r w:rsidR="00631EFD">
        <w:rPr>
          <w:snapToGrid w:val="0"/>
        </w:rPr>
        <w:t xml:space="preserve">on delaying vision loss </w:t>
      </w:r>
      <w:r w:rsidR="00D930C3">
        <w:rPr>
          <w:snapToGrid w:val="0"/>
        </w:rPr>
        <w:t>was uncertain.</w:t>
      </w:r>
    </w:p>
    <w:p w14:paraId="66059959" w14:textId="4B18584A" w:rsidR="004D1F40" w:rsidRPr="00675FDC" w:rsidRDefault="005A697F" w:rsidP="004D1F40">
      <w:pPr>
        <w:pStyle w:val="3-BodyText"/>
        <w:rPr>
          <w:snapToGrid w:val="0"/>
        </w:rPr>
      </w:pPr>
      <w:bookmarkStart w:id="102" w:name="_Ref214374908"/>
      <w:r w:rsidRPr="00ED4DB3">
        <w:t xml:space="preserve">The </w:t>
      </w:r>
      <w:r w:rsidR="00AB66EC">
        <w:t xml:space="preserve">PBAC considered the </w:t>
      </w:r>
      <w:r w:rsidRPr="00ED4DB3">
        <w:t>evidence presented indicate</w:t>
      </w:r>
      <w:r w:rsidR="008E7CED">
        <w:t>d</w:t>
      </w:r>
      <w:r w:rsidRPr="00ED4DB3">
        <w:t xml:space="preserve"> that the safety of pegcetacoplan is inferior to sham with a higher rate of</w:t>
      </w:r>
      <w:r w:rsidRPr="00ED4DB3">
        <w:rPr>
          <w:rFonts w:eastAsia="Calibri"/>
        </w:rPr>
        <w:t xml:space="preserve"> adverse events related to treatment (12.1% vs. 3.9% in DERBY)</w:t>
      </w:r>
      <w:r w:rsidR="00052887">
        <w:rPr>
          <w:rFonts w:eastAsia="Calibri"/>
        </w:rPr>
        <w:t xml:space="preserve">, higher </w:t>
      </w:r>
      <w:r w:rsidR="00A42656">
        <w:rPr>
          <w:rFonts w:eastAsia="Calibri"/>
        </w:rPr>
        <w:t xml:space="preserve">rates of intraocular inflammation (2.7% </w:t>
      </w:r>
      <w:r w:rsidR="00F528BB">
        <w:rPr>
          <w:rFonts w:eastAsia="Calibri"/>
        </w:rPr>
        <w:t>vs. 0%</w:t>
      </w:r>
      <w:r w:rsidR="00C72972">
        <w:rPr>
          <w:rFonts w:eastAsia="Calibri"/>
        </w:rPr>
        <w:t xml:space="preserve"> in DERBY</w:t>
      </w:r>
      <w:r w:rsidR="00F528BB">
        <w:rPr>
          <w:rFonts w:eastAsia="Calibri"/>
        </w:rPr>
        <w:t>)</w:t>
      </w:r>
      <w:r w:rsidRPr="00ED4DB3">
        <w:rPr>
          <w:rFonts w:eastAsia="Calibri"/>
        </w:rPr>
        <w:t xml:space="preserve"> and a higher rate of neovascular age related macular degeneration (nAMD) (7.5% vs. 2.4% in DERBY).</w:t>
      </w:r>
      <w:r w:rsidR="008E7CED">
        <w:rPr>
          <w:rFonts w:eastAsia="Calibri"/>
        </w:rPr>
        <w:t xml:space="preserve"> </w:t>
      </w:r>
      <w:r w:rsidR="004D1F40" w:rsidRPr="0000726B">
        <w:rPr>
          <w:snapToGrid w:val="0"/>
        </w:rPr>
        <w:t xml:space="preserve">The PBAC considered that </w:t>
      </w:r>
      <w:r w:rsidR="00D25A49">
        <w:rPr>
          <w:snapToGrid w:val="0"/>
        </w:rPr>
        <w:t>a</w:t>
      </w:r>
      <w:r w:rsidR="004D1F40" w:rsidRPr="0000726B">
        <w:rPr>
          <w:snapToGrid w:val="0"/>
        </w:rPr>
        <w:t xml:space="preserve"> claim of inferior comparative safety was reasonable.</w:t>
      </w:r>
      <w:bookmarkEnd w:id="102"/>
    </w:p>
    <w:p w14:paraId="5DB4F699" w14:textId="5AC8B285" w:rsidR="00837452" w:rsidRPr="00F8698E" w:rsidRDefault="00030BA1" w:rsidP="00F8698E">
      <w:pPr>
        <w:pStyle w:val="3-BodyText"/>
      </w:pPr>
      <w:r>
        <w:t xml:space="preserve">The PBAC noted </w:t>
      </w:r>
      <w:r w:rsidR="005A652D">
        <w:t xml:space="preserve">the submission </w:t>
      </w:r>
      <w:r w:rsidR="00FE49FC" w:rsidRPr="00E20031">
        <w:t xml:space="preserve">presented a modelled economic evaluation based on </w:t>
      </w:r>
      <w:r w:rsidR="00853A08">
        <w:t xml:space="preserve">the </w:t>
      </w:r>
      <w:r w:rsidR="00FE49FC" w:rsidRPr="00E20031">
        <w:t>DERBY and OAKS</w:t>
      </w:r>
      <w:r w:rsidR="00853A08">
        <w:t xml:space="preserve"> trials</w:t>
      </w:r>
      <w:r w:rsidR="00FE49FC" w:rsidRPr="00E20031">
        <w:t>.</w:t>
      </w:r>
      <w:r w:rsidR="005A652D">
        <w:t xml:space="preserve"> </w:t>
      </w:r>
      <w:r w:rsidR="00354DD3" w:rsidRPr="00E20031">
        <w:t xml:space="preserve">The economic analysis </w:t>
      </w:r>
      <w:r w:rsidR="00A8061D" w:rsidRPr="00E20031">
        <w:t>model</w:t>
      </w:r>
      <w:r w:rsidR="00A8061D">
        <w:t>led</w:t>
      </w:r>
      <w:r w:rsidR="00354DD3" w:rsidRPr="00E20031">
        <w:t xml:space="preserve"> differences in BCVA (measured by Early Treatment Diabetic Retinopathy Study (ETDRS) letters) by assuming loss of scotomatous points </w:t>
      </w:r>
      <w:r w:rsidR="00A8061D">
        <w:t xml:space="preserve">detected via microperimetry </w:t>
      </w:r>
      <w:r w:rsidR="00354DD3" w:rsidRPr="00E20031">
        <w:t xml:space="preserve">can be a predictor of BCVA loss. Accordingly, the pegcetacoplan treatment effect identified in terms of a risk reduction in time to ‘central 16 scotomatous points’ </w:t>
      </w:r>
      <w:r w:rsidR="003846BF">
        <w:t>wa</w:t>
      </w:r>
      <w:r w:rsidR="00354DD3" w:rsidRPr="00E20031">
        <w:t xml:space="preserve">s translated to a treatment effect in terms of BCVA. </w:t>
      </w:r>
      <w:r w:rsidR="00F24B83">
        <w:t xml:space="preserve">The PBAC acknowledged the concerns raised by the ESC and evaluation </w:t>
      </w:r>
      <w:r w:rsidR="00354DD3" w:rsidRPr="00ED4DB3">
        <w:t>with the quantification of the surrogate</w:t>
      </w:r>
      <w:r w:rsidR="00397B07">
        <w:noBreakHyphen/>
      </w:r>
      <w:r w:rsidR="00354DD3" w:rsidRPr="00ED4DB3">
        <w:t>functional outcome relationship and the estimated treatment effect</w:t>
      </w:r>
      <w:r w:rsidR="005B3513">
        <w:t xml:space="preserve"> (see paragraph</w:t>
      </w:r>
      <w:r w:rsidR="00386780">
        <w:t>s</w:t>
      </w:r>
      <w:r w:rsidR="002800EE">
        <w:t xml:space="preserve"> </w:t>
      </w:r>
      <w:r w:rsidR="00386780">
        <w:fldChar w:fldCharType="begin"/>
      </w:r>
      <w:r w:rsidR="00386780">
        <w:instrText xml:space="preserve"> REF _Ref214532663 \r \h </w:instrText>
      </w:r>
      <w:r w:rsidR="00386780">
        <w:fldChar w:fldCharType="separate"/>
      </w:r>
      <w:r w:rsidR="00333CFE">
        <w:t>6.42</w:t>
      </w:r>
      <w:r w:rsidR="00386780">
        <w:fldChar w:fldCharType="end"/>
      </w:r>
      <w:r w:rsidR="00386780">
        <w:t xml:space="preserve"> and </w:t>
      </w:r>
      <w:r w:rsidR="00386780">
        <w:fldChar w:fldCharType="begin"/>
      </w:r>
      <w:r w:rsidR="00386780">
        <w:instrText xml:space="preserve"> REF _Ref206410067 \r \h </w:instrText>
      </w:r>
      <w:r w:rsidR="00386780">
        <w:fldChar w:fldCharType="separate"/>
      </w:r>
      <w:r w:rsidR="00333CFE">
        <w:t>6.46</w:t>
      </w:r>
      <w:r w:rsidR="00386780">
        <w:fldChar w:fldCharType="end"/>
      </w:r>
      <w:r w:rsidR="00386780">
        <w:t>)</w:t>
      </w:r>
      <w:r w:rsidR="00E655A6">
        <w:t xml:space="preserve">. </w:t>
      </w:r>
      <w:r w:rsidR="003F42F8">
        <w:rPr>
          <w:snapToGrid w:val="0"/>
          <w:lang w:val="en-GB"/>
        </w:rPr>
        <w:t xml:space="preserve">As outlined in paragraph </w:t>
      </w:r>
      <w:r w:rsidR="003F42F8">
        <w:rPr>
          <w:snapToGrid w:val="0"/>
          <w:lang w:val="en-GB"/>
        </w:rPr>
        <w:fldChar w:fldCharType="begin"/>
      </w:r>
      <w:r w:rsidR="003F42F8">
        <w:rPr>
          <w:snapToGrid w:val="0"/>
          <w:lang w:val="en-GB"/>
        </w:rPr>
        <w:instrText xml:space="preserve"> REF _Ref214374908 \r \h </w:instrText>
      </w:r>
      <w:r w:rsidR="003F42F8">
        <w:rPr>
          <w:snapToGrid w:val="0"/>
          <w:lang w:val="en-GB"/>
        </w:rPr>
      </w:r>
      <w:r w:rsidR="003F42F8">
        <w:rPr>
          <w:snapToGrid w:val="0"/>
          <w:lang w:val="en-GB"/>
        </w:rPr>
        <w:fldChar w:fldCharType="separate"/>
      </w:r>
      <w:r w:rsidR="00333CFE">
        <w:rPr>
          <w:snapToGrid w:val="0"/>
          <w:lang w:val="en-GB"/>
        </w:rPr>
        <w:t>7.13</w:t>
      </w:r>
      <w:r w:rsidR="003F42F8">
        <w:rPr>
          <w:snapToGrid w:val="0"/>
          <w:lang w:val="en-GB"/>
        </w:rPr>
        <w:fldChar w:fldCharType="end"/>
      </w:r>
      <w:r w:rsidR="003F42F8">
        <w:rPr>
          <w:snapToGrid w:val="0"/>
          <w:lang w:val="en-GB"/>
        </w:rPr>
        <w:t>,</w:t>
      </w:r>
      <w:r w:rsidR="00E655A6" w:rsidRPr="001A18D8">
        <w:rPr>
          <w:snapToGrid w:val="0"/>
          <w:lang w:val="en-GB"/>
        </w:rPr>
        <w:t xml:space="preserve"> the PBAC considered it was reasonable to assume anatomical preservation</w:t>
      </w:r>
      <w:r w:rsidR="008454B5">
        <w:rPr>
          <w:snapToGrid w:val="0"/>
          <w:lang w:val="en-GB"/>
        </w:rPr>
        <w:t xml:space="preserve"> based on</w:t>
      </w:r>
      <w:r w:rsidR="00E655A6" w:rsidRPr="001A18D8">
        <w:rPr>
          <w:snapToGrid w:val="0"/>
          <w:lang w:val="en-GB"/>
        </w:rPr>
        <w:t xml:space="preserve"> microperimetry outcomes</w:t>
      </w:r>
      <w:r w:rsidR="00654C12">
        <w:rPr>
          <w:snapToGrid w:val="0"/>
          <w:lang w:val="en-GB"/>
        </w:rPr>
        <w:t xml:space="preserve"> </w:t>
      </w:r>
      <w:r w:rsidR="00E655A6" w:rsidRPr="001A18D8">
        <w:rPr>
          <w:snapToGrid w:val="0"/>
          <w:lang w:val="en-GB"/>
        </w:rPr>
        <w:t>w</w:t>
      </w:r>
      <w:r w:rsidR="00C36877">
        <w:rPr>
          <w:snapToGrid w:val="0"/>
          <w:lang w:val="en-GB"/>
        </w:rPr>
        <w:t>ould</w:t>
      </w:r>
      <w:r w:rsidR="00E655A6" w:rsidRPr="001A18D8">
        <w:rPr>
          <w:snapToGrid w:val="0"/>
          <w:lang w:val="en-GB"/>
        </w:rPr>
        <w:t xml:space="preserve"> result in better functional vision. As such, the PBAC </w:t>
      </w:r>
      <w:r w:rsidR="00E655A6">
        <w:rPr>
          <w:snapToGrid w:val="0"/>
          <w:lang w:val="en-GB"/>
        </w:rPr>
        <w:t>considered</w:t>
      </w:r>
      <w:r w:rsidR="00E655A6" w:rsidRPr="001A18D8">
        <w:rPr>
          <w:snapToGrid w:val="0"/>
          <w:lang w:val="en-GB"/>
        </w:rPr>
        <w:t xml:space="preserve"> the economic model could be used to determine cost</w:t>
      </w:r>
      <w:r w:rsidR="00397B07">
        <w:rPr>
          <w:snapToGrid w:val="0"/>
          <w:lang w:val="en-GB"/>
        </w:rPr>
        <w:noBreakHyphen/>
      </w:r>
      <w:r w:rsidR="00E655A6" w:rsidRPr="001A18D8">
        <w:rPr>
          <w:snapToGrid w:val="0"/>
          <w:lang w:val="en-GB"/>
        </w:rPr>
        <w:t>effectiveness</w:t>
      </w:r>
      <w:r w:rsidR="00E655A6">
        <w:rPr>
          <w:snapToGrid w:val="0"/>
          <w:lang w:val="en-GB"/>
        </w:rPr>
        <w:t xml:space="preserve"> with revised inputs</w:t>
      </w:r>
      <w:r w:rsidR="00E655A6" w:rsidRPr="001A18D8">
        <w:rPr>
          <w:snapToGrid w:val="0"/>
          <w:lang w:val="en-GB"/>
        </w:rPr>
        <w:t>.</w:t>
      </w:r>
      <w:r w:rsidR="00F8698E">
        <w:t xml:space="preserve"> </w:t>
      </w:r>
      <w:r w:rsidR="00FB43C3" w:rsidRPr="00F8698E">
        <w:rPr>
          <w:snapToGrid w:val="0"/>
          <w:lang w:val="en-GB"/>
        </w:rPr>
        <w:t xml:space="preserve">The PBAC considered more conservative assumptions for the model would </w:t>
      </w:r>
      <w:r w:rsidR="007B6B11">
        <w:rPr>
          <w:snapToGrid w:val="0"/>
          <w:lang w:val="en-GB"/>
        </w:rPr>
        <w:t>be required to</w:t>
      </w:r>
      <w:r w:rsidR="007B6B11" w:rsidRPr="00F8698E">
        <w:rPr>
          <w:snapToGrid w:val="0"/>
          <w:lang w:val="en-GB"/>
        </w:rPr>
        <w:t xml:space="preserve"> </w:t>
      </w:r>
      <w:r w:rsidR="00FB43C3" w:rsidRPr="00F8698E">
        <w:rPr>
          <w:snapToGrid w:val="0"/>
          <w:lang w:val="en-GB"/>
        </w:rPr>
        <w:t xml:space="preserve">address the uncertainty of transforming microperimetry outcomes to </w:t>
      </w:r>
      <w:r w:rsidR="00BE4612">
        <w:rPr>
          <w:snapToGrid w:val="0"/>
          <w:lang w:val="en-GB"/>
        </w:rPr>
        <w:t>BCVA</w:t>
      </w:r>
      <w:r w:rsidR="00FB43C3" w:rsidRPr="00F8698E">
        <w:rPr>
          <w:snapToGrid w:val="0"/>
          <w:lang w:val="en-GB"/>
        </w:rPr>
        <w:t>.</w:t>
      </w:r>
    </w:p>
    <w:p w14:paraId="600A38CD" w14:textId="150DD5AE" w:rsidR="00084C6A" w:rsidRPr="00FA76E3" w:rsidRDefault="00AE3F8E" w:rsidP="00FA76E3">
      <w:pPr>
        <w:pStyle w:val="3-BodyText"/>
      </w:pPr>
      <w:bookmarkStart w:id="103" w:name="_Ref214436659"/>
      <w:r>
        <w:t xml:space="preserve">The PBAC </w:t>
      </w:r>
      <w:r w:rsidR="00983F82">
        <w:t>agreed with the ESC that</w:t>
      </w:r>
      <w:r w:rsidR="006D0785">
        <w:t>,</w:t>
      </w:r>
      <w:r w:rsidR="00983F82">
        <w:t xml:space="preserve"> </w:t>
      </w:r>
      <w:r w:rsidR="006D0785">
        <w:t xml:space="preserve">while </w:t>
      </w:r>
      <w:r w:rsidR="009E70FC">
        <w:t>the GALE extension study provided some support for the ongoing treatment effect of pegcetacoplan</w:t>
      </w:r>
      <w:r w:rsidR="006D0785">
        <w:t xml:space="preserve">, a </w:t>
      </w:r>
      <w:r w:rsidR="00386780">
        <w:t>20</w:t>
      </w:r>
      <w:r w:rsidR="00397B07">
        <w:noBreakHyphen/>
      </w:r>
      <w:r w:rsidR="00386780">
        <w:t>year</w:t>
      </w:r>
      <w:r w:rsidR="006D0785">
        <w:t xml:space="preserve"> time horizon </w:t>
      </w:r>
      <w:r w:rsidR="00590409">
        <w:t xml:space="preserve">was not reasonable in this patient population. The PBAC considered a </w:t>
      </w:r>
      <w:r w:rsidR="00386780">
        <w:t>15</w:t>
      </w:r>
      <w:r w:rsidR="00397B07">
        <w:noBreakHyphen/>
      </w:r>
      <w:r w:rsidR="00386780">
        <w:t>year</w:t>
      </w:r>
      <w:r w:rsidR="00590409">
        <w:t xml:space="preserve"> time horizon would be more appropriate. </w:t>
      </w:r>
      <w:r w:rsidR="0043675F" w:rsidRPr="00E20031">
        <w:t xml:space="preserve">The </w:t>
      </w:r>
      <w:r w:rsidR="00010AA9">
        <w:t xml:space="preserve">PBAC noted the model assumed </w:t>
      </w:r>
      <w:r w:rsidR="00C25FA4">
        <w:t xml:space="preserve">the pegcetacoplan treatment effect increased </w:t>
      </w:r>
      <w:r w:rsidR="00B560C0">
        <w:t xml:space="preserve">at the end of the observed </w:t>
      </w:r>
      <w:r w:rsidR="005B5D48">
        <w:t xml:space="preserve">trial </w:t>
      </w:r>
      <w:r w:rsidR="00B560C0">
        <w:t xml:space="preserve">period </w:t>
      </w:r>
      <w:r w:rsidR="00C25FA4">
        <w:t>and continued without waning while patients remained on treatment</w:t>
      </w:r>
      <w:r w:rsidR="00F71BDD">
        <w:t xml:space="preserve">. </w:t>
      </w:r>
      <w:r w:rsidR="00BB7F6D">
        <w:t xml:space="preserve">Acknowledging concerns regarding </w:t>
      </w:r>
      <w:r w:rsidR="002D3E57">
        <w:t>magnitude</w:t>
      </w:r>
      <w:r w:rsidR="004029B2">
        <w:t xml:space="preserve"> of effect</w:t>
      </w:r>
      <w:r w:rsidR="00A03C01">
        <w:t>,</w:t>
      </w:r>
      <w:r w:rsidR="002D3E57">
        <w:t xml:space="preserve"> the PBAC </w:t>
      </w:r>
      <w:r w:rsidR="00A03C01">
        <w:t xml:space="preserve">advised that the treatment </w:t>
      </w:r>
      <w:r w:rsidR="0008081B">
        <w:t xml:space="preserve">effect </w:t>
      </w:r>
      <w:r w:rsidR="002860F9">
        <w:t xml:space="preserve">should remain the same at the end of the observed period </w:t>
      </w:r>
      <w:r w:rsidR="00B560C0">
        <w:t>rather than increase.</w:t>
      </w:r>
      <w:r w:rsidR="00E85A8F">
        <w:t xml:space="preserve"> </w:t>
      </w:r>
      <w:r w:rsidR="00A546A4">
        <w:t>The</w:t>
      </w:r>
      <w:r w:rsidR="00DA7A6C">
        <w:t xml:space="preserve"> PBAC </w:t>
      </w:r>
      <w:r w:rsidR="007B6B11">
        <w:t xml:space="preserve">also </w:t>
      </w:r>
      <w:r w:rsidR="00DA7A6C">
        <w:t>considered the</w:t>
      </w:r>
      <w:r w:rsidR="00A546A4">
        <w:t xml:space="preserve"> assumption of identical utilities across the two treatment arms was </w:t>
      </w:r>
      <w:r w:rsidR="00DA7A6C">
        <w:t xml:space="preserve">not appropriate given the </w:t>
      </w:r>
      <w:r w:rsidR="007B6B11">
        <w:t xml:space="preserve">higher rate of </w:t>
      </w:r>
      <w:r w:rsidR="009E65EC">
        <w:t xml:space="preserve">adverse events of pegcetacoplan </w:t>
      </w:r>
      <w:r w:rsidR="007B6B11">
        <w:t xml:space="preserve">administration </w:t>
      </w:r>
      <w:r w:rsidR="009E65EC">
        <w:t>over BSC.</w:t>
      </w:r>
      <w:r w:rsidR="004029B2">
        <w:t xml:space="preserve"> </w:t>
      </w:r>
      <w:r w:rsidR="00B65A5E">
        <w:t>T</w:t>
      </w:r>
      <w:r w:rsidR="002B119C">
        <w:t xml:space="preserve">he PBAC </w:t>
      </w:r>
      <w:r w:rsidR="004C5258">
        <w:t>advised</w:t>
      </w:r>
      <w:r w:rsidR="002B119C">
        <w:t xml:space="preserve"> that a utility decrement due to pegcetacoplan administration </w:t>
      </w:r>
      <w:r w:rsidR="00AE1A5D">
        <w:t>should be included</w:t>
      </w:r>
      <w:r w:rsidR="002B119C">
        <w:t xml:space="preserve">. </w:t>
      </w:r>
      <w:r w:rsidR="00862EF2">
        <w:t xml:space="preserve">The PBAC also advised that the </w:t>
      </w:r>
      <w:r w:rsidR="00F62941">
        <w:t xml:space="preserve">approach taken by the evaluation to estimating the number of pegcetacoplan injections per year </w:t>
      </w:r>
      <w:r w:rsidR="00A726A5">
        <w:t xml:space="preserve">based on </w:t>
      </w:r>
      <w:r w:rsidR="003708A1">
        <w:t xml:space="preserve">treatment compliance reported in the trials should be </w:t>
      </w:r>
      <w:r w:rsidR="003708A1">
        <w:lastRenderedPageBreak/>
        <w:t xml:space="preserve">used in the economic model </w:t>
      </w:r>
      <w:r w:rsidR="00B4402E">
        <w:t xml:space="preserve">(see paragraph </w:t>
      </w:r>
      <w:r w:rsidR="00B4402E">
        <w:fldChar w:fldCharType="begin"/>
      </w:r>
      <w:r w:rsidR="00B4402E">
        <w:instrText xml:space="preserve"> REF _Ref205561313 \r \h </w:instrText>
      </w:r>
      <w:r w:rsidR="00B4402E">
        <w:fldChar w:fldCharType="separate"/>
      </w:r>
      <w:r w:rsidR="00333CFE">
        <w:t>6.49</w:t>
      </w:r>
      <w:r w:rsidR="00B4402E">
        <w:fldChar w:fldCharType="end"/>
      </w:r>
      <w:r w:rsidR="00B4402E">
        <w:t>).</w:t>
      </w:r>
      <w:r w:rsidR="00CE33D4">
        <w:t xml:space="preserve"> </w:t>
      </w:r>
      <w:r w:rsidR="0058042B">
        <w:t xml:space="preserve">The PBAC noted </w:t>
      </w:r>
      <w:r w:rsidR="00DC1C64">
        <w:t xml:space="preserve">inclusion of aged care related costs in the economic model and </w:t>
      </w:r>
      <w:r w:rsidR="00DF1FDE">
        <w:t>agreed</w:t>
      </w:r>
      <w:r w:rsidR="00DC1C64">
        <w:t xml:space="preserve"> with the ESC that they</w:t>
      </w:r>
      <w:r w:rsidR="00F416CA">
        <w:t xml:space="preserve"> included both aspects of health and non</w:t>
      </w:r>
      <w:r w:rsidR="00397B07">
        <w:noBreakHyphen/>
      </w:r>
      <w:r w:rsidR="00F416CA">
        <w:t>health care</w:t>
      </w:r>
      <w:r w:rsidR="00CC6B3A">
        <w:t xml:space="preserve"> which were hard to separate in the model. </w:t>
      </w:r>
      <w:r w:rsidR="00D434AA">
        <w:t xml:space="preserve">As such, the PBAC </w:t>
      </w:r>
      <w:r w:rsidR="00A3621E">
        <w:t>advised that Home Care Packages and Commonwealth Home Support Program costs should be reduced by 50% in the model</w:t>
      </w:r>
      <w:r w:rsidR="004F7017">
        <w:t xml:space="preserve"> </w:t>
      </w:r>
      <w:r w:rsidR="00106170">
        <w:t>as a</w:t>
      </w:r>
      <w:r w:rsidR="000327DE">
        <w:t xml:space="preserve"> </w:t>
      </w:r>
      <w:r w:rsidR="00A33B8A">
        <w:t xml:space="preserve">way </w:t>
      </w:r>
      <w:r w:rsidR="004F7017">
        <w:t xml:space="preserve">to </w:t>
      </w:r>
      <w:r w:rsidR="00106170">
        <w:t xml:space="preserve">address </w:t>
      </w:r>
      <w:r w:rsidR="007B6B11">
        <w:t xml:space="preserve">this </w:t>
      </w:r>
      <w:r w:rsidR="00106170">
        <w:t>uncertainty</w:t>
      </w:r>
      <w:r w:rsidR="00A3621E">
        <w:t xml:space="preserve">. </w:t>
      </w:r>
      <w:r w:rsidR="00142F5B" w:rsidRPr="00987AFC">
        <w:rPr>
          <w:snapToGrid w:val="0"/>
          <w:lang w:val="en-GB"/>
        </w:rPr>
        <w:t>The PBAC considered with these alternative parameters the cost</w:t>
      </w:r>
      <w:r w:rsidR="00397B07">
        <w:rPr>
          <w:snapToGrid w:val="0"/>
          <w:lang w:val="en-GB"/>
        </w:rPr>
        <w:noBreakHyphen/>
      </w:r>
      <w:r w:rsidR="00142F5B" w:rsidRPr="00987AFC">
        <w:rPr>
          <w:snapToGrid w:val="0"/>
          <w:lang w:val="en-GB"/>
        </w:rPr>
        <w:t xml:space="preserve">effectiveness analysis would be more reliable and an </w:t>
      </w:r>
      <w:r w:rsidR="00CD717F">
        <w:rPr>
          <w:snapToGrid w:val="0"/>
          <w:lang w:val="en-GB"/>
        </w:rPr>
        <w:t>ICER</w:t>
      </w:r>
      <w:r w:rsidR="00142F5B" w:rsidRPr="00987AFC">
        <w:rPr>
          <w:snapToGrid w:val="0"/>
        </w:rPr>
        <w:t xml:space="preserve"> </w:t>
      </w:r>
      <w:r w:rsidR="00142F5B">
        <w:rPr>
          <w:snapToGrid w:val="0"/>
        </w:rPr>
        <w:t xml:space="preserve">in </w:t>
      </w:r>
      <w:r w:rsidR="00142F5B" w:rsidRPr="00987AFC">
        <w:rPr>
          <w:snapToGrid w:val="0"/>
        </w:rPr>
        <w:t>the order of</w:t>
      </w:r>
      <w:r w:rsidR="00142F5B" w:rsidRPr="00987AFC">
        <w:rPr>
          <w:snapToGrid w:val="0"/>
          <w:lang w:val="en-GB"/>
        </w:rPr>
        <w:t xml:space="preserve"> </w:t>
      </w:r>
      <w:r w:rsidR="00281EAC" w:rsidRPr="00281EAC">
        <w:rPr>
          <w:snapToGrid w:val="0"/>
          <w:lang w:val="en-GB"/>
        </w:rPr>
        <w:t>$55,000 to &lt; $75,000</w:t>
      </w:r>
      <w:r w:rsidR="006A4EB0">
        <w:rPr>
          <w:snapToGrid w:val="0"/>
          <w:lang w:val="en-GB"/>
        </w:rPr>
        <w:t xml:space="preserve"> per </w:t>
      </w:r>
      <w:r w:rsidR="00142F5B" w:rsidRPr="00987AFC">
        <w:rPr>
          <w:snapToGrid w:val="0"/>
          <w:lang w:val="en-GB"/>
        </w:rPr>
        <w:t>QALY gained would be acceptable.</w:t>
      </w:r>
      <w:r w:rsidR="00623501">
        <w:rPr>
          <w:snapToGrid w:val="0"/>
          <w:lang w:val="en-GB"/>
        </w:rPr>
        <w:t xml:space="preserve"> The PBAC noted that a price reduction would be required to achieve cost effectiveness</w:t>
      </w:r>
      <w:r w:rsidR="00514055">
        <w:rPr>
          <w:snapToGrid w:val="0"/>
          <w:lang w:val="en-GB"/>
        </w:rPr>
        <w:t>.</w:t>
      </w:r>
      <w:bookmarkEnd w:id="103"/>
    </w:p>
    <w:p w14:paraId="7F099FB6" w14:textId="0F1729C4" w:rsidR="00084C6A" w:rsidRPr="00A272D3" w:rsidRDefault="00F960CD" w:rsidP="00084C6A">
      <w:pPr>
        <w:pStyle w:val="3-BodyText"/>
        <w:rPr>
          <w:iCs/>
        </w:rPr>
      </w:pPr>
      <w:bookmarkStart w:id="104" w:name="_Ref214437969"/>
      <w:r>
        <w:t xml:space="preserve">The </w:t>
      </w:r>
      <w:r w:rsidR="00C43358">
        <w:t xml:space="preserve">PBAC noted the </w:t>
      </w:r>
      <w:r w:rsidRPr="006A50FB">
        <w:t xml:space="preserve">DUSC </w:t>
      </w:r>
      <w:r w:rsidR="005A0F4F">
        <w:t>advice on</w:t>
      </w:r>
      <w:r w:rsidR="005A0F4F" w:rsidRPr="006A50FB">
        <w:t xml:space="preserve"> </w:t>
      </w:r>
      <w:r w:rsidRPr="006A50FB">
        <w:t xml:space="preserve">the </w:t>
      </w:r>
      <w:r w:rsidR="00C43358">
        <w:t xml:space="preserve">financial </w:t>
      </w:r>
      <w:r w:rsidRPr="006A50FB">
        <w:t>estimates</w:t>
      </w:r>
      <w:r w:rsidR="00C43358">
        <w:t>.</w:t>
      </w:r>
      <w:r w:rsidR="00B64C87">
        <w:t xml:space="preserve"> The PBAC agreed with the DUSC that the </w:t>
      </w:r>
      <w:r w:rsidR="00EA648E">
        <w:t xml:space="preserve">number of pegcetacoplan scripts per year </w:t>
      </w:r>
      <w:r w:rsidR="00EF667A">
        <w:t xml:space="preserve">was underestimated. The PBAC advised that the number of pegcetacoplan scripts per year </w:t>
      </w:r>
      <w:r w:rsidR="0072478D">
        <w:t xml:space="preserve">should be revised to </w:t>
      </w:r>
      <w:r w:rsidR="009B2C78">
        <w:t xml:space="preserve">reflect treatment compliance reported in the </w:t>
      </w:r>
      <w:r w:rsidR="00F761C5">
        <w:t xml:space="preserve">key </w:t>
      </w:r>
      <w:r w:rsidR="009B2C78">
        <w:t>trials (</w:t>
      </w:r>
      <w:r w:rsidR="00F761C5">
        <w:t xml:space="preserve">i.e. 5.39 scripts per year). </w:t>
      </w:r>
      <w:r w:rsidR="003A0624">
        <w:t xml:space="preserve">The PBAC noted the submission assumed a </w:t>
      </w:r>
      <w:r w:rsidR="00794BDD" w:rsidRPr="00794BDD">
        <w:rPr>
          <w:highlight w:val="black"/>
        </w:rPr>
        <w:t>&amp;&amp;&amp;&amp;</w:t>
      </w:r>
      <w:r w:rsidR="003A0624">
        <w:t xml:space="preserve">% and </w:t>
      </w:r>
      <w:r w:rsidR="00794BDD" w:rsidRPr="00794BDD">
        <w:rPr>
          <w:highlight w:val="black"/>
        </w:rPr>
        <w:t>&amp;&amp;&amp;&amp;</w:t>
      </w:r>
      <w:r w:rsidR="003A0624">
        <w:t xml:space="preserve">% uptake rates in Year 1 and Year 2 respectively. </w:t>
      </w:r>
      <w:r w:rsidR="0029078F">
        <w:t xml:space="preserve">The PBAC agreed with the DUSC that the uptake rates were uncertain with the possibility of some hesitation due to the </w:t>
      </w:r>
      <w:r w:rsidR="007B6B11">
        <w:t>effective “</w:t>
      </w:r>
      <w:r w:rsidR="0029078F">
        <w:t>one</w:t>
      </w:r>
      <w:r w:rsidR="00397B07">
        <w:noBreakHyphen/>
      </w:r>
      <w:r w:rsidR="0029078F">
        <w:t>eye</w:t>
      </w:r>
      <w:r w:rsidR="007B6B11">
        <w:t>”</w:t>
      </w:r>
      <w:r w:rsidR="0029078F">
        <w:t xml:space="preserve"> status of the target population. However, </w:t>
      </w:r>
      <w:r w:rsidR="00183F57">
        <w:t xml:space="preserve">the PBAC noted that </w:t>
      </w:r>
      <w:r w:rsidR="0029078F">
        <w:t xml:space="preserve">there are no other subsidised treatment options available for GA </w:t>
      </w:r>
      <w:r w:rsidR="00BD1FCA">
        <w:t xml:space="preserve">and that in clinical practice </w:t>
      </w:r>
      <w:r w:rsidR="007136F0">
        <w:t xml:space="preserve">some clinicians may test the safety of pegcetacoplan in the worst </w:t>
      </w:r>
      <w:r w:rsidR="009570ED">
        <w:t>eye</w:t>
      </w:r>
      <w:r w:rsidR="00183F57">
        <w:t xml:space="preserve"> first</w:t>
      </w:r>
      <w:r w:rsidR="009570ED">
        <w:t xml:space="preserve"> (see paragraph </w:t>
      </w:r>
      <w:r w:rsidR="009570ED">
        <w:fldChar w:fldCharType="begin"/>
      </w:r>
      <w:r w:rsidR="009570ED">
        <w:instrText xml:space="preserve"> REF _Ref214437548 \r \h </w:instrText>
      </w:r>
      <w:r w:rsidR="009570ED">
        <w:fldChar w:fldCharType="separate"/>
      </w:r>
      <w:r w:rsidR="00333CFE">
        <w:t>7.6</w:t>
      </w:r>
      <w:r w:rsidR="009570ED">
        <w:fldChar w:fldCharType="end"/>
      </w:r>
      <w:r w:rsidR="009570ED">
        <w:t>)</w:t>
      </w:r>
      <w:r w:rsidR="00183F57">
        <w:t xml:space="preserve">. </w:t>
      </w:r>
      <w:r w:rsidR="002F6DE2">
        <w:t>As such</w:t>
      </w:r>
      <w:r w:rsidR="00183F57">
        <w:t>,</w:t>
      </w:r>
      <w:r w:rsidR="009570ED">
        <w:t xml:space="preserve"> </w:t>
      </w:r>
      <w:r w:rsidR="0029078F">
        <w:t xml:space="preserve">the </w:t>
      </w:r>
      <w:r w:rsidR="00CF02D7">
        <w:t xml:space="preserve">PBAC advised that the uptake rate in both Year 1 and Year 2 be increased to </w:t>
      </w:r>
      <w:r w:rsidR="00794BDD" w:rsidRPr="00794BDD">
        <w:rPr>
          <w:highlight w:val="black"/>
        </w:rPr>
        <w:t>&amp;&amp;&amp;&amp;</w:t>
      </w:r>
      <w:r w:rsidR="00CF02D7">
        <w:t xml:space="preserve">% with the </w:t>
      </w:r>
      <w:r w:rsidR="00DC42B4">
        <w:t>uptake rates in the remaining years as per the submission. The PBAC considered that</w:t>
      </w:r>
      <w:r w:rsidR="007B6B11">
        <w:t>,</w:t>
      </w:r>
      <w:r w:rsidR="00DC42B4">
        <w:t xml:space="preserve"> with these amendments</w:t>
      </w:r>
      <w:r w:rsidR="008D208B">
        <w:t xml:space="preserve"> and with the </w:t>
      </w:r>
      <w:r w:rsidR="00AB7D0D">
        <w:t xml:space="preserve">price reduction required to achieve cost effectiveness outlined in paragraph </w:t>
      </w:r>
      <w:r w:rsidR="0068070E">
        <w:fldChar w:fldCharType="begin"/>
      </w:r>
      <w:r w:rsidR="0068070E">
        <w:instrText xml:space="preserve"> REF _Ref214436659 \r \h </w:instrText>
      </w:r>
      <w:r w:rsidR="0068070E">
        <w:fldChar w:fldCharType="separate"/>
      </w:r>
      <w:r w:rsidR="00333CFE">
        <w:t>7.15</w:t>
      </w:r>
      <w:r w:rsidR="0068070E">
        <w:fldChar w:fldCharType="end"/>
      </w:r>
      <w:r w:rsidR="0068070E">
        <w:t>, it would be reasonable to accept the financial estimates as the basis of a risk sharing arrangement.</w:t>
      </w:r>
      <w:bookmarkEnd w:id="104"/>
    </w:p>
    <w:p w14:paraId="2FEE147E" w14:textId="40F186FF" w:rsidR="00D848E2" w:rsidRPr="00CE42B4" w:rsidRDefault="008D3D5F" w:rsidP="00D848E2">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a risk sharing arrangement was </w:t>
      </w:r>
      <w:r w:rsidRPr="00987AFC">
        <w:rPr>
          <w:rFonts w:asciiTheme="minorHAnsi" w:hAnsiTheme="minorHAnsi"/>
          <w:snapToGrid w:val="0"/>
        </w:rPr>
        <w:t>required to address any residual uncertainty regarding estimated patient numbers and to ensure PBS reimbursement was for treatment in one eye only.</w:t>
      </w:r>
      <w:r w:rsidR="005E2936">
        <w:rPr>
          <w:rFonts w:asciiTheme="minorHAnsi" w:hAnsiTheme="minorHAnsi"/>
          <w:snapToGrid w:val="0"/>
        </w:rPr>
        <w:t xml:space="preserve"> The PBAC </w:t>
      </w:r>
      <w:r w:rsidR="00331D24">
        <w:rPr>
          <w:rFonts w:asciiTheme="minorHAnsi" w:hAnsiTheme="minorHAnsi"/>
          <w:snapToGrid w:val="0"/>
        </w:rPr>
        <w:t xml:space="preserve">recommended </w:t>
      </w:r>
      <w:r w:rsidR="00AC574E">
        <w:rPr>
          <w:rFonts w:asciiTheme="minorHAnsi" w:hAnsiTheme="minorHAnsi"/>
          <w:snapToGrid w:val="0"/>
        </w:rPr>
        <w:t xml:space="preserve">an </w:t>
      </w:r>
      <w:r w:rsidR="00794BDD" w:rsidRPr="00794BDD">
        <w:rPr>
          <w:rFonts w:asciiTheme="minorHAnsi" w:hAnsiTheme="minorHAnsi"/>
          <w:snapToGrid w:val="0"/>
          <w:highlight w:val="black"/>
        </w:rPr>
        <w:t>&amp;&amp;&amp;&amp;</w:t>
      </w:r>
      <w:r w:rsidR="00AC574E">
        <w:rPr>
          <w:rFonts w:asciiTheme="minorHAnsi" w:hAnsiTheme="minorHAnsi"/>
          <w:snapToGrid w:val="0"/>
        </w:rPr>
        <w:t xml:space="preserve">% </w:t>
      </w:r>
      <w:r w:rsidR="00331D24">
        <w:rPr>
          <w:rFonts w:asciiTheme="minorHAnsi" w:hAnsiTheme="minorHAnsi"/>
          <w:snapToGrid w:val="0"/>
        </w:rPr>
        <w:t>rebate for treatment costs above the</w:t>
      </w:r>
      <w:r w:rsidR="00096E8A">
        <w:rPr>
          <w:rFonts w:asciiTheme="minorHAnsi" w:hAnsiTheme="minorHAnsi"/>
          <w:snapToGrid w:val="0"/>
        </w:rPr>
        <w:t xml:space="preserve"> annual caps</w:t>
      </w:r>
      <w:r w:rsidR="00AC574E">
        <w:rPr>
          <w:rFonts w:asciiTheme="minorHAnsi" w:hAnsiTheme="minorHAnsi"/>
          <w:snapToGrid w:val="0"/>
        </w:rPr>
        <w:t xml:space="preserve"> </w:t>
      </w:r>
      <w:r w:rsidR="0035512B">
        <w:rPr>
          <w:rFonts w:asciiTheme="minorHAnsi" w:hAnsiTheme="minorHAnsi"/>
          <w:snapToGrid w:val="0"/>
        </w:rPr>
        <w:t xml:space="preserve">amended as per </w:t>
      </w:r>
      <w:r w:rsidR="00096E8A">
        <w:rPr>
          <w:rFonts w:asciiTheme="minorHAnsi" w:hAnsiTheme="minorHAnsi"/>
          <w:snapToGrid w:val="0"/>
        </w:rPr>
        <w:t xml:space="preserve">paragraph </w:t>
      </w:r>
      <w:r w:rsidR="00096E8A">
        <w:rPr>
          <w:rFonts w:asciiTheme="minorHAnsi" w:hAnsiTheme="minorHAnsi"/>
          <w:snapToGrid w:val="0"/>
        </w:rPr>
        <w:fldChar w:fldCharType="begin"/>
      </w:r>
      <w:r w:rsidR="00096E8A">
        <w:rPr>
          <w:rFonts w:asciiTheme="minorHAnsi" w:hAnsiTheme="minorHAnsi"/>
          <w:snapToGrid w:val="0"/>
        </w:rPr>
        <w:instrText xml:space="preserve"> REF _Ref214437969 \r \h </w:instrText>
      </w:r>
      <w:r w:rsidR="00096E8A">
        <w:rPr>
          <w:rFonts w:asciiTheme="minorHAnsi" w:hAnsiTheme="minorHAnsi"/>
          <w:snapToGrid w:val="0"/>
        </w:rPr>
      </w:r>
      <w:r w:rsidR="00096E8A">
        <w:rPr>
          <w:rFonts w:asciiTheme="minorHAnsi" w:hAnsiTheme="minorHAnsi"/>
          <w:snapToGrid w:val="0"/>
        </w:rPr>
        <w:fldChar w:fldCharType="separate"/>
      </w:r>
      <w:r w:rsidR="00333CFE">
        <w:rPr>
          <w:rFonts w:asciiTheme="minorHAnsi" w:hAnsiTheme="minorHAnsi"/>
          <w:snapToGrid w:val="0"/>
        </w:rPr>
        <w:t>7.16</w:t>
      </w:r>
      <w:r w:rsidR="00096E8A">
        <w:rPr>
          <w:rFonts w:asciiTheme="minorHAnsi" w:hAnsiTheme="minorHAnsi"/>
          <w:snapToGrid w:val="0"/>
        </w:rPr>
        <w:fldChar w:fldCharType="end"/>
      </w:r>
      <w:r w:rsidR="004B7EF4">
        <w:rPr>
          <w:rFonts w:asciiTheme="minorHAnsi" w:hAnsiTheme="minorHAnsi"/>
          <w:snapToGrid w:val="0"/>
        </w:rPr>
        <w:t>.</w:t>
      </w:r>
    </w:p>
    <w:p w14:paraId="791AA12C" w14:textId="23E97EEA" w:rsidR="00EF43D2" w:rsidRPr="00EF43D2" w:rsidRDefault="00D848E2" w:rsidP="00EF43D2">
      <w:pPr>
        <w:widowControl w:val="0"/>
        <w:numPr>
          <w:ilvl w:val="1"/>
          <w:numId w:val="1"/>
        </w:numPr>
        <w:spacing w:after="120"/>
        <w:rPr>
          <w:rFonts w:asciiTheme="minorHAnsi" w:hAnsiTheme="minorHAnsi"/>
          <w:bCs/>
          <w:snapToGrid w:val="0"/>
          <w:lang w:val="en-GB"/>
        </w:rPr>
      </w:pPr>
      <w:r w:rsidRPr="005F7B51">
        <w:rPr>
          <w:rFonts w:asciiTheme="minorHAnsi" w:hAnsiTheme="minorHAnsi"/>
          <w:bCs/>
          <w:snapToGrid w:val="0"/>
          <w:lang w:val="en-GB"/>
        </w:rPr>
        <w:t xml:space="preserve">The PBAC advised that </w:t>
      </w:r>
      <w:r w:rsidR="005F7B51">
        <w:rPr>
          <w:rFonts w:asciiTheme="minorHAnsi" w:hAnsiTheme="minorHAnsi"/>
          <w:bCs/>
          <w:snapToGrid w:val="0"/>
          <w:lang w:val="en-GB"/>
        </w:rPr>
        <w:t>pegcetacoplan</w:t>
      </w:r>
      <w:r w:rsidRPr="005F7B51">
        <w:rPr>
          <w:rFonts w:asciiTheme="minorHAnsi" w:hAnsiTheme="minorHAnsi"/>
          <w:bCs/>
          <w:snapToGrid w:val="0"/>
          <w:lang w:val="en-GB"/>
        </w:rPr>
        <w:t xml:space="preserve"> is not suitable for prescribing by nurse practitioners. </w:t>
      </w:r>
      <w:r w:rsidR="00EF43D2" w:rsidRPr="00EF43D2">
        <w:rPr>
          <w:rFonts w:asciiTheme="minorHAnsi" w:hAnsiTheme="minorHAnsi"/>
          <w:bCs/>
          <w:snapToGrid w:val="0"/>
        </w:rPr>
        <w:t>The PBAC also recommended</w:t>
      </w:r>
      <w:r w:rsidRPr="00EF43D2" w:rsidDel="00EF43D2">
        <w:rPr>
          <w:rFonts w:asciiTheme="minorHAnsi" w:hAnsiTheme="minorHAnsi"/>
          <w:snapToGrid w:val="0"/>
        </w:rPr>
        <w:t xml:space="preserve"> that </w:t>
      </w:r>
      <w:r w:rsidR="00250293" w:rsidRPr="00EF43D2">
        <w:rPr>
          <w:rFonts w:asciiTheme="minorHAnsi" w:hAnsiTheme="minorHAnsi"/>
          <w:bCs/>
          <w:snapToGrid w:val="0"/>
          <w:lang w:val="en-GB"/>
        </w:rPr>
        <w:t>pegcetacoplan</w:t>
      </w:r>
      <w:r w:rsidRPr="00EF43D2">
        <w:rPr>
          <w:rFonts w:asciiTheme="minorHAnsi" w:hAnsiTheme="minorHAnsi"/>
          <w:bCs/>
          <w:snapToGrid w:val="0"/>
          <w:lang w:val="en-GB"/>
        </w:rPr>
        <w:t xml:space="preserve"> is suitable for prescribing by </w:t>
      </w:r>
      <w:r w:rsidR="002E6B73" w:rsidRPr="00EF43D2">
        <w:rPr>
          <w:rFonts w:cstheme="minorHAnsi"/>
        </w:rPr>
        <w:t>an ophthalmologist or by an accredited ophthalmology registrar</w:t>
      </w:r>
      <w:r w:rsidR="00EF43D2" w:rsidRPr="00EF43D2">
        <w:rPr>
          <w:rFonts w:cstheme="minorHAnsi"/>
        </w:rPr>
        <w:t>,</w:t>
      </w:r>
      <w:r w:rsidR="002E6B73" w:rsidRPr="00EF43D2">
        <w:rPr>
          <w:rFonts w:cstheme="minorHAnsi"/>
        </w:rPr>
        <w:t xml:space="preserve"> in consultation with an ophthalmologist</w:t>
      </w:r>
      <w:r w:rsidR="002E6B73" w:rsidRPr="00EF43D2">
        <w:rPr>
          <w:rFonts w:asciiTheme="minorHAnsi" w:hAnsiTheme="minorHAnsi"/>
          <w:bCs/>
          <w:snapToGrid w:val="0"/>
          <w:lang w:val="en-GB"/>
        </w:rPr>
        <w:t xml:space="preserve"> only</w:t>
      </w:r>
      <w:r w:rsidR="007B6B11">
        <w:rPr>
          <w:rFonts w:asciiTheme="minorHAnsi" w:hAnsiTheme="minorHAnsi"/>
          <w:bCs/>
          <w:snapToGrid w:val="0"/>
          <w:lang w:val="en-GB"/>
        </w:rPr>
        <w:t xml:space="preserve">. GA secondary to AMD should be diagnosed </w:t>
      </w:r>
      <w:r w:rsidR="00EF43D2" w:rsidRPr="00EF43D2">
        <w:rPr>
          <w:rFonts w:asciiTheme="minorHAnsi" w:hAnsiTheme="minorHAnsi"/>
          <w:bCs/>
          <w:snapToGrid w:val="0"/>
        </w:rPr>
        <w:t>using fundus autofluorescence or optical coherence tomography (OCT)</w:t>
      </w:r>
      <w:r w:rsidR="00F445FD">
        <w:rPr>
          <w:rFonts w:asciiTheme="minorHAnsi" w:hAnsiTheme="minorHAnsi"/>
          <w:bCs/>
          <w:snapToGrid w:val="0"/>
        </w:rPr>
        <w:t xml:space="preserve"> </w:t>
      </w:r>
      <w:r w:rsidR="007B6B11">
        <w:rPr>
          <w:rFonts w:asciiTheme="minorHAnsi" w:hAnsiTheme="minorHAnsi"/>
          <w:bCs/>
          <w:snapToGrid w:val="0"/>
        </w:rPr>
        <w:t xml:space="preserve">with ongoing </w:t>
      </w:r>
      <w:r w:rsidR="00F445FD">
        <w:rPr>
          <w:rFonts w:asciiTheme="minorHAnsi" w:hAnsiTheme="minorHAnsi"/>
          <w:bCs/>
          <w:snapToGrid w:val="0"/>
        </w:rPr>
        <w:t>assess</w:t>
      </w:r>
      <w:r w:rsidR="007B6B11">
        <w:rPr>
          <w:rFonts w:asciiTheme="minorHAnsi" w:hAnsiTheme="minorHAnsi"/>
          <w:bCs/>
          <w:snapToGrid w:val="0"/>
        </w:rPr>
        <w:t>ment to ensure that the</w:t>
      </w:r>
      <w:r w:rsidR="00127AD3">
        <w:rPr>
          <w:rFonts w:asciiTheme="minorHAnsi" w:hAnsiTheme="minorHAnsi"/>
          <w:bCs/>
          <w:snapToGrid w:val="0"/>
        </w:rPr>
        <w:t xml:space="preserve"> fovea remain</w:t>
      </w:r>
      <w:r w:rsidR="008B0A61">
        <w:rPr>
          <w:rFonts w:asciiTheme="minorHAnsi" w:hAnsiTheme="minorHAnsi"/>
          <w:bCs/>
          <w:snapToGrid w:val="0"/>
        </w:rPr>
        <w:t>s</w:t>
      </w:r>
      <w:r w:rsidR="00127AD3">
        <w:rPr>
          <w:rFonts w:asciiTheme="minorHAnsi" w:hAnsiTheme="minorHAnsi"/>
          <w:bCs/>
          <w:snapToGrid w:val="0"/>
        </w:rPr>
        <w:t xml:space="preserve"> intact</w:t>
      </w:r>
      <w:r w:rsidR="00EF43D2" w:rsidRPr="00EF43D2">
        <w:rPr>
          <w:rFonts w:asciiTheme="minorHAnsi" w:hAnsiTheme="minorHAnsi"/>
          <w:bCs/>
          <w:snapToGrid w:val="0"/>
        </w:rPr>
        <w:t>.</w:t>
      </w:r>
    </w:p>
    <w:p w14:paraId="18DEE6B8" w14:textId="5B47F2A3" w:rsidR="00E512E4" w:rsidRDefault="008F7A5F" w:rsidP="00D848E2">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recommended that the Early Supply Rule should not apply. </w:t>
      </w:r>
    </w:p>
    <w:p w14:paraId="122E3E1F" w14:textId="7DF7E234" w:rsidR="00D848E2" w:rsidRPr="00A8136D" w:rsidRDefault="00D848E2" w:rsidP="00A8136D">
      <w:pPr>
        <w:widowControl w:val="0"/>
        <w:numPr>
          <w:ilvl w:val="1"/>
          <w:numId w:val="1"/>
        </w:numPr>
        <w:spacing w:after="120"/>
        <w:rPr>
          <w:rFonts w:asciiTheme="minorHAnsi" w:hAnsiTheme="minorHAnsi"/>
          <w:bCs/>
          <w:snapToGrid w:val="0"/>
          <w:lang w:val="en-GB"/>
        </w:rPr>
      </w:pPr>
      <w:r w:rsidRPr="00A8136D">
        <w:rPr>
          <w:rFonts w:asciiTheme="minorHAnsi" w:hAnsiTheme="minorHAnsi" w:cstheme="minorHAnsi"/>
          <w:lang w:val="en-GB"/>
        </w:rPr>
        <w:t xml:space="preserve">The PBAC found that the criteria prescribed by the </w:t>
      </w:r>
      <w:r w:rsidRPr="00165EAB">
        <w:rPr>
          <w:rFonts w:asciiTheme="minorHAnsi" w:hAnsiTheme="minorHAnsi" w:cstheme="minorHAnsi"/>
          <w:i/>
          <w:lang w:val="en-GB"/>
        </w:rPr>
        <w:t>National Health (Pharmaceuticals and Vaccines – Cost Recovery) Regulations 2022</w:t>
      </w:r>
      <w:r w:rsidRPr="00A8136D">
        <w:rPr>
          <w:rFonts w:asciiTheme="minorHAnsi" w:hAnsiTheme="minorHAnsi" w:cstheme="minorHAnsi"/>
          <w:lang w:val="en-GB"/>
        </w:rPr>
        <w:t xml:space="preserve"> for Pricing Pathway A</w:t>
      </w:r>
      <w:r w:rsidR="00165EAB">
        <w:rPr>
          <w:rFonts w:asciiTheme="minorHAnsi" w:hAnsiTheme="minorHAnsi" w:cstheme="minorHAnsi"/>
          <w:lang w:val="en-GB"/>
        </w:rPr>
        <w:t xml:space="preserve"> </w:t>
      </w:r>
      <w:r w:rsidRPr="00A8136D">
        <w:rPr>
          <w:rFonts w:asciiTheme="minorHAnsi" w:hAnsiTheme="minorHAnsi" w:cstheme="minorHAnsi"/>
          <w:lang w:val="en-GB"/>
        </w:rPr>
        <w:t xml:space="preserve">were not met. </w:t>
      </w:r>
      <w:r w:rsidR="00CB5D72" w:rsidRPr="00A8136D">
        <w:rPr>
          <w:rFonts w:asciiTheme="minorHAnsi" w:hAnsiTheme="minorHAnsi" w:cstheme="minorHAnsi"/>
          <w:lang w:val="en-GB"/>
        </w:rPr>
        <w:t>Specifically,</w:t>
      </w:r>
      <w:r w:rsidRPr="00A8136D">
        <w:rPr>
          <w:rFonts w:asciiTheme="minorHAnsi" w:hAnsiTheme="minorHAnsi" w:cstheme="minorHAnsi"/>
          <w:lang w:val="en-GB"/>
        </w:rPr>
        <w:t xml:space="preserve"> the PBAC found that in the circumstances of its recommendation for </w:t>
      </w:r>
      <w:r w:rsidR="00165EAB">
        <w:rPr>
          <w:rFonts w:asciiTheme="minorHAnsi" w:hAnsiTheme="minorHAnsi" w:cstheme="minorHAnsi"/>
          <w:lang w:val="en-GB"/>
        </w:rPr>
        <w:t>pegcetacoplan</w:t>
      </w:r>
      <w:r w:rsidRPr="00A8136D">
        <w:rPr>
          <w:rFonts w:asciiTheme="minorHAnsi" w:hAnsiTheme="minorHAnsi" w:cstheme="minorHAnsi"/>
          <w:lang w:val="en-GB"/>
        </w:rPr>
        <w:t>:</w:t>
      </w:r>
    </w:p>
    <w:p w14:paraId="1311E8A2" w14:textId="5C4FA992" w:rsidR="00D848E2" w:rsidRPr="00763DFB" w:rsidRDefault="00D848E2" w:rsidP="00D848E2">
      <w:pPr>
        <w:widowControl w:val="0"/>
        <w:numPr>
          <w:ilvl w:val="1"/>
          <w:numId w:val="39"/>
        </w:numPr>
        <w:spacing w:after="120"/>
        <w:rPr>
          <w:rFonts w:asciiTheme="minorHAnsi" w:hAnsiTheme="minorHAnsi" w:cstheme="minorHAnsi"/>
          <w:lang w:val="en-GB"/>
        </w:rPr>
      </w:pPr>
      <w:r w:rsidRPr="00763DFB">
        <w:rPr>
          <w:rFonts w:asciiTheme="minorHAnsi" w:hAnsiTheme="minorHAnsi" w:cstheme="minorHAnsi"/>
          <w:lang w:val="en-GB"/>
        </w:rPr>
        <w:t>The treatment is expected to provide a clinically relevant improvement in efficacy</w:t>
      </w:r>
      <w:r w:rsidR="00A8605E">
        <w:rPr>
          <w:rFonts w:asciiTheme="minorHAnsi" w:hAnsiTheme="minorHAnsi" w:cstheme="minorHAnsi"/>
          <w:lang w:val="en-GB"/>
        </w:rPr>
        <w:t xml:space="preserve"> </w:t>
      </w:r>
      <w:r w:rsidRPr="00763DFB">
        <w:rPr>
          <w:rFonts w:asciiTheme="minorHAnsi" w:hAnsiTheme="minorHAnsi" w:cstheme="minorHAnsi"/>
          <w:lang w:val="en-GB"/>
        </w:rPr>
        <w:t xml:space="preserve">over </w:t>
      </w:r>
      <w:r w:rsidR="00784EC3">
        <w:rPr>
          <w:rFonts w:asciiTheme="minorHAnsi" w:hAnsiTheme="minorHAnsi" w:cstheme="minorHAnsi"/>
          <w:lang w:val="en-GB"/>
        </w:rPr>
        <w:lastRenderedPageBreak/>
        <w:t xml:space="preserve">standard care for </w:t>
      </w:r>
      <w:r w:rsidR="001A60A3">
        <w:rPr>
          <w:rFonts w:asciiTheme="minorHAnsi" w:hAnsiTheme="minorHAnsi" w:cstheme="minorHAnsi"/>
          <w:lang w:val="en-GB"/>
        </w:rPr>
        <w:t>slower G</w:t>
      </w:r>
      <w:r w:rsidR="00584363">
        <w:rPr>
          <w:rFonts w:asciiTheme="minorHAnsi" w:hAnsiTheme="minorHAnsi" w:cstheme="minorHAnsi"/>
          <w:lang w:val="en-GB"/>
        </w:rPr>
        <w:t>A</w:t>
      </w:r>
      <w:r w:rsidR="001A60A3">
        <w:rPr>
          <w:rFonts w:asciiTheme="minorHAnsi" w:hAnsiTheme="minorHAnsi" w:cstheme="minorHAnsi"/>
          <w:lang w:val="en-GB"/>
        </w:rPr>
        <w:t xml:space="preserve"> lesion growth and </w:t>
      </w:r>
      <w:r w:rsidR="00584363">
        <w:rPr>
          <w:rFonts w:asciiTheme="minorHAnsi" w:hAnsiTheme="minorHAnsi" w:cstheme="minorHAnsi"/>
          <w:lang w:val="en-GB"/>
        </w:rPr>
        <w:t xml:space="preserve">slower </w:t>
      </w:r>
      <w:r w:rsidR="00C858A5">
        <w:rPr>
          <w:rFonts w:asciiTheme="minorHAnsi" w:hAnsiTheme="minorHAnsi" w:cstheme="minorHAnsi"/>
          <w:lang w:val="en-GB"/>
        </w:rPr>
        <w:t>reduction in microperimetry outcomes</w:t>
      </w:r>
      <w:r w:rsidR="008976C0">
        <w:rPr>
          <w:snapToGrid w:val="0"/>
        </w:rPr>
        <w:t xml:space="preserve">, </w:t>
      </w:r>
      <w:r w:rsidR="005C4084">
        <w:rPr>
          <w:snapToGrid w:val="0"/>
        </w:rPr>
        <w:t xml:space="preserve">however, </w:t>
      </w:r>
      <w:r w:rsidR="008976C0">
        <w:rPr>
          <w:snapToGrid w:val="0"/>
        </w:rPr>
        <w:t xml:space="preserve">the magnitude of the effect </w:t>
      </w:r>
      <w:r w:rsidR="00C858A5">
        <w:rPr>
          <w:snapToGrid w:val="0"/>
        </w:rPr>
        <w:t xml:space="preserve">on </w:t>
      </w:r>
      <w:r w:rsidR="00FF69E8">
        <w:rPr>
          <w:snapToGrid w:val="0"/>
        </w:rPr>
        <w:t xml:space="preserve">delaying </w:t>
      </w:r>
      <w:r w:rsidR="00C858A5">
        <w:rPr>
          <w:snapToGrid w:val="0"/>
        </w:rPr>
        <w:t xml:space="preserve">vision loss </w:t>
      </w:r>
      <w:r w:rsidR="008976C0">
        <w:rPr>
          <w:snapToGrid w:val="0"/>
        </w:rPr>
        <w:t>was uncertain</w:t>
      </w:r>
      <w:r w:rsidR="008976C0">
        <w:rPr>
          <w:rFonts w:asciiTheme="minorHAnsi" w:hAnsiTheme="minorHAnsi" w:cstheme="minorHAnsi"/>
          <w:lang w:val="en-GB"/>
        </w:rPr>
        <w:t>.</w:t>
      </w:r>
      <w:r w:rsidRPr="00763DFB">
        <w:rPr>
          <w:rFonts w:asciiTheme="minorHAnsi" w:hAnsiTheme="minorHAnsi" w:cstheme="minorHAnsi"/>
          <w:lang w:val="en-GB"/>
        </w:rPr>
        <w:t xml:space="preserve"> </w:t>
      </w:r>
    </w:p>
    <w:p w14:paraId="31163943" w14:textId="0B5A3A1C" w:rsidR="00D848E2" w:rsidRPr="00763DFB" w:rsidRDefault="00D848E2" w:rsidP="00D848E2">
      <w:pPr>
        <w:widowControl w:val="0"/>
        <w:numPr>
          <w:ilvl w:val="1"/>
          <w:numId w:val="39"/>
        </w:numPr>
        <w:spacing w:after="120"/>
        <w:rPr>
          <w:rFonts w:asciiTheme="minorHAnsi" w:hAnsiTheme="minorHAnsi" w:cstheme="minorHAnsi"/>
          <w:lang w:val="en-GB"/>
        </w:rPr>
      </w:pPr>
      <w:r w:rsidRPr="00763DFB">
        <w:rPr>
          <w:rFonts w:asciiTheme="minorHAnsi" w:hAnsiTheme="minorHAnsi" w:cstheme="minorHAnsi"/>
          <w:lang w:val="en-GB"/>
        </w:rPr>
        <w:t xml:space="preserve">The treatment is expected to address a high and urgent unmet clinical need </w:t>
      </w:r>
      <w:r w:rsidR="00BC64D3">
        <w:rPr>
          <w:rFonts w:asciiTheme="minorHAnsi" w:hAnsiTheme="minorHAnsi" w:cstheme="minorHAnsi"/>
          <w:lang w:val="en-GB"/>
        </w:rPr>
        <w:t xml:space="preserve">as there </w:t>
      </w:r>
      <w:r w:rsidR="00BC64D3" w:rsidRPr="00E20031">
        <w:rPr>
          <w:color w:val="000000" w:themeColor="text1"/>
        </w:rPr>
        <w:t xml:space="preserve">are currently no other drugs listed on the PBS for this </w:t>
      </w:r>
      <w:r w:rsidR="00ED35DB" w:rsidRPr="00E20031">
        <w:rPr>
          <w:color w:val="000000" w:themeColor="text1"/>
        </w:rPr>
        <w:t>population</w:t>
      </w:r>
      <w:r w:rsidR="00ED35DB" w:rsidRPr="00763DFB">
        <w:rPr>
          <w:rFonts w:asciiTheme="minorHAnsi" w:hAnsiTheme="minorHAnsi" w:cstheme="minorHAnsi"/>
          <w:lang w:val="en-GB"/>
        </w:rPr>
        <w:t>.</w:t>
      </w:r>
    </w:p>
    <w:p w14:paraId="1A951F30" w14:textId="31428174" w:rsidR="003947DC" w:rsidRPr="003947DC" w:rsidRDefault="00D848E2" w:rsidP="00165EAB">
      <w:pPr>
        <w:widowControl w:val="0"/>
        <w:numPr>
          <w:ilvl w:val="1"/>
          <w:numId w:val="39"/>
        </w:numPr>
        <w:spacing w:after="120"/>
        <w:rPr>
          <w:rFonts w:asciiTheme="minorHAnsi" w:hAnsiTheme="minorHAnsi"/>
          <w:bCs/>
          <w:snapToGrid w:val="0"/>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ED35DB">
        <w:rPr>
          <w:rFonts w:asciiTheme="minorHAnsi" w:hAnsiTheme="minorHAnsi" w:cstheme="minorHAnsi"/>
          <w:lang w:val="en-GB"/>
        </w:rPr>
        <w:t>.</w:t>
      </w:r>
    </w:p>
    <w:p w14:paraId="3440F0DE" w14:textId="2088CACA" w:rsidR="00D848E2" w:rsidRPr="007B2877" w:rsidRDefault="00D848E2" w:rsidP="003947DC">
      <w:pPr>
        <w:pStyle w:val="3-BodyText"/>
        <w:rPr>
          <w:snapToGrid w:val="0"/>
          <w:lang w:val="en-GB"/>
        </w:rPr>
      </w:pPr>
      <w:r w:rsidRPr="00525B39">
        <w:rPr>
          <w:snapToGrid w:val="0"/>
          <w:lang w:val="en-GB"/>
        </w:rPr>
        <w:t xml:space="preserve">The PBAC </w:t>
      </w:r>
      <w:r w:rsidR="00767DEA">
        <w:rPr>
          <w:snapToGrid w:val="0"/>
          <w:lang w:val="en-GB"/>
        </w:rPr>
        <w:t>advised</w:t>
      </w:r>
      <w:r w:rsidRPr="00525B39">
        <w:rPr>
          <w:snapToGrid w:val="0"/>
          <w:lang w:val="en-GB"/>
        </w:rPr>
        <w:t xml:space="preserve"> that this submission </w:t>
      </w:r>
      <w:r w:rsidR="00767DEA">
        <w:rPr>
          <w:snapToGrid w:val="0"/>
          <w:lang w:val="en-GB"/>
        </w:rPr>
        <w:t>would</w:t>
      </w:r>
      <w:r w:rsidRPr="00525B39">
        <w:rPr>
          <w:snapToGrid w:val="0"/>
          <w:lang w:val="en-GB"/>
        </w:rPr>
        <w:t xml:space="preserve"> not </w:t>
      </w:r>
      <w:r w:rsidR="00767DEA">
        <w:rPr>
          <w:snapToGrid w:val="0"/>
          <w:lang w:val="en-GB"/>
        </w:rPr>
        <w:t xml:space="preserve">be </w:t>
      </w:r>
      <w:r w:rsidRPr="00525B39">
        <w:rPr>
          <w:snapToGrid w:val="0"/>
          <w:lang w:val="en-GB"/>
        </w:rPr>
        <w:t>eligible for an Independent Review</w:t>
      </w:r>
      <w:r w:rsidR="007B2877">
        <w:rPr>
          <w:snapToGrid w:val="0"/>
          <w:lang w:val="en-GB"/>
        </w:rPr>
        <w:t xml:space="preserve"> as it received a positive recommendation</w:t>
      </w:r>
      <w:r w:rsidRPr="00525B39">
        <w:rPr>
          <w:snapToGrid w:val="0"/>
          <w:lang w:val="en-GB"/>
        </w:rPr>
        <w:t xml:space="preserve">. </w:t>
      </w:r>
    </w:p>
    <w:p w14:paraId="3A654426" w14:textId="77777777" w:rsidR="00D848E2" w:rsidRPr="00525B39" w:rsidRDefault="00D848E2" w:rsidP="00D848E2">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9F434ED" w14:textId="025C0B1F" w:rsidR="00D848E2" w:rsidRPr="00525B39" w:rsidRDefault="00D848E2" w:rsidP="00D848E2">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99"/>
    <w:p w14:paraId="3E1C81D2" w14:textId="77777777" w:rsidR="00D848E2" w:rsidRPr="00907671" w:rsidRDefault="00D848E2" w:rsidP="00D848E2">
      <w:pPr>
        <w:pStyle w:val="2-SectionHeading"/>
        <w:numPr>
          <w:ilvl w:val="0"/>
          <w:numId w:val="1"/>
        </w:numPr>
      </w:pPr>
      <w:r w:rsidRPr="00907671">
        <w:t>Recommended listing</w:t>
      </w:r>
    </w:p>
    <w:p w14:paraId="1CFB9667" w14:textId="77777777" w:rsidR="00D848E2" w:rsidRPr="00DE58BA" w:rsidRDefault="00D848E2" w:rsidP="00DE58BA">
      <w:pPr>
        <w:widowControl w:val="0"/>
        <w:numPr>
          <w:ilvl w:val="1"/>
          <w:numId w:val="1"/>
        </w:numPr>
        <w:spacing w:after="120"/>
        <w:contextualSpacing/>
        <w:rPr>
          <w:rFonts w:asciiTheme="minorHAnsi" w:hAnsiTheme="minorHAnsi"/>
          <w:b/>
          <w:bCs/>
          <w:snapToGrid w:val="0"/>
        </w:rPr>
      </w:pPr>
      <w:r w:rsidRPr="00DE58BA">
        <w:rPr>
          <w:rFonts w:asciiTheme="minorHAnsi" w:hAnsiTheme="minorHAnsi"/>
          <w:bCs/>
          <w:snapToGrid w:val="0"/>
        </w:rPr>
        <w:t>Add new item:</w:t>
      </w:r>
    </w:p>
    <w:tbl>
      <w:tblPr>
        <w:tblW w:w="53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492"/>
        <w:gridCol w:w="785"/>
        <w:gridCol w:w="2661"/>
        <w:gridCol w:w="811"/>
        <w:gridCol w:w="812"/>
        <w:gridCol w:w="811"/>
        <w:gridCol w:w="812"/>
        <w:gridCol w:w="2455"/>
      </w:tblGrid>
      <w:tr w:rsidR="004007CC" w:rsidRPr="007B5DA6" w14:paraId="10E46A4D" w14:textId="77777777" w:rsidTr="14B6D7A4">
        <w:trPr>
          <w:cantSplit/>
          <w:trHeight w:val="20"/>
        </w:trPr>
        <w:tc>
          <w:tcPr>
            <w:tcW w:w="3938" w:type="dxa"/>
            <w:gridSpan w:val="3"/>
            <w:vAlign w:val="center"/>
          </w:tcPr>
          <w:p w14:paraId="03B728C9" w14:textId="78F94089" w:rsidR="004007CC" w:rsidRPr="007B5DA6" w:rsidRDefault="004007CC" w:rsidP="00A25196">
            <w:pPr>
              <w:pStyle w:val="2-SectionHeading"/>
              <w:numPr>
                <w:ilvl w:val="0"/>
                <w:numId w:val="0"/>
              </w:numPr>
              <w:rPr>
                <w:rFonts w:ascii="Arial Narrow" w:hAnsi="Arial Narrow"/>
                <w:snapToGrid/>
                <w:sz w:val="20"/>
                <w:szCs w:val="20"/>
              </w:rPr>
            </w:pPr>
            <w:r w:rsidRPr="007B5DA6">
              <w:rPr>
                <w:rFonts w:ascii="Arial Narrow" w:hAnsi="Arial Narrow"/>
                <w:snapToGrid/>
                <w:sz w:val="20"/>
                <w:szCs w:val="20"/>
              </w:rPr>
              <w:t>MEDICINAL PRODUCT</w:t>
            </w:r>
            <w:r w:rsidR="00A25196" w:rsidRPr="007B5DA6">
              <w:rPr>
                <w:rFonts w:ascii="Arial Narrow" w:hAnsi="Arial Narrow"/>
                <w:snapToGrid/>
                <w:sz w:val="20"/>
                <w:szCs w:val="20"/>
              </w:rPr>
              <w:br/>
            </w:r>
            <w:r w:rsidRPr="007B5DA6">
              <w:rPr>
                <w:rFonts w:ascii="Arial Narrow" w:hAnsi="Arial Narrow"/>
                <w:snapToGrid/>
                <w:sz w:val="20"/>
                <w:szCs w:val="20"/>
              </w:rPr>
              <w:t>medicinal product pack</w:t>
            </w:r>
          </w:p>
        </w:tc>
        <w:tc>
          <w:tcPr>
            <w:tcW w:w="811" w:type="dxa"/>
            <w:vAlign w:val="center"/>
          </w:tcPr>
          <w:p w14:paraId="24A467E9"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PBS item code</w:t>
            </w:r>
          </w:p>
        </w:tc>
        <w:tc>
          <w:tcPr>
            <w:tcW w:w="812" w:type="dxa"/>
            <w:vAlign w:val="center"/>
          </w:tcPr>
          <w:p w14:paraId="523314A9"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Max. qty packs</w:t>
            </w:r>
          </w:p>
        </w:tc>
        <w:tc>
          <w:tcPr>
            <w:tcW w:w="811" w:type="dxa"/>
            <w:vAlign w:val="center"/>
          </w:tcPr>
          <w:p w14:paraId="0CAC6805"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Max. qty units</w:t>
            </w:r>
          </w:p>
        </w:tc>
        <w:tc>
          <w:tcPr>
            <w:tcW w:w="812" w:type="dxa"/>
            <w:vAlign w:val="center"/>
          </w:tcPr>
          <w:p w14:paraId="4D1F4C60"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№.of</w:t>
            </w:r>
          </w:p>
          <w:p w14:paraId="44C1E06F"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Rpts</w:t>
            </w:r>
          </w:p>
        </w:tc>
        <w:tc>
          <w:tcPr>
            <w:tcW w:w="2455" w:type="dxa"/>
            <w:vAlign w:val="center"/>
          </w:tcPr>
          <w:p w14:paraId="5CCBC8D5" w14:textId="77777777" w:rsidR="004007CC" w:rsidRPr="007B5DA6" w:rsidRDefault="004007CC">
            <w:pPr>
              <w:keepLines/>
              <w:rPr>
                <w:rFonts w:ascii="Arial Narrow" w:hAnsi="Arial Narrow"/>
                <w:b/>
                <w:sz w:val="20"/>
                <w:szCs w:val="20"/>
              </w:rPr>
            </w:pPr>
            <w:r w:rsidRPr="007B5DA6">
              <w:rPr>
                <w:rFonts w:ascii="Arial Narrow" w:hAnsi="Arial Narrow"/>
                <w:b/>
                <w:sz w:val="20"/>
                <w:szCs w:val="20"/>
              </w:rPr>
              <w:t>Available brands</w:t>
            </w:r>
          </w:p>
        </w:tc>
      </w:tr>
      <w:tr w:rsidR="004007CC" w:rsidRPr="007B5DA6" w14:paraId="05DE841C" w14:textId="77777777" w:rsidTr="14B6D7A4">
        <w:trPr>
          <w:cantSplit/>
          <w:trHeight w:val="20"/>
        </w:trPr>
        <w:tc>
          <w:tcPr>
            <w:tcW w:w="9639" w:type="dxa"/>
            <w:gridSpan w:val="8"/>
            <w:vAlign w:val="center"/>
          </w:tcPr>
          <w:p w14:paraId="25CEB410" w14:textId="77777777" w:rsidR="004007CC" w:rsidRPr="007B5DA6" w:rsidRDefault="004007CC">
            <w:pPr>
              <w:keepLines/>
              <w:rPr>
                <w:rFonts w:ascii="Arial Narrow" w:hAnsi="Arial Narrow"/>
                <w:sz w:val="20"/>
                <w:szCs w:val="20"/>
              </w:rPr>
            </w:pPr>
            <w:r w:rsidRPr="007B5DA6">
              <w:rPr>
                <w:rFonts w:ascii="Arial Narrow" w:hAnsi="Arial Narrow"/>
                <w:sz w:val="20"/>
                <w:szCs w:val="20"/>
              </w:rPr>
              <w:t>PEGCETACOPLAN</w:t>
            </w:r>
          </w:p>
        </w:tc>
      </w:tr>
      <w:tr w:rsidR="004007CC" w:rsidRPr="007B5DA6" w14:paraId="2B6CC27B" w14:textId="77777777" w:rsidTr="14B6D7A4">
        <w:trPr>
          <w:cantSplit/>
          <w:trHeight w:val="20"/>
        </w:trPr>
        <w:tc>
          <w:tcPr>
            <w:tcW w:w="3938" w:type="dxa"/>
            <w:gridSpan w:val="3"/>
            <w:vAlign w:val="center"/>
          </w:tcPr>
          <w:p w14:paraId="447EE5C9" w14:textId="77777777" w:rsidR="004007CC" w:rsidRPr="007B5DA6" w:rsidRDefault="004007CC">
            <w:pPr>
              <w:keepLines/>
              <w:rPr>
                <w:rFonts w:ascii="Arial Narrow" w:hAnsi="Arial Narrow"/>
                <w:sz w:val="20"/>
                <w:szCs w:val="20"/>
              </w:rPr>
            </w:pPr>
            <w:r w:rsidRPr="007B5DA6">
              <w:rPr>
                <w:rFonts w:ascii="Arial Narrow" w:hAnsi="Arial Narrow"/>
                <w:sz w:val="20"/>
                <w:szCs w:val="20"/>
              </w:rPr>
              <w:t>pegcetacoplan, 15 mg/0.1 mL injection, 0.1 mL vial</w:t>
            </w:r>
          </w:p>
        </w:tc>
        <w:tc>
          <w:tcPr>
            <w:tcW w:w="811" w:type="dxa"/>
            <w:vAlign w:val="center"/>
          </w:tcPr>
          <w:p w14:paraId="53423206" w14:textId="77777777" w:rsidR="004007CC" w:rsidRPr="007B5DA6" w:rsidRDefault="004007CC">
            <w:pPr>
              <w:keepLines/>
              <w:jc w:val="center"/>
              <w:rPr>
                <w:rFonts w:ascii="Arial Narrow" w:hAnsi="Arial Narrow"/>
                <w:sz w:val="20"/>
                <w:szCs w:val="20"/>
              </w:rPr>
            </w:pPr>
            <w:r w:rsidRPr="007B5DA6">
              <w:rPr>
                <w:rFonts w:ascii="Arial Narrow" w:hAnsi="Arial Narrow"/>
                <w:sz w:val="20"/>
                <w:szCs w:val="20"/>
              </w:rPr>
              <w:t>NEW</w:t>
            </w:r>
          </w:p>
        </w:tc>
        <w:tc>
          <w:tcPr>
            <w:tcW w:w="812" w:type="dxa"/>
            <w:vAlign w:val="center"/>
          </w:tcPr>
          <w:p w14:paraId="2D860080" w14:textId="77777777" w:rsidR="004007CC" w:rsidRPr="007B5DA6" w:rsidRDefault="004007CC">
            <w:pPr>
              <w:keepLines/>
              <w:jc w:val="center"/>
              <w:rPr>
                <w:rFonts w:ascii="Arial Narrow" w:hAnsi="Arial Narrow"/>
                <w:sz w:val="20"/>
                <w:szCs w:val="20"/>
              </w:rPr>
            </w:pPr>
            <w:r w:rsidRPr="007B5DA6">
              <w:rPr>
                <w:rFonts w:ascii="Arial Narrow" w:hAnsi="Arial Narrow"/>
                <w:sz w:val="20"/>
                <w:szCs w:val="20"/>
              </w:rPr>
              <w:t>1</w:t>
            </w:r>
          </w:p>
        </w:tc>
        <w:tc>
          <w:tcPr>
            <w:tcW w:w="811" w:type="dxa"/>
            <w:vAlign w:val="center"/>
          </w:tcPr>
          <w:p w14:paraId="08CDECB2" w14:textId="77777777" w:rsidR="004007CC" w:rsidRPr="007B5DA6" w:rsidRDefault="004007CC">
            <w:pPr>
              <w:keepLines/>
              <w:jc w:val="center"/>
              <w:rPr>
                <w:rFonts w:ascii="Arial Narrow" w:hAnsi="Arial Narrow"/>
                <w:sz w:val="20"/>
                <w:szCs w:val="20"/>
              </w:rPr>
            </w:pPr>
            <w:r w:rsidRPr="007B5DA6">
              <w:rPr>
                <w:rFonts w:ascii="Arial Narrow" w:hAnsi="Arial Narrow"/>
                <w:sz w:val="20"/>
                <w:szCs w:val="20"/>
              </w:rPr>
              <w:t>1</w:t>
            </w:r>
          </w:p>
        </w:tc>
        <w:tc>
          <w:tcPr>
            <w:tcW w:w="812" w:type="dxa"/>
            <w:vAlign w:val="center"/>
          </w:tcPr>
          <w:p w14:paraId="5EFE12FF" w14:textId="77777777" w:rsidR="004007CC" w:rsidRPr="007B5DA6" w:rsidRDefault="004007CC">
            <w:pPr>
              <w:keepLines/>
              <w:jc w:val="center"/>
              <w:rPr>
                <w:rFonts w:ascii="Arial Narrow" w:hAnsi="Arial Narrow"/>
                <w:sz w:val="20"/>
                <w:szCs w:val="20"/>
              </w:rPr>
            </w:pPr>
            <w:r w:rsidRPr="007B5DA6">
              <w:rPr>
                <w:rFonts w:ascii="Arial Narrow" w:hAnsi="Arial Narrow"/>
                <w:sz w:val="20"/>
                <w:szCs w:val="20"/>
              </w:rPr>
              <w:t>2</w:t>
            </w:r>
          </w:p>
        </w:tc>
        <w:tc>
          <w:tcPr>
            <w:tcW w:w="2455" w:type="dxa"/>
            <w:vAlign w:val="center"/>
          </w:tcPr>
          <w:p w14:paraId="542BB287" w14:textId="77777777" w:rsidR="004007CC" w:rsidRPr="007B5DA6" w:rsidRDefault="004007CC">
            <w:pPr>
              <w:keepLines/>
              <w:rPr>
                <w:rFonts w:ascii="Arial Narrow" w:hAnsi="Arial Narrow"/>
                <w:sz w:val="20"/>
                <w:szCs w:val="20"/>
              </w:rPr>
            </w:pPr>
            <w:r w:rsidRPr="007B5DA6">
              <w:rPr>
                <w:rFonts w:ascii="Arial Narrow" w:hAnsi="Arial Narrow"/>
                <w:sz w:val="20"/>
                <w:szCs w:val="20"/>
              </w:rPr>
              <w:t>Syfovre</w:t>
            </w:r>
          </w:p>
        </w:tc>
      </w:tr>
      <w:tr w:rsidR="004007CC" w:rsidRPr="007B5DA6" w14:paraId="38F52112" w14:textId="77777777" w:rsidTr="14B6D7A4">
        <w:tblPrEx>
          <w:tblCellMar>
            <w:top w:w="15" w:type="dxa"/>
            <w:bottom w:w="15" w:type="dxa"/>
          </w:tblCellMar>
          <w:tblLook w:val="04A0" w:firstRow="1" w:lastRow="0" w:firstColumn="1" w:lastColumn="0" w:noHBand="0" w:noVBand="1"/>
        </w:tblPrEx>
        <w:trPr>
          <w:trHeight w:val="20"/>
        </w:trPr>
        <w:tc>
          <w:tcPr>
            <w:tcW w:w="9639" w:type="dxa"/>
            <w:gridSpan w:val="8"/>
            <w:tcBorders>
              <w:top w:val="single" w:sz="4" w:space="0" w:color="auto"/>
              <w:left w:val="single" w:sz="4" w:space="0" w:color="auto"/>
              <w:right w:val="single" w:sz="4" w:space="0" w:color="auto"/>
            </w:tcBorders>
            <w:vAlign w:val="center"/>
          </w:tcPr>
          <w:p w14:paraId="066DAF92" w14:textId="77777777" w:rsidR="004007CC" w:rsidRPr="007B5DA6" w:rsidRDefault="004007CC">
            <w:pPr>
              <w:rPr>
                <w:rFonts w:ascii="Arial Narrow" w:hAnsi="Arial Narrow"/>
                <w:sz w:val="20"/>
                <w:szCs w:val="20"/>
              </w:rPr>
            </w:pPr>
          </w:p>
        </w:tc>
      </w:tr>
      <w:tr w:rsidR="004007CC" w:rsidRPr="007B5DA6" w14:paraId="105174EC" w14:textId="77777777" w:rsidTr="14B6D7A4">
        <w:tblPrEx>
          <w:tblCellMar>
            <w:top w:w="15" w:type="dxa"/>
            <w:bottom w:w="15" w:type="dxa"/>
          </w:tblCellMar>
          <w:tblLook w:val="04A0" w:firstRow="1" w:lastRow="0" w:firstColumn="1" w:lastColumn="0" w:noHBand="0" w:noVBand="1"/>
        </w:tblPrEx>
        <w:trPr>
          <w:trHeight w:val="20"/>
        </w:trPr>
        <w:tc>
          <w:tcPr>
            <w:tcW w:w="9639" w:type="dxa"/>
            <w:gridSpan w:val="8"/>
            <w:tcBorders>
              <w:top w:val="single" w:sz="4" w:space="0" w:color="auto"/>
              <w:left w:val="single" w:sz="4" w:space="0" w:color="auto"/>
              <w:right w:val="single" w:sz="4" w:space="0" w:color="auto"/>
            </w:tcBorders>
            <w:vAlign w:val="center"/>
          </w:tcPr>
          <w:p w14:paraId="2F028FC0" w14:textId="77777777" w:rsidR="004007CC" w:rsidRPr="007B5DA6" w:rsidRDefault="004007CC">
            <w:pPr>
              <w:keepLines/>
              <w:rPr>
                <w:rFonts w:ascii="Arial Narrow" w:hAnsi="Arial Narrow"/>
                <w:b/>
                <w:sz w:val="20"/>
                <w:szCs w:val="20"/>
              </w:rPr>
            </w:pPr>
            <w:r w:rsidRPr="007B5DA6">
              <w:rPr>
                <w:rFonts w:ascii="Arial Narrow" w:hAnsi="Arial Narrow"/>
                <w:b/>
                <w:sz w:val="20"/>
                <w:szCs w:val="20"/>
              </w:rPr>
              <w:t>Restriction Summary [new1]</w:t>
            </w:r>
            <w:r w:rsidRPr="007B5DA6">
              <w:rPr>
                <w:rFonts w:ascii="Arial Narrow" w:hAnsi="Arial Narrow"/>
                <w:b/>
                <w:color w:val="FF0000"/>
                <w:sz w:val="20"/>
                <w:szCs w:val="20"/>
              </w:rPr>
              <w:t xml:space="preserve"> </w:t>
            </w:r>
            <w:r w:rsidRPr="007B5DA6">
              <w:rPr>
                <w:rFonts w:ascii="Arial Narrow" w:hAnsi="Arial Narrow"/>
                <w:b/>
                <w:sz w:val="20"/>
                <w:szCs w:val="20"/>
              </w:rPr>
              <w:t xml:space="preserve">/ Treatment of Concept: [new1A] </w:t>
            </w:r>
          </w:p>
        </w:tc>
      </w:tr>
      <w:tr w:rsidR="004007CC" w:rsidRPr="007B5DA6" w14:paraId="4A7A96DA" w14:textId="77777777" w:rsidTr="14B6D7A4">
        <w:tblPrEx>
          <w:tblCellMar>
            <w:top w:w="15" w:type="dxa"/>
            <w:bottom w:w="15" w:type="dxa"/>
          </w:tblCellMar>
          <w:tblLook w:val="04A0" w:firstRow="1" w:lastRow="0" w:firstColumn="1" w:lastColumn="0" w:noHBand="0" w:noVBand="1"/>
        </w:tblPrEx>
        <w:trPr>
          <w:trHeight w:val="20"/>
        </w:trPr>
        <w:tc>
          <w:tcPr>
            <w:tcW w:w="1277" w:type="dxa"/>
            <w:gridSpan w:val="2"/>
            <w:vMerge w:val="restart"/>
            <w:tcBorders>
              <w:top w:val="single" w:sz="4" w:space="0" w:color="auto"/>
              <w:left w:val="single" w:sz="4" w:space="0" w:color="auto"/>
              <w:right w:val="single" w:sz="4" w:space="0" w:color="auto"/>
            </w:tcBorders>
          </w:tcPr>
          <w:p w14:paraId="1FFF2FBE" w14:textId="77777777" w:rsidR="004007CC" w:rsidRPr="007B5DA6" w:rsidRDefault="004007CC">
            <w:pPr>
              <w:jc w:val="center"/>
              <w:rPr>
                <w:rFonts w:ascii="Arial Narrow" w:hAnsi="Arial Narrow"/>
                <w:b/>
                <w:sz w:val="20"/>
                <w:szCs w:val="20"/>
              </w:rPr>
            </w:pPr>
            <w:r w:rsidRPr="007B5DA6">
              <w:rPr>
                <w:rFonts w:ascii="Arial Narrow" w:hAnsi="Arial Narrow"/>
                <w:b/>
                <w:sz w:val="20"/>
                <w:szCs w:val="20"/>
              </w:rPr>
              <w:t xml:space="preserve">Concept ID </w:t>
            </w:r>
            <w:r w:rsidRPr="007B5DA6">
              <w:rPr>
                <w:rFonts w:ascii="Arial Narrow" w:hAnsi="Arial Narrow"/>
                <w:sz w:val="20"/>
                <w:szCs w:val="20"/>
              </w:rPr>
              <w:t>(for internal Dept. use)</w:t>
            </w:r>
          </w:p>
        </w:tc>
        <w:tc>
          <w:tcPr>
            <w:tcW w:w="8362" w:type="dxa"/>
            <w:gridSpan w:val="6"/>
            <w:tcBorders>
              <w:top w:val="single" w:sz="4" w:space="0" w:color="auto"/>
              <w:left w:val="single" w:sz="4" w:space="0" w:color="auto"/>
              <w:bottom w:val="single" w:sz="4" w:space="0" w:color="auto"/>
              <w:right w:val="single" w:sz="4" w:space="0" w:color="auto"/>
            </w:tcBorders>
            <w:vAlign w:val="center"/>
          </w:tcPr>
          <w:p w14:paraId="1BD753BB" w14:textId="77777777" w:rsidR="004007CC" w:rsidRPr="007B5DA6" w:rsidRDefault="004007CC">
            <w:pPr>
              <w:keepLines/>
              <w:rPr>
                <w:rFonts w:ascii="Arial Narrow" w:hAnsi="Arial Narrow"/>
                <w:sz w:val="20"/>
                <w:szCs w:val="20"/>
              </w:rPr>
            </w:pPr>
            <w:r w:rsidRPr="007B5DA6">
              <w:rPr>
                <w:rFonts w:ascii="Arial Narrow" w:hAnsi="Arial Narrow"/>
                <w:b/>
                <w:sz w:val="20"/>
                <w:szCs w:val="20"/>
              </w:rPr>
              <w:t>Category / Program:</w:t>
            </w:r>
            <w:r w:rsidRPr="007B5DA6">
              <w:rPr>
                <w:rFonts w:ascii="Arial Narrow" w:hAnsi="Arial Narrow"/>
                <w:color w:val="FF0000"/>
                <w:sz w:val="20"/>
                <w:szCs w:val="20"/>
              </w:rPr>
              <w:t xml:space="preserve"> </w:t>
            </w:r>
          </w:p>
          <w:p w14:paraId="2EB40041" w14:textId="674E69DC" w:rsidR="004007CC" w:rsidRPr="007B5DA6" w:rsidRDefault="004007CC">
            <w:pPr>
              <w:keepLines/>
              <w:rPr>
                <w:rFonts w:ascii="Arial Narrow" w:hAnsi="Arial Narrow"/>
                <w:sz w:val="20"/>
                <w:szCs w:val="20"/>
              </w:rPr>
            </w:pPr>
            <w:r w:rsidRPr="007B5DA6">
              <w:rPr>
                <w:rFonts w:ascii="Arial Narrow" w:eastAsia="Calibri" w:hAnsi="Arial Narrow"/>
                <w:sz w:val="20"/>
                <w:szCs w:val="20"/>
              </w:rPr>
              <w:fldChar w:fldCharType="begin">
                <w:ffData>
                  <w:name w:val="Check1"/>
                  <w:enabled/>
                  <w:calcOnExit w:val="0"/>
                  <w:checkBox>
                    <w:sizeAuto/>
                    <w:default w:val="1"/>
                  </w:checkBox>
                </w:ffData>
              </w:fldChar>
            </w:r>
            <w:r w:rsidRPr="007B5DA6">
              <w:rPr>
                <w:rFonts w:ascii="Arial Narrow" w:eastAsia="Calibri" w:hAnsi="Arial Narrow"/>
                <w:sz w:val="20"/>
                <w:szCs w:val="20"/>
              </w:rPr>
              <w:instrText xml:space="preserve"> FORMCHECKBOX </w:instrText>
            </w:r>
            <w:r w:rsidRPr="007B5DA6">
              <w:rPr>
                <w:rFonts w:ascii="Arial Narrow" w:eastAsia="Calibri" w:hAnsi="Arial Narrow"/>
                <w:sz w:val="20"/>
                <w:szCs w:val="20"/>
              </w:rPr>
            </w:r>
            <w:r w:rsidRPr="007B5DA6">
              <w:rPr>
                <w:rFonts w:ascii="Arial Narrow" w:eastAsia="Calibri" w:hAnsi="Arial Narrow"/>
                <w:sz w:val="20"/>
                <w:szCs w:val="20"/>
              </w:rPr>
              <w:fldChar w:fldCharType="separate"/>
            </w:r>
            <w:r w:rsidRPr="007B5DA6">
              <w:rPr>
                <w:rFonts w:ascii="Arial Narrow" w:eastAsia="Calibri" w:hAnsi="Arial Narrow"/>
                <w:sz w:val="20"/>
                <w:szCs w:val="20"/>
              </w:rPr>
              <w:fldChar w:fldCharType="end"/>
            </w:r>
            <w:r w:rsidRPr="007B5DA6">
              <w:rPr>
                <w:rFonts w:ascii="Arial Narrow" w:eastAsia="Calibri" w:hAnsi="Arial Narrow"/>
                <w:sz w:val="20"/>
                <w:szCs w:val="20"/>
              </w:rPr>
              <w:t xml:space="preserve"> GENERAL </w:t>
            </w:r>
            <w:r w:rsidR="00397B07" w:rsidRPr="007B5DA6">
              <w:rPr>
                <w:rFonts w:ascii="Arial Narrow" w:eastAsia="Calibri" w:hAnsi="Arial Narrow"/>
                <w:sz w:val="20"/>
                <w:szCs w:val="20"/>
              </w:rPr>
              <w:noBreakHyphen/>
            </w:r>
            <w:r w:rsidRPr="007B5DA6">
              <w:rPr>
                <w:rFonts w:ascii="Arial Narrow" w:eastAsia="Calibri" w:hAnsi="Arial Narrow"/>
                <w:sz w:val="20"/>
                <w:szCs w:val="20"/>
              </w:rPr>
              <w:t xml:space="preserve"> General Schedule (Code GE) </w:t>
            </w:r>
          </w:p>
        </w:tc>
      </w:tr>
      <w:tr w:rsidR="004007CC" w:rsidRPr="007B5DA6" w14:paraId="14D2E574" w14:textId="77777777" w:rsidTr="14B6D7A4">
        <w:tblPrEx>
          <w:tblCellMar>
            <w:top w:w="15" w:type="dxa"/>
            <w:bottom w:w="15" w:type="dxa"/>
          </w:tblCellMar>
          <w:tblLook w:val="04A0" w:firstRow="1" w:lastRow="0" w:firstColumn="1" w:lastColumn="0" w:noHBand="0" w:noVBand="1"/>
        </w:tblPrEx>
        <w:trPr>
          <w:trHeight w:val="20"/>
        </w:trPr>
        <w:tc>
          <w:tcPr>
            <w:tcW w:w="1277" w:type="dxa"/>
            <w:gridSpan w:val="2"/>
            <w:vMerge/>
          </w:tcPr>
          <w:p w14:paraId="5BFA0FD8" w14:textId="77777777" w:rsidR="004007CC" w:rsidRPr="007B5DA6" w:rsidRDefault="004007CC">
            <w:pPr>
              <w:rPr>
                <w:rFonts w:ascii="Arial Narrow" w:hAnsi="Arial Narrow"/>
                <w:sz w:val="20"/>
                <w:szCs w:val="20"/>
              </w:rPr>
            </w:pPr>
          </w:p>
        </w:tc>
        <w:tc>
          <w:tcPr>
            <w:tcW w:w="8362" w:type="dxa"/>
            <w:gridSpan w:val="6"/>
            <w:tcBorders>
              <w:top w:val="single" w:sz="4" w:space="0" w:color="auto"/>
              <w:left w:val="single" w:sz="4" w:space="0" w:color="auto"/>
              <w:bottom w:val="single" w:sz="4" w:space="0" w:color="auto"/>
              <w:right w:val="single" w:sz="4" w:space="0" w:color="auto"/>
            </w:tcBorders>
            <w:vAlign w:val="center"/>
          </w:tcPr>
          <w:p w14:paraId="233ECBD4" w14:textId="77777777" w:rsidR="004007CC" w:rsidRPr="007B5DA6" w:rsidRDefault="004007CC">
            <w:pPr>
              <w:keepLines/>
              <w:rPr>
                <w:rFonts w:ascii="Arial Narrow" w:hAnsi="Arial Narrow"/>
                <w:b/>
                <w:sz w:val="20"/>
                <w:szCs w:val="20"/>
              </w:rPr>
            </w:pPr>
            <w:r w:rsidRPr="007B5DA6">
              <w:rPr>
                <w:rFonts w:ascii="Arial Narrow" w:hAnsi="Arial Narrow"/>
                <w:b/>
                <w:sz w:val="20"/>
                <w:szCs w:val="20"/>
              </w:rPr>
              <w:t xml:space="preserve">Prescriber type: </w:t>
            </w:r>
          </w:p>
          <w:p w14:paraId="3B1E4F3F" w14:textId="77777777" w:rsidR="004007CC" w:rsidRPr="007B5DA6" w:rsidRDefault="004007CC">
            <w:pPr>
              <w:keepLines/>
              <w:rPr>
                <w:rFonts w:ascii="Arial Narrow" w:hAnsi="Arial Narrow"/>
                <w:b/>
                <w:sz w:val="20"/>
                <w:szCs w:val="20"/>
              </w:rPr>
            </w:pPr>
            <w:r w:rsidRPr="007B5DA6">
              <w:rPr>
                <w:rFonts w:ascii="Arial Narrow" w:hAnsi="Arial Narrow"/>
                <w:sz w:val="20"/>
                <w:szCs w:val="20"/>
              </w:rPr>
              <w:fldChar w:fldCharType="begin">
                <w:ffData>
                  <w:name w:val=""/>
                  <w:enabled/>
                  <w:calcOnExit w:val="0"/>
                  <w:checkBox>
                    <w:sizeAuto/>
                    <w:default w:val="1"/>
                  </w:checkBox>
                </w:ffData>
              </w:fldChar>
            </w:r>
            <w:r w:rsidRPr="007B5DA6">
              <w:rPr>
                <w:rFonts w:ascii="Arial Narrow" w:hAnsi="Arial Narrow"/>
                <w:sz w:val="20"/>
                <w:szCs w:val="20"/>
              </w:rPr>
              <w:instrText xml:space="preserve"> FORMCHECKBOX </w:instrText>
            </w:r>
            <w:r w:rsidRPr="007B5DA6">
              <w:rPr>
                <w:rFonts w:ascii="Arial Narrow" w:hAnsi="Arial Narrow"/>
                <w:sz w:val="20"/>
                <w:szCs w:val="20"/>
              </w:rPr>
            </w:r>
            <w:r w:rsidRPr="007B5DA6">
              <w:rPr>
                <w:rFonts w:ascii="Arial Narrow" w:hAnsi="Arial Narrow"/>
                <w:sz w:val="20"/>
                <w:szCs w:val="20"/>
              </w:rPr>
              <w:fldChar w:fldCharType="separate"/>
            </w:r>
            <w:r w:rsidRPr="007B5DA6">
              <w:rPr>
                <w:rFonts w:ascii="Arial Narrow" w:hAnsi="Arial Narrow"/>
                <w:sz w:val="20"/>
                <w:szCs w:val="20"/>
              </w:rPr>
              <w:fldChar w:fldCharType="end"/>
            </w:r>
            <w:r w:rsidRPr="007B5DA6">
              <w:rPr>
                <w:rFonts w:ascii="Arial Narrow" w:hAnsi="Arial Narrow"/>
                <w:sz w:val="20"/>
                <w:szCs w:val="20"/>
              </w:rPr>
              <w:t xml:space="preserve">Medical Practitioners </w:t>
            </w:r>
          </w:p>
        </w:tc>
      </w:tr>
      <w:tr w:rsidR="004007CC" w:rsidRPr="007B5DA6" w14:paraId="255D95DE" w14:textId="77777777" w:rsidTr="14B6D7A4">
        <w:tblPrEx>
          <w:tblCellMar>
            <w:top w:w="15" w:type="dxa"/>
            <w:bottom w:w="15" w:type="dxa"/>
          </w:tblCellMar>
          <w:tblLook w:val="04A0" w:firstRow="1" w:lastRow="0" w:firstColumn="1" w:lastColumn="0" w:noHBand="0" w:noVBand="1"/>
        </w:tblPrEx>
        <w:trPr>
          <w:trHeight w:val="20"/>
        </w:trPr>
        <w:tc>
          <w:tcPr>
            <w:tcW w:w="1277" w:type="dxa"/>
            <w:gridSpan w:val="2"/>
            <w:vMerge/>
          </w:tcPr>
          <w:p w14:paraId="79B94424" w14:textId="77777777" w:rsidR="004007CC" w:rsidRPr="007B5DA6" w:rsidRDefault="004007CC">
            <w:pPr>
              <w:rPr>
                <w:rFonts w:ascii="Arial Narrow" w:hAnsi="Arial Narrow"/>
                <w:sz w:val="20"/>
                <w:szCs w:val="20"/>
              </w:rPr>
            </w:pPr>
          </w:p>
        </w:tc>
        <w:tc>
          <w:tcPr>
            <w:tcW w:w="8362" w:type="dxa"/>
            <w:gridSpan w:val="6"/>
            <w:tcBorders>
              <w:top w:val="single" w:sz="4" w:space="0" w:color="auto"/>
              <w:left w:val="single" w:sz="4" w:space="0" w:color="auto"/>
              <w:bottom w:val="single" w:sz="4" w:space="0" w:color="auto"/>
              <w:right w:val="single" w:sz="4" w:space="0" w:color="auto"/>
            </w:tcBorders>
            <w:vAlign w:val="center"/>
          </w:tcPr>
          <w:p w14:paraId="53781156" w14:textId="77777777" w:rsidR="004007CC" w:rsidRPr="007B5DA6" w:rsidRDefault="004007CC">
            <w:pPr>
              <w:keepLines/>
              <w:rPr>
                <w:rFonts w:ascii="Arial Narrow" w:hAnsi="Arial Narrow"/>
                <w:b/>
                <w:sz w:val="20"/>
                <w:szCs w:val="20"/>
              </w:rPr>
            </w:pPr>
            <w:r w:rsidRPr="007B5DA6">
              <w:rPr>
                <w:rFonts w:ascii="Arial Narrow" w:hAnsi="Arial Narrow"/>
                <w:b/>
                <w:sz w:val="20"/>
                <w:szCs w:val="20"/>
              </w:rPr>
              <w:t xml:space="preserve">Restriction type: </w:t>
            </w:r>
          </w:p>
          <w:p w14:paraId="403DFE9D" w14:textId="77777777" w:rsidR="004007CC" w:rsidRPr="007B5DA6" w:rsidRDefault="004007CC">
            <w:pPr>
              <w:keepLines/>
              <w:rPr>
                <w:rFonts w:ascii="Arial Narrow" w:eastAsia="Calibri" w:hAnsi="Arial Narrow"/>
                <w:color w:val="FF0000"/>
                <w:sz w:val="20"/>
                <w:szCs w:val="20"/>
              </w:rPr>
            </w:pPr>
            <w:r w:rsidRPr="007B5DA6">
              <w:rPr>
                <w:rFonts w:ascii="Arial Narrow" w:eastAsia="Calibri" w:hAnsi="Arial Narrow"/>
                <w:sz w:val="20"/>
                <w:szCs w:val="20"/>
              </w:rPr>
              <w:fldChar w:fldCharType="begin">
                <w:ffData>
                  <w:name w:val=""/>
                  <w:enabled/>
                  <w:calcOnExit w:val="0"/>
                  <w:checkBox>
                    <w:sizeAuto/>
                    <w:default w:val="1"/>
                  </w:checkBox>
                </w:ffData>
              </w:fldChar>
            </w:r>
            <w:r w:rsidRPr="007B5DA6">
              <w:rPr>
                <w:rFonts w:ascii="Arial Narrow" w:eastAsia="Calibri" w:hAnsi="Arial Narrow"/>
                <w:sz w:val="20"/>
                <w:szCs w:val="20"/>
              </w:rPr>
              <w:instrText xml:space="preserve"> FORMCHECKBOX </w:instrText>
            </w:r>
            <w:r w:rsidRPr="007B5DA6">
              <w:rPr>
                <w:rFonts w:ascii="Arial Narrow" w:eastAsia="Calibri" w:hAnsi="Arial Narrow"/>
                <w:sz w:val="20"/>
                <w:szCs w:val="20"/>
              </w:rPr>
            </w:r>
            <w:r w:rsidRPr="007B5DA6">
              <w:rPr>
                <w:rFonts w:ascii="Arial Narrow" w:eastAsia="Calibri" w:hAnsi="Arial Narrow"/>
                <w:sz w:val="20"/>
                <w:szCs w:val="20"/>
              </w:rPr>
              <w:fldChar w:fldCharType="separate"/>
            </w:r>
            <w:r w:rsidRPr="007B5DA6">
              <w:rPr>
                <w:rFonts w:ascii="Arial Narrow" w:eastAsia="Calibri" w:hAnsi="Arial Narrow"/>
                <w:sz w:val="20"/>
                <w:szCs w:val="20"/>
              </w:rPr>
              <w:fldChar w:fldCharType="end"/>
            </w:r>
            <w:r w:rsidRPr="007B5DA6">
              <w:rPr>
                <w:rFonts w:ascii="Arial Narrow" w:eastAsia="Calibri" w:hAnsi="Arial Narrow"/>
                <w:sz w:val="20"/>
                <w:szCs w:val="20"/>
              </w:rPr>
              <w:t>Authority Required (FULL assessment) in writing only via OPA/post/HPOS upload</w:t>
            </w:r>
            <w:r w:rsidRPr="007B5DA6">
              <w:rPr>
                <w:rFonts w:ascii="Arial Narrow" w:eastAsia="Calibri" w:hAnsi="Arial Narrow"/>
                <w:color w:val="FF0000"/>
                <w:sz w:val="20"/>
                <w:szCs w:val="20"/>
              </w:rPr>
              <w:t xml:space="preserve"> </w:t>
            </w:r>
          </w:p>
        </w:tc>
      </w:tr>
      <w:tr w:rsidR="004007CC" w:rsidRPr="007B5DA6" w14:paraId="3B4EB2D0" w14:textId="77777777" w:rsidTr="14B6D7A4">
        <w:tblPrEx>
          <w:tblCellMar>
            <w:top w:w="15" w:type="dxa"/>
            <w:bottom w:w="15" w:type="dxa"/>
          </w:tblCellMar>
          <w:tblLook w:val="04A0" w:firstRow="1" w:lastRow="0" w:firstColumn="1" w:lastColumn="0" w:noHBand="0" w:noVBand="1"/>
        </w:tblPrEx>
        <w:trPr>
          <w:trHeight w:val="20"/>
        </w:trPr>
        <w:tc>
          <w:tcPr>
            <w:tcW w:w="492" w:type="dxa"/>
            <w:vMerge w:val="restart"/>
            <w:tcBorders>
              <w:left w:val="single" w:sz="4" w:space="0" w:color="auto"/>
              <w:right w:val="single" w:sz="4" w:space="0" w:color="auto"/>
            </w:tcBorders>
            <w:textDirection w:val="btLr"/>
            <w:vAlign w:val="center"/>
          </w:tcPr>
          <w:p w14:paraId="124B2E68" w14:textId="77777777" w:rsidR="004007CC" w:rsidRPr="007B5DA6" w:rsidRDefault="004007CC">
            <w:pPr>
              <w:jc w:val="center"/>
              <w:rPr>
                <w:rFonts w:ascii="Arial Narrow" w:hAnsi="Arial Narrow"/>
                <w:sz w:val="20"/>
                <w:szCs w:val="20"/>
              </w:rPr>
            </w:pPr>
            <w:r w:rsidRPr="007B5DA6">
              <w:rPr>
                <w:rFonts w:ascii="Arial Narrow" w:hAnsi="Arial Narrow"/>
                <w:sz w:val="20"/>
                <w:szCs w:val="20"/>
              </w:rPr>
              <w:t>Prescribing rule level</w:t>
            </w:r>
          </w:p>
        </w:tc>
        <w:tc>
          <w:tcPr>
            <w:tcW w:w="785" w:type="dxa"/>
            <w:vAlign w:val="center"/>
          </w:tcPr>
          <w:p w14:paraId="69400D91" w14:textId="0663011F" w:rsidR="004007CC" w:rsidRPr="007B5DA6" w:rsidRDefault="004007CC">
            <w:pPr>
              <w:jc w:val="center"/>
              <w:rPr>
                <w:rFonts w:ascii="Arial Narrow" w:hAnsi="Arial Narrow"/>
                <w:color w:val="333333"/>
                <w:sz w:val="20"/>
                <w:szCs w:val="20"/>
              </w:rPr>
            </w:pPr>
          </w:p>
        </w:tc>
        <w:tc>
          <w:tcPr>
            <w:tcW w:w="8362" w:type="dxa"/>
            <w:gridSpan w:val="6"/>
            <w:vAlign w:val="center"/>
          </w:tcPr>
          <w:p w14:paraId="59555FF2" w14:textId="77777777" w:rsidR="004007CC" w:rsidRPr="007B5DA6" w:rsidRDefault="004007CC">
            <w:pPr>
              <w:rPr>
                <w:rFonts w:ascii="Arial Narrow" w:hAnsi="Arial Narrow"/>
                <w:color w:val="333333"/>
                <w:sz w:val="20"/>
                <w:szCs w:val="20"/>
              </w:rPr>
            </w:pPr>
            <w:r w:rsidRPr="007B5DA6">
              <w:rPr>
                <w:rFonts w:ascii="Arial Narrow" w:hAnsi="Arial Narrow"/>
                <w:b/>
                <w:bCs/>
                <w:sz w:val="20"/>
                <w:szCs w:val="20"/>
              </w:rPr>
              <w:t xml:space="preserve">Administrative Advice: </w:t>
            </w:r>
            <w:r w:rsidRPr="007B5DA6">
              <w:rPr>
                <w:rFonts w:ascii="Arial Narrow" w:hAnsi="Arial Narrow"/>
                <w:bCs/>
                <w:sz w:val="20"/>
                <w:szCs w:val="20"/>
              </w:rPr>
              <w:t>No increase in the maximum quantity or number of units may be authorised.</w:t>
            </w:r>
          </w:p>
        </w:tc>
      </w:tr>
      <w:tr w:rsidR="004007CC" w:rsidRPr="007B5DA6" w14:paraId="7C3DF344" w14:textId="77777777" w:rsidTr="14B6D7A4">
        <w:tblPrEx>
          <w:tblCellMar>
            <w:top w:w="15" w:type="dxa"/>
            <w:bottom w:w="15" w:type="dxa"/>
          </w:tblCellMar>
          <w:tblLook w:val="04A0" w:firstRow="1" w:lastRow="0" w:firstColumn="1" w:lastColumn="0" w:noHBand="0" w:noVBand="1"/>
        </w:tblPrEx>
        <w:trPr>
          <w:trHeight w:val="20"/>
        </w:trPr>
        <w:tc>
          <w:tcPr>
            <w:tcW w:w="492" w:type="dxa"/>
            <w:vMerge/>
          </w:tcPr>
          <w:p w14:paraId="552E9E9E" w14:textId="77777777" w:rsidR="004007CC" w:rsidRPr="007B5DA6" w:rsidRDefault="004007CC">
            <w:pPr>
              <w:rPr>
                <w:rFonts w:ascii="Arial Narrow" w:hAnsi="Arial Narrow"/>
                <w:sz w:val="20"/>
                <w:szCs w:val="20"/>
              </w:rPr>
            </w:pPr>
          </w:p>
        </w:tc>
        <w:tc>
          <w:tcPr>
            <w:tcW w:w="785" w:type="dxa"/>
            <w:vAlign w:val="center"/>
          </w:tcPr>
          <w:p w14:paraId="7887F10E" w14:textId="377B2399" w:rsidR="004007CC" w:rsidRPr="007B5DA6" w:rsidRDefault="004007CC">
            <w:pPr>
              <w:jc w:val="center"/>
              <w:rPr>
                <w:rFonts w:ascii="Arial Narrow" w:hAnsi="Arial Narrow"/>
                <w:color w:val="333333"/>
                <w:sz w:val="20"/>
                <w:szCs w:val="20"/>
              </w:rPr>
            </w:pPr>
          </w:p>
        </w:tc>
        <w:tc>
          <w:tcPr>
            <w:tcW w:w="8362" w:type="dxa"/>
            <w:gridSpan w:val="6"/>
            <w:vAlign w:val="center"/>
          </w:tcPr>
          <w:p w14:paraId="1237A83D" w14:textId="77777777" w:rsidR="004007CC" w:rsidRPr="007B5DA6" w:rsidRDefault="004007CC">
            <w:pPr>
              <w:rPr>
                <w:rFonts w:ascii="Arial Narrow" w:hAnsi="Arial Narrow"/>
                <w:b/>
                <w:bCs/>
                <w:color w:val="333333"/>
                <w:sz w:val="20"/>
                <w:szCs w:val="20"/>
              </w:rPr>
            </w:pPr>
            <w:r w:rsidRPr="007B5DA6">
              <w:rPr>
                <w:rFonts w:ascii="Arial Narrow" w:hAnsi="Arial Narrow"/>
                <w:b/>
                <w:bCs/>
                <w:sz w:val="20"/>
                <w:szCs w:val="20"/>
              </w:rPr>
              <w:t xml:space="preserve">Administrative Advice: </w:t>
            </w:r>
            <w:r w:rsidRPr="007B5DA6">
              <w:rPr>
                <w:rFonts w:ascii="Arial Narrow" w:hAnsi="Arial Narrow"/>
                <w:bCs/>
                <w:sz w:val="20"/>
                <w:szCs w:val="20"/>
              </w:rPr>
              <w:t>No increase in the maximum number of repeats may be authorised.</w:t>
            </w:r>
          </w:p>
        </w:tc>
      </w:tr>
      <w:tr w:rsidR="004007CC" w:rsidRPr="007B5DA6" w14:paraId="3D9B763B" w14:textId="77777777" w:rsidTr="14B6D7A4">
        <w:tblPrEx>
          <w:tblCellMar>
            <w:top w:w="15" w:type="dxa"/>
            <w:bottom w:w="15" w:type="dxa"/>
          </w:tblCellMar>
          <w:tblLook w:val="04A0" w:firstRow="1" w:lastRow="0" w:firstColumn="1" w:lastColumn="0" w:noHBand="0" w:noVBand="1"/>
        </w:tblPrEx>
        <w:trPr>
          <w:trHeight w:val="20"/>
        </w:trPr>
        <w:tc>
          <w:tcPr>
            <w:tcW w:w="492" w:type="dxa"/>
            <w:vMerge/>
          </w:tcPr>
          <w:p w14:paraId="6FAA6000" w14:textId="77777777" w:rsidR="004007CC" w:rsidRPr="007B5DA6" w:rsidRDefault="004007CC">
            <w:pPr>
              <w:rPr>
                <w:rFonts w:ascii="Arial Narrow" w:hAnsi="Arial Narrow"/>
                <w:sz w:val="20"/>
                <w:szCs w:val="20"/>
              </w:rPr>
            </w:pPr>
          </w:p>
        </w:tc>
        <w:tc>
          <w:tcPr>
            <w:tcW w:w="785" w:type="dxa"/>
            <w:tcBorders>
              <w:left w:val="single" w:sz="4" w:space="0" w:color="auto"/>
              <w:bottom w:val="single" w:sz="4" w:space="0" w:color="auto"/>
              <w:right w:val="single" w:sz="4" w:space="0" w:color="auto"/>
            </w:tcBorders>
            <w:vAlign w:val="center"/>
          </w:tcPr>
          <w:p w14:paraId="7631DA34" w14:textId="566B7ACC" w:rsidR="004007CC" w:rsidRPr="007B5DA6" w:rsidRDefault="004007CC">
            <w:pPr>
              <w:jc w:val="center"/>
              <w:rPr>
                <w:rFonts w:ascii="Arial Narrow" w:hAnsi="Arial Narrow"/>
                <w:sz w:val="20"/>
                <w:szCs w:val="20"/>
              </w:rPr>
            </w:pPr>
          </w:p>
        </w:tc>
        <w:tc>
          <w:tcPr>
            <w:tcW w:w="8362" w:type="dxa"/>
            <w:gridSpan w:val="6"/>
            <w:tcBorders>
              <w:top w:val="single" w:sz="4" w:space="0" w:color="auto"/>
              <w:left w:val="single" w:sz="4" w:space="0" w:color="auto"/>
              <w:bottom w:val="single" w:sz="4" w:space="0" w:color="auto"/>
              <w:right w:val="single" w:sz="4" w:space="0" w:color="auto"/>
            </w:tcBorders>
            <w:vAlign w:val="center"/>
          </w:tcPr>
          <w:p w14:paraId="718D06FB" w14:textId="77777777" w:rsidR="004007CC" w:rsidRPr="007B5DA6" w:rsidRDefault="004007CC">
            <w:pPr>
              <w:contextualSpacing/>
              <w:rPr>
                <w:rFonts w:ascii="Arial Narrow" w:hAnsi="Arial Narrow"/>
                <w:sz w:val="20"/>
                <w:szCs w:val="20"/>
              </w:rPr>
            </w:pPr>
            <w:r w:rsidRPr="007B5DA6">
              <w:rPr>
                <w:rFonts w:ascii="Arial Narrow" w:hAnsi="Arial Narrow"/>
                <w:b/>
                <w:bCs/>
                <w:sz w:val="20"/>
                <w:szCs w:val="20"/>
              </w:rPr>
              <w:t>Administrative Advice:</w:t>
            </w:r>
          </w:p>
          <w:p w14:paraId="4A51C265" w14:textId="77777777" w:rsidR="004007CC" w:rsidRPr="007B5DA6" w:rsidRDefault="004007CC">
            <w:pPr>
              <w:spacing w:after="100" w:afterAutospacing="1"/>
              <w:rPr>
                <w:rFonts w:ascii="Arial Narrow" w:hAnsi="Arial Narrow"/>
                <w:b/>
                <w:bCs/>
                <w:sz w:val="20"/>
                <w:szCs w:val="20"/>
              </w:rPr>
            </w:pPr>
            <w:r w:rsidRPr="007B5DA6">
              <w:rPr>
                <w:rFonts w:ascii="Arial Narrow" w:hAnsi="Arial Narrow"/>
                <w:sz w:val="20"/>
                <w:szCs w:val="20"/>
              </w:rPr>
              <w:t xml:space="preserve">Special Pricing Arrangements apply. </w:t>
            </w:r>
          </w:p>
        </w:tc>
      </w:tr>
      <w:tr w:rsidR="004007CC" w:rsidRPr="007B5DA6" w14:paraId="03B78B73"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Merge w:val="restart"/>
            <w:vAlign w:val="center"/>
          </w:tcPr>
          <w:p w14:paraId="10139199" w14:textId="77777777" w:rsidR="004007CC" w:rsidRPr="007B5DA6" w:rsidRDefault="004007CC">
            <w:pPr>
              <w:keepLines/>
              <w:jc w:val="center"/>
              <w:rPr>
                <w:rFonts w:ascii="Arial Narrow" w:hAnsi="Arial Narrow"/>
                <w:color w:val="333333"/>
                <w:sz w:val="20"/>
                <w:szCs w:val="20"/>
              </w:rPr>
            </w:pPr>
          </w:p>
        </w:tc>
        <w:tc>
          <w:tcPr>
            <w:tcW w:w="8362" w:type="dxa"/>
            <w:gridSpan w:val="6"/>
            <w:vAlign w:val="center"/>
          </w:tcPr>
          <w:p w14:paraId="59C55E17" w14:textId="77777777" w:rsidR="004007CC" w:rsidRPr="007B5DA6" w:rsidRDefault="004007CC">
            <w:pPr>
              <w:keepLines/>
              <w:rPr>
                <w:rFonts w:ascii="Arial Narrow" w:hAnsi="Arial Narrow"/>
                <w:bCs/>
                <w:color w:val="BFBFBF"/>
                <w:sz w:val="20"/>
                <w:szCs w:val="20"/>
              </w:rPr>
            </w:pPr>
            <w:r w:rsidRPr="007B5DA6">
              <w:rPr>
                <w:rFonts w:ascii="Arial Narrow" w:hAnsi="Arial Narrow"/>
                <w:b/>
                <w:bCs/>
                <w:color w:val="BFBFBF"/>
                <w:sz w:val="20"/>
                <w:szCs w:val="20"/>
              </w:rPr>
              <w:t>Episodicity:</w:t>
            </w:r>
          </w:p>
        </w:tc>
      </w:tr>
      <w:tr w:rsidR="004007CC" w:rsidRPr="007B5DA6" w14:paraId="08A51AEA"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Merge/>
            <w:vAlign w:val="center"/>
          </w:tcPr>
          <w:p w14:paraId="336D6E41" w14:textId="77777777" w:rsidR="004007CC" w:rsidRPr="007B5DA6" w:rsidRDefault="004007CC">
            <w:pPr>
              <w:keepLines/>
              <w:jc w:val="center"/>
              <w:rPr>
                <w:rFonts w:ascii="Arial Narrow" w:hAnsi="Arial Narrow"/>
                <w:color w:val="333333"/>
                <w:sz w:val="20"/>
                <w:szCs w:val="20"/>
              </w:rPr>
            </w:pPr>
          </w:p>
        </w:tc>
        <w:tc>
          <w:tcPr>
            <w:tcW w:w="8362" w:type="dxa"/>
            <w:gridSpan w:val="6"/>
            <w:vAlign w:val="center"/>
          </w:tcPr>
          <w:p w14:paraId="082B854A" w14:textId="77777777" w:rsidR="004007CC" w:rsidRPr="007B5DA6" w:rsidRDefault="004007CC">
            <w:pPr>
              <w:keepLines/>
              <w:rPr>
                <w:rFonts w:ascii="Arial Narrow" w:hAnsi="Arial Narrow"/>
                <w:b/>
                <w:bCs/>
                <w:color w:val="BFBFBF"/>
                <w:sz w:val="20"/>
                <w:szCs w:val="20"/>
              </w:rPr>
            </w:pPr>
            <w:r w:rsidRPr="007B5DA6">
              <w:rPr>
                <w:rFonts w:ascii="Arial Narrow" w:hAnsi="Arial Narrow"/>
                <w:b/>
                <w:bCs/>
                <w:color w:val="BFBFBF"/>
                <w:sz w:val="20"/>
                <w:szCs w:val="20"/>
              </w:rPr>
              <w:t xml:space="preserve">Severity: </w:t>
            </w:r>
          </w:p>
        </w:tc>
      </w:tr>
      <w:tr w:rsidR="004007CC" w:rsidRPr="007B5DA6" w14:paraId="47D0C32E"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Merge/>
            <w:vAlign w:val="center"/>
          </w:tcPr>
          <w:p w14:paraId="41062ADF" w14:textId="77777777" w:rsidR="004007CC" w:rsidRPr="007B5DA6" w:rsidRDefault="004007CC">
            <w:pPr>
              <w:keepLines/>
              <w:jc w:val="center"/>
              <w:rPr>
                <w:rFonts w:ascii="Arial Narrow" w:hAnsi="Arial Narrow"/>
                <w:color w:val="333333"/>
                <w:sz w:val="20"/>
                <w:szCs w:val="20"/>
              </w:rPr>
            </w:pPr>
          </w:p>
        </w:tc>
        <w:tc>
          <w:tcPr>
            <w:tcW w:w="8362" w:type="dxa"/>
            <w:gridSpan w:val="6"/>
            <w:vAlign w:val="center"/>
          </w:tcPr>
          <w:p w14:paraId="24A778C4" w14:textId="77777777" w:rsidR="004007CC" w:rsidRPr="007B5DA6" w:rsidRDefault="004007CC">
            <w:pPr>
              <w:keepLines/>
              <w:rPr>
                <w:rFonts w:ascii="Arial Narrow" w:hAnsi="Arial Narrow"/>
                <w:b/>
                <w:bCs/>
                <w:color w:val="333333"/>
                <w:sz w:val="20"/>
                <w:szCs w:val="20"/>
              </w:rPr>
            </w:pPr>
            <w:r w:rsidRPr="007B5DA6">
              <w:rPr>
                <w:rFonts w:ascii="Arial Narrow" w:hAnsi="Arial Narrow"/>
                <w:b/>
                <w:bCs/>
                <w:color w:val="333333"/>
                <w:sz w:val="20"/>
                <w:szCs w:val="20"/>
              </w:rPr>
              <w:t>Condition:</w:t>
            </w:r>
            <w:r w:rsidRPr="007B5DA6">
              <w:rPr>
                <w:rFonts w:ascii="Arial Narrow" w:eastAsia="Calibri" w:hAnsi="Arial Narrow" w:cs="Calibri"/>
                <w:sz w:val="20"/>
                <w:szCs w:val="20"/>
              </w:rPr>
              <w:t xml:space="preserve"> </w:t>
            </w:r>
            <w:r w:rsidRPr="007B5DA6">
              <w:rPr>
                <w:rFonts w:ascii="Arial Narrow" w:hAnsi="Arial Narrow"/>
                <w:color w:val="333333"/>
                <w:sz w:val="20"/>
                <w:szCs w:val="20"/>
              </w:rPr>
              <w:t xml:space="preserve">Geographic Atrophy (GA) </w:t>
            </w:r>
          </w:p>
        </w:tc>
      </w:tr>
      <w:tr w:rsidR="004007CC" w:rsidRPr="007B5DA6" w14:paraId="4E7CF34D"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hideMark/>
          </w:tcPr>
          <w:p w14:paraId="2EDC9C98" w14:textId="7452B52E" w:rsidR="004007CC" w:rsidRPr="007B5DA6" w:rsidRDefault="004007CC">
            <w:pPr>
              <w:keepLines/>
              <w:jc w:val="center"/>
              <w:rPr>
                <w:rFonts w:ascii="Arial Narrow" w:hAnsi="Arial Narrow"/>
                <w:color w:val="333333"/>
                <w:sz w:val="20"/>
                <w:szCs w:val="20"/>
              </w:rPr>
            </w:pPr>
          </w:p>
        </w:tc>
        <w:tc>
          <w:tcPr>
            <w:tcW w:w="8362" w:type="dxa"/>
            <w:gridSpan w:val="6"/>
            <w:vAlign w:val="center"/>
            <w:hideMark/>
          </w:tcPr>
          <w:p w14:paraId="607047BC" w14:textId="77777777" w:rsidR="004007CC" w:rsidRPr="007B5DA6" w:rsidRDefault="004007CC">
            <w:pPr>
              <w:keepLines/>
              <w:rPr>
                <w:rFonts w:ascii="Arial Narrow" w:hAnsi="Arial Narrow"/>
                <w:color w:val="000000"/>
                <w:sz w:val="20"/>
                <w:szCs w:val="20"/>
              </w:rPr>
            </w:pPr>
            <w:r w:rsidRPr="007B5DA6">
              <w:rPr>
                <w:rFonts w:ascii="Arial Narrow" w:hAnsi="Arial Narrow"/>
                <w:b/>
                <w:bCs/>
                <w:color w:val="000000"/>
                <w:sz w:val="20"/>
                <w:szCs w:val="20"/>
              </w:rPr>
              <w:t>Indication:</w:t>
            </w:r>
            <w:r w:rsidRPr="007B5DA6">
              <w:rPr>
                <w:rFonts w:ascii="Arial Narrow" w:hAnsi="Arial Narrow"/>
                <w:color w:val="000000"/>
                <w:sz w:val="20"/>
                <w:szCs w:val="20"/>
              </w:rPr>
              <w:t xml:space="preserve"> Geographic Atrophy (GA) </w:t>
            </w:r>
          </w:p>
        </w:tc>
      </w:tr>
      <w:tr w:rsidR="004007CC" w:rsidRPr="007B5DA6" w14:paraId="45C885BF"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hideMark/>
          </w:tcPr>
          <w:p w14:paraId="2A8EC26A" w14:textId="77777777" w:rsidR="004007CC" w:rsidRPr="007B5DA6" w:rsidRDefault="004007CC">
            <w:pPr>
              <w:jc w:val="center"/>
              <w:rPr>
                <w:rFonts w:ascii="Arial Narrow" w:hAnsi="Arial Narrow"/>
                <w:color w:val="333333"/>
                <w:sz w:val="20"/>
                <w:szCs w:val="20"/>
              </w:rPr>
            </w:pPr>
          </w:p>
        </w:tc>
        <w:tc>
          <w:tcPr>
            <w:tcW w:w="8362" w:type="dxa"/>
            <w:gridSpan w:val="6"/>
            <w:vAlign w:val="center"/>
            <w:hideMark/>
          </w:tcPr>
          <w:p w14:paraId="41C5367F" w14:textId="77777777" w:rsidR="004007CC" w:rsidRPr="007B5DA6" w:rsidRDefault="004007CC">
            <w:pPr>
              <w:rPr>
                <w:rFonts w:ascii="Arial Narrow" w:hAnsi="Arial Narrow"/>
                <w:color w:val="000000"/>
                <w:sz w:val="20"/>
                <w:szCs w:val="20"/>
              </w:rPr>
            </w:pPr>
            <w:r w:rsidRPr="007B5DA6">
              <w:rPr>
                <w:rFonts w:ascii="Arial Narrow" w:hAnsi="Arial Narrow"/>
                <w:b/>
                <w:bCs/>
                <w:color w:val="000000"/>
                <w:sz w:val="20"/>
                <w:szCs w:val="20"/>
              </w:rPr>
              <w:t>Treatment Phase:</w:t>
            </w:r>
            <w:r w:rsidRPr="007B5DA6">
              <w:rPr>
                <w:rFonts w:ascii="Arial Narrow" w:hAnsi="Arial Narrow"/>
                <w:color w:val="000000"/>
                <w:sz w:val="20"/>
                <w:szCs w:val="20"/>
              </w:rPr>
              <w:t xml:space="preserve"> Initial treatment </w:t>
            </w:r>
          </w:p>
        </w:tc>
      </w:tr>
      <w:tr w:rsidR="004007CC" w:rsidRPr="007B5DA6" w14:paraId="08152B1A"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8BFC189" w14:textId="77777777" w:rsidR="004007CC" w:rsidRPr="007B5DA6" w:rsidRDefault="004007CC">
            <w:pPr>
              <w:jc w:val="center"/>
              <w:rPr>
                <w:rFonts w:ascii="Arial Narrow" w:hAnsi="Arial Narrow"/>
                <w:i/>
                <w:iCs/>
                <w:color w:val="FF0000"/>
                <w:sz w:val="20"/>
                <w:szCs w:val="20"/>
              </w:rPr>
            </w:pPr>
          </w:p>
        </w:tc>
        <w:tc>
          <w:tcPr>
            <w:tcW w:w="8362" w:type="dxa"/>
            <w:gridSpan w:val="6"/>
            <w:vAlign w:val="center"/>
          </w:tcPr>
          <w:p w14:paraId="2F7073BF" w14:textId="77777777" w:rsidR="004007CC" w:rsidRPr="007B5DA6" w:rsidRDefault="004007CC">
            <w:pPr>
              <w:rPr>
                <w:rFonts w:ascii="Arial Narrow" w:hAnsi="Arial Narrow"/>
                <w:b/>
                <w:bCs/>
                <w:sz w:val="20"/>
                <w:szCs w:val="20"/>
              </w:rPr>
            </w:pPr>
            <w:r w:rsidRPr="007B5DA6">
              <w:rPr>
                <w:rFonts w:ascii="Arial Narrow" w:hAnsi="Arial Narrow"/>
                <w:b/>
                <w:bCs/>
                <w:sz w:val="20"/>
                <w:szCs w:val="20"/>
              </w:rPr>
              <w:t>Clinical criteria:</w:t>
            </w:r>
          </w:p>
        </w:tc>
      </w:tr>
      <w:tr w:rsidR="004007CC" w:rsidRPr="007B5DA6" w14:paraId="1E82738E"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F232737" w14:textId="77777777" w:rsidR="004007CC" w:rsidRPr="007B5DA6" w:rsidRDefault="004007CC">
            <w:pPr>
              <w:jc w:val="center"/>
              <w:rPr>
                <w:rFonts w:ascii="Arial Narrow" w:hAnsi="Arial Narrow"/>
                <w:i/>
                <w:iCs/>
                <w:color w:val="FF0000"/>
                <w:sz w:val="20"/>
                <w:szCs w:val="20"/>
              </w:rPr>
            </w:pPr>
          </w:p>
        </w:tc>
        <w:tc>
          <w:tcPr>
            <w:tcW w:w="8362" w:type="dxa"/>
            <w:gridSpan w:val="6"/>
            <w:vAlign w:val="center"/>
          </w:tcPr>
          <w:p w14:paraId="72A4273E" w14:textId="21294EA6" w:rsidR="004007CC" w:rsidRPr="007B5DA6" w:rsidRDefault="004007CC">
            <w:pPr>
              <w:rPr>
                <w:rFonts w:ascii="Arial Narrow" w:hAnsi="Arial Narrow"/>
                <w:b/>
                <w:bCs/>
                <w:sz w:val="20"/>
                <w:szCs w:val="20"/>
              </w:rPr>
            </w:pPr>
            <w:r w:rsidRPr="007B5DA6">
              <w:rPr>
                <w:rFonts w:ascii="Arial Narrow" w:hAnsi="Arial Narrow" w:cstheme="minorHAnsi"/>
                <w:sz w:val="20"/>
                <w:szCs w:val="20"/>
              </w:rPr>
              <w:t>The condition must be secondary to age</w:t>
            </w:r>
            <w:r w:rsidR="00397B07" w:rsidRPr="007B5DA6">
              <w:rPr>
                <w:rFonts w:ascii="Arial Narrow" w:hAnsi="Arial Narrow" w:cstheme="minorHAnsi"/>
                <w:sz w:val="20"/>
                <w:szCs w:val="20"/>
              </w:rPr>
              <w:noBreakHyphen/>
            </w:r>
            <w:r w:rsidRPr="007B5DA6">
              <w:rPr>
                <w:rFonts w:ascii="Arial Narrow" w:hAnsi="Arial Narrow" w:cstheme="minorHAnsi"/>
                <w:sz w:val="20"/>
                <w:szCs w:val="20"/>
              </w:rPr>
              <w:t>related macular degeneration (AMD)</w:t>
            </w:r>
          </w:p>
        </w:tc>
      </w:tr>
      <w:tr w:rsidR="004007CC" w:rsidRPr="007B5DA6" w14:paraId="17E89623"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D97D625" w14:textId="77777777" w:rsidR="004007CC" w:rsidRPr="007B5DA6" w:rsidRDefault="004007CC">
            <w:pPr>
              <w:jc w:val="center"/>
              <w:rPr>
                <w:rFonts w:ascii="Arial Narrow" w:hAnsi="Arial Narrow"/>
                <w:color w:val="333333"/>
                <w:sz w:val="20"/>
                <w:szCs w:val="20"/>
              </w:rPr>
            </w:pPr>
          </w:p>
        </w:tc>
        <w:tc>
          <w:tcPr>
            <w:tcW w:w="8362" w:type="dxa"/>
            <w:gridSpan w:val="6"/>
            <w:vAlign w:val="center"/>
          </w:tcPr>
          <w:p w14:paraId="14FF0ED4" w14:textId="77777777" w:rsidR="004007CC" w:rsidRPr="007B5DA6" w:rsidRDefault="004007CC">
            <w:pPr>
              <w:rPr>
                <w:rFonts w:ascii="Arial Narrow" w:hAnsi="Arial Narrow" w:cstheme="minorHAnsi"/>
                <w:b/>
                <w:bCs/>
                <w:sz w:val="20"/>
                <w:szCs w:val="20"/>
              </w:rPr>
            </w:pPr>
            <w:r w:rsidRPr="007B5DA6">
              <w:rPr>
                <w:rFonts w:ascii="Arial Narrow" w:hAnsi="Arial Narrow" w:cstheme="minorHAnsi"/>
                <w:b/>
                <w:bCs/>
                <w:sz w:val="20"/>
                <w:szCs w:val="20"/>
              </w:rPr>
              <w:t>AND</w:t>
            </w:r>
          </w:p>
        </w:tc>
      </w:tr>
      <w:tr w:rsidR="004007CC" w:rsidRPr="007B5DA6" w14:paraId="274C68BF"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0D47C41" w14:textId="23FD9415" w:rsidR="004007CC" w:rsidRPr="007B5DA6" w:rsidRDefault="004007CC">
            <w:pPr>
              <w:jc w:val="center"/>
              <w:rPr>
                <w:rFonts w:ascii="Arial Narrow" w:hAnsi="Arial Narrow"/>
                <w:color w:val="333333"/>
                <w:sz w:val="20"/>
                <w:szCs w:val="20"/>
              </w:rPr>
            </w:pPr>
          </w:p>
        </w:tc>
        <w:tc>
          <w:tcPr>
            <w:tcW w:w="8362" w:type="dxa"/>
            <w:gridSpan w:val="6"/>
            <w:vAlign w:val="center"/>
            <w:hideMark/>
          </w:tcPr>
          <w:p w14:paraId="02AFA4A8" w14:textId="77777777" w:rsidR="004007CC" w:rsidRPr="007B5DA6" w:rsidRDefault="004007CC">
            <w:pPr>
              <w:rPr>
                <w:rFonts w:ascii="Arial Narrow" w:hAnsi="Arial Narrow"/>
                <w:color w:val="333333"/>
                <w:sz w:val="20"/>
                <w:szCs w:val="20"/>
              </w:rPr>
            </w:pPr>
            <w:r w:rsidRPr="007B5DA6">
              <w:rPr>
                <w:rFonts w:ascii="Arial Narrow" w:hAnsi="Arial Narrow"/>
                <w:b/>
                <w:bCs/>
                <w:color w:val="333333"/>
                <w:sz w:val="20"/>
                <w:szCs w:val="20"/>
              </w:rPr>
              <w:t>Clinical criteria:</w:t>
            </w:r>
          </w:p>
        </w:tc>
      </w:tr>
      <w:tr w:rsidR="004007CC" w:rsidRPr="007B5DA6" w14:paraId="727C5A99"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95B2535" w14:textId="3573FC0F" w:rsidR="004007CC" w:rsidRPr="007B5DA6" w:rsidRDefault="004007CC">
            <w:pPr>
              <w:jc w:val="center"/>
              <w:rPr>
                <w:rFonts w:ascii="Arial Narrow" w:hAnsi="Arial Narrow"/>
                <w:color w:val="333333"/>
                <w:sz w:val="20"/>
                <w:szCs w:val="20"/>
              </w:rPr>
            </w:pPr>
          </w:p>
        </w:tc>
        <w:tc>
          <w:tcPr>
            <w:tcW w:w="8362" w:type="dxa"/>
            <w:gridSpan w:val="6"/>
            <w:vAlign w:val="center"/>
            <w:hideMark/>
          </w:tcPr>
          <w:p w14:paraId="78AF271C" w14:textId="77777777" w:rsidR="004007CC" w:rsidRPr="007B5DA6" w:rsidRDefault="004007CC">
            <w:pPr>
              <w:rPr>
                <w:rFonts w:ascii="Arial Narrow" w:hAnsi="Arial Narrow"/>
                <w:color w:val="333333"/>
                <w:sz w:val="20"/>
                <w:szCs w:val="20"/>
              </w:rPr>
            </w:pPr>
            <w:r w:rsidRPr="007B5DA6">
              <w:rPr>
                <w:rFonts w:ascii="Arial Narrow" w:hAnsi="Arial Narrow"/>
                <w:color w:val="333333"/>
                <w:sz w:val="20"/>
                <w:szCs w:val="20"/>
              </w:rPr>
              <w:t xml:space="preserve">The condition must be diagnosed by optical coherence tomography; </w:t>
            </w:r>
          </w:p>
        </w:tc>
      </w:tr>
      <w:tr w:rsidR="004007CC" w:rsidRPr="007B5DA6" w14:paraId="14362AA1"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7ACA27C" w14:textId="77777777" w:rsidR="004007CC" w:rsidRPr="007B5DA6" w:rsidRDefault="004007CC">
            <w:pPr>
              <w:jc w:val="center"/>
              <w:rPr>
                <w:rFonts w:ascii="Arial Narrow" w:hAnsi="Arial Narrow"/>
                <w:color w:val="333333"/>
                <w:sz w:val="20"/>
                <w:szCs w:val="20"/>
              </w:rPr>
            </w:pPr>
          </w:p>
        </w:tc>
        <w:tc>
          <w:tcPr>
            <w:tcW w:w="8362" w:type="dxa"/>
            <w:gridSpan w:val="6"/>
            <w:vAlign w:val="center"/>
          </w:tcPr>
          <w:p w14:paraId="24E22F1D" w14:textId="77777777" w:rsidR="004007CC" w:rsidRPr="007B5DA6" w:rsidRDefault="004007CC">
            <w:pPr>
              <w:rPr>
                <w:rFonts w:ascii="Arial Narrow" w:hAnsi="Arial Narrow"/>
                <w:b/>
                <w:bCs/>
                <w:color w:val="333333"/>
                <w:sz w:val="20"/>
                <w:szCs w:val="20"/>
              </w:rPr>
            </w:pPr>
            <w:r w:rsidRPr="007B5DA6">
              <w:rPr>
                <w:rFonts w:ascii="Arial Narrow" w:hAnsi="Arial Narrow"/>
                <w:b/>
                <w:bCs/>
                <w:color w:val="333333"/>
                <w:sz w:val="20"/>
                <w:szCs w:val="20"/>
              </w:rPr>
              <w:t>OR</w:t>
            </w:r>
          </w:p>
        </w:tc>
      </w:tr>
      <w:tr w:rsidR="004007CC" w:rsidRPr="007B5DA6" w14:paraId="3623BE17"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7D0E13B6" w14:textId="61A16C30" w:rsidR="004007CC" w:rsidRPr="007B5DA6" w:rsidRDefault="004007CC">
            <w:pPr>
              <w:jc w:val="center"/>
              <w:rPr>
                <w:rFonts w:ascii="Arial Narrow" w:hAnsi="Arial Narrow"/>
                <w:color w:val="333333"/>
                <w:sz w:val="20"/>
                <w:szCs w:val="20"/>
              </w:rPr>
            </w:pPr>
          </w:p>
        </w:tc>
        <w:tc>
          <w:tcPr>
            <w:tcW w:w="8362" w:type="dxa"/>
            <w:gridSpan w:val="6"/>
            <w:vAlign w:val="center"/>
          </w:tcPr>
          <w:p w14:paraId="20173A49" w14:textId="55178EAF" w:rsidR="004007CC" w:rsidRPr="007B5DA6" w:rsidRDefault="004007CC" w:rsidP="14B6D7A4">
            <w:pPr>
              <w:rPr>
                <w:rFonts w:ascii="Arial Narrow" w:hAnsi="Arial Narrow"/>
                <w:color w:val="333333"/>
                <w:sz w:val="20"/>
                <w:szCs w:val="20"/>
              </w:rPr>
            </w:pPr>
            <w:r w:rsidRPr="007B5DA6">
              <w:rPr>
                <w:rFonts w:ascii="Arial Narrow" w:hAnsi="Arial Narrow"/>
                <w:color w:val="333333"/>
                <w:sz w:val="20"/>
                <w:szCs w:val="20"/>
              </w:rPr>
              <w:t>The condition must be diagnosed by fundus autofluorescence</w:t>
            </w:r>
          </w:p>
        </w:tc>
      </w:tr>
      <w:tr w:rsidR="004007CC" w:rsidRPr="007B5DA6" w14:paraId="246DD77B"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4403B58" w14:textId="77777777" w:rsidR="004007CC" w:rsidRPr="007B5DA6" w:rsidRDefault="004007CC">
            <w:pPr>
              <w:jc w:val="center"/>
              <w:rPr>
                <w:rFonts w:ascii="Arial Narrow" w:hAnsi="Arial Narrow"/>
                <w:color w:val="333333"/>
                <w:sz w:val="20"/>
                <w:szCs w:val="20"/>
              </w:rPr>
            </w:pPr>
          </w:p>
        </w:tc>
        <w:tc>
          <w:tcPr>
            <w:tcW w:w="8362" w:type="dxa"/>
            <w:gridSpan w:val="6"/>
            <w:vAlign w:val="center"/>
          </w:tcPr>
          <w:p w14:paraId="7F316147" w14:textId="77777777" w:rsidR="004007CC" w:rsidRPr="007B5DA6" w:rsidRDefault="004007CC" w:rsidP="00B5542E">
            <w:pPr>
              <w:jc w:val="left"/>
              <w:rPr>
                <w:rFonts w:ascii="Arial Narrow" w:hAnsi="Arial Narrow"/>
                <w:color w:val="333333"/>
                <w:sz w:val="20"/>
                <w:szCs w:val="20"/>
              </w:rPr>
            </w:pPr>
            <w:r w:rsidRPr="007B5DA6">
              <w:rPr>
                <w:rFonts w:ascii="Arial Narrow" w:hAnsi="Arial Narrow"/>
                <w:b/>
                <w:bCs/>
                <w:color w:val="333333"/>
                <w:sz w:val="20"/>
                <w:szCs w:val="20"/>
              </w:rPr>
              <w:t>AND</w:t>
            </w:r>
          </w:p>
        </w:tc>
      </w:tr>
      <w:tr w:rsidR="004007CC" w:rsidRPr="007B5DA6" w14:paraId="276B0ED5"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4F058BC" w14:textId="08C0658D" w:rsidR="004007CC" w:rsidRPr="007B5DA6" w:rsidRDefault="004007CC">
            <w:pPr>
              <w:jc w:val="center"/>
              <w:rPr>
                <w:rFonts w:ascii="Arial Narrow" w:hAnsi="Arial Narrow"/>
                <w:color w:val="333333"/>
                <w:sz w:val="20"/>
                <w:szCs w:val="20"/>
              </w:rPr>
            </w:pPr>
          </w:p>
        </w:tc>
        <w:tc>
          <w:tcPr>
            <w:tcW w:w="8362" w:type="dxa"/>
            <w:gridSpan w:val="6"/>
            <w:vAlign w:val="center"/>
          </w:tcPr>
          <w:p w14:paraId="3388EFFA" w14:textId="77777777" w:rsidR="004007CC" w:rsidRPr="007B5DA6" w:rsidRDefault="004007CC" w:rsidP="00B5542E">
            <w:pPr>
              <w:jc w:val="left"/>
              <w:rPr>
                <w:rFonts w:ascii="Arial Narrow" w:hAnsi="Arial Narrow"/>
                <w:color w:val="333333"/>
                <w:sz w:val="20"/>
                <w:szCs w:val="20"/>
              </w:rPr>
            </w:pPr>
            <w:r w:rsidRPr="007B5DA6">
              <w:rPr>
                <w:rFonts w:ascii="Arial Narrow" w:hAnsi="Arial Narrow"/>
                <w:b/>
                <w:bCs/>
                <w:color w:val="333333"/>
                <w:sz w:val="20"/>
                <w:szCs w:val="20"/>
              </w:rPr>
              <w:t>Clinical criteria:</w:t>
            </w:r>
          </w:p>
        </w:tc>
      </w:tr>
      <w:tr w:rsidR="004007CC" w:rsidRPr="007B5DA6" w14:paraId="0A8CDD89"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124C005" w14:textId="60A9A060" w:rsidR="004007CC" w:rsidRPr="007B5DA6" w:rsidRDefault="004007CC">
            <w:pPr>
              <w:jc w:val="center"/>
              <w:rPr>
                <w:rFonts w:ascii="Arial Narrow" w:hAnsi="Arial Narrow"/>
                <w:color w:val="333333"/>
                <w:sz w:val="20"/>
                <w:szCs w:val="20"/>
              </w:rPr>
            </w:pPr>
          </w:p>
        </w:tc>
        <w:tc>
          <w:tcPr>
            <w:tcW w:w="8362" w:type="dxa"/>
            <w:gridSpan w:val="6"/>
            <w:vAlign w:val="center"/>
          </w:tcPr>
          <w:p w14:paraId="09E753F7" w14:textId="488D0DF6" w:rsidR="004007CC" w:rsidRPr="007B5DA6" w:rsidRDefault="004007CC" w:rsidP="00B5542E">
            <w:pPr>
              <w:jc w:val="left"/>
              <w:rPr>
                <w:rFonts w:ascii="Arial Narrow" w:eastAsiaTheme="minorHAnsi" w:hAnsi="Arial Narrow" w:cstheme="minorHAnsi"/>
                <w:color w:val="FF0000"/>
                <w:kern w:val="2"/>
                <w:sz w:val="20"/>
                <w:szCs w:val="20"/>
                <w:lang w:eastAsia="en-US"/>
                <w14:ligatures w14:val="standardContextual"/>
              </w:rPr>
            </w:pPr>
            <w:r w:rsidRPr="007B5DA6">
              <w:rPr>
                <w:rFonts w:ascii="Arial Narrow" w:hAnsi="Arial Narrow" w:cstheme="minorHAnsi"/>
                <w:sz w:val="20"/>
                <w:szCs w:val="20"/>
              </w:rPr>
              <w:t>The patient must have non</w:t>
            </w:r>
            <w:r w:rsidR="00397B07" w:rsidRPr="007B5DA6">
              <w:rPr>
                <w:rFonts w:ascii="Arial Narrow" w:hAnsi="Arial Narrow" w:cstheme="minorHAnsi"/>
                <w:sz w:val="20"/>
                <w:szCs w:val="20"/>
              </w:rPr>
              <w:noBreakHyphen/>
            </w:r>
            <w:r w:rsidRPr="007B5DA6">
              <w:rPr>
                <w:rFonts w:ascii="Arial Narrow" w:hAnsi="Arial Narrow" w:cstheme="minorHAnsi"/>
                <w:sz w:val="20"/>
                <w:szCs w:val="20"/>
              </w:rPr>
              <w:t>subfoveal</w:t>
            </w:r>
            <w:r w:rsidRPr="007B5DA6">
              <w:rPr>
                <w:rFonts w:ascii="Arial Narrow" w:hAnsi="Arial Narrow"/>
                <w:sz w:val="20"/>
                <w:szCs w:val="20"/>
              </w:rPr>
              <w:t xml:space="preserve"> </w:t>
            </w:r>
            <w:r w:rsidRPr="007B5DA6">
              <w:rPr>
                <w:rFonts w:ascii="Arial Narrow" w:hAnsi="Arial Narrow" w:cstheme="minorHAnsi"/>
                <w:sz w:val="20"/>
                <w:szCs w:val="20"/>
              </w:rPr>
              <w:t xml:space="preserve">geographic atrophy (GA) lesion(s), distanced from the centre point of the fovea by at least 1 </w:t>
            </w:r>
            <w:r w:rsidR="009369C1" w:rsidRPr="007B5DA6">
              <w:rPr>
                <w:rFonts w:ascii="Arial Narrow" w:hAnsi="Arial Narrow" w:cstheme="minorHAnsi"/>
                <w:sz w:val="20"/>
                <w:szCs w:val="20"/>
              </w:rPr>
              <w:t xml:space="preserve">micrometre </w:t>
            </w:r>
            <w:r w:rsidRPr="007B5DA6">
              <w:rPr>
                <w:rFonts w:ascii="Arial Narrow" w:hAnsi="Arial Narrow" w:cstheme="minorHAnsi"/>
                <w:sz w:val="20"/>
                <w:szCs w:val="20"/>
              </w:rPr>
              <w:t xml:space="preserve">in the treated eye </w:t>
            </w:r>
          </w:p>
        </w:tc>
      </w:tr>
      <w:tr w:rsidR="004007CC" w:rsidRPr="007B5DA6" w14:paraId="1C8728D0"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91B8A17" w14:textId="77777777" w:rsidR="004007CC" w:rsidRPr="007B5DA6" w:rsidRDefault="004007CC">
            <w:pPr>
              <w:jc w:val="center"/>
              <w:rPr>
                <w:rFonts w:ascii="Arial Narrow" w:hAnsi="Arial Narrow"/>
                <w:color w:val="333333"/>
                <w:sz w:val="20"/>
                <w:szCs w:val="20"/>
              </w:rPr>
            </w:pPr>
          </w:p>
        </w:tc>
        <w:tc>
          <w:tcPr>
            <w:tcW w:w="8362" w:type="dxa"/>
            <w:gridSpan w:val="6"/>
            <w:vAlign w:val="center"/>
          </w:tcPr>
          <w:p w14:paraId="108D6C79" w14:textId="77777777" w:rsidR="004007CC" w:rsidRPr="007B5DA6" w:rsidRDefault="004007CC" w:rsidP="00B5542E">
            <w:pPr>
              <w:jc w:val="left"/>
              <w:rPr>
                <w:rFonts w:ascii="Arial Narrow" w:hAnsi="Arial Narrow"/>
                <w:color w:val="333333"/>
                <w:sz w:val="20"/>
                <w:szCs w:val="20"/>
              </w:rPr>
            </w:pPr>
            <w:r w:rsidRPr="007B5DA6">
              <w:rPr>
                <w:rFonts w:ascii="Arial Narrow" w:hAnsi="Arial Narrow"/>
                <w:b/>
                <w:bCs/>
                <w:color w:val="333333"/>
                <w:sz w:val="20"/>
                <w:szCs w:val="20"/>
              </w:rPr>
              <w:t>AND</w:t>
            </w:r>
          </w:p>
        </w:tc>
      </w:tr>
      <w:tr w:rsidR="004007CC" w:rsidRPr="007B5DA6" w14:paraId="01EE0A09"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83578A6" w14:textId="77777777" w:rsidR="004007CC" w:rsidRPr="007B5DA6" w:rsidRDefault="004007CC">
            <w:pPr>
              <w:jc w:val="center"/>
              <w:rPr>
                <w:rFonts w:ascii="Arial Narrow" w:hAnsi="Arial Narrow"/>
                <w:color w:val="333333"/>
                <w:sz w:val="20"/>
                <w:szCs w:val="20"/>
              </w:rPr>
            </w:pPr>
          </w:p>
        </w:tc>
        <w:tc>
          <w:tcPr>
            <w:tcW w:w="8362" w:type="dxa"/>
            <w:gridSpan w:val="6"/>
            <w:vAlign w:val="center"/>
          </w:tcPr>
          <w:p w14:paraId="06623DEB" w14:textId="77777777" w:rsidR="004007CC" w:rsidRPr="007B5DA6" w:rsidRDefault="004007CC" w:rsidP="00B5542E">
            <w:pPr>
              <w:jc w:val="left"/>
              <w:rPr>
                <w:rFonts w:ascii="Arial Narrow" w:hAnsi="Arial Narrow"/>
                <w:b/>
                <w:bCs/>
                <w:sz w:val="20"/>
                <w:szCs w:val="20"/>
              </w:rPr>
            </w:pPr>
            <w:r w:rsidRPr="007B5DA6">
              <w:rPr>
                <w:rFonts w:ascii="Arial Narrow" w:hAnsi="Arial Narrow"/>
                <w:b/>
                <w:bCs/>
                <w:sz w:val="20"/>
                <w:szCs w:val="20"/>
              </w:rPr>
              <w:t>Clinical criteria:</w:t>
            </w:r>
          </w:p>
        </w:tc>
      </w:tr>
      <w:tr w:rsidR="004007CC" w:rsidRPr="007B5DA6" w14:paraId="37233348"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403AE73" w14:textId="77777777" w:rsidR="004007CC" w:rsidRPr="007B5DA6" w:rsidRDefault="004007CC">
            <w:pPr>
              <w:jc w:val="center"/>
              <w:rPr>
                <w:rFonts w:ascii="Arial Narrow" w:hAnsi="Arial Narrow"/>
                <w:color w:val="333333"/>
                <w:sz w:val="20"/>
                <w:szCs w:val="20"/>
              </w:rPr>
            </w:pPr>
          </w:p>
        </w:tc>
        <w:tc>
          <w:tcPr>
            <w:tcW w:w="8362" w:type="dxa"/>
            <w:gridSpan w:val="6"/>
            <w:vAlign w:val="center"/>
          </w:tcPr>
          <w:p w14:paraId="3C482794" w14:textId="2B38E0D2" w:rsidR="004007CC" w:rsidRPr="007B5DA6" w:rsidRDefault="004007CC" w:rsidP="00B5542E">
            <w:pPr>
              <w:jc w:val="left"/>
              <w:rPr>
                <w:rFonts w:ascii="Arial Narrow" w:hAnsi="Arial Narrow"/>
                <w:sz w:val="20"/>
                <w:szCs w:val="20"/>
              </w:rPr>
            </w:pPr>
            <w:r w:rsidRPr="007B5DA6">
              <w:rPr>
                <w:rFonts w:ascii="Arial Narrow" w:hAnsi="Arial Narrow"/>
                <w:sz w:val="20"/>
                <w:szCs w:val="20"/>
              </w:rPr>
              <w:t>Patient must have subfoveal GA lesion(s) involving the foveal centre point in the non</w:t>
            </w:r>
            <w:r w:rsidR="00397B07" w:rsidRPr="007B5DA6">
              <w:rPr>
                <w:rFonts w:ascii="Arial Narrow" w:hAnsi="Arial Narrow"/>
                <w:sz w:val="20"/>
                <w:szCs w:val="20"/>
              </w:rPr>
              <w:noBreakHyphen/>
            </w:r>
            <w:r w:rsidRPr="007B5DA6">
              <w:rPr>
                <w:rFonts w:ascii="Arial Narrow" w:hAnsi="Arial Narrow"/>
                <w:sz w:val="20"/>
                <w:szCs w:val="20"/>
              </w:rPr>
              <w:t xml:space="preserve">treated eye </w:t>
            </w:r>
            <w:r w:rsidR="00963752" w:rsidRPr="007B5DA6">
              <w:rPr>
                <w:rFonts w:ascii="Arial Narrow" w:hAnsi="Arial Narrow"/>
                <w:sz w:val="20"/>
                <w:szCs w:val="20"/>
              </w:rPr>
              <w:t xml:space="preserve">causing vision impairment </w:t>
            </w:r>
            <w:r w:rsidR="002332F4" w:rsidRPr="007B5DA6">
              <w:rPr>
                <w:rFonts w:ascii="Arial Narrow" w:hAnsi="Arial Narrow"/>
                <w:sz w:val="20"/>
                <w:szCs w:val="20"/>
              </w:rPr>
              <w:t>(i.e. the fovea is no longer intact)</w:t>
            </w:r>
          </w:p>
        </w:tc>
      </w:tr>
      <w:tr w:rsidR="004007CC" w:rsidRPr="007B5DA6" w14:paraId="00D62275"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5C7314D1" w14:textId="77777777" w:rsidR="004007CC" w:rsidRPr="007B5DA6" w:rsidRDefault="004007CC">
            <w:pPr>
              <w:jc w:val="center"/>
              <w:rPr>
                <w:rFonts w:ascii="Arial Narrow" w:hAnsi="Arial Narrow"/>
                <w:color w:val="333333"/>
                <w:sz w:val="20"/>
                <w:szCs w:val="20"/>
              </w:rPr>
            </w:pPr>
          </w:p>
        </w:tc>
        <w:tc>
          <w:tcPr>
            <w:tcW w:w="8362" w:type="dxa"/>
            <w:gridSpan w:val="6"/>
            <w:vAlign w:val="center"/>
          </w:tcPr>
          <w:p w14:paraId="45F27097" w14:textId="77777777" w:rsidR="004007CC" w:rsidRPr="007B5DA6" w:rsidRDefault="004007CC" w:rsidP="00B5542E">
            <w:pPr>
              <w:jc w:val="left"/>
              <w:rPr>
                <w:rFonts w:ascii="Arial Narrow" w:hAnsi="Arial Narrow"/>
                <w:b/>
                <w:bCs/>
                <w:color w:val="000000" w:themeColor="text1"/>
                <w:sz w:val="20"/>
                <w:szCs w:val="20"/>
              </w:rPr>
            </w:pPr>
            <w:r w:rsidRPr="007B5DA6">
              <w:rPr>
                <w:rFonts w:ascii="Arial Narrow" w:hAnsi="Arial Narrow"/>
                <w:b/>
                <w:bCs/>
                <w:color w:val="000000" w:themeColor="text1"/>
                <w:sz w:val="20"/>
                <w:szCs w:val="20"/>
              </w:rPr>
              <w:t>AND</w:t>
            </w:r>
          </w:p>
        </w:tc>
      </w:tr>
      <w:tr w:rsidR="004007CC" w:rsidRPr="007B5DA6" w14:paraId="49A2B646"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1F48E90" w14:textId="7A20A9A0" w:rsidR="004007CC" w:rsidRPr="007B5DA6" w:rsidRDefault="004007CC">
            <w:pPr>
              <w:jc w:val="center"/>
              <w:rPr>
                <w:rFonts w:ascii="Arial Narrow" w:hAnsi="Arial Narrow"/>
                <w:color w:val="333333"/>
                <w:sz w:val="20"/>
                <w:szCs w:val="20"/>
              </w:rPr>
            </w:pPr>
          </w:p>
        </w:tc>
        <w:tc>
          <w:tcPr>
            <w:tcW w:w="8362" w:type="dxa"/>
            <w:gridSpan w:val="6"/>
            <w:vAlign w:val="center"/>
          </w:tcPr>
          <w:p w14:paraId="0E0DFCAA" w14:textId="77777777" w:rsidR="004007CC" w:rsidRPr="007B5DA6" w:rsidRDefault="004007CC" w:rsidP="00B5542E">
            <w:pPr>
              <w:jc w:val="left"/>
              <w:rPr>
                <w:rFonts w:ascii="Arial Narrow" w:hAnsi="Arial Narrow"/>
                <w:color w:val="333333"/>
                <w:sz w:val="20"/>
                <w:szCs w:val="20"/>
              </w:rPr>
            </w:pPr>
            <w:r w:rsidRPr="007B5DA6">
              <w:rPr>
                <w:rFonts w:ascii="Arial Narrow" w:hAnsi="Arial Narrow"/>
                <w:b/>
                <w:bCs/>
                <w:color w:val="333333"/>
                <w:sz w:val="20"/>
                <w:szCs w:val="20"/>
              </w:rPr>
              <w:t>Clinical criteria:</w:t>
            </w:r>
          </w:p>
        </w:tc>
      </w:tr>
      <w:tr w:rsidR="004007CC" w:rsidRPr="007B5DA6" w14:paraId="2140C9B4"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2377995" w14:textId="52185536" w:rsidR="004007CC" w:rsidRPr="007B5DA6" w:rsidRDefault="004007CC">
            <w:pPr>
              <w:jc w:val="center"/>
              <w:rPr>
                <w:rFonts w:ascii="Arial Narrow" w:hAnsi="Arial Narrow"/>
                <w:color w:val="333333"/>
                <w:sz w:val="20"/>
                <w:szCs w:val="20"/>
              </w:rPr>
            </w:pPr>
          </w:p>
        </w:tc>
        <w:tc>
          <w:tcPr>
            <w:tcW w:w="8362" w:type="dxa"/>
            <w:gridSpan w:val="6"/>
            <w:vAlign w:val="center"/>
          </w:tcPr>
          <w:p w14:paraId="253FF257" w14:textId="4A0C9CF8" w:rsidR="004007CC" w:rsidRPr="007B5DA6" w:rsidRDefault="004007CC" w:rsidP="00B5542E">
            <w:pPr>
              <w:jc w:val="left"/>
              <w:rPr>
                <w:rFonts w:ascii="Arial Narrow" w:hAnsi="Arial Narrow"/>
                <w:sz w:val="20"/>
                <w:szCs w:val="20"/>
              </w:rPr>
            </w:pPr>
            <w:r w:rsidRPr="007B5DA6">
              <w:rPr>
                <w:rFonts w:ascii="Arial Narrow" w:hAnsi="Arial Narrow"/>
                <w:sz w:val="20"/>
                <w:szCs w:val="20"/>
              </w:rPr>
              <w:t xml:space="preserve">Patient must have central vision in the treated eye threatened by growth of GA lesion(s), defined as either: (i) located within </w:t>
            </w:r>
            <w:r w:rsidR="00861FA4" w:rsidRPr="007B5DA6">
              <w:rPr>
                <w:rFonts w:ascii="Arial Narrow" w:hAnsi="Arial Narrow"/>
                <w:sz w:val="20"/>
                <w:szCs w:val="20"/>
              </w:rPr>
              <w:t>the</w:t>
            </w:r>
            <w:r w:rsidR="00004518" w:rsidRPr="007B5DA6">
              <w:rPr>
                <w:rFonts w:ascii="Arial Narrow" w:hAnsi="Arial Narrow"/>
                <w:sz w:val="20"/>
                <w:szCs w:val="20"/>
              </w:rPr>
              <w:t xml:space="preserve"> </w:t>
            </w:r>
            <w:r w:rsidRPr="007B5DA6">
              <w:rPr>
                <w:rFonts w:ascii="Arial Narrow" w:hAnsi="Arial Narrow"/>
                <w:sz w:val="20"/>
                <w:szCs w:val="20"/>
              </w:rPr>
              <w:t xml:space="preserve">750 </w:t>
            </w:r>
            <w:r w:rsidR="009369C1" w:rsidRPr="007B5DA6">
              <w:rPr>
                <w:rFonts w:ascii="Arial Narrow" w:hAnsi="Arial Narrow"/>
                <w:sz w:val="20"/>
                <w:szCs w:val="20"/>
              </w:rPr>
              <w:t xml:space="preserve">micrometre </w:t>
            </w:r>
            <w:r w:rsidRPr="007B5DA6">
              <w:rPr>
                <w:rFonts w:ascii="Arial Narrow" w:hAnsi="Arial Narrow"/>
                <w:sz w:val="20"/>
                <w:szCs w:val="20"/>
              </w:rPr>
              <w:t xml:space="preserve">radius of the foveal centre, or (ii) located beyond 750 </w:t>
            </w:r>
            <w:r w:rsidR="009369C1" w:rsidRPr="007B5DA6">
              <w:rPr>
                <w:rFonts w:ascii="Arial Narrow" w:hAnsi="Arial Narrow"/>
                <w:sz w:val="20"/>
                <w:szCs w:val="20"/>
              </w:rPr>
              <w:t xml:space="preserve">micrometres </w:t>
            </w:r>
            <w:r w:rsidRPr="007B5DA6">
              <w:rPr>
                <w:rFonts w:ascii="Arial Narrow" w:hAnsi="Arial Narrow"/>
                <w:sz w:val="20"/>
                <w:szCs w:val="20"/>
              </w:rPr>
              <w:t>from the foveal centre, where historical imaging shows lesion progression toward the foveal centre, and is located within the macula (defined as the 5.5</w:t>
            </w:r>
            <w:r w:rsidR="009369C1" w:rsidRPr="007B5DA6">
              <w:rPr>
                <w:rFonts w:ascii="Arial Narrow" w:hAnsi="Arial Narrow"/>
                <w:sz w:val="20"/>
                <w:szCs w:val="20"/>
              </w:rPr>
              <w:t xml:space="preserve"> millimetre</w:t>
            </w:r>
            <w:r w:rsidRPr="007B5DA6">
              <w:rPr>
                <w:rFonts w:ascii="Arial Narrow" w:hAnsi="Arial Narrow"/>
                <w:sz w:val="20"/>
                <w:szCs w:val="20"/>
              </w:rPr>
              <w:t xml:space="preserve"> diameter area).</w:t>
            </w:r>
          </w:p>
        </w:tc>
      </w:tr>
      <w:tr w:rsidR="004007CC" w:rsidRPr="007B5DA6" w14:paraId="0B0DA3B8"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43C2E200" w14:textId="77777777" w:rsidR="004007CC" w:rsidRPr="007B5DA6" w:rsidRDefault="004007CC">
            <w:pPr>
              <w:jc w:val="center"/>
              <w:rPr>
                <w:rFonts w:ascii="Arial Narrow" w:hAnsi="Arial Narrow"/>
                <w:color w:val="333333"/>
                <w:sz w:val="20"/>
                <w:szCs w:val="20"/>
              </w:rPr>
            </w:pPr>
          </w:p>
        </w:tc>
        <w:tc>
          <w:tcPr>
            <w:tcW w:w="8362" w:type="dxa"/>
            <w:gridSpan w:val="6"/>
            <w:vAlign w:val="center"/>
          </w:tcPr>
          <w:p w14:paraId="2664FB69" w14:textId="77777777" w:rsidR="004007CC" w:rsidRPr="007B5DA6" w:rsidRDefault="004007CC" w:rsidP="00B5542E">
            <w:pPr>
              <w:jc w:val="left"/>
              <w:rPr>
                <w:rFonts w:ascii="Arial Narrow" w:hAnsi="Arial Narrow"/>
                <w:color w:val="333333"/>
                <w:sz w:val="20"/>
                <w:szCs w:val="20"/>
              </w:rPr>
            </w:pPr>
            <w:r w:rsidRPr="007B5DA6">
              <w:rPr>
                <w:rFonts w:ascii="Arial Narrow" w:hAnsi="Arial Narrow"/>
                <w:b/>
                <w:bCs/>
                <w:color w:val="333333"/>
                <w:sz w:val="20"/>
                <w:szCs w:val="20"/>
              </w:rPr>
              <w:t>AND</w:t>
            </w:r>
          </w:p>
        </w:tc>
      </w:tr>
      <w:tr w:rsidR="004007CC" w:rsidRPr="007B5DA6" w14:paraId="42AFDA7E"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54E82A4" w14:textId="0A89DCA6" w:rsidR="004007CC" w:rsidRPr="007B5DA6" w:rsidRDefault="004007CC">
            <w:pPr>
              <w:jc w:val="center"/>
              <w:rPr>
                <w:rFonts w:ascii="Arial Narrow" w:hAnsi="Arial Narrow"/>
                <w:color w:val="333333"/>
                <w:sz w:val="20"/>
                <w:szCs w:val="20"/>
              </w:rPr>
            </w:pPr>
          </w:p>
        </w:tc>
        <w:tc>
          <w:tcPr>
            <w:tcW w:w="8362" w:type="dxa"/>
            <w:gridSpan w:val="6"/>
            <w:vAlign w:val="center"/>
          </w:tcPr>
          <w:p w14:paraId="4FF69B47" w14:textId="77777777" w:rsidR="004007CC" w:rsidRPr="007B5DA6" w:rsidRDefault="004007CC" w:rsidP="00B5542E">
            <w:pPr>
              <w:jc w:val="left"/>
              <w:rPr>
                <w:rFonts w:ascii="Arial Narrow" w:hAnsi="Arial Narrow"/>
                <w:color w:val="333333"/>
                <w:sz w:val="20"/>
                <w:szCs w:val="20"/>
              </w:rPr>
            </w:pPr>
            <w:r w:rsidRPr="007B5DA6">
              <w:rPr>
                <w:rFonts w:ascii="Arial Narrow" w:hAnsi="Arial Narrow"/>
                <w:b/>
                <w:bCs/>
                <w:color w:val="333333"/>
                <w:sz w:val="20"/>
                <w:szCs w:val="20"/>
              </w:rPr>
              <w:t>Clinical criteria:</w:t>
            </w:r>
          </w:p>
        </w:tc>
      </w:tr>
      <w:tr w:rsidR="004007CC" w:rsidRPr="007B5DA6" w14:paraId="1F26C06E"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F5DFC98" w14:textId="65E29296" w:rsidR="004007CC" w:rsidRPr="007B5DA6" w:rsidRDefault="004007CC">
            <w:pPr>
              <w:jc w:val="center"/>
              <w:rPr>
                <w:rFonts w:ascii="Arial Narrow" w:hAnsi="Arial Narrow"/>
                <w:color w:val="333333"/>
                <w:sz w:val="20"/>
                <w:szCs w:val="20"/>
              </w:rPr>
            </w:pPr>
          </w:p>
        </w:tc>
        <w:tc>
          <w:tcPr>
            <w:tcW w:w="8362" w:type="dxa"/>
            <w:gridSpan w:val="6"/>
            <w:vAlign w:val="center"/>
          </w:tcPr>
          <w:p w14:paraId="03B057D9" w14:textId="1B14B106" w:rsidR="004007CC" w:rsidRPr="007B5DA6" w:rsidRDefault="004007CC" w:rsidP="00B5542E">
            <w:pPr>
              <w:jc w:val="left"/>
              <w:rPr>
                <w:rFonts w:ascii="Arial Narrow" w:hAnsi="Arial Narrow"/>
                <w:color w:val="333333"/>
                <w:sz w:val="20"/>
                <w:szCs w:val="20"/>
              </w:rPr>
            </w:pPr>
            <w:r w:rsidRPr="007B5DA6">
              <w:rPr>
                <w:rFonts w:ascii="Arial Narrow" w:hAnsi="Arial Narrow"/>
                <w:color w:val="333333"/>
                <w:sz w:val="20"/>
                <w:szCs w:val="20"/>
              </w:rPr>
              <w:t>The treatment must be the sole PBS</w:t>
            </w:r>
            <w:r w:rsidR="00397B07" w:rsidRPr="007B5DA6">
              <w:rPr>
                <w:rFonts w:ascii="Arial Narrow" w:hAnsi="Arial Narrow"/>
                <w:color w:val="333333"/>
                <w:sz w:val="20"/>
                <w:szCs w:val="20"/>
              </w:rPr>
              <w:noBreakHyphen/>
            </w:r>
            <w:r w:rsidRPr="007B5DA6">
              <w:rPr>
                <w:rFonts w:ascii="Arial Narrow" w:hAnsi="Arial Narrow"/>
                <w:color w:val="333333"/>
                <w:sz w:val="20"/>
                <w:szCs w:val="20"/>
              </w:rPr>
              <w:t>subsidised therapy for this condition.</w:t>
            </w:r>
          </w:p>
        </w:tc>
      </w:tr>
      <w:tr w:rsidR="004007CC" w:rsidRPr="007B5DA6" w14:paraId="6603210B"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CB0EFF6" w14:textId="401E6CDE" w:rsidR="004007CC" w:rsidRPr="007B5DA6" w:rsidRDefault="004007CC">
            <w:pPr>
              <w:keepNext/>
              <w:jc w:val="center"/>
              <w:rPr>
                <w:rFonts w:ascii="Arial Narrow" w:hAnsi="Arial Narrow"/>
                <w:color w:val="333333"/>
                <w:sz w:val="20"/>
                <w:szCs w:val="20"/>
              </w:rPr>
            </w:pPr>
          </w:p>
        </w:tc>
        <w:tc>
          <w:tcPr>
            <w:tcW w:w="8362" w:type="dxa"/>
            <w:gridSpan w:val="6"/>
            <w:vAlign w:val="center"/>
            <w:hideMark/>
          </w:tcPr>
          <w:p w14:paraId="1AF28C75" w14:textId="77777777" w:rsidR="004007CC" w:rsidRPr="007B5DA6" w:rsidRDefault="004007CC" w:rsidP="00B5542E">
            <w:pPr>
              <w:keepNext/>
              <w:jc w:val="left"/>
              <w:rPr>
                <w:rFonts w:ascii="Arial Narrow" w:hAnsi="Arial Narrow"/>
                <w:color w:val="333333"/>
                <w:sz w:val="20"/>
                <w:szCs w:val="20"/>
              </w:rPr>
            </w:pPr>
            <w:r w:rsidRPr="007B5DA6">
              <w:rPr>
                <w:rFonts w:ascii="Arial Narrow" w:hAnsi="Arial Narrow"/>
                <w:b/>
                <w:bCs/>
                <w:color w:val="333333"/>
                <w:sz w:val="20"/>
                <w:szCs w:val="20"/>
              </w:rPr>
              <w:t>Treatment criteria:</w:t>
            </w:r>
          </w:p>
        </w:tc>
      </w:tr>
      <w:tr w:rsidR="004007CC" w:rsidRPr="007B5DA6" w14:paraId="55EBB409"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1179A36" w14:textId="6A435B76" w:rsidR="004007CC" w:rsidRPr="007B5DA6" w:rsidRDefault="004007CC">
            <w:pPr>
              <w:jc w:val="center"/>
              <w:rPr>
                <w:rFonts w:ascii="Arial Narrow" w:hAnsi="Arial Narrow"/>
                <w:color w:val="333333"/>
                <w:sz w:val="20"/>
                <w:szCs w:val="20"/>
              </w:rPr>
            </w:pPr>
          </w:p>
        </w:tc>
        <w:tc>
          <w:tcPr>
            <w:tcW w:w="8362" w:type="dxa"/>
            <w:gridSpan w:val="6"/>
            <w:vAlign w:val="center"/>
            <w:hideMark/>
          </w:tcPr>
          <w:p w14:paraId="2183BCB8" w14:textId="77777777" w:rsidR="004007CC" w:rsidRPr="007B5DA6" w:rsidRDefault="004007CC" w:rsidP="00B5542E">
            <w:pPr>
              <w:autoSpaceDE w:val="0"/>
              <w:autoSpaceDN w:val="0"/>
              <w:adjustRightInd w:val="0"/>
              <w:jc w:val="left"/>
              <w:rPr>
                <w:rFonts w:ascii="Arial Narrow" w:hAnsi="Arial Narrow" w:cs="Arial Narrow"/>
                <w:sz w:val="20"/>
                <w:szCs w:val="20"/>
              </w:rPr>
            </w:pPr>
            <w:r w:rsidRPr="007B5DA6">
              <w:rPr>
                <w:rFonts w:ascii="Arial Narrow" w:hAnsi="Arial Narrow" w:cs="Arial Narrow"/>
                <w:color w:val="000000"/>
                <w:sz w:val="20"/>
                <w:szCs w:val="20"/>
              </w:rPr>
              <w:t>Must be treated by an ophthalmologist or by an accredited ophthalmology registrar in consultation with an ophthalmologist.</w:t>
            </w:r>
          </w:p>
        </w:tc>
      </w:tr>
      <w:tr w:rsidR="004007CC" w:rsidRPr="007B5DA6" w14:paraId="71643ED0"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hideMark/>
          </w:tcPr>
          <w:p w14:paraId="4E66AB44" w14:textId="6BECD068" w:rsidR="004007CC" w:rsidRPr="007B5DA6" w:rsidRDefault="004007CC">
            <w:pPr>
              <w:jc w:val="center"/>
              <w:rPr>
                <w:rFonts w:ascii="Arial Narrow" w:hAnsi="Arial Narrow"/>
                <w:color w:val="333333"/>
                <w:sz w:val="20"/>
                <w:szCs w:val="20"/>
              </w:rPr>
            </w:pPr>
          </w:p>
        </w:tc>
        <w:tc>
          <w:tcPr>
            <w:tcW w:w="8362" w:type="dxa"/>
            <w:gridSpan w:val="6"/>
            <w:vAlign w:val="center"/>
            <w:hideMark/>
          </w:tcPr>
          <w:p w14:paraId="53C51C0E" w14:textId="77777777" w:rsidR="004007CC" w:rsidRPr="007B5DA6" w:rsidRDefault="004007CC" w:rsidP="00B5542E">
            <w:pPr>
              <w:jc w:val="left"/>
              <w:rPr>
                <w:rFonts w:ascii="Arial Narrow" w:hAnsi="Arial Narrow"/>
                <w:bCs/>
                <w:color w:val="FF0000"/>
                <w:sz w:val="20"/>
                <w:szCs w:val="20"/>
              </w:rPr>
            </w:pPr>
            <w:r w:rsidRPr="007B5DA6">
              <w:rPr>
                <w:rFonts w:ascii="Arial Narrow" w:hAnsi="Arial Narrow"/>
                <w:b/>
                <w:bCs/>
                <w:color w:val="333333"/>
                <w:sz w:val="20"/>
                <w:szCs w:val="20"/>
              </w:rPr>
              <w:t xml:space="preserve">Prescribing Instructions: </w:t>
            </w:r>
          </w:p>
          <w:p w14:paraId="4BD22272" w14:textId="77777777" w:rsidR="004007CC" w:rsidRPr="007B5DA6" w:rsidRDefault="004007CC" w:rsidP="00B5542E">
            <w:pPr>
              <w:keepLines/>
              <w:suppressLineNumbers/>
              <w:jc w:val="left"/>
              <w:textboxTightWrap w:val="allLines"/>
              <w:rPr>
                <w:rFonts w:ascii="Arial Narrow" w:hAnsi="Arial Narrow"/>
                <w:strike/>
                <w:sz w:val="20"/>
                <w:szCs w:val="20"/>
                <w:lang w:eastAsia="en-GB"/>
              </w:rPr>
            </w:pPr>
            <w:r w:rsidRPr="007B5DA6">
              <w:rPr>
                <w:rFonts w:ascii="Arial Narrow" w:hAnsi="Arial Narrow"/>
                <w:sz w:val="20"/>
                <w:szCs w:val="20"/>
                <w:lang w:eastAsia="en-GB"/>
              </w:rPr>
              <w:t>The authority application must be made via the Online PBS Authorities System (see www.servicesaustralia.gov.au/hpos) or in writing via HPOS form upload or mail and must include:</w:t>
            </w:r>
          </w:p>
          <w:p w14:paraId="578055B1" w14:textId="77777777" w:rsidR="004007CC" w:rsidRPr="007B5DA6" w:rsidRDefault="004007CC" w:rsidP="00B5542E">
            <w:pPr>
              <w:keepLines/>
              <w:suppressLineNumbers/>
              <w:jc w:val="left"/>
              <w:textboxTightWrap w:val="allLines"/>
              <w:rPr>
                <w:rFonts w:ascii="Arial Narrow" w:hAnsi="Arial Narrow"/>
                <w:sz w:val="20"/>
                <w:szCs w:val="20"/>
                <w:lang w:eastAsia="en-GB"/>
              </w:rPr>
            </w:pPr>
            <w:r w:rsidRPr="007B5DA6">
              <w:rPr>
                <w:rFonts w:ascii="Arial Narrow" w:hAnsi="Arial Narrow"/>
                <w:sz w:val="20"/>
                <w:szCs w:val="20"/>
                <w:lang w:eastAsia="en-GB"/>
              </w:rPr>
              <w:t>(1) Details (date, unique identifying number/code or provider number) of the optical coherence tomography or fundus autofluorescence report.</w:t>
            </w:r>
          </w:p>
        </w:tc>
      </w:tr>
      <w:tr w:rsidR="004007CC" w:rsidRPr="007B5DA6" w14:paraId="5A5C3757"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DCAB7C3" w14:textId="73FB9442" w:rsidR="004007CC" w:rsidRPr="007B5DA6" w:rsidRDefault="004007CC">
            <w:pPr>
              <w:jc w:val="center"/>
              <w:rPr>
                <w:rFonts w:ascii="Arial Narrow" w:hAnsi="Arial Narrow"/>
                <w:color w:val="333333"/>
                <w:sz w:val="20"/>
                <w:szCs w:val="20"/>
              </w:rPr>
            </w:pPr>
          </w:p>
        </w:tc>
        <w:tc>
          <w:tcPr>
            <w:tcW w:w="8362" w:type="dxa"/>
            <w:gridSpan w:val="6"/>
            <w:vAlign w:val="center"/>
          </w:tcPr>
          <w:p w14:paraId="54F8739A" w14:textId="77777777" w:rsidR="004007CC" w:rsidRPr="007B5DA6" w:rsidRDefault="004007CC" w:rsidP="00B5542E">
            <w:pPr>
              <w:keepLines/>
              <w:suppressLineNumbers/>
              <w:jc w:val="left"/>
              <w:textboxTightWrap w:val="allLines"/>
              <w:rPr>
                <w:rFonts w:ascii="Arial Narrow" w:hAnsi="Arial Narrow"/>
                <w:sz w:val="20"/>
                <w:szCs w:val="20"/>
                <w:lang w:eastAsia="en-GB"/>
              </w:rPr>
            </w:pPr>
            <w:r w:rsidRPr="007B5DA6">
              <w:rPr>
                <w:rFonts w:ascii="Arial Narrow" w:hAnsi="Arial Narrow"/>
                <w:sz w:val="20"/>
                <w:szCs w:val="20"/>
                <w:lang w:eastAsia="en-GB"/>
              </w:rPr>
              <w:t>If the application is submitted through HPOS form upload or mail, it must include:</w:t>
            </w:r>
          </w:p>
          <w:p w14:paraId="5A77CAE3" w14:textId="77777777" w:rsidR="004007CC" w:rsidRPr="007B5DA6" w:rsidRDefault="004007CC" w:rsidP="00B5542E">
            <w:pPr>
              <w:keepLines/>
              <w:suppressLineNumbers/>
              <w:jc w:val="left"/>
              <w:textboxTightWrap w:val="allLines"/>
              <w:rPr>
                <w:rFonts w:ascii="Arial Narrow" w:hAnsi="Arial Narrow"/>
                <w:sz w:val="20"/>
                <w:szCs w:val="20"/>
                <w:lang w:eastAsia="en-GB"/>
              </w:rPr>
            </w:pPr>
            <w:r w:rsidRPr="007B5DA6">
              <w:rPr>
                <w:rFonts w:ascii="Arial Narrow" w:hAnsi="Arial Narrow"/>
                <w:sz w:val="20"/>
                <w:szCs w:val="20"/>
                <w:lang w:eastAsia="en-GB"/>
              </w:rPr>
              <w:t>(i) details of the proposed prescription; and</w:t>
            </w:r>
          </w:p>
          <w:p w14:paraId="40AF4E8A" w14:textId="77777777" w:rsidR="004007CC" w:rsidRPr="007B5DA6" w:rsidRDefault="004007CC" w:rsidP="00B5542E">
            <w:pPr>
              <w:keepLines/>
              <w:suppressLineNumbers/>
              <w:jc w:val="left"/>
              <w:textboxTightWrap w:val="allLines"/>
              <w:rPr>
                <w:rFonts w:ascii="Arial Narrow" w:hAnsi="Arial Narrow"/>
                <w:sz w:val="20"/>
                <w:szCs w:val="20"/>
                <w:lang w:eastAsia="en-GB"/>
              </w:rPr>
            </w:pPr>
            <w:r w:rsidRPr="007B5DA6">
              <w:rPr>
                <w:rFonts w:ascii="Arial Narrow" w:hAnsi="Arial Narrow"/>
                <w:sz w:val="20"/>
                <w:szCs w:val="20"/>
                <w:lang w:eastAsia="en-GB"/>
              </w:rPr>
              <w:t>(ii) a completed authority application form relevant to the indication and treatment phase (the latest version is located on the website specified in the Administrative Advice).</w:t>
            </w:r>
          </w:p>
          <w:p w14:paraId="2064E970" w14:textId="77777777" w:rsidR="004007CC" w:rsidRPr="007B5DA6" w:rsidRDefault="004007CC" w:rsidP="00B5542E">
            <w:pPr>
              <w:keepLines/>
              <w:suppressLineNumbers/>
              <w:jc w:val="left"/>
              <w:textboxTightWrap w:val="allLines"/>
              <w:rPr>
                <w:rFonts w:ascii="Arial Narrow" w:hAnsi="Arial Narrow"/>
                <w:b/>
                <w:strike/>
                <w:sz w:val="20"/>
                <w:szCs w:val="20"/>
                <w:lang w:eastAsia="en-GB"/>
              </w:rPr>
            </w:pPr>
            <w:r w:rsidRPr="007B5DA6">
              <w:rPr>
                <w:rFonts w:ascii="Arial Narrow" w:hAnsi="Arial Narrow"/>
                <w:sz w:val="20"/>
                <w:szCs w:val="20"/>
                <w:lang w:eastAsia="en-GB"/>
              </w:rPr>
              <w:t>All reports must be documented in the patient's medical records.</w:t>
            </w:r>
          </w:p>
        </w:tc>
      </w:tr>
      <w:tr w:rsidR="004007CC" w:rsidRPr="007B5DA6" w14:paraId="6FED0DCA" w14:textId="77777777" w:rsidTr="14B6D7A4">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EC3F3A7" w14:textId="15739F7D" w:rsidR="004007CC" w:rsidRPr="007B5DA6" w:rsidRDefault="004007CC">
            <w:pPr>
              <w:jc w:val="center"/>
              <w:rPr>
                <w:rFonts w:ascii="Arial Narrow" w:hAnsi="Arial Narrow"/>
                <w:color w:val="333333"/>
                <w:sz w:val="20"/>
                <w:szCs w:val="20"/>
              </w:rPr>
            </w:pPr>
          </w:p>
          <w:p w14:paraId="5E67087C" w14:textId="3D99E075" w:rsidR="004007CC" w:rsidRPr="007B5DA6" w:rsidRDefault="004007CC">
            <w:pPr>
              <w:jc w:val="center"/>
              <w:rPr>
                <w:rFonts w:ascii="Arial Narrow" w:hAnsi="Arial Narrow"/>
                <w:color w:val="333333"/>
                <w:sz w:val="20"/>
                <w:szCs w:val="20"/>
              </w:rPr>
            </w:pPr>
          </w:p>
        </w:tc>
        <w:tc>
          <w:tcPr>
            <w:tcW w:w="8362" w:type="dxa"/>
            <w:gridSpan w:val="6"/>
            <w:vAlign w:val="center"/>
          </w:tcPr>
          <w:p w14:paraId="31BD6D71" w14:textId="77777777" w:rsidR="004007CC" w:rsidRPr="007B5DA6" w:rsidRDefault="004007CC" w:rsidP="00B5542E">
            <w:pPr>
              <w:keepLines/>
              <w:suppressLineNumbers/>
              <w:jc w:val="left"/>
              <w:textboxTightWrap w:val="allLines"/>
              <w:rPr>
                <w:rFonts w:ascii="Arial Narrow" w:hAnsi="Arial Narrow"/>
                <w:b/>
                <w:sz w:val="20"/>
                <w:szCs w:val="20"/>
                <w:lang w:eastAsia="en-GB"/>
              </w:rPr>
            </w:pPr>
            <w:r w:rsidRPr="007B5DA6">
              <w:rPr>
                <w:rFonts w:ascii="Arial Narrow" w:hAnsi="Arial Narrow"/>
                <w:b/>
                <w:sz w:val="20"/>
                <w:szCs w:val="20"/>
                <w:lang w:eastAsia="en-GB"/>
              </w:rPr>
              <w:t>Administrative Advice:</w:t>
            </w:r>
          </w:p>
          <w:p w14:paraId="4B1C4D36" w14:textId="77777777" w:rsidR="004007CC" w:rsidRPr="007B5DA6" w:rsidRDefault="004007CC" w:rsidP="00B5542E">
            <w:pPr>
              <w:keepLines/>
              <w:suppressLineNumbers/>
              <w:jc w:val="left"/>
              <w:textboxTightWrap w:val="allLines"/>
              <w:rPr>
                <w:rFonts w:ascii="Arial Narrow" w:hAnsi="Arial Narrow"/>
                <w:bCs/>
                <w:sz w:val="20"/>
                <w:szCs w:val="20"/>
                <w:lang w:eastAsia="en-GB"/>
              </w:rPr>
            </w:pPr>
            <w:r w:rsidRPr="007B5DA6">
              <w:rPr>
                <w:rFonts w:ascii="Arial Narrow" w:hAnsi="Arial Narrow"/>
                <w:bCs/>
                <w:sz w:val="20"/>
                <w:szCs w:val="20"/>
                <w:lang w:eastAsia="en-GB"/>
              </w:rPr>
              <w:t>Any queries concerning the arrangements to prescribe may be directed to Services Australia on 1800 700 270 (hours of operation 8 a.m. to 5 p.m. Monday to Friday).</w:t>
            </w:r>
          </w:p>
          <w:p w14:paraId="17CADD32" w14:textId="77777777" w:rsidR="004007CC" w:rsidRPr="007B5DA6" w:rsidRDefault="004007CC" w:rsidP="00B5542E">
            <w:pPr>
              <w:keepLines/>
              <w:suppressLineNumbers/>
              <w:jc w:val="left"/>
              <w:textboxTightWrap w:val="allLines"/>
              <w:rPr>
                <w:rFonts w:ascii="Arial Narrow" w:hAnsi="Arial Narrow"/>
                <w:bCs/>
                <w:sz w:val="20"/>
                <w:szCs w:val="20"/>
                <w:lang w:eastAsia="en-GB"/>
              </w:rPr>
            </w:pPr>
            <w:r w:rsidRPr="007B5DA6">
              <w:rPr>
                <w:rFonts w:ascii="Arial Narrow" w:hAnsi="Arial Narrow"/>
                <w:bCs/>
                <w:sz w:val="20"/>
                <w:szCs w:val="20"/>
                <w:lang w:eastAsia="en-GB"/>
              </w:rPr>
              <w:t>Prescribing information (including Authority Application forms and other relevant documentation as applicable) is available on the Services Australia website at www.servicesaustralia.gov.au</w:t>
            </w:r>
          </w:p>
          <w:p w14:paraId="5C949311" w14:textId="77777777" w:rsidR="004007CC" w:rsidRPr="007B5DA6" w:rsidRDefault="004007CC" w:rsidP="00B5542E">
            <w:pPr>
              <w:keepLines/>
              <w:suppressLineNumbers/>
              <w:jc w:val="left"/>
              <w:textboxTightWrap w:val="allLines"/>
              <w:rPr>
                <w:rFonts w:ascii="Arial Narrow" w:hAnsi="Arial Narrow"/>
                <w:bCs/>
                <w:sz w:val="20"/>
                <w:szCs w:val="20"/>
                <w:lang w:eastAsia="en-GB"/>
              </w:rPr>
            </w:pPr>
            <w:r w:rsidRPr="007B5DA6">
              <w:rPr>
                <w:rFonts w:ascii="Arial Narrow" w:hAnsi="Arial Narrow"/>
                <w:bCs/>
                <w:sz w:val="20"/>
                <w:szCs w:val="20"/>
                <w:lang w:eastAsia="en-GB"/>
              </w:rPr>
              <w:t>Applications for authorisation under this restriction should be made in real time using the Online PBS Authorities system (see www.servicesaustralia.gov.au/hpos)</w:t>
            </w:r>
          </w:p>
          <w:p w14:paraId="4ADACD17" w14:textId="77777777" w:rsidR="004007CC" w:rsidRPr="007B5DA6" w:rsidRDefault="004007CC" w:rsidP="00B5542E">
            <w:pPr>
              <w:keepLines/>
              <w:suppressLineNumbers/>
              <w:jc w:val="left"/>
              <w:textboxTightWrap w:val="allLines"/>
              <w:rPr>
                <w:rFonts w:ascii="Arial Narrow" w:hAnsi="Arial Narrow"/>
                <w:bCs/>
                <w:sz w:val="20"/>
                <w:szCs w:val="20"/>
                <w:lang w:eastAsia="en-GB"/>
              </w:rPr>
            </w:pPr>
            <w:r w:rsidRPr="007B5DA6">
              <w:rPr>
                <w:rFonts w:ascii="Arial Narrow" w:hAnsi="Arial Narrow"/>
                <w:bCs/>
                <w:sz w:val="20"/>
                <w:szCs w:val="20"/>
                <w:lang w:eastAsia="en-GB"/>
              </w:rPr>
              <w:t>Alternatively, applications for authority to prescribe can be submitted online using the form upload facility in Health Professional Online Services (HPOS) at www.servicesaustralia.gov.au/hpos</w:t>
            </w:r>
          </w:p>
          <w:p w14:paraId="46FAC3FF" w14:textId="77777777" w:rsidR="004007CC" w:rsidRPr="007B5DA6" w:rsidRDefault="004007CC" w:rsidP="00B5542E">
            <w:pPr>
              <w:keepLines/>
              <w:suppressLineNumbers/>
              <w:jc w:val="left"/>
              <w:textboxTightWrap w:val="allLines"/>
              <w:rPr>
                <w:rFonts w:ascii="Arial Narrow" w:hAnsi="Arial Narrow"/>
                <w:bCs/>
                <w:sz w:val="20"/>
                <w:szCs w:val="20"/>
                <w:lang w:eastAsia="en-GB"/>
              </w:rPr>
            </w:pPr>
            <w:r w:rsidRPr="007B5DA6">
              <w:rPr>
                <w:rFonts w:ascii="Arial Narrow" w:hAnsi="Arial Narrow"/>
                <w:bCs/>
                <w:sz w:val="20"/>
                <w:szCs w:val="20"/>
                <w:lang w:eastAsia="en-GB"/>
              </w:rPr>
              <w:t>Or mailed to:</w:t>
            </w:r>
          </w:p>
          <w:p w14:paraId="1D3DE2E8" w14:textId="77777777" w:rsidR="004007CC" w:rsidRPr="007B5DA6" w:rsidRDefault="004007CC" w:rsidP="00B5542E">
            <w:pPr>
              <w:keepLines/>
              <w:suppressLineNumbers/>
              <w:jc w:val="left"/>
              <w:textboxTightWrap w:val="allLines"/>
              <w:rPr>
                <w:rFonts w:ascii="Arial Narrow" w:hAnsi="Arial Narrow"/>
                <w:bCs/>
                <w:sz w:val="20"/>
                <w:szCs w:val="20"/>
                <w:lang w:eastAsia="en-GB"/>
              </w:rPr>
            </w:pPr>
            <w:r w:rsidRPr="007B5DA6">
              <w:rPr>
                <w:rFonts w:ascii="Arial Narrow" w:hAnsi="Arial Narrow"/>
                <w:bCs/>
                <w:sz w:val="20"/>
                <w:szCs w:val="20"/>
                <w:lang w:eastAsia="en-GB"/>
              </w:rPr>
              <w:t>Services Australia</w:t>
            </w:r>
          </w:p>
          <w:p w14:paraId="6A36ACE1" w14:textId="77777777" w:rsidR="004007CC" w:rsidRPr="007B5DA6" w:rsidRDefault="004007CC" w:rsidP="00B5542E">
            <w:pPr>
              <w:keepLines/>
              <w:suppressLineNumbers/>
              <w:jc w:val="left"/>
              <w:textboxTightWrap w:val="allLines"/>
              <w:rPr>
                <w:rFonts w:ascii="Arial Narrow" w:hAnsi="Arial Narrow"/>
                <w:bCs/>
                <w:sz w:val="20"/>
                <w:szCs w:val="20"/>
                <w:lang w:eastAsia="en-GB"/>
              </w:rPr>
            </w:pPr>
            <w:r w:rsidRPr="007B5DA6">
              <w:rPr>
                <w:rFonts w:ascii="Arial Narrow" w:hAnsi="Arial Narrow"/>
                <w:bCs/>
                <w:sz w:val="20"/>
                <w:szCs w:val="20"/>
                <w:lang w:eastAsia="en-GB"/>
              </w:rPr>
              <w:t>Complex Drugs</w:t>
            </w:r>
          </w:p>
          <w:p w14:paraId="4E932255" w14:textId="77777777" w:rsidR="004007CC" w:rsidRPr="007B5DA6" w:rsidRDefault="004007CC" w:rsidP="00B5542E">
            <w:pPr>
              <w:keepLines/>
              <w:suppressLineNumbers/>
              <w:jc w:val="left"/>
              <w:textboxTightWrap w:val="allLines"/>
              <w:rPr>
                <w:rFonts w:ascii="Arial Narrow" w:hAnsi="Arial Narrow"/>
                <w:bCs/>
                <w:sz w:val="20"/>
                <w:szCs w:val="20"/>
                <w:lang w:eastAsia="en-GB"/>
              </w:rPr>
            </w:pPr>
            <w:r w:rsidRPr="007B5DA6">
              <w:rPr>
                <w:rFonts w:ascii="Arial Narrow" w:hAnsi="Arial Narrow"/>
                <w:bCs/>
                <w:sz w:val="20"/>
                <w:szCs w:val="20"/>
                <w:lang w:eastAsia="en-GB"/>
              </w:rPr>
              <w:t>Reply Paid 9826</w:t>
            </w:r>
          </w:p>
          <w:p w14:paraId="7D98F49C" w14:textId="77777777" w:rsidR="004007CC" w:rsidRPr="007B5DA6" w:rsidRDefault="004007CC" w:rsidP="00B5542E">
            <w:pPr>
              <w:keepLines/>
              <w:suppressLineNumbers/>
              <w:jc w:val="left"/>
              <w:textboxTightWrap w:val="allLines"/>
              <w:rPr>
                <w:rFonts w:ascii="Arial Narrow" w:hAnsi="Arial Narrow"/>
                <w:b/>
                <w:strike/>
                <w:sz w:val="20"/>
                <w:szCs w:val="20"/>
                <w:lang w:eastAsia="en-GB"/>
              </w:rPr>
            </w:pPr>
            <w:r w:rsidRPr="007B5DA6">
              <w:rPr>
                <w:rFonts w:ascii="Arial Narrow" w:hAnsi="Arial Narrow"/>
                <w:bCs/>
                <w:sz w:val="20"/>
                <w:szCs w:val="20"/>
                <w:lang w:eastAsia="en-GB"/>
              </w:rPr>
              <w:t>HOBART TAS 7001</w:t>
            </w:r>
          </w:p>
        </w:tc>
      </w:tr>
    </w:tbl>
    <w:p w14:paraId="7436E7CE" w14:textId="77777777" w:rsidR="004007CC" w:rsidRPr="007B5DA6" w:rsidRDefault="004007CC" w:rsidP="004007CC">
      <w:pPr>
        <w:rPr>
          <w:rFonts w:ascii="Arial Narrow" w:hAnsi="Arial Narrow"/>
          <w:sz w:val="20"/>
          <w:szCs w:val="20"/>
        </w:rPr>
      </w:pPr>
    </w:p>
    <w:tbl>
      <w:tblPr>
        <w:tblW w:w="53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492"/>
        <w:gridCol w:w="785"/>
        <w:gridCol w:w="2661"/>
        <w:gridCol w:w="811"/>
        <w:gridCol w:w="812"/>
        <w:gridCol w:w="811"/>
        <w:gridCol w:w="812"/>
        <w:gridCol w:w="2455"/>
      </w:tblGrid>
      <w:tr w:rsidR="004007CC" w:rsidRPr="007B5DA6" w14:paraId="0E60B8CB" w14:textId="77777777" w:rsidTr="00B5542E">
        <w:trPr>
          <w:cantSplit/>
          <w:trHeight w:val="20"/>
        </w:trPr>
        <w:tc>
          <w:tcPr>
            <w:tcW w:w="3938" w:type="dxa"/>
            <w:gridSpan w:val="3"/>
            <w:vAlign w:val="center"/>
          </w:tcPr>
          <w:p w14:paraId="7967B98D" w14:textId="77777777" w:rsidR="004007CC" w:rsidRPr="007B5DA6" w:rsidRDefault="004007CC">
            <w:pPr>
              <w:keepLines/>
              <w:rPr>
                <w:rFonts w:ascii="Arial Narrow" w:hAnsi="Arial Narrow"/>
                <w:b/>
                <w:bCs/>
                <w:sz w:val="20"/>
                <w:szCs w:val="20"/>
              </w:rPr>
            </w:pPr>
            <w:r w:rsidRPr="007B5DA6">
              <w:rPr>
                <w:rFonts w:ascii="Arial Narrow" w:hAnsi="Arial Narrow"/>
                <w:b/>
                <w:bCs/>
                <w:sz w:val="20"/>
                <w:szCs w:val="20"/>
              </w:rPr>
              <w:t>MEDICINAL PRODUCT</w:t>
            </w:r>
          </w:p>
          <w:p w14:paraId="1B464FD5" w14:textId="77777777" w:rsidR="004007CC" w:rsidRPr="007B5DA6" w:rsidRDefault="004007CC">
            <w:pPr>
              <w:keepLines/>
              <w:rPr>
                <w:rFonts w:ascii="Arial Narrow" w:hAnsi="Arial Narrow"/>
                <w:b/>
                <w:sz w:val="20"/>
                <w:szCs w:val="20"/>
              </w:rPr>
            </w:pPr>
            <w:r w:rsidRPr="007B5DA6">
              <w:rPr>
                <w:rFonts w:ascii="Arial Narrow" w:hAnsi="Arial Narrow"/>
                <w:b/>
                <w:bCs/>
                <w:sz w:val="20"/>
                <w:szCs w:val="20"/>
              </w:rPr>
              <w:t>medicinal product pack</w:t>
            </w:r>
          </w:p>
        </w:tc>
        <w:tc>
          <w:tcPr>
            <w:tcW w:w="811" w:type="dxa"/>
            <w:vAlign w:val="center"/>
          </w:tcPr>
          <w:p w14:paraId="737170B9"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PBS item code</w:t>
            </w:r>
          </w:p>
        </w:tc>
        <w:tc>
          <w:tcPr>
            <w:tcW w:w="812" w:type="dxa"/>
            <w:vAlign w:val="center"/>
          </w:tcPr>
          <w:p w14:paraId="61FE5AF2"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Max. qty packs</w:t>
            </w:r>
          </w:p>
        </w:tc>
        <w:tc>
          <w:tcPr>
            <w:tcW w:w="811" w:type="dxa"/>
            <w:vAlign w:val="center"/>
          </w:tcPr>
          <w:p w14:paraId="75F3EBEC"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Max. qty units</w:t>
            </w:r>
          </w:p>
        </w:tc>
        <w:tc>
          <w:tcPr>
            <w:tcW w:w="812" w:type="dxa"/>
            <w:vAlign w:val="center"/>
          </w:tcPr>
          <w:p w14:paraId="29AEC029"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№.of</w:t>
            </w:r>
          </w:p>
          <w:p w14:paraId="300EAF73" w14:textId="77777777" w:rsidR="004007CC" w:rsidRPr="007B5DA6" w:rsidRDefault="004007CC">
            <w:pPr>
              <w:keepLines/>
              <w:jc w:val="center"/>
              <w:rPr>
                <w:rFonts w:ascii="Arial Narrow" w:hAnsi="Arial Narrow"/>
                <w:b/>
                <w:sz w:val="20"/>
                <w:szCs w:val="20"/>
              </w:rPr>
            </w:pPr>
            <w:r w:rsidRPr="007B5DA6">
              <w:rPr>
                <w:rFonts w:ascii="Arial Narrow" w:hAnsi="Arial Narrow"/>
                <w:b/>
                <w:sz w:val="20"/>
                <w:szCs w:val="20"/>
              </w:rPr>
              <w:t>Rpts</w:t>
            </w:r>
          </w:p>
        </w:tc>
        <w:tc>
          <w:tcPr>
            <w:tcW w:w="2455" w:type="dxa"/>
            <w:vAlign w:val="center"/>
          </w:tcPr>
          <w:p w14:paraId="3E6D9E5A" w14:textId="77777777" w:rsidR="004007CC" w:rsidRPr="007B5DA6" w:rsidRDefault="004007CC">
            <w:pPr>
              <w:keepLines/>
              <w:rPr>
                <w:rFonts w:ascii="Arial Narrow" w:hAnsi="Arial Narrow"/>
                <w:b/>
                <w:sz w:val="20"/>
                <w:szCs w:val="20"/>
                <w:lang w:val="fr-FR"/>
              </w:rPr>
            </w:pPr>
            <w:r w:rsidRPr="007B5DA6">
              <w:rPr>
                <w:rFonts w:ascii="Arial Narrow" w:hAnsi="Arial Narrow"/>
                <w:b/>
                <w:sz w:val="20"/>
                <w:szCs w:val="20"/>
              </w:rPr>
              <w:t>Available brands</w:t>
            </w:r>
          </w:p>
        </w:tc>
      </w:tr>
      <w:tr w:rsidR="004007CC" w:rsidRPr="007B5DA6" w14:paraId="58700AE8" w14:textId="77777777" w:rsidTr="00B5542E">
        <w:trPr>
          <w:cantSplit/>
          <w:trHeight w:val="20"/>
        </w:trPr>
        <w:tc>
          <w:tcPr>
            <w:tcW w:w="9639" w:type="dxa"/>
            <w:gridSpan w:val="8"/>
            <w:vAlign w:val="center"/>
          </w:tcPr>
          <w:p w14:paraId="2F9DEBE9" w14:textId="0E23CC2C" w:rsidR="004007CC" w:rsidRPr="007B5DA6" w:rsidRDefault="004007CC">
            <w:pPr>
              <w:keepLines/>
              <w:rPr>
                <w:rFonts w:ascii="Arial Narrow" w:hAnsi="Arial Narrow"/>
                <w:sz w:val="20"/>
                <w:szCs w:val="20"/>
              </w:rPr>
            </w:pPr>
            <w:r w:rsidRPr="007B5DA6">
              <w:rPr>
                <w:rFonts w:ascii="Arial Narrow" w:hAnsi="Arial Narrow"/>
                <w:sz w:val="20"/>
                <w:szCs w:val="20"/>
              </w:rPr>
              <w:t>PEGCETA</w:t>
            </w:r>
            <w:r w:rsidR="00791307">
              <w:rPr>
                <w:rFonts w:ascii="Arial Narrow" w:hAnsi="Arial Narrow"/>
                <w:sz w:val="20"/>
                <w:szCs w:val="20"/>
              </w:rPr>
              <w:t>C</w:t>
            </w:r>
            <w:r w:rsidRPr="007B5DA6">
              <w:rPr>
                <w:rFonts w:ascii="Arial Narrow" w:hAnsi="Arial Narrow"/>
                <w:sz w:val="20"/>
                <w:szCs w:val="20"/>
              </w:rPr>
              <w:t>OPLAN</w:t>
            </w:r>
          </w:p>
        </w:tc>
      </w:tr>
      <w:tr w:rsidR="004007CC" w:rsidRPr="007B5DA6" w14:paraId="25B8982A" w14:textId="77777777" w:rsidTr="00B5542E">
        <w:trPr>
          <w:cantSplit/>
          <w:trHeight w:val="20"/>
        </w:trPr>
        <w:tc>
          <w:tcPr>
            <w:tcW w:w="3938" w:type="dxa"/>
            <w:gridSpan w:val="3"/>
            <w:vAlign w:val="center"/>
          </w:tcPr>
          <w:p w14:paraId="5D5F4823" w14:textId="77777777" w:rsidR="004007CC" w:rsidRPr="007B5DA6" w:rsidRDefault="004007CC">
            <w:pPr>
              <w:keepLines/>
              <w:rPr>
                <w:rFonts w:ascii="Arial Narrow" w:hAnsi="Arial Narrow"/>
                <w:sz w:val="20"/>
                <w:szCs w:val="20"/>
              </w:rPr>
            </w:pPr>
            <w:r w:rsidRPr="007B5DA6">
              <w:rPr>
                <w:rFonts w:ascii="Arial Narrow" w:hAnsi="Arial Narrow"/>
                <w:sz w:val="20"/>
                <w:szCs w:val="20"/>
              </w:rPr>
              <w:t>pegcetacoplan, 15 mg/0.1 mL injection, 0.1 mL vial</w:t>
            </w:r>
          </w:p>
        </w:tc>
        <w:tc>
          <w:tcPr>
            <w:tcW w:w="811" w:type="dxa"/>
            <w:vAlign w:val="center"/>
          </w:tcPr>
          <w:p w14:paraId="2B5F4919" w14:textId="77777777" w:rsidR="004007CC" w:rsidRPr="007B5DA6" w:rsidRDefault="004007CC">
            <w:pPr>
              <w:keepLines/>
              <w:jc w:val="center"/>
              <w:rPr>
                <w:rFonts w:ascii="Arial Narrow" w:hAnsi="Arial Narrow"/>
                <w:sz w:val="20"/>
                <w:szCs w:val="20"/>
              </w:rPr>
            </w:pPr>
            <w:r w:rsidRPr="007B5DA6">
              <w:rPr>
                <w:rFonts w:ascii="Arial Narrow" w:hAnsi="Arial Narrow"/>
                <w:sz w:val="20"/>
                <w:szCs w:val="20"/>
              </w:rPr>
              <w:t>NEW</w:t>
            </w:r>
          </w:p>
        </w:tc>
        <w:tc>
          <w:tcPr>
            <w:tcW w:w="812" w:type="dxa"/>
            <w:vAlign w:val="center"/>
          </w:tcPr>
          <w:p w14:paraId="01840A85" w14:textId="77777777" w:rsidR="004007CC" w:rsidRPr="007B5DA6" w:rsidRDefault="004007CC">
            <w:pPr>
              <w:keepLines/>
              <w:jc w:val="center"/>
              <w:rPr>
                <w:rFonts w:ascii="Arial Narrow" w:hAnsi="Arial Narrow"/>
                <w:sz w:val="20"/>
                <w:szCs w:val="20"/>
              </w:rPr>
            </w:pPr>
            <w:r w:rsidRPr="007B5DA6">
              <w:rPr>
                <w:rFonts w:ascii="Arial Narrow" w:hAnsi="Arial Narrow"/>
                <w:sz w:val="20"/>
                <w:szCs w:val="20"/>
              </w:rPr>
              <w:t>1</w:t>
            </w:r>
          </w:p>
        </w:tc>
        <w:tc>
          <w:tcPr>
            <w:tcW w:w="811" w:type="dxa"/>
            <w:vAlign w:val="center"/>
          </w:tcPr>
          <w:p w14:paraId="419439E7" w14:textId="77777777" w:rsidR="004007CC" w:rsidRPr="007B5DA6" w:rsidRDefault="004007CC">
            <w:pPr>
              <w:keepLines/>
              <w:jc w:val="center"/>
              <w:rPr>
                <w:rFonts w:ascii="Arial Narrow" w:hAnsi="Arial Narrow"/>
                <w:sz w:val="20"/>
                <w:szCs w:val="20"/>
              </w:rPr>
            </w:pPr>
            <w:r w:rsidRPr="007B5DA6">
              <w:rPr>
                <w:rFonts w:ascii="Arial Narrow" w:hAnsi="Arial Narrow"/>
                <w:sz w:val="20"/>
                <w:szCs w:val="20"/>
              </w:rPr>
              <w:t>1</w:t>
            </w:r>
          </w:p>
        </w:tc>
        <w:tc>
          <w:tcPr>
            <w:tcW w:w="812" w:type="dxa"/>
            <w:vAlign w:val="center"/>
          </w:tcPr>
          <w:p w14:paraId="6E7E257D" w14:textId="77777777" w:rsidR="004007CC" w:rsidRPr="007B5DA6" w:rsidRDefault="004007CC">
            <w:pPr>
              <w:keepLines/>
              <w:jc w:val="center"/>
              <w:rPr>
                <w:rFonts w:ascii="Arial Narrow" w:hAnsi="Arial Narrow"/>
                <w:sz w:val="20"/>
                <w:szCs w:val="20"/>
              </w:rPr>
            </w:pPr>
            <w:r w:rsidRPr="007B5DA6">
              <w:rPr>
                <w:rFonts w:ascii="Arial Narrow" w:hAnsi="Arial Narrow"/>
                <w:sz w:val="20"/>
                <w:szCs w:val="20"/>
              </w:rPr>
              <w:t>2</w:t>
            </w:r>
          </w:p>
        </w:tc>
        <w:tc>
          <w:tcPr>
            <w:tcW w:w="2455" w:type="dxa"/>
            <w:vAlign w:val="center"/>
          </w:tcPr>
          <w:p w14:paraId="78711827" w14:textId="77777777" w:rsidR="004007CC" w:rsidRPr="007B5DA6" w:rsidRDefault="004007CC">
            <w:pPr>
              <w:keepLines/>
              <w:rPr>
                <w:rFonts w:ascii="Arial Narrow" w:hAnsi="Arial Narrow"/>
                <w:sz w:val="20"/>
                <w:szCs w:val="20"/>
              </w:rPr>
            </w:pPr>
            <w:r w:rsidRPr="007B5DA6">
              <w:rPr>
                <w:rFonts w:ascii="Arial Narrow" w:hAnsi="Arial Narrow"/>
                <w:sz w:val="20"/>
                <w:szCs w:val="20"/>
              </w:rPr>
              <w:t>Syfovre</w:t>
            </w:r>
          </w:p>
        </w:tc>
      </w:tr>
      <w:tr w:rsidR="004007CC" w:rsidRPr="007B5DA6" w14:paraId="14D2EEF7" w14:textId="77777777" w:rsidTr="00B5542E">
        <w:tblPrEx>
          <w:tblCellMar>
            <w:top w:w="15" w:type="dxa"/>
            <w:bottom w:w="15" w:type="dxa"/>
          </w:tblCellMar>
          <w:tblLook w:val="04A0" w:firstRow="1" w:lastRow="0" w:firstColumn="1" w:lastColumn="0" w:noHBand="0" w:noVBand="1"/>
        </w:tblPrEx>
        <w:trPr>
          <w:cantSplit/>
          <w:trHeight w:val="20"/>
        </w:trPr>
        <w:tc>
          <w:tcPr>
            <w:tcW w:w="9639" w:type="dxa"/>
            <w:gridSpan w:val="8"/>
            <w:vAlign w:val="center"/>
          </w:tcPr>
          <w:p w14:paraId="35B250CF" w14:textId="77777777" w:rsidR="004007CC" w:rsidRPr="007B5DA6" w:rsidRDefault="004007CC">
            <w:pPr>
              <w:rPr>
                <w:rFonts w:ascii="Arial Narrow" w:hAnsi="Arial Narrow"/>
                <w:bCs/>
                <w:color w:val="FF0000"/>
                <w:sz w:val="20"/>
                <w:szCs w:val="20"/>
              </w:rPr>
            </w:pPr>
          </w:p>
        </w:tc>
      </w:tr>
      <w:tr w:rsidR="004007CC" w:rsidRPr="007B5DA6" w14:paraId="061C33D7" w14:textId="77777777" w:rsidTr="00B5542E">
        <w:tblPrEx>
          <w:tblCellMar>
            <w:top w:w="15" w:type="dxa"/>
            <w:bottom w:w="15" w:type="dxa"/>
          </w:tblCellMar>
          <w:tblLook w:val="04A0" w:firstRow="1" w:lastRow="0" w:firstColumn="1" w:lastColumn="0" w:noHBand="0" w:noVBand="1"/>
        </w:tblPrEx>
        <w:trPr>
          <w:cantSplit/>
          <w:trHeight w:val="20"/>
        </w:trPr>
        <w:tc>
          <w:tcPr>
            <w:tcW w:w="9639" w:type="dxa"/>
            <w:gridSpan w:val="8"/>
            <w:vAlign w:val="center"/>
          </w:tcPr>
          <w:p w14:paraId="7B26446E" w14:textId="77777777" w:rsidR="004007CC" w:rsidRPr="007B5DA6" w:rsidRDefault="004007CC">
            <w:pPr>
              <w:keepNext/>
              <w:keepLines/>
              <w:rPr>
                <w:rFonts w:ascii="Arial Narrow" w:hAnsi="Arial Narrow"/>
                <w:b/>
                <w:bCs/>
                <w:color w:val="333333"/>
                <w:sz w:val="20"/>
                <w:szCs w:val="20"/>
              </w:rPr>
            </w:pPr>
            <w:r w:rsidRPr="007B5DA6">
              <w:rPr>
                <w:rFonts w:ascii="Arial Narrow" w:hAnsi="Arial Narrow"/>
                <w:b/>
                <w:bCs/>
                <w:color w:val="333333"/>
                <w:sz w:val="20"/>
                <w:szCs w:val="20"/>
              </w:rPr>
              <w:lastRenderedPageBreak/>
              <w:t>Restriction Summary [new2]</w:t>
            </w:r>
            <w:r w:rsidRPr="007B5DA6">
              <w:rPr>
                <w:rFonts w:ascii="Arial Narrow" w:hAnsi="Arial Narrow"/>
                <w:b/>
                <w:bCs/>
                <w:color w:val="FF0000"/>
                <w:sz w:val="20"/>
                <w:szCs w:val="20"/>
              </w:rPr>
              <w:t xml:space="preserve"> </w:t>
            </w:r>
            <w:r w:rsidRPr="007B5DA6">
              <w:rPr>
                <w:rFonts w:ascii="Arial Narrow" w:hAnsi="Arial Narrow"/>
                <w:b/>
                <w:bCs/>
                <w:color w:val="333333"/>
                <w:sz w:val="20"/>
                <w:szCs w:val="20"/>
              </w:rPr>
              <w:t xml:space="preserve">/ Treatment of Concept: [new2A] </w:t>
            </w:r>
          </w:p>
        </w:tc>
      </w:tr>
      <w:tr w:rsidR="004007CC" w:rsidRPr="007B5DA6" w14:paraId="43C1D712"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Merge w:val="restart"/>
            <w:tcBorders>
              <w:left w:val="single" w:sz="4" w:space="0" w:color="auto"/>
              <w:bottom w:val="single" w:sz="4" w:space="0" w:color="auto"/>
              <w:right w:val="single" w:sz="4" w:space="0" w:color="auto"/>
            </w:tcBorders>
          </w:tcPr>
          <w:p w14:paraId="02FD6699" w14:textId="77777777" w:rsidR="004007CC" w:rsidRPr="007B5DA6" w:rsidRDefault="004007CC">
            <w:pPr>
              <w:jc w:val="center"/>
              <w:rPr>
                <w:rFonts w:ascii="Arial Narrow" w:hAnsi="Arial Narrow"/>
                <w:b/>
                <w:sz w:val="20"/>
                <w:szCs w:val="20"/>
              </w:rPr>
            </w:pPr>
            <w:r w:rsidRPr="007B5DA6">
              <w:rPr>
                <w:rFonts w:ascii="Arial Narrow" w:hAnsi="Arial Narrow"/>
                <w:b/>
                <w:sz w:val="20"/>
                <w:szCs w:val="20"/>
              </w:rPr>
              <w:t xml:space="preserve">Concept ID </w:t>
            </w:r>
            <w:r w:rsidRPr="007B5DA6">
              <w:rPr>
                <w:rFonts w:ascii="Arial Narrow" w:hAnsi="Arial Narrow"/>
                <w:sz w:val="20"/>
                <w:szCs w:val="20"/>
              </w:rPr>
              <w:t>(for internal Dept. use)</w:t>
            </w:r>
          </w:p>
        </w:tc>
        <w:tc>
          <w:tcPr>
            <w:tcW w:w="8362" w:type="dxa"/>
            <w:gridSpan w:val="6"/>
            <w:tcBorders>
              <w:top w:val="single" w:sz="4" w:space="0" w:color="auto"/>
              <w:left w:val="single" w:sz="4" w:space="0" w:color="auto"/>
              <w:bottom w:val="single" w:sz="4" w:space="0" w:color="auto"/>
              <w:right w:val="single" w:sz="4" w:space="0" w:color="auto"/>
            </w:tcBorders>
            <w:vAlign w:val="center"/>
          </w:tcPr>
          <w:p w14:paraId="4E55A47E" w14:textId="77777777" w:rsidR="004007CC" w:rsidRPr="007B5DA6" w:rsidRDefault="004007CC">
            <w:pPr>
              <w:rPr>
                <w:rFonts w:ascii="Arial Narrow" w:hAnsi="Arial Narrow"/>
                <w:b/>
                <w:sz w:val="20"/>
                <w:szCs w:val="20"/>
              </w:rPr>
            </w:pPr>
            <w:r w:rsidRPr="007B5DA6">
              <w:rPr>
                <w:rFonts w:ascii="Arial Narrow" w:hAnsi="Arial Narrow"/>
                <w:b/>
                <w:sz w:val="20"/>
                <w:szCs w:val="20"/>
              </w:rPr>
              <w:t xml:space="preserve">Category / Program: </w:t>
            </w:r>
          </w:p>
          <w:p w14:paraId="4694565C" w14:textId="113658FA" w:rsidR="004007CC" w:rsidRPr="007B5DA6" w:rsidRDefault="004007CC">
            <w:pPr>
              <w:rPr>
                <w:rFonts w:ascii="Arial Narrow" w:hAnsi="Arial Narrow"/>
                <w:bCs/>
                <w:sz w:val="20"/>
                <w:szCs w:val="20"/>
              </w:rPr>
            </w:pPr>
            <w:r w:rsidRPr="007B5DA6">
              <w:rPr>
                <w:rFonts w:ascii="Arial Narrow" w:hAnsi="Arial Narrow"/>
                <w:bCs/>
                <w:sz w:val="20"/>
                <w:szCs w:val="20"/>
              </w:rPr>
              <w:fldChar w:fldCharType="begin">
                <w:ffData>
                  <w:name w:val="Check1"/>
                  <w:enabled/>
                  <w:calcOnExit w:val="0"/>
                  <w:checkBox>
                    <w:sizeAuto/>
                    <w:default w:val="1"/>
                  </w:checkBox>
                </w:ffData>
              </w:fldChar>
            </w:r>
            <w:r w:rsidRPr="007B5DA6">
              <w:rPr>
                <w:rFonts w:ascii="Arial Narrow" w:hAnsi="Arial Narrow"/>
                <w:bCs/>
                <w:sz w:val="20"/>
                <w:szCs w:val="20"/>
              </w:rPr>
              <w:instrText xml:space="preserve"> FORMCHECKBOX </w:instrText>
            </w:r>
            <w:r w:rsidRPr="007B5DA6">
              <w:rPr>
                <w:rFonts w:ascii="Arial Narrow" w:hAnsi="Arial Narrow"/>
                <w:bCs/>
                <w:sz w:val="20"/>
                <w:szCs w:val="20"/>
              </w:rPr>
            </w:r>
            <w:r w:rsidRPr="007B5DA6">
              <w:rPr>
                <w:rFonts w:ascii="Arial Narrow" w:hAnsi="Arial Narrow"/>
                <w:bCs/>
                <w:sz w:val="20"/>
                <w:szCs w:val="20"/>
              </w:rPr>
              <w:fldChar w:fldCharType="separate"/>
            </w:r>
            <w:r w:rsidRPr="007B5DA6">
              <w:rPr>
                <w:rFonts w:ascii="Arial Narrow" w:hAnsi="Arial Narrow"/>
                <w:bCs/>
                <w:sz w:val="20"/>
                <w:szCs w:val="20"/>
              </w:rPr>
              <w:fldChar w:fldCharType="end"/>
            </w:r>
            <w:r w:rsidRPr="007B5DA6">
              <w:rPr>
                <w:rFonts w:ascii="Arial Narrow" w:hAnsi="Arial Narrow"/>
                <w:bCs/>
                <w:sz w:val="20"/>
                <w:szCs w:val="20"/>
              </w:rPr>
              <w:t xml:space="preserve"> GENERAL </w:t>
            </w:r>
            <w:r w:rsidR="00397B07" w:rsidRPr="007B5DA6">
              <w:rPr>
                <w:rFonts w:ascii="Arial Narrow" w:hAnsi="Arial Narrow"/>
                <w:bCs/>
                <w:sz w:val="20"/>
                <w:szCs w:val="20"/>
              </w:rPr>
              <w:noBreakHyphen/>
            </w:r>
            <w:r w:rsidRPr="007B5DA6">
              <w:rPr>
                <w:rFonts w:ascii="Arial Narrow" w:hAnsi="Arial Narrow"/>
                <w:bCs/>
                <w:sz w:val="20"/>
                <w:szCs w:val="20"/>
              </w:rPr>
              <w:t xml:space="preserve"> General Schedule (Code GE) </w:t>
            </w:r>
          </w:p>
        </w:tc>
      </w:tr>
      <w:tr w:rsidR="004007CC" w:rsidRPr="007B5DA6" w14:paraId="7FAFA128"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Merge/>
            <w:tcBorders>
              <w:left w:val="single" w:sz="4" w:space="0" w:color="auto"/>
              <w:bottom w:val="single" w:sz="4" w:space="0" w:color="auto"/>
              <w:right w:val="single" w:sz="4" w:space="0" w:color="auto"/>
            </w:tcBorders>
          </w:tcPr>
          <w:p w14:paraId="7E64AA99" w14:textId="77777777" w:rsidR="004007CC" w:rsidRPr="007B5DA6" w:rsidRDefault="004007CC">
            <w:pPr>
              <w:rPr>
                <w:rFonts w:ascii="Arial Narrow" w:hAnsi="Arial Narrow"/>
                <w:sz w:val="20"/>
                <w:szCs w:val="20"/>
              </w:rPr>
            </w:pPr>
          </w:p>
        </w:tc>
        <w:tc>
          <w:tcPr>
            <w:tcW w:w="8362" w:type="dxa"/>
            <w:gridSpan w:val="6"/>
            <w:tcBorders>
              <w:top w:val="single" w:sz="4" w:space="0" w:color="auto"/>
              <w:left w:val="single" w:sz="4" w:space="0" w:color="auto"/>
              <w:bottom w:val="single" w:sz="4" w:space="0" w:color="auto"/>
              <w:right w:val="single" w:sz="4" w:space="0" w:color="auto"/>
            </w:tcBorders>
            <w:vAlign w:val="center"/>
          </w:tcPr>
          <w:p w14:paraId="76F1A059" w14:textId="77777777" w:rsidR="004007CC" w:rsidRPr="007B5DA6" w:rsidRDefault="004007CC">
            <w:pPr>
              <w:rPr>
                <w:rFonts w:ascii="Arial Narrow" w:hAnsi="Arial Narrow"/>
                <w:b/>
                <w:sz w:val="20"/>
                <w:szCs w:val="20"/>
              </w:rPr>
            </w:pPr>
            <w:r w:rsidRPr="007B5DA6">
              <w:rPr>
                <w:rFonts w:ascii="Arial Narrow" w:hAnsi="Arial Narrow"/>
                <w:b/>
                <w:sz w:val="20"/>
                <w:szCs w:val="20"/>
              </w:rPr>
              <w:t xml:space="preserve">Prescriber type: </w:t>
            </w:r>
          </w:p>
          <w:p w14:paraId="2EA15E69" w14:textId="77777777" w:rsidR="004007CC" w:rsidRPr="007B5DA6" w:rsidRDefault="004007CC">
            <w:pPr>
              <w:rPr>
                <w:rFonts w:ascii="Arial Narrow" w:hAnsi="Arial Narrow"/>
                <w:bCs/>
                <w:sz w:val="20"/>
                <w:szCs w:val="20"/>
              </w:rPr>
            </w:pPr>
            <w:r w:rsidRPr="007B5DA6">
              <w:rPr>
                <w:rFonts w:ascii="Arial Narrow" w:hAnsi="Arial Narrow"/>
                <w:bCs/>
                <w:sz w:val="20"/>
                <w:szCs w:val="20"/>
              </w:rPr>
              <w:fldChar w:fldCharType="begin">
                <w:ffData>
                  <w:name w:val=""/>
                  <w:enabled/>
                  <w:calcOnExit w:val="0"/>
                  <w:checkBox>
                    <w:sizeAuto/>
                    <w:default w:val="1"/>
                  </w:checkBox>
                </w:ffData>
              </w:fldChar>
            </w:r>
            <w:r w:rsidRPr="007B5DA6">
              <w:rPr>
                <w:rFonts w:ascii="Arial Narrow" w:hAnsi="Arial Narrow"/>
                <w:bCs/>
                <w:sz w:val="20"/>
                <w:szCs w:val="20"/>
              </w:rPr>
              <w:instrText xml:space="preserve"> FORMCHECKBOX </w:instrText>
            </w:r>
            <w:r w:rsidRPr="007B5DA6">
              <w:rPr>
                <w:rFonts w:ascii="Arial Narrow" w:hAnsi="Arial Narrow"/>
                <w:bCs/>
                <w:sz w:val="20"/>
                <w:szCs w:val="20"/>
              </w:rPr>
            </w:r>
            <w:r w:rsidRPr="007B5DA6">
              <w:rPr>
                <w:rFonts w:ascii="Arial Narrow" w:hAnsi="Arial Narrow"/>
                <w:bCs/>
                <w:sz w:val="20"/>
                <w:szCs w:val="20"/>
              </w:rPr>
              <w:fldChar w:fldCharType="separate"/>
            </w:r>
            <w:r w:rsidRPr="007B5DA6">
              <w:rPr>
                <w:rFonts w:ascii="Arial Narrow" w:hAnsi="Arial Narrow"/>
                <w:bCs/>
                <w:sz w:val="20"/>
                <w:szCs w:val="20"/>
              </w:rPr>
              <w:fldChar w:fldCharType="end"/>
            </w:r>
            <w:r w:rsidRPr="007B5DA6">
              <w:rPr>
                <w:rFonts w:ascii="Arial Narrow" w:hAnsi="Arial Narrow"/>
                <w:bCs/>
                <w:sz w:val="20"/>
                <w:szCs w:val="20"/>
              </w:rPr>
              <w:t xml:space="preserve">Medical Practitioners </w:t>
            </w:r>
          </w:p>
        </w:tc>
      </w:tr>
      <w:tr w:rsidR="004007CC" w:rsidRPr="007B5DA6" w14:paraId="6C01FD54"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Merge/>
            <w:tcBorders>
              <w:left w:val="single" w:sz="4" w:space="0" w:color="auto"/>
              <w:bottom w:val="single" w:sz="4" w:space="0" w:color="auto"/>
              <w:right w:val="single" w:sz="4" w:space="0" w:color="auto"/>
            </w:tcBorders>
          </w:tcPr>
          <w:p w14:paraId="0FC67285" w14:textId="77777777" w:rsidR="004007CC" w:rsidRPr="007B5DA6" w:rsidRDefault="004007CC">
            <w:pPr>
              <w:rPr>
                <w:rFonts w:ascii="Arial Narrow" w:hAnsi="Arial Narrow"/>
                <w:sz w:val="20"/>
                <w:szCs w:val="20"/>
              </w:rPr>
            </w:pPr>
          </w:p>
        </w:tc>
        <w:tc>
          <w:tcPr>
            <w:tcW w:w="8362" w:type="dxa"/>
            <w:gridSpan w:val="6"/>
            <w:tcBorders>
              <w:top w:val="single" w:sz="4" w:space="0" w:color="auto"/>
              <w:left w:val="single" w:sz="4" w:space="0" w:color="auto"/>
              <w:bottom w:val="single" w:sz="4" w:space="0" w:color="auto"/>
              <w:right w:val="single" w:sz="4" w:space="0" w:color="auto"/>
            </w:tcBorders>
            <w:vAlign w:val="center"/>
          </w:tcPr>
          <w:p w14:paraId="4B241CE0" w14:textId="77777777" w:rsidR="004007CC" w:rsidRPr="007B5DA6" w:rsidRDefault="004007CC">
            <w:pPr>
              <w:rPr>
                <w:rFonts w:ascii="Arial Narrow" w:hAnsi="Arial Narrow"/>
                <w:b/>
                <w:sz w:val="20"/>
                <w:szCs w:val="20"/>
              </w:rPr>
            </w:pPr>
            <w:r w:rsidRPr="007B5DA6">
              <w:rPr>
                <w:rFonts w:ascii="Arial Narrow" w:hAnsi="Arial Narrow"/>
                <w:b/>
                <w:sz w:val="20"/>
                <w:szCs w:val="20"/>
              </w:rPr>
              <w:t xml:space="preserve">Restriction type: </w:t>
            </w:r>
          </w:p>
          <w:p w14:paraId="43749EEF" w14:textId="77777777" w:rsidR="004007CC" w:rsidRPr="007B5DA6" w:rsidRDefault="004007CC">
            <w:pPr>
              <w:rPr>
                <w:rFonts w:ascii="Arial Narrow" w:hAnsi="Arial Narrow"/>
                <w:b/>
                <w:sz w:val="20"/>
                <w:szCs w:val="20"/>
              </w:rPr>
            </w:pPr>
            <w:r w:rsidRPr="007B5DA6">
              <w:rPr>
                <w:rFonts w:ascii="Arial Narrow" w:hAnsi="Arial Narrow"/>
                <w:b/>
                <w:sz w:val="20"/>
                <w:szCs w:val="20"/>
              </w:rPr>
              <w:fldChar w:fldCharType="begin">
                <w:ffData>
                  <w:name w:val=""/>
                  <w:enabled/>
                  <w:calcOnExit w:val="0"/>
                  <w:checkBox>
                    <w:sizeAuto/>
                    <w:default w:val="1"/>
                  </w:checkBox>
                </w:ffData>
              </w:fldChar>
            </w:r>
            <w:r w:rsidRPr="007B5DA6">
              <w:rPr>
                <w:rFonts w:ascii="Arial Narrow" w:hAnsi="Arial Narrow"/>
                <w:b/>
                <w:sz w:val="20"/>
                <w:szCs w:val="20"/>
              </w:rPr>
              <w:instrText xml:space="preserve"> FORMCHECKBOX </w:instrText>
            </w:r>
            <w:r w:rsidRPr="007B5DA6">
              <w:rPr>
                <w:rFonts w:ascii="Arial Narrow" w:hAnsi="Arial Narrow"/>
                <w:b/>
                <w:sz w:val="20"/>
                <w:szCs w:val="20"/>
              </w:rPr>
            </w:r>
            <w:r w:rsidRPr="007B5DA6">
              <w:rPr>
                <w:rFonts w:ascii="Arial Narrow" w:hAnsi="Arial Narrow"/>
                <w:b/>
                <w:sz w:val="20"/>
                <w:szCs w:val="20"/>
              </w:rPr>
              <w:fldChar w:fldCharType="separate"/>
            </w:r>
            <w:r w:rsidRPr="007B5DA6">
              <w:rPr>
                <w:rFonts w:ascii="Arial Narrow" w:hAnsi="Arial Narrow"/>
                <w:b/>
                <w:sz w:val="20"/>
                <w:szCs w:val="20"/>
              </w:rPr>
              <w:fldChar w:fldCharType="end"/>
            </w:r>
            <w:r w:rsidRPr="007B5DA6">
              <w:rPr>
                <w:rFonts w:ascii="Arial Narrow" w:hAnsi="Arial Narrow"/>
                <w:bCs/>
                <w:sz w:val="20"/>
                <w:szCs w:val="20"/>
              </w:rPr>
              <w:t>Authority Required (Streamlined) [NEW]</w:t>
            </w:r>
          </w:p>
        </w:tc>
      </w:tr>
      <w:tr w:rsidR="004007CC" w:rsidRPr="007B5DA6" w14:paraId="4EDF4249" w14:textId="77777777" w:rsidTr="00B5542E">
        <w:tblPrEx>
          <w:tblCellMar>
            <w:top w:w="15" w:type="dxa"/>
            <w:bottom w:w="15" w:type="dxa"/>
          </w:tblCellMar>
          <w:tblLook w:val="04A0" w:firstRow="1" w:lastRow="0" w:firstColumn="1" w:lastColumn="0" w:noHBand="0" w:noVBand="1"/>
        </w:tblPrEx>
        <w:trPr>
          <w:trHeight w:val="20"/>
        </w:trPr>
        <w:tc>
          <w:tcPr>
            <w:tcW w:w="492" w:type="dxa"/>
            <w:vMerge w:val="restart"/>
            <w:tcBorders>
              <w:left w:val="single" w:sz="4" w:space="0" w:color="auto"/>
              <w:right w:val="single" w:sz="4" w:space="0" w:color="auto"/>
            </w:tcBorders>
            <w:textDirection w:val="btLr"/>
            <w:vAlign w:val="center"/>
          </w:tcPr>
          <w:p w14:paraId="23607CCC" w14:textId="77777777" w:rsidR="004007CC" w:rsidRPr="007B5DA6" w:rsidRDefault="004007CC">
            <w:pPr>
              <w:jc w:val="center"/>
              <w:rPr>
                <w:rFonts w:ascii="Arial Narrow" w:hAnsi="Arial Narrow"/>
                <w:sz w:val="20"/>
                <w:szCs w:val="20"/>
              </w:rPr>
            </w:pPr>
            <w:r w:rsidRPr="007B5DA6">
              <w:rPr>
                <w:rFonts w:ascii="Arial Narrow" w:hAnsi="Arial Narrow"/>
                <w:sz w:val="20"/>
                <w:szCs w:val="20"/>
              </w:rPr>
              <w:t>Prescribing rule level</w:t>
            </w:r>
          </w:p>
        </w:tc>
        <w:tc>
          <w:tcPr>
            <w:tcW w:w="785" w:type="dxa"/>
            <w:vAlign w:val="center"/>
          </w:tcPr>
          <w:p w14:paraId="47A06C8F" w14:textId="5344BD19" w:rsidR="004007CC" w:rsidRPr="007B5DA6" w:rsidRDefault="004007CC">
            <w:pPr>
              <w:jc w:val="center"/>
              <w:rPr>
                <w:rFonts w:ascii="Arial Narrow" w:hAnsi="Arial Narrow"/>
                <w:color w:val="333333"/>
                <w:sz w:val="20"/>
                <w:szCs w:val="20"/>
              </w:rPr>
            </w:pPr>
          </w:p>
        </w:tc>
        <w:tc>
          <w:tcPr>
            <w:tcW w:w="8362" w:type="dxa"/>
            <w:gridSpan w:val="6"/>
            <w:vAlign w:val="center"/>
          </w:tcPr>
          <w:p w14:paraId="70718A9B" w14:textId="77777777" w:rsidR="004007CC" w:rsidRPr="007B5DA6" w:rsidRDefault="004007CC" w:rsidP="00B5542E">
            <w:pPr>
              <w:jc w:val="left"/>
              <w:rPr>
                <w:rFonts w:ascii="Arial Narrow" w:hAnsi="Arial Narrow"/>
                <w:color w:val="333333"/>
                <w:sz w:val="20"/>
                <w:szCs w:val="20"/>
              </w:rPr>
            </w:pPr>
            <w:r w:rsidRPr="007B5DA6">
              <w:rPr>
                <w:rFonts w:ascii="Arial Narrow" w:hAnsi="Arial Narrow"/>
                <w:b/>
                <w:bCs/>
                <w:sz w:val="20"/>
                <w:szCs w:val="20"/>
              </w:rPr>
              <w:t xml:space="preserve">Administrative Advice: </w:t>
            </w:r>
            <w:r w:rsidRPr="007B5DA6">
              <w:rPr>
                <w:rFonts w:ascii="Arial Narrow" w:hAnsi="Arial Narrow"/>
                <w:bCs/>
                <w:sz w:val="20"/>
                <w:szCs w:val="20"/>
              </w:rPr>
              <w:t>No increase in the maximum quantity or number of units may be authorised.</w:t>
            </w:r>
          </w:p>
        </w:tc>
      </w:tr>
      <w:tr w:rsidR="004007CC" w:rsidRPr="007B5DA6" w14:paraId="18F30C45" w14:textId="77777777" w:rsidTr="00B5542E">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extDirection w:val="btLr"/>
            <w:vAlign w:val="center"/>
          </w:tcPr>
          <w:p w14:paraId="65FECC99" w14:textId="77777777" w:rsidR="004007CC" w:rsidRPr="007B5DA6" w:rsidRDefault="004007CC">
            <w:pPr>
              <w:jc w:val="center"/>
              <w:rPr>
                <w:rFonts w:ascii="Arial Narrow" w:hAnsi="Arial Narrow"/>
                <w:sz w:val="20"/>
                <w:szCs w:val="20"/>
              </w:rPr>
            </w:pPr>
          </w:p>
        </w:tc>
        <w:tc>
          <w:tcPr>
            <w:tcW w:w="785" w:type="dxa"/>
            <w:tcBorders>
              <w:left w:val="single" w:sz="4" w:space="0" w:color="auto"/>
              <w:bottom w:val="single" w:sz="4" w:space="0" w:color="auto"/>
              <w:right w:val="single" w:sz="4" w:space="0" w:color="auto"/>
            </w:tcBorders>
            <w:vAlign w:val="center"/>
          </w:tcPr>
          <w:p w14:paraId="7AFC00DD" w14:textId="2443FE02" w:rsidR="004007CC" w:rsidRPr="007B5DA6" w:rsidRDefault="004007CC">
            <w:pPr>
              <w:contextualSpacing/>
              <w:jc w:val="center"/>
              <w:rPr>
                <w:rFonts w:ascii="Arial Narrow" w:hAnsi="Arial Narrow"/>
                <w:bCs/>
                <w:sz w:val="20"/>
                <w:szCs w:val="20"/>
              </w:rPr>
            </w:pPr>
          </w:p>
        </w:tc>
        <w:tc>
          <w:tcPr>
            <w:tcW w:w="8362" w:type="dxa"/>
            <w:gridSpan w:val="6"/>
            <w:tcBorders>
              <w:top w:val="single" w:sz="4" w:space="0" w:color="auto"/>
              <w:left w:val="single" w:sz="4" w:space="0" w:color="auto"/>
              <w:bottom w:val="single" w:sz="4" w:space="0" w:color="auto"/>
              <w:right w:val="single" w:sz="4" w:space="0" w:color="auto"/>
            </w:tcBorders>
            <w:vAlign w:val="center"/>
          </w:tcPr>
          <w:p w14:paraId="30BA2515" w14:textId="77777777" w:rsidR="004007CC" w:rsidRPr="007B5DA6" w:rsidRDefault="004007CC">
            <w:pPr>
              <w:contextualSpacing/>
              <w:rPr>
                <w:rFonts w:ascii="Arial Narrow" w:hAnsi="Arial Narrow"/>
                <w:sz w:val="20"/>
                <w:szCs w:val="20"/>
              </w:rPr>
            </w:pPr>
            <w:r w:rsidRPr="007B5DA6">
              <w:rPr>
                <w:rFonts w:ascii="Arial Narrow" w:hAnsi="Arial Narrow"/>
                <w:b/>
                <w:bCs/>
                <w:sz w:val="20"/>
                <w:szCs w:val="20"/>
              </w:rPr>
              <w:t>Administrative Advice:</w:t>
            </w:r>
          </w:p>
          <w:p w14:paraId="702D67C6" w14:textId="77777777" w:rsidR="004007CC" w:rsidRPr="007B5DA6" w:rsidRDefault="004007CC">
            <w:pPr>
              <w:contextualSpacing/>
              <w:rPr>
                <w:rFonts w:ascii="Arial Narrow" w:hAnsi="Arial Narrow"/>
                <w:b/>
                <w:bCs/>
                <w:sz w:val="20"/>
                <w:szCs w:val="20"/>
              </w:rPr>
            </w:pPr>
            <w:r w:rsidRPr="007B5DA6">
              <w:rPr>
                <w:rFonts w:ascii="Arial Narrow" w:hAnsi="Arial Narrow"/>
                <w:sz w:val="20"/>
                <w:szCs w:val="20"/>
              </w:rPr>
              <w:t xml:space="preserve">Special Pricing Arrangements apply. </w:t>
            </w:r>
          </w:p>
        </w:tc>
      </w:tr>
      <w:tr w:rsidR="004007CC" w:rsidRPr="007B5DA6" w14:paraId="61D720C9" w14:textId="77777777" w:rsidTr="00B5542E">
        <w:tblPrEx>
          <w:tblCellMar>
            <w:top w:w="15" w:type="dxa"/>
            <w:bottom w:w="15" w:type="dxa"/>
          </w:tblCellMar>
          <w:tblLook w:val="04A0" w:firstRow="1" w:lastRow="0" w:firstColumn="1" w:lastColumn="0" w:noHBand="0" w:noVBand="1"/>
        </w:tblPrEx>
        <w:trPr>
          <w:trHeight w:val="20"/>
        </w:trPr>
        <w:tc>
          <w:tcPr>
            <w:tcW w:w="492" w:type="dxa"/>
            <w:vMerge/>
            <w:tcBorders>
              <w:left w:val="single" w:sz="4" w:space="0" w:color="auto"/>
              <w:right w:val="single" w:sz="4" w:space="0" w:color="auto"/>
            </w:tcBorders>
            <w:textDirection w:val="btLr"/>
            <w:vAlign w:val="center"/>
          </w:tcPr>
          <w:p w14:paraId="3F2A77ED" w14:textId="77777777" w:rsidR="004007CC" w:rsidRPr="007B5DA6" w:rsidRDefault="004007CC">
            <w:pPr>
              <w:jc w:val="center"/>
              <w:rPr>
                <w:rFonts w:ascii="Arial Narrow" w:hAnsi="Arial Narrow"/>
                <w:sz w:val="20"/>
                <w:szCs w:val="20"/>
              </w:rPr>
            </w:pPr>
          </w:p>
        </w:tc>
        <w:tc>
          <w:tcPr>
            <w:tcW w:w="785" w:type="dxa"/>
            <w:tcBorders>
              <w:left w:val="single" w:sz="4" w:space="0" w:color="auto"/>
              <w:bottom w:val="single" w:sz="4" w:space="0" w:color="auto"/>
              <w:right w:val="single" w:sz="4" w:space="0" w:color="auto"/>
            </w:tcBorders>
            <w:vAlign w:val="center"/>
          </w:tcPr>
          <w:p w14:paraId="5B47962A" w14:textId="3AB5E8D4" w:rsidR="004007CC" w:rsidRPr="007B5DA6" w:rsidRDefault="004007CC">
            <w:pPr>
              <w:contextualSpacing/>
              <w:jc w:val="center"/>
              <w:rPr>
                <w:rFonts w:ascii="Arial Narrow" w:hAnsi="Arial Narrow"/>
                <w:bCs/>
                <w:sz w:val="20"/>
                <w:szCs w:val="20"/>
              </w:rPr>
            </w:pPr>
          </w:p>
        </w:tc>
        <w:tc>
          <w:tcPr>
            <w:tcW w:w="8362" w:type="dxa"/>
            <w:gridSpan w:val="6"/>
            <w:tcBorders>
              <w:top w:val="single" w:sz="4" w:space="0" w:color="auto"/>
              <w:left w:val="single" w:sz="4" w:space="0" w:color="auto"/>
              <w:bottom w:val="single" w:sz="4" w:space="0" w:color="auto"/>
              <w:right w:val="single" w:sz="4" w:space="0" w:color="auto"/>
            </w:tcBorders>
            <w:vAlign w:val="center"/>
          </w:tcPr>
          <w:p w14:paraId="6458A5A4" w14:textId="77777777" w:rsidR="004007CC" w:rsidRPr="007B5DA6" w:rsidRDefault="004007CC">
            <w:pPr>
              <w:contextualSpacing/>
              <w:rPr>
                <w:rFonts w:ascii="Arial Narrow" w:hAnsi="Arial Narrow"/>
                <w:b/>
                <w:bCs/>
                <w:sz w:val="20"/>
                <w:szCs w:val="20"/>
              </w:rPr>
            </w:pPr>
            <w:r w:rsidRPr="007B5DA6">
              <w:rPr>
                <w:rFonts w:ascii="Arial Narrow" w:hAnsi="Arial Narrow"/>
                <w:b/>
                <w:bCs/>
                <w:sz w:val="20"/>
                <w:szCs w:val="20"/>
              </w:rPr>
              <w:t>Administrative Advice:</w:t>
            </w:r>
          </w:p>
          <w:p w14:paraId="37D7835C" w14:textId="77777777" w:rsidR="004007CC" w:rsidRPr="007B5DA6" w:rsidRDefault="004007CC">
            <w:pPr>
              <w:contextualSpacing/>
              <w:rPr>
                <w:rFonts w:ascii="Arial Narrow" w:hAnsi="Arial Narrow"/>
                <w:b/>
                <w:bCs/>
                <w:sz w:val="20"/>
                <w:szCs w:val="20"/>
              </w:rPr>
            </w:pPr>
            <w:r w:rsidRPr="007B5DA6">
              <w:rPr>
                <w:rFonts w:ascii="Arial Narrow" w:hAnsi="Arial Narrow"/>
                <w:sz w:val="20"/>
                <w:szCs w:val="20"/>
              </w:rPr>
              <w:t xml:space="preserve">No increase in the maximum number of repeats may be authorised. </w:t>
            </w:r>
          </w:p>
        </w:tc>
      </w:tr>
      <w:tr w:rsidR="004007CC" w:rsidRPr="007B5DA6" w14:paraId="2CC431F8"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Merge w:val="restart"/>
            <w:vAlign w:val="center"/>
          </w:tcPr>
          <w:p w14:paraId="151199FC" w14:textId="77777777" w:rsidR="004007CC" w:rsidRPr="007B5DA6" w:rsidRDefault="004007CC">
            <w:pPr>
              <w:keepLines/>
              <w:jc w:val="center"/>
              <w:rPr>
                <w:rFonts w:ascii="Arial Narrow" w:hAnsi="Arial Narrow"/>
                <w:color w:val="333333"/>
                <w:sz w:val="20"/>
                <w:szCs w:val="20"/>
              </w:rPr>
            </w:pPr>
          </w:p>
        </w:tc>
        <w:tc>
          <w:tcPr>
            <w:tcW w:w="8362" w:type="dxa"/>
            <w:gridSpan w:val="6"/>
            <w:vAlign w:val="center"/>
          </w:tcPr>
          <w:p w14:paraId="5F4D1FA7" w14:textId="77777777" w:rsidR="004007CC" w:rsidRPr="007B5DA6" w:rsidRDefault="004007CC">
            <w:pPr>
              <w:keepLines/>
              <w:rPr>
                <w:rFonts w:ascii="Arial Narrow" w:hAnsi="Arial Narrow"/>
                <w:bCs/>
                <w:color w:val="BFBFBF"/>
                <w:sz w:val="20"/>
                <w:szCs w:val="20"/>
              </w:rPr>
            </w:pPr>
            <w:r w:rsidRPr="007B5DA6">
              <w:rPr>
                <w:rFonts w:ascii="Arial Narrow" w:hAnsi="Arial Narrow"/>
                <w:b/>
                <w:bCs/>
                <w:color w:val="BFBFBF"/>
                <w:sz w:val="20"/>
                <w:szCs w:val="20"/>
              </w:rPr>
              <w:t>Episodicity:</w:t>
            </w:r>
          </w:p>
        </w:tc>
      </w:tr>
      <w:tr w:rsidR="004007CC" w:rsidRPr="007B5DA6" w14:paraId="4A6DF46C"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Merge/>
            <w:vAlign w:val="center"/>
          </w:tcPr>
          <w:p w14:paraId="7DBDCAEF" w14:textId="77777777" w:rsidR="004007CC" w:rsidRPr="007B5DA6" w:rsidRDefault="004007CC">
            <w:pPr>
              <w:keepLines/>
              <w:jc w:val="center"/>
              <w:rPr>
                <w:rFonts w:ascii="Arial Narrow" w:hAnsi="Arial Narrow"/>
                <w:color w:val="333333"/>
                <w:sz w:val="20"/>
                <w:szCs w:val="20"/>
              </w:rPr>
            </w:pPr>
          </w:p>
        </w:tc>
        <w:tc>
          <w:tcPr>
            <w:tcW w:w="8362" w:type="dxa"/>
            <w:gridSpan w:val="6"/>
            <w:vAlign w:val="center"/>
          </w:tcPr>
          <w:p w14:paraId="751F3CD7" w14:textId="77777777" w:rsidR="004007CC" w:rsidRPr="007B5DA6" w:rsidRDefault="004007CC">
            <w:pPr>
              <w:keepLines/>
              <w:rPr>
                <w:rFonts w:ascii="Arial Narrow" w:hAnsi="Arial Narrow"/>
                <w:b/>
                <w:bCs/>
                <w:color w:val="BFBFBF"/>
                <w:sz w:val="20"/>
                <w:szCs w:val="20"/>
              </w:rPr>
            </w:pPr>
            <w:r w:rsidRPr="007B5DA6">
              <w:rPr>
                <w:rFonts w:ascii="Arial Narrow" w:hAnsi="Arial Narrow"/>
                <w:b/>
                <w:bCs/>
                <w:color w:val="BFBFBF"/>
                <w:sz w:val="20"/>
                <w:szCs w:val="20"/>
              </w:rPr>
              <w:t xml:space="preserve">Severity: </w:t>
            </w:r>
          </w:p>
        </w:tc>
      </w:tr>
      <w:tr w:rsidR="004007CC" w:rsidRPr="007B5DA6" w14:paraId="31E20833"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Merge/>
            <w:vAlign w:val="center"/>
          </w:tcPr>
          <w:p w14:paraId="7746B7DC" w14:textId="77777777" w:rsidR="004007CC" w:rsidRPr="007B5DA6" w:rsidRDefault="004007CC">
            <w:pPr>
              <w:keepLines/>
              <w:jc w:val="center"/>
              <w:rPr>
                <w:rFonts w:ascii="Arial Narrow" w:hAnsi="Arial Narrow"/>
                <w:color w:val="333333"/>
                <w:sz w:val="20"/>
                <w:szCs w:val="20"/>
              </w:rPr>
            </w:pPr>
          </w:p>
        </w:tc>
        <w:tc>
          <w:tcPr>
            <w:tcW w:w="8362" w:type="dxa"/>
            <w:gridSpan w:val="6"/>
            <w:vAlign w:val="center"/>
          </w:tcPr>
          <w:p w14:paraId="6F0870F3" w14:textId="77777777" w:rsidR="004007CC" w:rsidRPr="007B5DA6" w:rsidRDefault="004007CC">
            <w:pPr>
              <w:keepLines/>
              <w:rPr>
                <w:rFonts w:ascii="Arial Narrow" w:hAnsi="Arial Narrow"/>
                <w:b/>
                <w:bCs/>
                <w:color w:val="333333"/>
                <w:sz w:val="20"/>
                <w:szCs w:val="20"/>
              </w:rPr>
            </w:pPr>
            <w:r w:rsidRPr="007B5DA6">
              <w:rPr>
                <w:rFonts w:ascii="Arial Narrow" w:hAnsi="Arial Narrow"/>
                <w:b/>
                <w:bCs/>
                <w:color w:val="333333"/>
                <w:sz w:val="20"/>
                <w:szCs w:val="20"/>
              </w:rPr>
              <w:t>Condition:</w:t>
            </w:r>
            <w:r w:rsidRPr="007B5DA6">
              <w:rPr>
                <w:rFonts w:ascii="Arial Narrow" w:eastAsia="Calibri" w:hAnsi="Arial Narrow" w:cs="Calibri"/>
                <w:sz w:val="20"/>
                <w:szCs w:val="20"/>
              </w:rPr>
              <w:t xml:space="preserve"> </w:t>
            </w:r>
            <w:r w:rsidRPr="007B5DA6">
              <w:rPr>
                <w:rFonts w:ascii="Arial Narrow" w:hAnsi="Arial Narrow"/>
                <w:color w:val="333333"/>
                <w:sz w:val="20"/>
                <w:szCs w:val="20"/>
              </w:rPr>
              <w:t xml:space="preserve">Geographic Atrophy (GA) </w:t>
            </w:r>
          </w:p>
        </w:tc>
      </w:tr>
      <w:tr w:rsidR="004007CC" w:rsidRPr="007B5DA6" w14:paraId="5532D06B"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hideMark/>
          </w:tcPr>
          <w:p w14:paraId="476151FC" w14:textId="6FB1F311" w:rsidR="004007CC" w:rsidRPr="007B5DA6" w:rsidRDefault="004007CC">
            <w:pPr>
              <w:keepLines/>
              <w:jc w:val="center"/>
              <w:rPr>
                <w:rFonts w:ascii="Arial Narrow" w:hAnsi="Arial Narrow"/>
                <w:color w:val="333333"/>
                <w:sz w:val="20"/>
                <w:szCs w:val="20"/>
              </w:rPr>
            </w:pPr>
          </w:p>
        </w:tc>
        <w:tc>
          <w:tcPr>
            <w:tcW w:w="8362" w:type="dxa"/>
            <w:gridSpan w:val="6"/>
            <w:vAlign w:val="center"/>
            <w:hideMark/>
          </w:tcPr>
          <w:p w14:paraId="7B9318FE" w14:textId="77777777" w:rsidR="004007CC" w:rsidRPr="007B5DA6" w:rsidRDefault="004007CC">
            <w:pPr>
              <w:keepLines/>
              <w:rPr>
                <w:rFonts w:ascii="Arial Narrow" w:hAnsi="Arial Narrow"/>
                <w:color w:val="333333"/>
                <w:sz w:val="20"/>
                <w:szCs w:val="20"/>
              </w:rPr>
            </w:pPr>
            <w:r w:rsidRPr="007B5DA6">
              <w:rPr>
                <w:rFonts w:ascii="Arial Narrow" w:hAnsi="Arial Narrow"/>
                <w:b/>
                <w:bCs/>
                <w:color w:val="333333"/>
                <w:sz w:val="20"/>
                <w:szCs w:val="20"/>
              </w:rPr>
              <w:t>Indication:</w:t>
            </w:r>
            <w:r w:rsidRPr="007B5DA6">
              <w:rPr>
                <w:rFonts w:ascii="Arial Narrow" w:hAnsi="Arial Narrow"/>
                <w:color w:val="333333"/>
                <w:sz w:val="20"/>
                <w:szCs w:val="20"/>
              </w:rPr>
              <w:t xml:space="preserve"> Geographic Atrophy (GA) </w:t>
            </w:r>
          </w:p>
        </w:tc>
      </w:tr>
      <w:tr w:rsidR="004007CC" w:rsidRPr="007B5DA6" w14:paraId="6D38155D"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hideMark/>
          </w:tcPr>
          <w:p w14:paraId="1972745C" w14:textId="77777777" w:rsidR="004007CC" w:rsidRPr="007B5DA6" w:rsidRDefault="004007CC" w:rsidP="00FB1F58">
            <w:pPr>
              <w:rPr>
                <w:rFonts w:ascii="Arial Narrow" w:hAnsi="Arial Narrow"/>
                <w:color w:val="333333"/>
                <w:sz w:val="20"/>
                <w:szCs w:val="20"/>
              </w:rPr>
            </w:pPr>
          </w:p>
        </w:tc>
        <w:tc>
          <w:tcPr>
            <w:tcW w:w="8362" w:type="dxa"/>
            <w:gridSpan w:val="6"/>
            <w:vAlign w:val="center"/>
            <w:hideMark/>
          </w:tcPr>
          <w:p w14:paraId="56E6BEF1" w14:textId="77777777" w:rsidR="004007CC" w:rsidRPr="007B5DA6" w:rsidRDefault="004007CC">
            <w:pPr>
              <w:rPr>
                <w:rFonts w:ascii="Arial Narrow" w:hAnsi="Arial Narrow"/>
                <w:sz w:val="20"/>
                <w:szCs w:val="20"/>
              </w:rPr>
            </w:pPr>
            <w:r w:rsidRPr="007B5DA6">
              <w:rPr>
                <w:rFonts w:ascii="Arial Narrow" w:hAnsi="Arial Narrow"/>
                <w:b/>
                <w:bCs/>
                <w:color w:val="333333"/>
                <w:sz w:val="20"/>
                <w:szCs w:val="20"/>
              </w:rPr>
              <w:t>Treatment Phase:</w:t>
            </w:r>
            <w:r w:rsidRPr="007B5DA6">
              <w:rPr>
                <w:rFonts w:ascii="Arial Narrow" w:hAnsi="Arial Narrow"/>
                <w:color w:val="FF0000"/>
                <w:sz w:val="20"/>
                <w:szCs w:val="20"/>
              </w:rPr>
              <w:t xml:space="preserve"> </w:t>
            </w:r>
            <w:r w:rsidRPr="007B5DA6">
              <w:rPr>
                <w:rFonts w:ascii="Arial Narrow" w:hAnsi="Arial Narrow"/>
                <w:color w:val="000000"/>
                <w:sz w:val="20"/>
                <w:szCs w:val="20"/>
              </w:rPr>
              <w:t xml:space="preserve">Continuing treatment </w:t>
            </w:r>
          </w:p>
        </w:tc>
      </w:tr>
      <w:tr w:rsidR="004007CC" w:rsidRPr="007B5DA6" w14:paraId="5F114F2E"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B988D9E" w14:textId="18C6BC27" w:rsidR="004007CC" w:rsidRPr="007B5DA6" w:rsidRDefault="004007CC">
            <w:pPr>
              <w:jc w:val="center"/>
              <w:rPr>
                <w:rFonts w:ascii="Arial Narrow" w:hAnsi="Arial Narrow"/>
                <w:color w:val="000000"/>
                <w:sz w:val="20"/>
                <w:szCs w:val="20"/>
              </w:rPr>
            </w:pPr>
          </w:p>
        </w:tc>
        <w:tc>
          <w:tcPr>
            <w:tcW w:w="8362" w:type="dxa"/>
            <w:gridSpan w:val="6"/>
            <w:vAlign w:val="center"/>
            <w:hideMark/>
          </w:tcPr>
          <w:p w14:paraId="467DB18D" w14:textId="77777777" w:rsidR="004007CC" w:rsidRPr="007B5DA6" w:rsidRDefault="004007CC" w:rsidP="00B5542E">
            <w:pPr>
              <w:jc w:val="left"/>
              <w:rPr>
                <w:rFonts w:ascii="Arial Narrow" w:hAnsi="Arial Narrow"/>
                <w:color w:val="000000"/>
                <w:sz w:val="20"/>
                <w:szCs w:val="20"/>
              </w:rPr>
            </w:pPr>
            <w:r w:rsidRPr="007B5DA6">
              <w:rPr>
                <w:rFonts w:ascii="Arial Narrow" w:hAnsi="Arial Narrow"/>
                <w:b/>
                <w:bCs/>
                <w:color w:val="000000"/>
                <w:sz w:val="20"/>
                <w:szCs w:val="20"/>
              </w:rPr>
              <w:t xml:space="preserve">Clinical criteria: </w:t>
            </w:r>
          </w:p>
        </w:tc>
      </w:tr>
      <w:tr w:rsidR="004007CC" w:rsidRPr="007B5DA6" w14:paraId="1051E72E"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6177333" w14:textId="1B2CEA14" w:rsidR="004007CC" w:rsidRPr="007B5DA6" w:rsidRDefault="004007CC">
            <w:pPr>
              <w:jc w:val="center"/>
              <w:rPr>
                <w:rFonts w:ascii="Arial Narrow" w:hAnsi="Arial Narrow"/>
                <w:color w:val="000000"/>
                <w:sz w:val="20"/>
                <w:szCs w:val="20"/>
              </w:rPr>
            </w:pPr>
          </w:p>
        </w:tc>
        <w:tc>
          <w:tcPr>
            <w:tcW w:w="8362" w:type="dxa"/>
            <w:gridSpan w:val="6"/>
            <w:vAlign w:val="center"/>
            <w:hideMark/>
          </w:tcPr>
          <w:p w14:paraId="3CAB3D0D" w14:textId="394D4DFD" w:rsidR="004007CC" w:rsidRPr="007B5DA6" w:rsidRDefault="004007CC" w:rsidP="00B5542E">
            <w:pPr>
              <w:jc w:val="left"/>
              <w:rPr>
                <w:rFonts w:ascii="Arial Narrow" w:hAnsi="Arial Narrow"/>
                <w:color w:val="000000"/>
                <w:sz w:val="20"/>
                <w:szCs w:val="20"/>
              </w:rPr>
            </w:pPr>
            <w:r w:rsidRPr="007B5DA6">
              <w:rPr>
                <w:rFonts w:ascii="Arial Narrow" w:hAnsi="Arial Narrow"/>
                <w:color w:val="000000"/>
                <w:sz w:val="20"/>
                <w:szCs w:val="20"/>
              </w:rPr>
              <w:t>Patient must have previously received PBS</w:t>
            </w:r>
            <w:r w:rsidR="00397B07" w:rsidRPr="007B5DA6">
              <w:rPr>
                <w:rFonts w:ascii="Arial Narrow" w:hAnsi="Arial Narrow"/>
                <w:color w:val="000000"/>
                <w:sz w:val="20"/>
                <w:szCs w:val="20"/>
              </w:rPr>
              <w:noBreakHyphen/>
            </w:r>
            <w:r w:rsidRPr="007B5DA6">
              <w:rPr>
                <w:rFonts w:ascii="Arial Narrow" w:hAnsi="Arial Narrow"/>
                <w:color w:val="000000"/>
                <w:sz w:val="20"/>
                <w:szCs w:val="20"/>
              </w:rPr>
              <w:t>subsidised treatment with this drug for this condition for the same eye</w:t>
            </w:r>
          </w:p>
        </w:tc>
      </w:tr>
      <w:tr w:rsidR="004007CC" w:rsidRPr="007B5DA6" w14:paraId="5C13607B"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11E7FD1" w14:textId="77777777" w:rsidR="004007CC" w:rsidRPr="007B5DA6" w:rsidRDefault="004007CC">
            <w:pPr>
              <w:jc w:val="center"/>
              <w:rPr>
                <w:rFonts w:ascii="Arial Narrow" w:hAnsi="Arial Narrow"/>
                <w:color w:val="000000"/>
                <w:sz w:val="20"/>
                <w:szCs w:val="20"/>
              </w:rPr>
            </w:pPr>
          </w:p>
        </w:tc>
        <w:tc>
          <w:tcPr>
            <w:tcW w:w="8362" w:type="dxa"/>
            <w:gridSpan w:val="6"/>
            <w:vAlign w:val="center"/>
          </w:tcPr>
          <w:p w14:paraId="7A1A3FED" w14:textId="77777777" w:rsidR="004007CC" w:rsidRPr="007B5DA6" w:rsidRDefault="004007CC">
            <w:pPr>
              <w:rPr>
                <w:rFonts w:ascii="Arial Narrow" w:hAnsi="Arial Narrow"/>
                <w:color w:val="000000"/>
                <w:sz w:val="20"/>
                <w:szCs w:val="20"/>
              </w:rPr>
            </w:pPr>
            <w:r w:rsidRPr="007B5DA6">
              <w:rPr>
                <w:rFonts w:ascii="Arial Narrow" w:hAnsi="Arial Narrow"/>
                <w:b/>
                <w:bCs/>
                <w:color w:val="333333"/>
                <w:sz w:val="20"/>
                <w:szCs w:val="20"/>
              </w:rPr>
              <w:t>AND</w:t>
            </w:r>
          </w:p>
        </w:tc>
      </w:tr>
      <w:tr w:rsidR="004007CC" w:rsidRPr="007B5DA6" w14:paraId="5F98E5CD"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E693269" w14:textId="251CC6CD" w:rsidR="004007CC" w:rsidRPr="007B5DA6" w:rsidRDefault="004007CC">
            <w:pPr>
              <w:jc w:val="center"/>
              <w:rPr>
                <w:rFonts w:ascii="Arial Narrow" w:hAnsi="Arial Narrow"/>
                <w:sz w:val="20"/>
                <w:szCs w:val="20"/>
              </w:rPr>
            </w:pPr>
          </w:p>
        </w:tc>
        <w:tc>
          <w:tcPr>
            <w:tcW w:w="8362" w:type="dxa"/>
            <w:gridSpan w:val="6"/>
            <w:vAlign w:val="center"/>
          </w:tcPr>
          <w:p w14:paraId="54BFDD48" w14:textId="77777777" w:rsidR="004007CC" w:rsidRPr="007B5DA6" w:rsidRDefault="004007CC">
            <w:pPr>
              <w:rPr>
                <w:rFonts w:ascii="Arial Narrow" w:hAnsi="Arial Narrow"/>
                <w:sz w:val="20"/>
                <w:szCs w:val="20"/>
              </w:rPr>
            </w:pPr>
            <w:r w:rsidRPr="007B5DA6">
              <w:rPr>
                <w:rFonts w:ascii="Arial Narrow" w:hAnsi="Arial Narrow"/>
                <w:b/>
                <w:bCs/>
                <w:sz w:val="20"/>
                <w:szCs w:val="20"/>
              </w:rPr>
              <w:t>Clinical criteria:</w:t>
            </w:r>
          </w:p>
        </w:tc>
      </w:tr>
      <w:tr w:rsidR="004007CC" w:rsidRPr="007B5DA6" w14:paraId="3AE0011E"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7B4D0BA" w14:textId="5C036F87" w:rsidR="004007CC" w:rsidRPr="007B5DA6" w:rsidRDefault="004007CC">
            <w:pPr>
              <w:jc w:val="center"/>
              <w:rPr>
                <w:rFonts w:ascii="Arial Narrow" w:hAnsi="Arial Narrow"/>
                <w:sz w:val="20"/>
                <w:szCs w:val="20"/>
              </w:rPr>
            </w:pPr>
          </w:p>
        </w:tc>
        <w:tc>
          <w:tcPr>
            <w:tcW w:w="8362" w:type="dxa"/>
            <w:gridSpan w:val="6"/>
            <w:vAlign w:val="center"/>
          </w:tcPr>
          <w:p w14:paraId="3EB82E96" w14:textId="0798691E" w:rsidR="004007CC" w:rsidRPr="007B5DA6" w:rsidRDefault="004007CC">
            <w:pPr>
              <w:rPr>
                <w:rFonts w:ascii="Arial Narrow" w:hAnsi="Arial Narrow"/>
                <w:sz w:val="20"/>
                <w:szCs w:val="20"/>
              </w:rPr>
            </w:pPr>
            <w:r w:rsidRPr="007B5DA6">
              <w:rPr>
                <w:rFonts w:ascii="Arial Narrow" w:hAnsi="Arial Narrow" w:cstheme="minorHAnsi"/>
                <w:sz w:val="20"/>
                <w:szCs w:val="20"/>
              </w:rPr>
              <w:t>The condition must be secondary to age</w:t>
            </w:r>
            <w:r w:rsidR="00397B07" w:rsidRPr="007B5DA6">
              <w:rPr>
                <w:rFonts w:ascii="Arial Narrow" w:hAnsi="Arial Narrow" w:cstheme="minorHAnsi"/>
                <w:sz w:val="20"/>
                <w:szCs w:val="20"/>
              </w:rPr>
              <w:noBreakHyphen/>
            </w:r>
            <w:r w:rsidRPr="007B5DA6">
              <w:rPr>
                <w:rFonts w:ascii="Arial Narrow" w:hAnsi="Arial Narrow" w:cstheme="minorHAnsi"/>
                <w:sz w:val="20"/>
                <w:szCs w:val="20"/>
              </w:rPr>
              <w:t>related macular degeneration (AMD).</w:t>
            </w:r>
          </w:p>
        </w:tc>
      </w:tr>
      <w:tr w:rsidR="004007CC" w:rsidRPr="007B5DA6" w14:paraId="6F044E51"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E97A075" w14:textId="77777777" w:rsidR="004007CC" w:rsidRPr="007B5DA6" w:rsidRDefault="004007CC">
            <w:pPr>
              <w:jc w:val="center"/>
              <w:rPr>
                <w:rFonts w:ascii="Arial Narrow" w:hAnsi="Arial Narrow"/>
                <w:strike/>
                <w:color w:val="333333"/>
                <w:sz w:val="20"/>
                <w:szCs w:val="20"/>
              </w:rPr>
            </w:pPr>
          </w:p>
        </w:tc>
        <w:tc>
          <w:tcPr>
            <w:tcW w:w="8362" w:type="dxa"/>
            <w:gridSpan w:val="6"/>
            <w:vAlign w:val="center"/>
            <w:hideMark/>
          </w:tcPr>
          <w:p w14:paraId="59F38A0F" w14:textId="77777777" w:rsidR="004007CC" w:rsidRPr="007B5DA6" w:rsidRDefault="004007CC">
            <w:pPr>
              <w:rPr>
                <w:rFonts w:ascii="Arial Narrow" w:hAnsi="Arial Narrow"/>
                <w:strike/>
                <w:color w:val="333333"/>
                <w:sz w:val="20"/>
                <w:szCs w:val="20"/>
              </w:rPr>
            </w:pPr>
            <w:r w:rsidRPr="007B5DA6">
              <w:rPr>
                <w:rFonts w:ascii="Arial Narrow" w:hAnsi="Arial Narrow"/>
                <w:b/>
                <w:bCs/>
                <w:strike/>
                <w:color w:val="333333"/>
                <w:sz w:val="20"/>
                <w:szCs w:val="20"/>
              </w:rPr>
              <w:t>AND</w:t>
            </w:r>
          </w:p>
        </w:tc>
      </w:tr>
      <w:tr w:rsidR="004007CC" w:rsidRPr="007B5DA6" w14:paraId="6B49C78C"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133D76B5" w14:textId="77777777" w:rsidR="004007CC" w:rsidRPr="007B5DA6" w:rsidRDefault="004007CC">
            <w:pPr>
              <w:jc w:val="center"/>
              <w:rPr>
                <w:rFonts w:ascii="Arial Narrow" w:hAnsi="Arial Narrow"/>
                <w:color w:val="333333"/>
                <w:sz w:val="20"/>
                <w:szCs w:val="20"/>
              </w:rPr>
            </w:pPr>
          </w:p>
        </w:tc>
        <w:tc>
          <w:tcPr>
            <w:tcW w:w="8362" w:type="dxa"/>
            <w:gridSpan w:val="6"/>
            <w:vAlign w:val="center"/>
          </w:tcPr>
          <w:p w14:paraId="37FFCC34" w14:textId="77777777" w:rsidR="004007CC" w:rsidRPr="007B5DA6" w:rsidRDefault="004007CC">
            <w:pPr>
              <w:rPr>
                <w:rFonts w:ascii="Arial Narrow" w:hAnsi="Arial Narrow"/>
                <w:color w:val="333333"/>
                <w:sz w:val="20"/>
                <w:szCs w:val="20"/>
              </w:rPr>
            </w:pPr>
            <w:r w:rsidRPr="007B5DA6">
              <w:rPr>
                <w:rFonts w:ascii="Arial Narrow" w:hAnsi="Arial Narrow"/>
                <w:b/>
                <w:bCs/>
                <w:color w:val="333333"/>
                <w:sz w:val="20"/>
                <w:szCs w:val="20"/>
              </w:rPr>
              <w:t>AND</w:t>
            </w:r>
          </w:p>
        </w:tc>
      </w:tr>
      <w:tr w:rsidR="004007CC" w:rsidRPr="007B5DA6" w14:paraId="57747993"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8792BD7" w14:textId="0ADA6BB5" w:rsidR="004007CC" w:rsidRPr="007B5DA6" w:rsidRDefault="004007CC">
            <w:pPr>
              <w:jc w:val="center"/>
              <w:rPr>
                <w:rFonts w:ascii="Arial Narrow" w:hAnsi="Arial Narrow"/>
                <w:color w:val="333333"/>
                <w:sz w:val="20"/>
                <w:szCs w:val="20"/>
              </w:rPr>
            </w:pPr>
          </w:p>
        </w:tc>
        <w:tc>
          <w:tcPr>
            <w:tcW w:w="8362" w:type="dxa"/>
            <w:gridSpan w:val="6"/>
            <w:vAlign w:val="center"/>
          </w:tcPr>
          <w:p w14:paraId="2B9392D3" w14:textId="77777777" w:rsidR="004007CC" w:rsidRPr="007B5DA6" w:rsidRDefault="004007CC">
            <w:pPr>
              <w:rPr>
                <w:rFonts w:ascii="Arial Narrow" w:hAnsi="Arial Narrow"/>
                <w:color w:val="333333"/>
                <w:sz w:val="20"/>
                <w:szCs w:val="20"/>
              </w:rPr>
            </w:pPr>
            <w:r w:rsidRPr="007B5DA6">
              <w:rPr>
                <w:rFonts w:ascii="Arial Narrow" w:hAnsi="Arial Narrow"/>
                <w:b/>
                <w:bCs/>
                <w:color w:val="333333"/>
                <w:sz w:val="20"/>
                <w:szCs w:val="20"/>
              </w:rPr>
              <w:t>Clinical criteria:</w:t>
            </w:r>
          </w:p>
        </w:tc>
      </w:tr>
      <w:tr w:rsidR="004007CC" w:rsidRPr="007B5DA6" w14:paraId="7EC6EFEE"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A68DCD6" w14:textId="7862B42D" w:rsidR="004007CC" w:rsidRPr="007B5DA6" w:rsidRDefault="004007CC">
            <w:pPr>
              <w:jc w:val="center"/>
              <w:rPr>
                <w:rFonts w:ascii="Arial Narrow" w:hAnsi="Arial Narrow"/>
                <w:color w:val="333333"/>
                <w:sz w:val="20"/>
                <w:szCs w:val="20"/>
              </w:rPr>
            </w:pPr>
          </w:p>
        </w:tc>
        <w:tc>
          <w:tcPr>
            <w:tcW w:w="8362" w:type="dxa"/>
            <w:gridSpan w:val="6"/>
            <w:vAlign w:val="center"/>
          </w:tcPr>
          <w:p w14:paraId="13ECCED1" w14:textId="4F52226E" w:rsidR="004007CC" w:rsidRPr="007B5DA6" w:rsidRDefault="004007CC">
            <w:pPr>
              <w:rPr>
                <w:rFonts w:ascii="Arial Narrow" w:hAnsi="Arial Narrow"/>
                <w:color w:val="333333"/>
                <w:sz w:val="20"/>
                <w:szCs w:val="20"/>
              </w:rPr>
            </w:pPr>
            <w:r w:rsidRPr="007B5DA6">
              <w:rPr>
                <w:rFonts w:ascii="Arial Narrow" w:hAnsi="Arial Narrow"/>
                <w:color w:val="333333"/>
                <w:sz w:val="20"/>
                <w:szCs w:val="20"/>
              </w:rPr>
              <w:t>The treatment must be the sole PBS</w:t>
            </w:r>
            <w:r w:rsidR="00397B07" w:rsidRPr="007B5DA6">
              <w:rPr>
                <w:rFonts w:ascii="Arial Narrow" w:hAnsi="Arial Narrow"/>
                <w:color w:val="333333"/>
                <w:sz w:val="20"/>
                <w:szCs w:val="20"/>
              </w:rPr>
              <w:noBreakHyphen/>
            </w:r>
            <w:r w:rsidRPr="007B5DA6">
              <w:rPr>
                <w:rFonts w:ascii="Arial Narrow" w:hAnsi="Arial Narrow"/>
                <w:color w:val="333333"/>
                <w:sz w:val="20"/>
                <w:szCs w:val="20"/>
              </w:rPr>
              <w:t>subsidised therapy for this condition</w:t>
            </w:r>
          </w:p>
        </w:tc>
      </w:tr>
      <w:tr w:rsidR="004007CC" w:rsidRPr="007B5DA6" w14:paraId="5D0AD42B"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30EF6CA8" w14:textId="77777777" w:rsidR="004007CC" w:rsidRPr="007B5DA6" w:rsidRDefault="004007CC">
            <w:pPr>
              <w:jc w:val="center"/>
              <w:rPr>
                <w:rFonts w:ascii="Arial Narrow" w:hAnsi="Arial Narrow"/>
                <w:strike/>
                <w:color w:val="333333"/>
                <w:sz w:val="20"/>
                <w:szCs w:val="20"/>
              </w:rPr>
            </w:pPr>
          </w:p>
        </w:tc>
        <w:tc>
          <w:tcPr>
            <w:tcW w:w="8362" w:type="dxa"/>
            <w:gridSpan w:val="6"/>
            <w:vAlign w:val="center"/>
          </w:tcPr>
          <w:p w14:paraId="6C2831C9" w14:textId="77777777" w:rsidR="004007CC" w:rsidRPr="007B5DA6" w:rsidRDefault="004007CC">
            <w:pPr>
              <w:rPr>
                <w:rFonts w:ascii="Arial Narrow" w:hAnsi="Arial Narrow"/>
                <w:strike/>
                <w:color w:val="333333"/>
                <w:sz w:val="20"/>
                <w:szCs w:val="20"/>
              </w:rPr>
            </w:pPr>
            <w:r w:rsidRPr="007B5DA6">
              <w:rPr>
                <w:rFonts w:ascii="Arial Narrow" w:hAnsi="Arial Narrow"/>
                <w:b/>
                <w:bCs/>
                <w:color w:val="333333"/>
                <w:sz w:val="20"/>
                <w:szCs w:val="20"/>
              </w:rPr>
              <w:t>AND</w:t>
            </w:r>
          </w:p>
        </w:tc>
      </w:tr>
      <w:tr w:rsidR="004007CC" w:rsidRPr="007B5DA6" w14:paraId="48C7A368"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37A620C" w14:textId="65C1689D" w:rsidR="004007CC" w:rsidRPr="007B5DA6" w:rsidRDefault="004007CC">
            <w:pPr>
              <w:jc w:val="center"/>
              <w:rPr>
                <w:rFonts w:ascii="Arial Narrow" w:hAnsi="Arial Narrow"/>
                <w:color w:val="333333"/>
                <w:sz w:val="20"/>
                <w:szCs w:val="20"/>
              </w:rPr>
            </w:pPr>
          </w:p>
        </w:tc>
        <w:tc>
          <w:tcPr>
            <w:tcW w:w="8362" w:type="dxa"/>
            <w:gridSpan w:val="6"/>
            <w:vAlign w:val="center"/>
          </w:tcPr>
          <w:p w14:paraId="09101378" w14:textId="77777777" w:rsidR="004007CC" w:rsidRPr="007B5DA6" w:rsidRDefault="004007CC" w:rsidP="00B5542E">
            <w:pPr>
              <w:jc w:val="left"/>
              <w:rPr>
                <w:rFonts w:ascii="Arial Narrow" w:hAnsi="Arial Narrow"/>
                <w:color w:val="333333"/>
                <w:sz w:val="20"/>
                <w:szCs w:val="20"/>
              </w:rPr>
            </w:pPr>
            <w:r w:rsidRPr="007B5DA6">
              <w:rPr>
                <w:rFonts w:ascii="Arial Narrow" w:hAnsi="Arial Narrow"/>
                <w:b/>
                <w:bCs/>
                <w:color w:val="333333"/>
                <w:sz w:val="20"/>
                <w:szCs w:val="20"/>
              </w:rPr>
              <w:t>Clinical criteria:</w:t>
            </w:r>
          </w:p>
        </w:tc>
      </w:tr>
      <w:tr w:rsidR="004007CC" w:rsidRPr="007B5DA6" w14:paraId="0336FE0C"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2DD4AB31" w14:textId="08636FFB" w:rsidR="004007CC" w:rsidRPr="007B5DA6" w:rsidRDefault="004007CC">
            <w:pPr>
              <w:jc w:val="center"/>
              <w:rPr>
                <w:rFonts w:ascii="Arial Narrow" w:hAnsi="Arial Narrow"/>
                <w:color w:val="333333"/>
                <w:sz w:val="20"/>
                <w:szCs w:val="20"/>
              </w:rPr>
            </w:pPr>
          </w:p>
        </w:tc>
        <w:tc>
          <w:tcPr>
            <w:tcW w:w="8362" w:type="dxa"/>
            <w:gridSpan w:val="6"/>
            <w:vAlign w:val="center"/>
          </w:tcPr>
          <w:p w14:paraId="52B84B8B" w14:textId="162532E0" w:rsidR="004007CC" w:rsidRPr="007B5DA6" w:rsidRDefault="004007CC" w:rsidP="00B5542E">
            <w:pPr>
              <w:jc w:val="left"/>
              <w:rPr>
                <w:rFonts w:ascii="Arial Narrow" w:eastAsiaTheme="minorHAnsi" w:hAnsi="Arial Narrow" w:cstheme="minorHAnsi"/>
                <w:color w:val="FF0000"/>
                <w:kern w:val="2"/>
                <w:sz w:val="20"/>
                <w:szCs w:val="20"/>
                <w:lang w:eastAsia="en-US"/>
                <w14:ligatures w14:val="standardContextual"/>
              </w:rPr>
            </w:pPr>
            <w:r w:rsidRPr="007B5DA6">
              <w:rPr>
                <w:rFonts w:ascii="Arial Narrow" w:hAnsi="Arial Narrow" w:cstheme="minorHAnsi"/>
                <w:sz w:val="20"/>
                <w:szCs w:val="20"/>
              </w:rPr>
              <w:t>The patient must have non</w:t>
            </w:r>
            <w:r w:rsidR="00397B07" w:rsidRPr="007B5DA6">
              <w:rPr>
                <w:rFonts w:ascii="Arial Narrow" w:hAnsi="Arial Narrow" w:cstheme="minorHAnsi"/>
                <w:sz w:val="20"/>
                <w:szCs w:val="20"/>
              </w:rPr>
              <w:noBreakHyphen/>
            </w:r>
            <w:r w:rsidRPr="007B5DA6">
              <w:rPr>
                <w:rFonts w:ascii="Arial Narrow" w:hAnsi="Arial Narrow" w:cstheme="minorHAnsi"/>
                <w:sz w:val="20"/>
                <w:szCs w:val="20"/>
              </w:rPr>
              <w:t>subfoveal</w:t>
            </w:r>
            <w:r w:rsidRPr="007B5DA6">
              <w:rPr>
                <w:rFonts w:ascii="Arial Narrow" w:hAnsi="Arial Narrow"/>
                <w:sz w:val="20"/>
                <w:szCs w:val="20"/>
              </w:rPr>
              <w:t xml:space="preserve"> </w:t>
            </w:r>
            <w:r w:rsidRPr="007B5DA6">
              <w:rPr>
                <w:rFonts w:ascii="Arial Narrow" w:hAnsi="Arial Narrow" w:cstheme="minorHAnsi"/>
                <w:sz w:val="20"/>
                <w:szCs w:val="20"/>
              </w:rPr>
              <w:t xml:space="preserve">GA lesion(s), distanced from the centre point of the fovea by at least 1 </w:t>
            </w:r>
            <w:r w:rsidR="00B10F49" w:rsidRPr="007B5DA6">
              <w:rPr>
                <w:rFonts w:ascii="Arial Narrow" w:hAnsi="Arial Narrow" w:cstheme="minorHAnsi"/>
                <w:sz w:val="20"/>
                <w:szCs w:val="20"/>
              </w:rPr>
              <w:t>micrometre</w:t>
            </w:r>
            <w:r w:rsidRPr="007B5DA6">
              <w:rPr>
                <w:rFonts w:ascii="Arial Narrow" w:hAnsi="Arial Narrow" w:cstheme="minorHAnsi"/>
                <w:sz w:val="20"/>
                <w:szCs w:val="20"/>
              </w:rPr>
              <w:t xml:space="preserve"> in the treated eye</w:t>
            </w:r>
            <w:r w:rsidRPr="007B5DA6">
              <w:rPr>
                <w:rFonts w:ascii="Arial Narrow" w:hAnsi="Arial Narrow" w:cstheme="minorHAnsi"/>
                <w:strike/>
                <w:sz w:val="20"/>
                <w:szCs w:val="20"/>
              </w:rPr>
              <w:t xml:space="preserve"> </w:t>
            </w:r>
          </w:p>
        </w:tc>
      </w:tr>
      <w:tr w:rsidR="004007CC" w:rsidRPr="007B5DA6" w14:paraId="55070293"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6FBCD112" w14:textId="69CBB5F1" w:rsidR="004007CC" w:rsidRPr="007B5DA6" w:rsidRDefault="004007CC">
            <w:pPr>
              <w:keepNext/>
              <w:jc w:val="center"/>
              <w:rPr>
                <w:rFonts w:ascii="Arial Narrow" w:hAnsi="Arial Narrow"/>
                <w:color w:val="333333"/>
                <w:sz w:val="20"/>
                <w:szCs w:val="20"/>
              </w:rPr>
            </w:pPr>
          </w:p>
        </w:tc>
        <w:tc>
          <w:tcPr>
            <w:tcW w:w="8362" w:type="dxa"/>
            <w:gridSpan w:val="6"/>
            <w:vAlign w:val="center"/>
            <w:hideMark/>
          </w:tcPr>
          <w:p w14:paraId="39ADA105" w14:textId="77777777" w:rsidR="004007CC" w:rsidRPr="007B5DA6" w:rsidRDefault="004007CC" w:rsidP="00B5542E">
            <w:pPr>
              <w:keepNext/>
              <w:jc w:val="left"/>
              <w:rPr>
                <w:rFonts w:ascii="Arial Narrow" w:hAnsi="Arial Narrow"/>
                <w:color w:val="333333"/>
                <w:sz w:val="20"/>
                <w:szCs w:val="20"/>
              </w:rPr>
            </w:pPr>
            <w:r w:rsidRPr="007B5DA6">
              <w:rPr>
                <w:rFonts w:ascii="Arial Narrow" w:hAnsi="Arial Narrow"/>
                <w:b/>
                <w:bCs/>
                <w:color w:val="333333"/>
                <w:sz w:val="20"/>
                <w:szCs w:val="20"/>
              </w:rPr>
              <w:t>Treatment criteria:</w:t>
            </w:r>
          </w:p>
        </w:tc>
      </w:tr>
      <w:tr w:rsidR="004007CC" w:rsidRPr="007B5DA6" w14:paraId="2197F68B"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tcPr>
          <w:p w14:paraId="08FA9F5E" w14:textId="470FBC83" w:rsidR="004007CC" w:rsidRPr="007B5DA6" w:rsidRDefault="004007CC">
            <w:pPr>
              <w:jc w:val="center"/>
              <w:rPr>
                <w:rFonts w:ascii="Arial Narrow" w:hAnsi="Arial Narrow"/>
                <w:color w:val="333333"/>
                <w:sz w:val="20"/>
                <w:szCs w:val="20"/>
              </w:rPr>
            </w:pPr>
          </w:p>
        </w:tc>
        <w:tc>
          <w:tcPr>
            <w:tcW w:w="8362" w:type="dxa"/>
            <w:gridSpan w:val="6"/>
            <w:vAlign w:val="center"/>
            <w:hideMark/>
          </w:tcPr>
          <w:p w14:paraId="11C08416" w14:textId="77777777" w:rsidR="004007CC" w:rsidRPr="007B5DA6" w:rsidRDefault="004007CC" w:rsidP="00B5542E">
            <w:pPr>
              <w:autoSpaceDE w:val="0"/>
              <w:autoSpaceDN w:val="0"/>
              <w:adjustRightInd w:val="0"/>
              <w:jc w:val="left"/>
              <w:rPr>
                <w:rFonts w:ascii="Arial Narrow" w:hAnsi="Arial Narrow" w:cs="Arial Narrow"/>
                <w:sz w:val="20"/>
                <w:szCs w:val="20"/>
              </w:rPr>
            </w:pPr>
            <w:r w:rsidRPr="007B5DA6">
              <w:rPr>
                <w:rFonts w:ascii="Arial Narrow" w:hAnsi="Arial Narrow" w:cs="Arial Narrow"/>
                <w:color w:val="000000"/>
                <w:sz w:val="20"/>
                <w:szCs w:val="20"/>
              </w:rPr>
              <w:t>Must be treated by an ophthalmologist or by an accredited ophthalmology registrar in consultation with an ophthalmologist.</w:t>
            </w:r>
          </w:p>
        </w:tc>
      </w:tr>
      <w:tr w:rsidR="004007CC" w:rsidRPr="007B5DA6" w14:paraId="19C53244" w14:textId="77777777" w:rsidTr="00B5542E">
        <w:tblPrEx>
          <w:tblCellMar>
            <w:top w:w="15" w:type="dxa"/>
            <w:bottom w:w="15" w:type="dxa"/>
          </w:tblCellMar>
          <w:tblLook w:val="04A0" w:firstRow="1" w:lastRow="0" w:firstColumn="1" w:lastColumn="0" w:noHBand="0" w:noVBand="1"/>
        </w:tblPrEx>
        <w:trPr>
          <w:cantSplit/>
          <w:trHeight w:val="20"/>
        </w:trPr>
        <w:tc>
          <w:tcPr>
            <w:tcW w:w="1277" w:type="dxa"/>
            <w:gridSpan w:val="2"/>
            <w:vAlign w:val="center"/>
            <w:hideMark/>
          </w:tcPr>
          <w:p w14:paraId="5DD9EEF6" w14:textId="41BFBEE3" w:rsidR="004007CC" w:rsidRPr="007B5DA6" w:rsidRDefault="004007CC">
            <w:pPr>
              <w:jc w:val="center"/>
              <w:rPr>
                <w:rFonts w:ascii="Arial Narrow" w:hAnsi="Arial Narrow"/>
                <w:color w:val="333333"/>
                <w:sz w:val="20"/>
                <w:szCs w:val="20"/>
              </w:rPr>
            </w:pPr>
          </w:p>
          <w:p w14:paraId="0CB1439D" w14:textId="5F4EC9DC" w:rsidR="004007CC" w:rsidRPr="007B5DA6" w:rsidRDefault="004007CC">
            <w:pPr>
              <w:jc w:val="center"/>
              <w:rPr>
                <w:rFonts w:ascii="Arial Narrow" w:hAnsi="Arial Narrow"/>
                <w:color w:val="333333"/>
                <w:sz w:val="20"/>
                <w:szCs w:val="20"/>
              </w:rPr>
            </w:pPr>
          </w:p>
        </w:tc>
        <w:tc>
          <w:tcPr>
            <w:tcW w:w="8362" w:type="dxa"/>
            <w:gridSpan w:val="6"/>
            <w:vAlign w:val="center"/>
            <w:hideMark/>
          </w:tcPr>
          <w:p w14:paraId="077B9543" w14:textId="77777777" w:rsidR="004007CC" w:rsidRPr="007B5DA6" w:rsidRDefault="004007CC" w:rsidP="00B5542E">
            <w:pPr>
              <w:jc w:val="left"/>
              <w:rPr>
                <w:rFonts w:ascii="Arial Narrow" w:hAnsi="Arial Narrow"/>
                <w:bCs/>
                <w:color w:val="FF0000"/>
                <w:sz w:val="20"/>
                <w:szCs w:val="20"/>
              </w:rPr>
            </w:pPr>
            <w:r w:rsidRPr="007B5DA6">
              <w:rPr>
                <w:rFonts w:ascii="Arial Narrow" w:hAnsi="Arial Narrow"/>
                <w:b/>
                <w:bCs/>
                <w:color w:val="333333"/>
                <w:sz w:val="20"/>
                <w:szCs w:val="20"/>
              </w:rPr>
              <w:t xml:space="preserve">Administrative Advice: </w:t>
            </w:r>
          </w:p>
          <w:p w14:paraId="2B19D9CC" w14:textId="77777777" w:rsidR="004007CC" w:rsidRPr="007B5DA6" w:rsidRDefault="004007CC" w:rsidP="00B5542E">
            <w:pPr>
              <w:keepLines/>
              <w:suppressLineNumbers/>
              <w:spacing w:after="80"/>
              <w:jc w:val="left"/>
              <w:textboxTightWrap w:val="allLines"/>
              <w:rPr>
                <w:rFonts w:ascii="Arial Narrow" w:hAnsi="Arial Narrow"/>
                <w:sz w:val="20"/>
                <w:szCs w:val="20"/>
                <w:lang w:eastAsia="en-GB"/>
              </w:rPr>
            </w:pPr>
            <w:r w:rsidRPr="007B5DA6">
              <w:rPr>
                <w:rFonts w:ascii="Arial Narrow" w:hAnsi="Arial Narrow"/>
                <w:sz w:val="20"/>
                <w:szCs w:val="20"/>
                <w:lang w:eastAsia="en-GB"/>
              </w:rPr>
              <w:t>Any queries concerning the arrangements to prescribe may be directed to Services Australia on 1800 700 270 (hours of operation 8 a.m. to 5 p.m. Monday to Friday).</w:t>
            </w:r>
          </w:p>
        </w:tc>
      </w:tr>
    </w:tbl>
    <w:p w14:paraId="4BE6170B" w14:textId="4DDF6C39" w:rsidR="00E758A2" w:rsidRPr="00907671" w:rsidRDefault="00D848E2" w:rsidP="00D848E2">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bookmarkEnd w:id="100"/>
    <w:p w14:paraId="60B06BA2" w14:textId="77777777" w:rsidR="00616150" w:rsidRPr="00616150" w:rsidRDefault="00616150" w:rsidP="00616150">
      <w:pPr>
        <w:keepNext/>
        <w:spacing w:before="240" w:after="120"/>
        <w:ind w:left="720" w:hanging="720"/>
        <w:jc w:val="left"/>
        <w:outlineLvl w:val="0"/>
        <w:rPr>
          <w:rFonts w:asciiTheme="minorHAnsi" w:hAnsiTheme="minorHAnsi"/>
          <w:b/>
          <w:bCs/>
          <w:snapToGrid w:val="0"/>
          <w:sz w:val="32"/>
          <w:szCs w:val="32"/>
          <w:lang w:val="en-GB"/>
        </w:rPr>
      </w:pPr>
      <w:r w:rsidRPr="00616150">
        <w:rPr>
          <w:rFonts w:asciiTheme="minorHAnsi" w:hAnsiTheme="minorHAnsi"/>
          <w:b/>
          <w:snapToGrid w:val="0"/>
          <w:sz w:val="32"/>
          <w:szCs w:val="32"/>
        </w:rPr>
        <w:t>9</w:t>
      </w:r>
      <w:r w:rsidRPr="00616150">
        <w:rPr>
          <w:rFonts w:asciiTheme="minorHAnsi" w:hAnsiTheme="minorHAnsi"/>
          <w:b/>
          <w:snapToGrid w:val="0"/>
          <w:sz w:val="32"/>
          <w:szCs w:val="32"/>
        </w:rPr>
        <w:tab/>
        <w:t>Context for Decision</w:t>
      </w:r>
    </w:p>
    <w:p w14:paraId="6B1DFCFE" w14:textId="77777777" w:rsidR="00616150" w:rsidRDefault="00616150" w:rsidP="00616150">
      <w:pPr>
        <w:spacing w:after="120"/>
        <w:ind w:left="720"/>
        <w:rPr>
          <w:rFonts w:asciiTheme="minorHAnsi" w:hAnsiTheme="minorHAnsi"/>
          <w:bCs/>
          <w:lang w:val="en-GB"/>
        </w:rPr>
      </w:pPr>
      <w:r w:rsidRPr="00616150">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616150">
        <w:rPr>
          <w:rFonts w:asciiTheme="minorHAnsi" w:hAnsiTheme="minorHAnsi"/>
          <w:bCs/>
          <w:lang w:val="en-GB"/>
        </w:rPr>
        <w:lastRenderedPageBreak/>
        <w:t>merits of the medicine or the circumstances in which it should be made available through the PBS. The PBAC welcomes applications containing new information at any time.</w:t>
      </w:r>
    </w:p>
    <w:p w14:paraId="7FF86233" w14:textId="77777777" w:rsidR="000A57C3" w:rsidRPr="000A57C3" w:rsidRDefault="000A57C3" w:rsidP="000A57C3">
      <w:pPr>
        <w:keepNext/>
        <w:spacing w:before="240" w:after="120"/>
        <w:ind w:left="720" w:hanging="720"/>
        <w:jc w:val="left"/>
        <w:outlineLvl w:val="0"/>
        <w:rPr>
          <w:rFonts w:asciiTheme="minorHAnsi" w:hAnsiTheme="minorHAnsi"/>
          <w:b/>
          <w:snapToGrid w:val="0"/>
          <w:sz w:val="32"/>
          <w:szCs w:val="32"/>
        </w:rPr>
      </w:pPr>
      <w:r w:rsidRPr="000A57C3">
        <w:rPr>
          <w:rFonts w:asciiTheme="minorHAnsi" w:hAnsiTheme="minorHAnsi"/>
          <w:b/>
          <w:snapToGrid w:val="0"/>
          <w:sz w:val="32"/>
          <w:szCs w:val="32"/>
        </w:rPr>
        <w:t>10</w:t>
      </w:r>
      <w:r w:rsidRPr="000A57C3">
        <w:rPr>
          <w:rFonts w:asciiTheme="minorHAnsi" w:hAnsiTheme="minorHAnsi"/>
          <w:b/>
          <w:snapToGrid w:val="0"/>
          <w:sz w:val="32"/>
          <w:szCs w:val="32"/>
        </w:rPr>
        <w:tab/>
        <w:t>Sponsor’s Comment</w:t>
      </w:r>
    </w:p>
    <w:p w14:paraId="7F1CA6CE" w14:textId="138226E3" w:rsidR="00616150" w:rsidRDefault="009D6317" w:rsidP="000A57C3">
      <w:pPr>
        <w:spacing w:after="120"/>
        <w:ind w:left="720"/>
        <w:rPr>
          <w:rFonts w:asciiTheme="minorHAnsi" w:eastAsiaTheme="minorHAnsi" w:hAnsiTheme="minorHAnsi"/>
          <w:bCs/>
          <w:lang w:eastAsia="en-US"/>
        </w:rPr>
      </w:pPr>
      <w:r>
        <w:rPr>
          <w:rFonts w:asciiTheme="minorHAnsi" w:eastAsiaTheme="minorHAnsi" w:hAnsiTheme="minorHAnsi"/>
          <w:bCs/>
          <w:szCs w:val="22"/>
          <w:lang w:val="en-GB" w:eastAsia="en-US"/>
        </w:rPr>
        <w:t>The sponsor had no comment.</w:t>
      </w:r>
    </w:p>
    <w:p w14:paraId="7475A794" w14:textId="77777777" w:rsidR="00794BDD" w:rsidRPr="00794BDD" w:rsidRDefault="00794BDD" w:rsidP="008B553B">
      <w:pPr>
        <w:spacing w:after="120"/>
        <w:ind w:left="720"/>
        <w:rPr>
          <w:rFonts w:asciiTheme="minorHAnsi" w:eastAsiaTheme="minorHAnsi" w:hAnsiTheme="minorHAnsi"/>
          <w:bCs/>
          <w:lang w:eastAsia="en-US"/>
        </w:rPr>
      </w:pPr>
    </w:p>
    <w:p w14:paraId="2342D6B3" w14:textId="77777777" w:rsidR="008B553B" w:rsidRPr="00616150" w:rsidRDefault="008B553B" w:rsidP="000A57C3">
      <w:pPr>
        <w:spacing w:after="120"/>
        <w:ind w:left="720"/>
        <w:rPr>
          <w:rFonts w:asciiTheme="minorHAnsi" w:hAnsiTheme="minorHAnsi"/>
          <w:bCs/>
          <w:lang w:val="en-GB"/>
        </w:rPr>
      </w:pPr>
    </w:p>
    <w:p w14:paraId="0E4F6FD2" w14:textId="77777777" w:rsidR="00D848E2" w:rsidRDefault="00D848E2" w:rsidP="00B15E1E">
      <w:pPr>
        <w:widowControl w:val="0"/>
        <w:rPr>
          <w:rFonts w:asciiTheme="minorHAnsi" w:hAnsiTheme="minorHAnsi"/>
          <w:bCs/>
          <w:snapToGrid w:val="0"/>
        </w:rPr>
      </w:pPr>
    </w:p>
    <w:bookmarkEnd w:id="98"/>
    <w:p w14:paraId="16AD4D72" w14:textId="285B0656" w:rsidR="00753B29" w:rsidRPr="00745D1E" w:rsidRDefault="00753B29" w:rsidP="00745D1E">
      <w:pPr>
        <w:jc w:val="left"/>
        <w:rPr>
          <w:rFonts w:asciiTheme="minorHAnsi" w:eastAsiaTheme="majorEastAsia" w:hAnsiTheme="minorHAnsi" w:cstheme="majorBidi"/>
          <w:b/>
          <w:color w:val="000000" w:themeColor="text1"/>
        </w:rPr>
      </w:pPr>
    </w:p>
    <w:sectPr w:rsidR="00753B29" w:rsidRPr="00745D1E"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88D7" w14:textId="77777777" w:rsidR="001526C6" w:rsidRDefault="001526C6" w:rsidP="00124A51">
      <w:r>
        <w:separator/>
      </w:r>
    </w:p>
    <w:p w14:paraId="48765275" w14:textId="77777777" w:rsidR="001526C6" w:rsidRDefault="001526C6"/>
  </w:endnote>
  <w:endnote w:type="continuationSeparator" w:id="0">
    <w:p w14:paraId="657BF980" w14:textId="77777777" w:rsidR="001526C6" w:rsidRDefault="001526C6" w:rsidP="00124A51">
      <w:r>
        <w:continuationSeparator/>
      </w:r>
    </w:p>
    <w:p w14:paraId="601F929E" w14:textId="77777777" w:rsidR="001526C6" w:rsidRDefault="0015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BBFC" w14:textId="4A6A12B4" w:rsidR="00213056" w:rsidRDefault="0088037E">
    <w:pPr>
      <w:pStyle w:val="Footer"/>
    </w:pPr>
    <w:r>
      <w:rPr>
        <w:noProof/>
      </w:rPr>
      <mc:AlternateContent>
        <mc:Choice Requires="wps">
          <w:drawing>
            <wp:anchor distT="0" distB="0" distL="0" distR="0" simplePos="0" relativeHeight="251658244" behindDoc="0" locked="0" layoutInCell="1" allowOverlap="1" wp14:anchorId="625C4EEB" wp14:editId="5FB063B3">
              <wp:simplePos x="635" y="635"/>
              <wp:positionH relativeFrom="page">
                <wp:align>center</wp:align>
              </wp:positionH>
              <wp:positionV relativeFrom="page">
                <wp:align>bottom</wp:align>
              </wp:positionV>
              <wp:extent cx="622300" cy="376555"/>
              <wp:effectExtent l="0" t="0" r="6350" b="0"/>
              <wp:wrapNone/>
              <wp:docPr id="18505167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AA4E15" w14:textId="10824F07"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C4EEB"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0AA4E15" w14:textId="10824F07"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14E7DF7C" w:rsidR="00D843F2" w:rsidRDefault="0088037E" w:rsidP="00753B29">
    <w:pPr>
      <w:pStyle w:val="Footer"/>
      <w:jc w:val="center"/>
    </w:pPr>
    <w:r>
      <w:rPr>
        <w:noProof/>
      </w:rPr>
      <mc:AlternateContent>
        <mc:Choice Requires="wps">
          <w:drawing>
            <wp:anchor distT="0" distB="0" distL="0" distR="0" simplePos="0" relativeHeight="251658245" behindDoc="0" locked="0" layoutInCell="1" allowOverlap="1" wp14:anchorId="1E755E7B" wp14:editId="10864465">
              <wp:simplePos x="635" y="635"/>
              <wp:positionH relativeFrom="page">
                <wp:align>center</wp:align>
              </wp:positionH>
              <wp:positionV relativeFrom="page">
                <wp:align>bottom</wp:align>
              </wp:positionV>
              <wp:extent cx="622300" cy="376555"/>
              <wp:effectExtent l="0" t="0" r="6350" b="0"/>
              <wp:wrapNone/>
              <wp:docPr id="9274930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3F6D6C" w14:textId="5B55A884"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755E7B"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B3F6D6C" w14:textId="5B55A884"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v:textbox>
              <w10:wrap anchorx="page" anchory="page"/>
            </v:shape>
          </w:pict>
        </mc:Fallback>
      </mc:AlternateContent>
    </w:r>
  </w:p>
  <w:p w14:paraId="37484CD3" w14:textId="7DA46570"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8EF7" w14:textId="3100E408" w:rsidR="00213056" w:rsidRDefault="0088037E">
    <w:pPr>
      <w:pStyle w:val="Footer"/>
    </w:pPr>
    <w:r>
      <w:rPr>
        <w:noProof/>
      </w:rPr>
      <mc:AlternateContent>
        <mc:Choice Requires="wps">
          <w:drawing>
            <wp:anchor distT="0" distB="0" distL="0" distR="0" simplePos="0" relativeHeight="251658243" behindDoc="0" locked="0" layoutInCell="1" allowOverlap="1" wp14:anchorId="0A38DFDA" wp14:editId="6793CC93">
              <wp:simplePos x="635" y="635"/>
              <wp:positionH relativeFrom="page">
                <wp:align>center</wp:align>
              </wp:positionH>
              <wp:positionV relativeFrom="page">
                <wp:align>bottom</wp:align>
              </wp:positionV>
              <wp:extent cx="622300" cy="376555"/>
              <wp:effectExtent l="0" t="0" r="6350" b="0"/>
              <wp:wrapNone/>
              <wp:docPr id="1201209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9E0F27" w14:textId="02B814E7"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8DFDA"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89E0F27" w14:textId="02B814E7"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2B83" w14:textId="77777777" w:rsidR="001526C6" w:rsidRDefault="001526C6" w:rsidP="00124A51">
      <w:r>
        <w:separator/>
      </w:r>
    </w:p>
    <w:p w14:paraId="214524D9" w14:textId="77777777" w:rsidR="001526C6" w:rsidRDefault="001526C6"/>
  </w:footnote>
  <w:footnote w:type="continuationSeparator" w:id="0">
    <w:p w14:paraId="37E7020B" w14:textId="77777777" w:rsidR="001526C6" w:rsidRDefault="001526C6" w:rsidP="00124A51">
      <w:r>
        <w:continuationSeparator/>
      </w:r>
    </w:p>
    <w:p w14:paraId="34463BEF" w14:textId="77777777" w:rsidR="001526C6" w:rsidRDefault="001526C6"/>
  </w:footnote>
  <w:footnote w:id="1">
    <w:p w14:paraId="520E3583" w14:textId="02665983" w:rsidR="008D461D" w:rsidRPr="00977C06" w:rsidRDefault="008D461D" w:rsidP="008D461D">
      <w:pPr>
        <w:pStyle w:val="FootnoteText"/>
        <w:ind w:left="142" w:hanging="142"/>
        <w:rPr>
          <w:rFonts w:ascii="Arial Narrow" w:hAnsi="Arial Narrow"/>
          <w:sz w:val="18"/>
          <w:szCs w:val="18"/>
        </w:rPr>
      </w:pPr>
      <w:r w:rsidRPr="00977C06">
        <w:rPr>
          <w:rStyle w:val="FootnoteReference"/>
          <w:rFonts w:ascii="Arial Narrow" w:hAnsi="Arial Narrow"/>
          <w:sz w:val="18"/>
          <w:szCs w:val="18"/>
        </w:rPr>
        <w:footnoteRef/>
      </w:r>
      <w:r w:rsidRPr="00977C06">
        <w:rPr>
          <w:rFonts w:ascii="Arial Narrow" w:hAnsi="Arial Narrow"/>
          <w:sz w:val="18"/>
          <w:szCs w:val="18"/>
        </w:rPr>
        <w:t xml:space="preserve"> </w:t>
      </w:r>
      <w:r w:rsidRPr="00977C06">
        <w:rPr>
          <w:rFonts w:ascii="Arial Narrow" w:hAnsi="Arial Narrow"/>
          <w:noProof/>
          <w:sz w:val="18"/>
          <w:szCs w:val="18"/>
        </w:rPr>
        <w:t xml:space="preserve">leckenstein M, Mitchell P, Freund KB, Sadda S, Holz FG, Brittain C, et al. </w:t>
      </w:r>
      <w:r>
        <w:rPr>
          <w:rFonts w:ascii="Arial Narrow" w:hAnsi="Arial Narrow"/>
          <w:noProof/>
          <w:sz w:val="18"/>
          <w:szCs w:val="18"/>
        </w:rPr>
        <w:t xml:space="preserve">2018. </w:t>
      </w:r>
      <w:r w:rsidRPr="00977C06">
        <w:rPr>
          <w:rFonts w:ascii="Arial Narrow" w:hAnsi="Arial Narrow"/>
          <w:noProof/>
          <w:sz w:val="18"/>
          <w:szCs w:val="18"/>
        </w:rPr>
        <w:t>The Progression of Geographic Atrophy Secondary to Age</w:t>
      </w:r>
      <w:r w:rsidR="00397B07">
        <w:rPr>
          <w:rFonts w:ascii="Arial Narrow" w:hAnsi="Arial Narrow"/>
          <w:noProof/>
          <w:sz w:val="18"/>
          <w:szCs w:val="18"/>
        </w:rPr>
        <w:noBreakHyphen/>
      </w:r>
      <w:r w:rsidRPr="00977C06">
        <w:rPr>
          <w:rFonts w:ascii="Arial Narrow" w:hAnsi="Arial Narrow"/>
          <w:noProof/>
          <w:sz w:val="18"/>
          <w:szCs w:val="18"/>
        </w:rPr>
        <w:t xml:space="preserve">Related Macular Degeneration. </w:t>
      </w:r>
      <w:r w:rsidRPr="00977C06">
        <w:rPr>
          <w:rFonts w:ascii="Arial Narrow" w:hAnsi="Arial Narrow"/>
          <w:i/>
          <w:noProof/>
          <w:sz w:val="18"/>
          <w:szCs w:val="18"/>
        </w:rPr>
        <w:t>Ophthalmology</w:t>
      </w:r>
      <w:r w:rsidRPr="00977C06">
        <w:rPr>
          <w:rFonts w:ascii="Arial Narrow" w:hAnsi="Arial Narrow"/>
          <w:noProof/>
          <w:sz w:val="18"/>
          <w:szCs w:val="18"/>
        </w:rPr>
        <w:t>. 125(3):369</w:t>
      </w:r>
      <w:r w:rsidR="00397B07">
        <w:rPr>
          <w:rFonts w:ascii="Arial Narrow" w:hAnsi="Arial Narrow"/>
          <w:noProof/>
          <w:sz w:val="18"/>
          <w:szCs w:val="18"/>
        </w:rPr>
        <w:noBreakHyphen/>
      </w:r>
      <w:r w:rsidRPr="00977C06">
        <w:rPr>
          <w:rFonts w:ascii="Arial Narrow" w:hAnsi="Arial Narrow"/>
          <w:noProof/>
          <w:sz w:val="18"/>
          <w:szCs w:val="18"/>
        </w:rPr>
        <w:t>90.</w:t>
      </w:r>
    </w:p>
  </w:footnote>
  <w:footnote w:id="2">
    <w:p w14:paraId="0627B9A9" w14:textId="28585322" w:rsidR="008D461D" w:rsidRPr="00977C06" w:rsidRDefault="008D461D" w:rsidP="008D461D">
      <w:pPr>
        <w:pStyle w:val="FootnoteText"/>
        <w:ind w:left="142" w:hanging="142"/>
        <w:rPr>
          <w:rFonts w:ascii="Arial Narrow" w:hAnsi="Arial Narrow"/>
          <w:sz w:val="18"/>
          <w:szCs w:val="18"/>
        </w:rPr>
      </w:pPr>
      <w:r w:rsidRPr="00977C06">
        <w:rPr>
          <w:rStyle w:val="FootnoteReference"/>
          <w:rFonts w:ascii="Arial Narrow" w:hAnsi="Arial Narrow"/>
          <w:sz w:val="18"/>
          <w:szCs w:val="18"/>
        </w:rPr>
        <w:footnoteRef/>
      </w:r>
      <w:r w:rsidRPr="00977C06">
        <w:rPr>
          <w:rFonts w:ascii="Arial Narrow" w:hAnsi="Arial Narrow"/>
          <w:sz w:val="18"/>
          <w:szCs w:val="18"/>
        </w:rPr>
        <w:t xml:space="preserve"> </w:t>
      </w:r>
      <w:r w:rsidRPr="00977C06">
        <w:rPr>
          <w:rFonts w:ascii="Arial Narrow" w:hAnsi="Arial Narrow"/>
          <w:noProof/>
          <w:sz w:val="18"/>
          <w:szCs w:val="18"/>
        </w:rPr>
        <w:t>Flores R, Carneiro Â, Vieira M, Tenreiro S, Seabra MC.</w:t>
      </w:r>
      <w:r>
        <w:rPr>
          <w:rFonts w:ascii="Arial Narrow" w:hAnsi="Arial Narrow"/>
          <w:noProof/>
          <w:sz w:val="18"/>
          <w:szCs w:val="18"/>
        </w:rPr>
        <w:t>2021</w:t>
      </w:r>
      <w:r w:rsidR="00276CB6">
        <w:rPr>
          <w:rFonts w:ascii="Arial Narrow" w:hAnsi="Arial Narrow"/>
          <w:noProof/>
          <w:sz w:val="18"/>
          <w:szCs w:val="18"/>
        </w:rPr>
        <w:t xml:space="preserve">. </w:t>
      </w:r>
      <w:r w:rsidRPr="00977C06">
        <w:rPr>
          <w:rFonts w:ascii="Arial Narrow" w:hAnsi="Arial Narrow"/>
          <w:noProof/>
          <w:sz w:val="18"/>
          <w:szCs w:val="18"/>
        </w:rPr>
        <w:t>Age</w:t>
      </w:r>
      <w:r w:rsidR="00397B07">
        <w:rPr>
          <w:rFonts w:ascii="Arial Narrow" w:hAnsi="Arial Narrow"/>
          <w:noProof/>
          <w:sz w:val="18"/>
          <w:szCs w:val="18"/>
        </w:rPr>
        <w:noBreakHyphen/>
      </w:r>
      <w:r w:rsidRPr="00977C06">
        <w:rPr>
          <w:rFonts w:ascii="Arial Narrow" w:hAnsi="Arial Narrow"/>
          <w:noProof/>
          <w:sz w:val="18"/>
          <w:szCs w:val="18"/>
        </w:rPr>
        <w:t xml:space="preserve">Related Macular Degeneration: Pathophysiology, Management, and Future Perspectives. </w:t>
      </w:r>
      <w:r w:rsidRPr="00977C06">
        <w:rPr>
          <w:rFonts w:ascii="Arial Narrow" w:hAnsi="Arial Narrow"/>
          <w:i/>
          <w:noProof/>
          <w:sz w:val="18"/>
          <w:szCs w:val="18"/>
        </w:rPr>
        <w:t>Ophthalmologica</w:t>
      </w:r>
      <w:r w:rsidRPr="00977C06">
        <w:rPr>
          <w:rFonts w:ascii="Arial Narrow" w:hAnsi="Arial Narrow"/>
          <w:noProof/>
          <w:sz w:val="18"/>
          <w:szCs w:val="18"/>
        </w:rPr>
        <w:t>. 244(6):495</w:t>
      </w:r>
      <w:r w:rsidR="00397B07">
        <w:rPr>
          <w:rFonts w:ascii="Arial Narrow" w:hAnsi="Arial Narrow"/>
          <w:noProof/>
          <w:sz w:val="18"/>
          <w:szCs w:val="18"/>
        </w:rPr>
        <w:noBreakHyphen/>
      </w:r>
      <w:r w:rsidRPr="00977C06">
        <w:rPr>
          <w:rFonts w:ascii="Arial Narrow" w:hAnsi="Arial Narrow"/>
          <w:noProof/>
          <w:sz w:val="18"/>
          <w:szCs w:val="18"/>
        </w:rPr>
        <w:t>511</w:t>
      </w:r>
    </w:p>
  </w:footnote>
  <w:footnote w:id="3">
    <w:p w14:paraId="3D0A3E6B" w14:textId="77777777" w:rsidR="008D461D" w:rsidRPr="00977C06" w:rsidRDefault="008D461D" w:rsidP="008D461D">
      <w:pPr>
        <w:pStyle w:val="FootnoteText"/>
        <w:ind w:left="142" w:hanging="142"/>
        <w:rPr>
          <w:rFonts w:ascii="Arial Narrow" w:hAnsi="Arial Narrow"/>
          <w:sz w:val="18"/>
          <w:szCs w:val="18"/>
        </w:rPr>
      </w:pPr>
      <w:r w:rsidRPr="00977C06">
        <w:rPr>
          <w:rStyle w:val="FootnoteReference"/>
          <w:rFonts w:ascii="Arial Narrow" w:hAnsi="Arial Narrow"/>
          <w:sz w:val="18"/>
          <w:szCs w:val="18"/>
        </w:rPr>
        <w:footnoteRef/>
      </w:r>
      <w:r w:rsidRPr="00977C06">
        <w:rPr>
          <w:rFonts w:ascii="Arial Narrow" w:hAnsi="Arial Narrow"/>
          <w:sz w:val="18"/>
          <w:szCs w:val="18"/>
        </w:rPr>
        <w:t xml:space="preserve"> </w:t>
      </w:r>
      <w:r w:rsidRPr="00977C06">
        <w:rPr>
          <w:rFonts w:ascii="Arial Narrow" w:hAnsi="Arial Narrow"/>
          <w:noProof/>
          <w:sz w:val="18"/>
          <w:szCs w:val="18"/>
        </w:rPr>
        <w:t xml:space="preserve">Rehman I MN, Motlagh M, et al. </w:t>
      </w:r>
      <w:r>
        <w:rPr>
          <w:rFonts w:ascii="Arial Narrow" w:hAnsi="Arial Narrow"/>
          <w:noProof/>
          <w:sz w:val="18"/>
          <w:szCs w:val="18"/>
        </w:rPr>
        <w:t xml:space="preserve">2023. </w:t>
      </w:r>
      <w:r w:rsidRPr="00977C06">
        <w:rPr>
          <w:rFonts w:ascii="Arial Narrow" w:hAnsi="Arial Narrow"/>
          <w:noProof/>
          <w:sz w:val="18"/>
          <w:szCs w:val="18"/>
        </w:rPr>
        <w:t xml:space="preserve">Anatomy, Head and Neck, Eye Fovea. </w:t>
      </w:r>
      <w:hyperlink r:id="rId1" w:history="1">
        <w:r w:rsidRPr="00977C06">
          <w:rPr>
            <w:rStyle w:val="Hyperlink"/>
            <w:rFonts w:ascii="Arial Narrow" w:hAnsi="Arial Narrow"/>
            <w:noProof/>
            <w:sz w:val="18"/>
            <w:szCs w:val="18"/>
          </w:rPr>
          <w:t>https://www.ncbi.nlm.nih.gov/books/NBK482301/</w:t>
        </w:r>
      </w:hyperlink>
      <w:r w:rsidRPr="00977C06">
        <w:rPr>
          <w:rFonts w:ascii="Arial Narrow" w:hAnsi="Arial Narrow"/>
          <w:noProof/>
          <w:sz w:val="18"/>
          <w:szCs w:val="18"/>
        </w:rPr>
        <w:t>: Treasure Island (FL): StatPearls Publishing.</w:t>
      </w:r>
    </w:p>
  </w:footnote>
  <w:footnote w:id="4">
    <w:p w14:paraId="4D096749" w14:textId="69D7A1F6" w:rsidR="008D461D" w:rsidRPr="00977C06" w:rsidRDefault="008D461D" w:rsidP="008D461D">
      <w:pPr>
        <w:pStyle w:val="FootnoteText"/>
        <w:ind w:left="142" w:hanging="142"/>
        <w:rPr>
          <w:rFonts w:ascii="Arial Narrow" w:hAnsi="Arial Narrow"/>
          <w:sz w:val="18"/>
          <w:szCs w:val="18"/>
        </w:rPr>
      </w:pPr>
      <w:r w:rsidRPr="00977C06">
        <w:rPr>
          <w:rStyle w:val="FootnoteReference"/>
          <w:rFonts w:ascii="Arial Narrow" w:hAnsi="Arial Narrow"/>
          <w:sz w:val="18"/>
          <w:szCs w:val="18"/>
        </w:rPr>
        <w:footnoteRef/>
      </w:r>
      <w:r w:rsidRPr="00977C06">
        <w:rPr>
          <w:rFonts w:ascii="Arial Narrow" w:hAnsi="Arial Narrow"/>
          <w:sz w:val="18"/>
          <w:szCs w:val="18"/>
        </w:rPr>
        <w:t xml:space="preserve"> </w:t>
      </w:r>
      <w:r w:rsidRPr="00977C06">
        <w:rPr>
          <w:rFonts w:ascii="Arial Narrow" w:hAnsi="Arial Narrow"/>
          <w:noProof/>
          <w:sz w:val="18"/>
          <w:szCs w:val="18"/>
        </w:rPr>
        <w:t xml:space="preserve">Mulfaul K, Russell JF, Voigt AP, Stone EM, Tucker BA, Mullins RF. </w:t>
      </w:r>
      <w:r>
        <w:rPr>
          <w:rFonts w:ascii="Arial Narrow" w:hAnsi="Arial Narrow"/>
          <w:noProof/>
          <w:sz w:val="18"/>
          <w:szCs w:val="18"/>
        </w:rPr>
        <w:t xml:space="preserve">2022. </w:t>
      </w:r>
      <w:r w:rsidRPr="00977C06">
        <w:rPr>
          <w:rFonts w:ascii="Arial Narrow" w:hAnsi="Arial Narrow"/>
          <w:noProof/>
          <w:sz w:val="18"/>
          <w:szCs w:val="18"/>
        </w:rPr>
        <w:t xml:space="preserve">The Essential Role of the Choriocapillaris in Vision: Novel Insights from Imaging and Molecular Biology. </w:t>
      </w:r>
      <w:r w:rsidRPr="00977C06">
        <w:rPr>
          <w:rFonts w:ascii="Arial Narrow" w:hAnsi="Arial Narrow"/>
          <w:i/>
          <w:noProof/>
          <w:sz w:val="18"/>
          <w:szCs w:val="18"/>
        </w:rPr>
        <w:t>Annu Rev Vis Sci</w:t>
      </w:r>
      <w:r w:rsidRPr="00977C06">
        <w:rPr>
          <w:rFonts w:ascii="Arial Narrow" w:hAnsi="Arial Narrow"/>
          <w:noProof/>
          <w:sz w:val="18"/>
          <w:szCs w:val="18"/>
        </w:rPr>
        <w:t>.</w:t>
      </w:r>
      <w:r>
        <w:rPr>
          <w:rFonts w:ascii="Arial Narrow" w:hAnsi="Arial Narrow"/>
          <w:noProof/>
          <w:sz w:val="18"/>
          <w:szCs w:val="18"/>
        </w:rPr>
        <w:t xml:space="preserve"> </w:t>
      </w:r>
      <w:r w:rsidRPr="00977C06">
        <w:rPr>
          <w:rFonts w:ascii="Arial Narrow" w:hAnsi="Arial Narrow"/>
          <w:noProof/>
          <w:sz w:val="18"/>
          <w:szCs w:val="18"/>
        </w:rPr>
        <w:t>15;8:33</w:t>
      </w:r>
      <w:r w:rsidR="00397B07">
        <w:rPr>
          <w:rFonts w:ascii="Arial Narrow" w:hAnsi="Arial Narrow"/>
          <w:noProof/>
          <w:sz w:val="18"/>
          <w:szCs w:val="18"/>
        </w:rPr>
        <w:noBreakHyphen/>
      </w:r>
      <w:r w:rsidRPr="00977C06">
        <w:rPr>
          <w:rFonts w:ascii="Arial Narrow" w:hAnsi="Arial Narrow"/>
          <w:noProof/>
          <w:sz w:val="18"/>
          <w:szCs w:val="18"/>
        </w:rPr>
        <w:t>52.</w:t>
      </w:r>
    </w:p>
  </w:footnote>
  <w:footnote w:id="5">
    <w:p w14:paraId="7CCC423E" w14:textId="596A34E5" w:rsidR="008D461D" w:rsidRPr="00977C06" w:rsidRDefault="008D461D" w:rsidP="008D461D">
      <w:pPr>
        <w:pStyle w:val="FootnoteText"/>
        <w:ind w:left="142" w:hanging="142"/>
        <w:rPr>
          <w:rFonts w:ascii="Arial Narrow" w:hAnsi="Arial Narrow"/>
          <w:sz w:val="18"/>
          <w:szCs w:val="18"/>
        </w:rPr>
      </w:pPr>
      <w:r w:rsidRPr="00977C06">
        <w:rPr>
          <w:rStyle w:val="FootnoteReference"/>
          <w:rFonts w:ascii="Arial Narrow" w:hAnsi="Arial Narrow"/>
          <w:sz w:val="18"/>
          <w:szCs w:val="18"/>
        </w:rPr>
        <w:footnoteRef/>
      </w:r>
      <w:r w:rsidRPr="00977C06">
        <w:rPr>
          <w:rFonts w:ascii="Arial Narrow" w:hAnsi="Arial Narrow"/>
          <w:sz w:val="18"/>
          <w:szCs w:val="18"/>
        </w:rPr>
        <w:t xml:space="preserve"> </w:t>
      </w:r>
      <w:r w:rsidRPr="00977C06">
        <w:rPr>
          <w:rFonts w:ascii="Arial Narrow" w:hAnsi="Arial Narrow"/>
          <w:noProof/>
          <w:sz w:val="18"/>
          <w:szCs w:val="18"/>
        </w:rPr>
        <w:t xml:space="preserve">Bakri SJ, Bektas M, Sharp D, Luo R, Sarda SP, Khan S. </w:t>
      </w:r>
      <w:r>
        <w:rPr>
          <w:rFonts w:ascii="Arial Narrow" w:hAnsi="Arial Narrow"/>
          <w:noProof/>
          <w:sz w:val="18"/>
          <w:szCs w:val="18"/>
        </w:rPr>
        <w:t xml:space="preserve">2023. </w:t>
      </w:r>
      <w:r w:rsidRPr="00977C06">
        <w:rPr>
          <w:rFonts w:ascii="Arial Narrow" w:hAnsi="Arial Narrow"/>
          <w:noProof/>
          <w:sz w:val="18"/>
          <w:szCs w:val="18"/>
        </w:rPr>
        <w:t xml:space="preserve">Geographic atrophy: Mechanism of disease, pathophysiology, and role of the complement system. </w:t>
      </w:r>
      <w:r w:rsidRPr="00977C06">
        <w:rPr>
          <w:rFonts w:ascii="Arial Narrow" w:hAnsi="Arial Narrow"/>
          <w:i/>
          <w:noProof/>
          <w:sz w:val="18"/>
          <w:szCs w:val="18"/>
        </w:rPr>
        <w:t>J Manag Care Spec Pharm</w:t>
      </w:r>
      <w:r w:rsidRPr="00977C06">
        <w:rPr>
          <w:rFonts w:ascii="Arial Narrow" w:hAnsi="Arial Narrow"/>
          <w:noProof/>
          <w:sz w:val="18"/>
          <w:szCs w:val="18"/>
        </w:rPr>
        <w:t>. 29(5</w:t>
      </w:r>
      <w:r w:rsidR="00397B07">
        <w:rPr>
          <w:rFonts w:ascii="Arial Narrow" w:hAnsi="Arial Narrow"/>
          <w:noProof/>
          <w:sz w:val="18"/>
          <w:szCs w:val="18"/>
        </w:rPr>
        <w:noBreakHyphen/>
      </w:r>
      <w:r w:rsidRPr="00977C06">
        <w:rPr>
          <w:rFonts w:ascii="Arial Narrow" w:hAnsi="Arial Narrow"/>
          <w:noProof/>
          <w:sz w:val="18"/>
          <w:szCs w:val="18"/>
        </w:rPr>
        <w:t>a Suppl):S2</w:t>
      </w:r>
      <w:r w:rsidR="00397B07">
        <w:rPr>
          <w:rFonts w:ascii="Arial Narrow" w:hAnsi="Arial Narrow"/>
          <w:noProof/>
          <w:sz w:val="18"/>
          <w:szCs w:val="18"/>
        </w:rPr>
        <w:noBreakHyphen/>
      </w:r>
      <w:r w:rsidRPr="00977C06">
        <w:rPr>
          <w:rFonts w:ascii="Arial Narrow" w:hAnsi="Arial Narrow"/>
          <w:noProof/>
          <w:sz w:val="18"/>
          <w:szCs w:val="18"/>
        </w:rPr>
        <w:t>s11.</w:t>
      </w:r>
    </w:p>
  </w:footnote>
  <w:footnote w:id="6">
    <w:p w14:paraId="431645DA" w14:textId="665E28C3" w:rsidR="008D461D" w:rsidRPr="00977C06" w:rsidRDefault="008D461D" w:rsidP="008D461D">
      <w:pPr>
        <w:pStyle w:val="FootnoteText"/>
        <w:ind w:left="142" w:hanging="142"/>
        <w:rPr>
          <w:rFonts w:ascii="Arial Narrow" w:hAnsi="Arial Narrow"/>
          <w:sz w:val="18"/>
          <w:szCs w:val="18"/>
        </w:rPr>
      </w:pPr>
      <w:r w:rsidRPr="00977C06">
        <w:rPr>
          <w:rStyle w:val="FootnoteReference"/>
          <w:rFonts w:ascii="Arial Narrow" w:hAnsi="Arial Narrow"/>
          <w:sz w:val="18"/>
          <w:szCs w:val="18"/>
        </w:rPr>
        <w:footnoteRef/>
      </w:r>
      <w:r w:rsidRPr="00977C06">
        <w:rPr>
          <w:rFonts w:ascii="Arial Narrow" w:hAnsi="Arial Narrow"/>
          <w:sz w:val="18"/>
          <w:szCs w:val="18"/>
        </w:rPr>
        <w:t xml:space="preserve"> </w:t>
      </w:r>
      <w:r w:rsidRPr="00977C06">
        <w:rPr>
          <w:rFonts w:ascii="Arial Narrow" w:hAnsi="Arial Narrow"/>
          <w:noProof/>
          <w:sz w:val="18"/>
          <w:szCs w:val="18"/>
        </w:rPr>
        <w:t>Nadeem A, Malik IA, Shariq F, Afridi EK, Taha M, Raufi N, et al.</w:t>
      </w:r>
      <w:r>
        <w:rPr>
          <w:rFonts w:ascii="Arial Narrow" w:hAnsi="Arial Narrow"/>
          <w:noProof/>
          <w:sz w:val="18"/>
          <w:szCs w:val="18"/>
        </w:rPr>
        <w:t xml:space="preserve"> (2023)</w:t>
      </w:r>
      <w:r w:rsidRPr="00977C06">
        <w:rPr>
          <w:rFonts w:ascii="Arial Narrow" w:hAnsi="Arial Narrow"/>
          <w:noProof/>
          <w:sz w:val="18"/>
          <w:szCs w:val="18"/>
        </w:rPr>
        <w:t xml:space="preserve"> Advancements in the treatment of geographic atrophy: focus on pegcetacoplan in age</w:t>
      </w:r>
      <w:r w:rsidR="00397B07">
        <w:rPr>
          <w:rFonts w:ascii="Arial Narrow" w:hAnsi="Arial Narrow"/>
          <w:noProof/>
          <w:sz w:val="18"/>
          <w:szCs w:val="18"/>
        </w:rPr>
        <w:noBreakHyphen/>
      </w:r>
      <w:r w:rsidRPr="00977C06">
        <w:rPr>
          <w:rFonts w:ascii="Arial Narrow" w:hAnsi="Arial Narrow"/>
          <w:noProof/>
          <w:sz w:val="18"/>
          <w:szCs w:val="18"/>
        </w:rPr>
        <w:t xml:space="preserve">related macular degeneration. </w:t>
      </w:r>
      <w:r w:rsidRPr="00977C06">
        <w:rPr>
          <w:rFonts w:ascii="Arial Narrow" w:hAnsi="Arial Narrow"/>
          <w:i/>
          <w:noProof/>
          <w:sz w:val="18"/>
          <w:szCs w:val="18"/>
        </w:rPr>
        <w:t>Ann Med Surg (Lond)</w:t>
      </w:r>
      <w:r w:rsidRPr="00977C06">
        <w:rPr>
          <w:rFonts w:ascii="Arial Narrow" w:hAnsi="Arial Narrow"/>
          <w:noProof/>
          <w:sz w:val="18"/>
          <w:szCs w:val="18"/>
        </w:rPr>
        <w:t>. 85(12):6067</w:t>
      </w:r>
      <w:r w:rsidR="00397B07">
        <w:rPr>
          <w:rFonts w:ascii="Arial Narrow" w:hAnsi="Arial Narrow"/>
          <w:noProof/>
          <w:sz w:val="18"/>
          <w:szCs w:val="18"/>
        </w:rPr>
        <w:noBreakHyphen/>
      </w:r>
      <w:r w:rsidRPr="00977C06">
        <w:rPr>
          <w:rFonts w:ascii="Arial Narrow" w:hAnsi="Arial Narrow"/>
          <w:noProof/>
          <w:sz w:val="18"/>
          <w:szCs w:val="18"/>
        </w:rPr>
        <w:t>77.</w:t>
      </w:r>
    </w:p>
  </w:footnote>
  <w:footnote w:id="7">
    <w:p w14:paraId="69C4E1A1" w14:textId="791FB6DD" w:rsidR="0074556B" w:rsidRDefault="0074556B">
      <w:pPr>
        <w:pStyle w:val="FootnoteText"/>
      </w:pPr>
      <w:r>
        <w:rPr>
          <w:rStyle w:val="FootnoteReference"/>
        </w:rPr>
        <w:footnoteRef/>
      </w:r>
      <w:r>
        <w:t xml:space="preserve"> </w:t>
      </w:r>
      <w:r w:rsidR="00931FEF">
        <w:t xml:space="preserve">Witkin AJ, Jaffe GJ, Srivastava SK, Davis JL, Kim JE. </w:t>
      </w:r>
      <w:r w:rsidR="00745B15">
        <w:t>202</w:t>
      </w:r>
      <w:r w:rsidR="00F96EF6">
        <w:t>3</w:t>
      </w:r>
      <w:r w:rsidR="00745B15">
        <w:t xml:space="preserve">. </w:t>
      </w:r>
      <w:r w:rsidR="00931FEF">
        <w:t xml:space="preserve">Retinal vasculitis after intravitreal pegcetacoplan: Report from the ASRS Research and Safety in Therapeutics (ReST) Committee. </w:t>
      </w:r>
      <w:r w:rsidR="003929B6">
        <w:t>J Vitreoretin Dis</w:t>
      </w:r>
      <w:r w:rsidR="00745B15">
        <w:t xml:space="preserve">. </w:t>
      </w:r>
      <w:r w:rsidR="00F96EF6">
        <w:t>8(1):</w:t>
      </w:r>
      <w:r w:rsidR="008D18DF">
        <w:t>9</w:t>
      </w:r>
      <w:r w:rsidR="00397B07">
        <w:noBreakHyphen/>
      </w:r>
      <w:r w:rsidR="008D18DF">
        <w:t xml:space="preserve">20. </w:t>
      </w:r>
    </w:p>
  </w:footnote>
  <w:footnote w:id="8">
    <w:p w14:paraId="5E131EEA" w14:textId="1F87455F" w:rsidR="00D7543F" w:rsidRDefault="00D7543F">
      <w:pPr>
        <w:pStyle w:val="FootnoteText"/>
      </w:pPr>
      <w:r>
        <w:rPr>
          <w:rStyle w:val="FootnoteReference"/>
        </w:rPr>
        <w:footnoteRef/>
      </w:r>
      <w:r>
        <w:t xml:space="preserve"> </w:t>
      </w:r>
      <w:r w:rsidRPr="00D7543F">
        <w:t>Chakravarthy U, Schwartz R, Guymer RH, Holz FG, Rachitskaya AV, Vujosevic S, et al. Visual Function Benefit After Treatment With Pegcetacoplan: Microperimetry Analysis From the Phase 3 Oaks Trial. American Journal of Ophthalmology. 2025;273:119</w:t>
      </w:r>
      <w:r w:rsidR="00397B07">
        <w:noBreakHyphen/>
      </w:r>
      <w:r w:rsidRPr="00D7543F">
        <w:t>29.</w:t>
      </w:r>
    </w:p>
  </w:footnote>
  <w:footnote w:id="9">
    <w:p w14:paraId="437B9C36" w14:textId="6D518AF6" w:rsidR="00B653C5" w:rsidRDefault="00B653C5">
      <w:pPr>
        <w:pStyle w:val="FootnoteText"/>
      </w:pPr>
      <w:r>
        <w:rPr>
          <w:rStyle w:val="FootnoteReference"/>
        </w:rPr>
        <w:footnoteRef/>
      </w:r>
      <w:r>
        <w:t xml:space="preserve"> </w:t>
      </w:r>
      <w:r w:rsidRPr="00B653C5">
        <w:t>Czoski</w:t>
      </w:r>
      <w:r w:rsidR="00397B07">
        <w:noBreakHyphen/>
      </w:r>
      <w:r w:rsidRPr="00B653C5">
        <w:t>Murray C, Carlton J, Brazier J, Young T, Papo NL, Kang HK. Valuing Condition</w:t>
      </w:r>
      <w:r w:rsidR="00397B07">
        <w:noBreakHyphen/>
      </w:r>
      <w:r w:rsidRPr="00B653C5">
        <w:t>Specific Health States Using Simulation Contact Lenses. Value in Health. 2009;12(5):793</w:t>
      </w:r>
      <w:r w:rsidR="00397B07">
        <w:noBreakHyphen/>
      </w:r>
      <w:r w:rsidRPr="00B653C5">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DF08" w14:textId="06EB2C21" w:rsidR="00213056" w:rsidRDefault="0088037E">
    <w:pPr>
      <w:pStyle w:val="Header"/>
    </w:pPr>
    <w:r>
      <w:rPr>
        <w:noProof/>
      </w:rPr>
      <mc:AlternateContent>
        <mc:Choice Requires="wps">
          <w:drawing>
            <wp:anchor distT="0" distB="0" distL="0" distR="0" simplePos="0" relativeHeight="251658241" behindDoc="0" locked="0" layoutInCell="1" allowOverlap="1" wp14:anchorId="0708AE81" wp14:editId="6F09720B">
              <wp:simplePos x="635" y="635"/>
              <wp:positionH relativeFrom="page">
                <wp:align>center</wp:align>
              </wp:positionH>
              <wp:positionV relativeFrom="page">
                <wp:align>top</wp:align>
              </wp:positionV>
              <wp:extent cx="622300" cy="376555"/>
              <wp:effectExtent l="0" t="0" r="6350" b="4445"/>
              <wp:wrapNone/>
              <wp:docPr id="15542523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752748" w14:textId="1E70DE48"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08AE81"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9752748" w14:textId="1E70DE48"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137123EC" w:rsidR="00D843F2" w:rsidRPr="00195452" w:rsidRDefault="0088037E"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1649767C" wp14:editId="02372B2B">
              <wp:simplePos x="635" y="635"/>
              <wp:positionH relativeFrom="page">
                <wp:align>center</wp:align>
              </wp:positionH>
              <wp:positionV relativeFrom="page">
                <wp:align>top</wp:align>
              </wp:positionV>
              <wp:extent cx="622300" cy="376555"/>
              <wp:effectExtent l="0" t="0" r="6350" b="4445"/>
              <wp:wrapNone/>
              <wp:docPr id="15276205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66EF6F" w14:textId="67FC71EE"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9767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066EF6F" w14:textId="67FC71EE"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v:textbox>
              <w10:wrap anchorx="page" anchory="page"/>
            </v:shape>
          </w:pict>
        </mc:Fallback>
      </mc:AlternateContent>
    </w:r>
    <w:r w:rsidR="0037486E">
      <w:rPr>
        <w:rFonts w:asciiTheme="minorHAnsi" w:hAnsiTheme="minorHAnsi"/>
        <w:color w:val="808080"/>
      </w:rPr>
      <w:t>Public Summary Document</w:t>
    </w:r>
    <w:r w:rsidR="00143BAD">
      <w:rPr>
        <w:rFonts w:asciiTheme="minorHAnsi" w:hAnsiTheme="minorHAnsi"/>
        <w:color w:val="808080"/>
      </w:rPr>
      <w:t xml:space="preserve"> </w:t>
    </w:r>
    <w:r w:rsidR="00C90AE3" w:rsidRPr="00056684">
      <w:rPr>
        <w:rFonts w:asciiTheme="minorHAnsi" w:hAnsiTheme="minorHAnsi"/>
        <w:color w:val="808080"/>
      </w:rPr>
      <w:t xml:space="preserve">– </w:t>
    </w:r>
    <w:r w:rsidR="00F722D2">
      <w:rPr>
        <w:rFonts w:asciiTheme="minorHAnsi" w:hAnsiTheme="minorHAnsi"/>
        <w:color w:val="808080"/>
      </w:rPr>
      <w:t>November 2025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CFD5" w14:textId="1570923A" w:rsidR="00213056" w:rsidRDefault="0088037E">
    <w:pPr>
      <w:pStyle w:val="Header"/>
    </w:pPr>
    <w:r>
      <w:rPr>
        <w:noProof/>
      </w:rPr>
      <mc:AlternateContent>
        <mc:Choice Requires="wps">
          <w:drawing>
            <wp:anchor distT="0" distB="0" distL="0" distR="0" simplePos="0" relativeHeight="251658240" behindDoc="0" locked="0" layoutInCell="1" allowOverlap="1" wp14:anchorId="1AA66A21" wp14:editId="52F11233">
              <wp:simplePos x="635" y="635"/>
              <wp:positionH relativeFrom="page">
                <wp:align>center</wp:align>
              </wp:positionH>
              <wp:positionV relativeFrom="page">
                <wp:align>top</wp:align>
              </wp:positionV>
              <wp:extent cx="622300" cy="376555"/>
              <wp:effectExtent l="0" t="0" r="6350" b="4445"/>
              <wp:wrapNone/>
              <wp:docPr id="19759308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584D3E" w14:textId="4C984885"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66A21"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E584D3E" w14:textId="4C984885" w:rsidR="0088037E" w:rsidRPr="0088037E" w:rsidRDefault="0088037E" w:rsidP="0088037E">
                    <w:pPr>
                      <w:rPr>
                        <w:rFonts w:ascii="Aptos" w:eastAsia="Aptos" w:hAnsi="Aptos" w:cs="Aptos"/>
                        <w:noProof/>
                        <w:color w:val="FF0000"/>
                      </w:rPr>
                    </w:pPr>
                    <w:r w:rsidRPr="0088037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532147"/>
    <w:multiLevelType w:val="hybridMultilevel"/>
    <w:tmpl w:val="4B627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30909"/>
    <w:multiLevelType w:val="hybridMultilevel"/>
    <w:tmpl w:val="923482FA"/>
    <w:lvl w:ilvl="0" w:tplc="3E941E06">
      <w:start w:val="1"/>
      <w:numFmt w:val="bullet"/>
      <w:lvlText w:val=""/>
      <w:lvlJc w:val="left"/>
      <w:pPr>
        <w:tabs>
          <w:tab w:val="num" w:pos="720"/>
        </w:tabs>
        <w:ind w:left="720" w:hanging="360"/>
      </w:pPr>
      <w:rPr>
        <w:rFonts w:ascii="Symbol" w:hAnsi="Symbol" w:hint="default"/>
      </w:rPr>
    </w:lvl>
    <w:lvl w:ilvl="1" w:tplc="3D823360" w:tentative="1">
      <w:start w:val="1"/>
      <w:numFmt w:val="bullet"/>
      <w:lvlText w:val=""/>
      <w:lvlJc w:val="left"/>
      <w:pPr>
        <w:tabs>
          <w:tab w:val="num" w:pos="1440"/>
        </w:tabs>
        <w:ind w:left="1440" w:hanging="360"/>
      </w:pPr>
      <w:rPr>
        <w:rFonts w:ascii="Symbol" w:hAnsi="Symbol" w:hint="default"/>
      </w:rPr>
    </w:lvl>
    <w:lvl w:ilvl="2" w:tplc="4D2C19AC" w:tentative="1">
      <w:start w:val="1"/>
      <w:numFmt w:val="bullet"/>
      <w:lvlText w:val=""/>
      <w:lvlJc w:val="left"/>
      <w:pPr>
        <w:tabs>
          <w:tab w:val="num" w:pos="2160"/>
        </w:tabs>
        <w:ind w:left="2160" w:hanging="360"/>
      </w:pPr>
      <w:rPr>
        <w:rFonts w:ascii="Symbol" w:hAnsi="Symbol" w:hint="default"/>
      </w:rPr>
    </w:lvl>
    <w:lvl w:ilvl="3" w:tplc="2E22326A" w:tentative="1">
      <w:start w:val="1"/>
      <w:numFmt w:val="bullet"/>
      <w:lvlText w:val=""/>
      <w:lvlJc w:val="left"/>
      <w:pPr>
        <w:tabs>
          <w:tab w:val="num" w:pos="2880"/>
        </w:tabs>
        <w:ind w:left="2880" w:hanging="360"/>
      </w:pPr>
      <w:rPr>
        <w:rFonts w:ascii="Symbol" w:hAnsi="Symbol" w:hint="default"/>
      </w:rPr>
    </w:lvl>
    <w:lvl w:ilvl="4" w:tplc="928C6D86" w:tentative="1">
      <w:start w:val="1"/>
      <w:numFmt w:val="bullet"/>
      <w:lvlText w:val=""/>
      <w:lvlJc w:val="left"/>
      <w:pPr>
        <w:tabs>
          <w:tab w:val="num" w:pos="3600"/>
        </w:tabs>
        <w:ind w:left="3600" w:hanging="360"/>
      </w:pPr>
      <w:rPr>
        <w:rFonts w:ascii="Symbol" w:hAnsi="Symbol" w:hint="default"/>
      </w:rPr>
    </w:lvl>
    <w:lvl w:ilvl="5" w:tplc="37809648" w:tentative="1">
      <w:start w:val="1"/>
      <w:numFmt w:val="bullet"/>
      <w:lvlText w:val=""/>
      <w:lvlJc w:val="left"/>
      <w:pPr>
        <w:tabs>
          <w:tab w:val="num" w:pos="4320"/>
        </w:tabs>
        <w:ind w:left="4320" w:hanging="360"/>
      </w:pPr>
      <w:rPr>
        <w:rFonts w:ascii="Symbol" w:hAnsi="Symbol" w:hint="default"/>
      </w:rPr>
    </w:lvl>
    <w:lvl w:ilvl="6" w:tplc="E71E0A76" w:tentative="1">
      <w:start w:val="1"/>
      <w:numFmt w:val="bullet"/>
      <w:lvlText w:val=""/>
      <w:lvlJc w:val="left"/>
      <w:pPr>
        <w:tabs>
          <w:tab w:val="num" w:pos="5040"/>
        </w:tabs>
        <w:ind w:left="5040" w:hanging="360"/>
      </w:pPr>
      <w:rPr>
        <w:rFonts w:ascii="Symbol" w:hAnsi="Symbol" w:hint="default"/>
      </w:rPr>
    </w:lvl>
    <w:lvl w:ilvl="7" w:tplc="A6545F42" w:tentative="1">
      <w:start w:val="1"/>
      <w:numFmt w:val="bullet"/>
      <w:lvlText w:val=""/>
      <w:lvlJc w:val="left"/>
      <w:pPr>
        <w:tabs>
          <w:tab w:val="num" w:pos="5760"/>
        </w:tabs>
        <w:ind w:left="5760" w:hanging="360"/>
      </w:pPr>
      <w:rPr>
        <w:rFonts w:ascii="Symbol" w:hAnsi="Symbol" w:hint="default"/>
      </w:rPr>
    </w:lvl>
    <w:lvl w:ilvl="8" w:tplc="E3EC5B5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45674E"/>
    <w:multiLevelType w:val="hybridMultilevel"/>
    <w:tmpl w:val="BE80E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365B35"/>
    <w:multiLevelType w:val="hybridMultilevel"/>
    <w:tmpl w:val="99721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3E20C382"/>
    <w:lvl w:ilvl="0" w:tplc="D3A871DC">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DD32C2"/>
    <w:multiLevelType w:val="hybridMultilevel"/>
    <w:tmpl w:val="DA06AFE8"/>
    <w:lvl w:ilvl="0" w:tplc="5254DF24">
      <w:start w:val="1"/>
      <w:numFmt w:val="decimal"/>
      <w:lvlText w:val="%1."/>
      <w:lvlJc w:val="left"/>
      <w:pPr>
        <w:ind w:left="360" w:hanging="360"/>
      </w:pPr>
      <w:rPr>
        <w:rFonts w:asciiTheme="minorHAnsi" w:hAnsiTheme="minorHAnsi" w:cstheme="minorHAnsi" w:hint="default"/>
        <w:i/>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F3888"/>
    <w:multiLevelType w:val="hybridMultilevel"/>
    <w:tmpl w:val="1A5C856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6332AF"/>
    <w:multiLevelType w:val="multilevel"/>
    <w:tmpl w:val="512A297E"/>
    <w:lvl w:ilvl="0">
      <w:start w:val="1"/>
      <w:numFmt w:val="bullet"/>
      <w:pStyle w:val="Tablebullet"/>
      <w:lvlText w:val=""/>
      <w:lvlJc w:val="left"/>
      <w:pPr>
        <w:ind w:left="357" w:hanging="227"/>
      </w:pPr>
      <w:rPr>
        <w:rFonts w:ascii="Symbol" w:hAnsi="Symbol" w:hint="default"/>
      </w:rPr>
    </w:lvl>
    <w:lvl w:ilvl="1">
      <w:start w:val="1"/>
      <w:numFmt w:val="bullet"/>
      <w:lvlText w:val="-"/>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9A40D62"/>
    <w:multiLevelType w:val="hybridMultilevel"/>
    <w:tmpl w:val="285E0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B576F5"/>
    <w:multiLevelType w:val="hybridMultilevel"/>
    <w:tmpl w:val="B7C48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E108883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227E38"/>
    <w:multiLevelType w:val="hybridMultilevel"/>
    <w:tmpl w:val="2A4AB4D2"/>
    <w:lvl w:ilvl="0" w:tplc="B0FAF04C">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29"/>
  </w:num>
  <w:num w:numId="2" w16cid:durableId="917793048">
    <w:abstractNumId w:val="16"/>
  </w:num>
  <w:num w:numId="3" w16cid:durableId="263461728">
    <w:abstractNumId w:val="0"/>
  </w:num>
  <w:num w:numId="4" w16cid:durableId="9892165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577810">
    <w:abstractNumId w:val="7"/>
  </w:num>
  <w:num w:numId="6" w16cid:durableId="1156729720">
    <w:abstractNumId w:val="14"/>
  </w:num>
  <w:num w:numId="7" w16cid:durableId="704645582">
    <w:abstractNumId w:val="18"/>
  </w:num>
  <w:num w:numId="8" w16cid:durableId="1863592879">
    <w:abstractNumId w:val="6"/>
  </w:num>
  <w:num w:numId="9" w16cid:durableId="139346788">
    <w:abstractNumId w:val="30"/>
  </w:num>
  <w:num w:numId="10" w16cid:durableId="220360847">
    <w:abstractNumId w:val="23"/>
  </w:num>
  <w:num w:numId="11" w16cid:durableId="268196418">
    <w:abstractNumId w:val="13"/>
  </w:num>
  <w:num w:numId="12" w16cid:durableId="1048839230">
    <w:abstractNumId w:val="29"/>
  </w:num>
  <w:num w:numId="13" w16cid:durableId="1361280581">
    <w:abstractNumId w:val="28"/>
  </w:num>
  <w:num w:numId="14" w16cid:durableId="936250155">
    <w:abstractNumId w:val="12"/>
  </w:num>
  <w:num w:numId="15" w16cid:durableId="1958178715">
    <w:abstractNumId w:val="24"/>
  </w:num>
  <w:num w:numId="16" w16cid:durableId="1236237026">
    <w:abstractNumId w:val="4"/>
  </w:num>
  <w:num w:numId="17" w16cid:durableId="1668557791">
    <w:abstractNumId w:val="31"/>
  </w:num>
  <w:num w:numId="18" w16cid:durableId="112672411">
    <w:abstractNumId w:val="17"/>
  </w:num>
  <w:num w:numId="19" w16cid:durableId="1185677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349301">
    <w:abstractNumId w:val="32"/>
  </w:num>
  <w:num w:numId="21" w16cid:durableId="1590388530">
    <w:abstractNumId w:val="15"/>
  </w:num>
  <w:num w:numId="22" w16cid:durableId="126240624">
    <w:abstractNumId w:val="25"/>
  </w:num>
  <w:num w:numId="23" w16cid:durableId="484129976">
    <w:abstractNumId w:val="5"/>
  </w:num>
  <w:num w:numId="24" w16cid:durableId="1026248428">
    <w:abstractNumId w:val="13"/>
  </w:num>
  <w:num w:numId="25" w16cid:durableId="571038902">
    <w:abstractNumId w:val="13"/>
  </w:num>
  <w:num w:numId="26" w16cid:durableId="1086922873">
    <w:abstractNumId w:val="16"/>
  </w:num>
  <w:num w:numId="27" w16cid:durableId="1660116426">
    <w:abstractNumId w:val="2"/>
  </w:num>
  <w:num w:numId="28" w16cid:durableId="363988700">
    <w:abstractNumId w:val="26"/>
  </w:num>
  <w:num w:numId="29" w16cid:durableId="1303121977">
    <w:abstractNumId w:val="29"/>
  </w:num>
  <w:num w:numId="30" w16cid:durableId="1246914440">
    <w:abstractNumId w:val="10"/>
  </w:num>
  <w:num w:numId="31" w16cid:durableId="1573005167">
    <w:abstractNumId w:val="20"/>
  </w:num>
  <w:num w:numId="32" w16cid:durableId="408699874">
    <w:abstractNumId w:val="21"/>
  </w:num>
  <w:num w:numId="33" w16cid:durableId="1569418770">
    <w:abstractNumId w:val="3"/>
  </w:num>
  <w:num w:numId="34" w16cid:durableId="705176722">
    <w:abstractNumId w:val="1"/>
  </w:num>
  <w:num w:numId="35" w16cid:durableId="1926569401">
    <w:abstractNumId w:val="9"/>
  </w:num>
  <w:num w:numId="36" w16cid:durableId="1979457665">
    <w:abstractNumId w:val="11"/>
  </w:num>
  <w:num w:numId="37" w16cid:durableId="2038313566">
    <w:abstractNumId w:val="8"/>
  </w:num>
  <w:num w:numId="38" w16cid:durableId="12974431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997201">
    <w:abstractNumId w:val="27"/>
  </w:num>
  <w:num w:numId="40" w16cid:durableId="138695924">
    <w:abstractNumId w:val="29"/>
  </w:num>
  <w:num w:numId="41" w16cid:durableId="1429815802">
    <w:abstractNumId w:val="29"/>
  </w:num>
  <w:num w:numId="42" w16cid:durableId="155819756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9tx59px99ffmefr23p5pf2fpf92sr2exra&quot;&gt;pegcetacoplan combined&lt;record-ids&gt;&lt;item&gt;2&lt;/item&gt;&lt;item&gt;3&lt;/item&gt;&lt;item&gt;4&lt;/item&gt;&lt;item&gt;5&lt;/item&gt;&lt;item&gt;6&lt;/item&gt;&lt;item&gt;7&lt;/item&gt;&lt;item&gt;8&lt;/item&gt;&lt;item&gt;9&lt;/item&gt;&lt;item&gt;10&lt;/item&gt;&lt;item&gt;11&lt;/item&gt;&lt;item&gt;12&lt;/item&gt;&lt;item&gt;13&lt;/item&gt;&lt;item&gt;14&lt;/item&gt;&lt;item&gt;15&lt;/item&gt;&lt;item&gt;18&lt;/item&gt;&lt;item&gt;19&lt;/item&gt;&lt;item&gt;20&lt;/item&gt;&lt;item&gt;21&lt;/item&gt;&lt;item&gt;22&lt;/item&gt;&lt;item&gt;23&lt;/item&gt;&lt;item&gt;24&lt;/item&gt;&lt;/record-ids&gt;&lt;/item&gt;&lt;/Libraries&gt;"/>
  </w:docVars>
  <w:rsids>
    <w:rsidRoot w:val="00E65E79"/>
    <w:rsid w:val="00000790"/>
    <w:rsid w:val="000007AE"/>
    <w:rsid w:val="0000110B"/>
    <w:rsid w:val="00001E01"/>
    <w:rsid w:val="00003499"/>
    <w:rsid w:val="000039B7"/>
    <w:rsid w:val="00004518"/>
    <w:rsid w:val="000056B9"/>
    <w:rsid w:val="00005BB7"/>
    <w:rsid w:val="00005CA8"/>
    <w:rsid w:val="0000607C"/>
    <w:rsid w:val="0000639A"/>
    <w:rsid w:val="0000726B"/>
    <w:rsid w:val="00007E4D"/>
    <w:rsid w:val="000108B3"/>
    <w:rsid w:val="00010AA9"/>
    <w:rsid w:val="00010F5C"/>
    <w:rsid w:val="0001144F"/>
    <w:rsid w:val="00012D16"/>
    <w:rsid w:val="00013247"/>
    <w:rsid w:val="00013521"/>
    <w:rsid w:val="00013ED2"/>
    <w:rsid w:val="00014669"/>
    <w:rsid w:val="00014689"/>
    <w:rsid w:val="00014C31"/>
    <w:rsid w:val="00014DF0"/>
    <w:rsid w:val="00015886"/>
    <w:rsid w:val="000162EF"/>
    <w:rsid w:val="00016460"/>
    <w:rsid w:val="00016E0C"/>
    <w:rsid w:val="00017E31"/>
    <w:rsid w:val="0002028B"/>
    <w:rsid w:val="0002041B"/>
    <w:rsid w:val="000207C9"/>
    <w:rsid w:val="00021A41"/>
    <w:rsid w:val="0002225F"/>
    <w:rsid w:val="000230D8"/>
    <w:rsid w:val="00023763"/>
    <w:rsid w:val="00023C49"/>
    <w:rsid w:val="000249D9"/>
    <w:rsid w:val="00024EB5"/>
    <w:rsid w:val="000253E5"/>
    <w:rsid w:val="0002558D"/>
    <w:rsid w:val="0002574D"/>
    <w:rsid w:val="000274B8"/>
    <w:rsid w:val="00030BA1"/>
    <w:rsid w:val="00030BC4"/>
    <w:rsid w:val="000327DE"/>
    <w:rsid w:val="000334E1"/>
    <w:rsid w:val="00033863"/>
    <w:rsid w:val="000339F6"/>
    <w:rsid w:val="00035D63"/>
    <w:rsid w:val="00035DC0"/>
    <w:rsid w:val="00036442"/>
    <w:rsid w:val="00036829"/>
    <w:rsid w:val="00036BD2"/>
    <w:rsid w:val="00037F6C"/>
    <w:rsid w:val="00040895"/>
    <w:rsid w:val="00040CF8"/>
    <w:rsid w:val="00040E37"/>
    <w:rsid w:val="000410A0"/>
    <w:rsid w:val="00041B39"/>
    <w:rsid w:val="00041C0A"/>
    <w:rsid w:val="000435EE"/>
    <w:rsid w:val="000438C7"/>
    <w:rsid w:val="00043A23"/>
    <w:rsid w:val="00043C37"/>
    <w:rsid w:val="000447F9"/>
    <w:rsid w:val="000449AA"/>
    <w:rsid w:val="00045017"/>
    <w:rsid w:val="000458F0"/>
    <w:rsid w:val="00045A2B"/>
    <w:rsid w:val="0004698F"/>
    <w:rsid w:val="00046D64"/>
    <w:rsid w:val="00047313"/>
    <w:rsid w:val="00047F1F"/>
    <w:rsid w:val="000500B0"/>
    <w:rsid w:val="000508C2"/>
    <w:rsid w:val="00051355"/>
    <w:rsid w:val="00052887"/>
    <w:rsid w:val="00052A06"/>
    <w:rsid w:val="00052C61"/>
    <w:rsid w:val="00052C86"/>
    <w:rsid w:val="00052E79"/>
    <w:rsid w:val="000539D0"/>
    <w:rsid w:val="00053A6C"/>
    <w:rsid w:val="00053D8F"/>
    <w:rsid w:val="00054621"/>
    <w:rsid w:val="000546D7"/>
    <w:rsid w:val="00054A2A"/>
    <w:rsid w:val="00054A8D"/>
    <w:rsid w:val="00054D69"/>
    <w:rsid w:val="000555DC"/>
    <w:rsid w:val="0005645B"/>
    <w:rsid w:val="00056ECF"/>
    <w:rsid w:val="00057BF4"/>
    <w:rsid w:val="000604DF"/>
    <w:rsid w:val="00060CA7"/>
    <w:rsid w:val="000618BE"/>
    <w:rsid w:val="00062324"/>
    <w:rsid w:val="00062620"/>
    <w:rsid w:val="00063A99"/>
    <w:rsid w:val="0006404F"/>
    <w:rsid w:val="00064E4D"/>
    <w:rsid w:val="000653B5"/>
    <w:rsid w:val="0006557E"/>
    <w:rsid w:val="000659E7"/>
    <w:rsid w:val="00065A7C"/>
    <w:rsid w:val="00065E30"/>
    <w:rsid w:val="00066146"/>
    <w:rsid w:val="000662F3"/>
    <w:rsid w:val="00066360"/>
    <w:rsid w:val="00066AF8"/>
    <w:rsid w:val="00067939"/>
    <w:rsid w:val="0007110C"/>
    <w:rsid w:val="00071248"/>
    <w:rsid w:val="00071691"/>
    <w:rsid w:val="00071876"/>
    <w:rsid w:val="00071BC2"/>
    <w:rsid w:val="000720B9"/>
    <w:rsid w:val="000736A8"/>
    <w:rsid w:val="000737F7"/>
    <w:rsid w:val="00073ED8"/>
    <w:rsid w:val="000758F6"/>
    <w:rsid w:val="0007672F"/>
    <w:rsid w:val="00076B54"/>
    <w:rsid w:val="000774F0"/>
    <w:rsid w:val="00077A50"/>
    <w:rsid w:val="00077D48"/>
    <w:rsid w:val="0008081B"/>
    <w:rsid w:val="00080909"/>
    <w:rsid w:val="000812CA"/>
    <w:rsid w:val="00081548"/>
    <w:rsid w:val="00081A35"/>
    <w:rsid w:val="00081E63"/>
    <w:rsid w:val="0008258D"/>
    <w:rsid w:val="000828C7"/>
    <w:rsid w:val="00083220"/>
    <w:rsid w:val="00083673"/>
    <w:rsid w:val="00083DDB"/>
    <w:rsid w:val="00083E99"/>
    <w:rsid w:val="00084C6A"/>
    <w:rsid w:val="00084FA8"/>
    <w:rsid w:val="0008546E"/>
    <w:rsid w:val="000856C5"/>
    <w:rsid w:val="00085C31"/>
    <w:rsid w:val="00086924"/>
    <w:rsid w:val="000902D9"/>
    <w:rsid w:val="00090666"/>
    <w:rsid w:val="00090C7E"/>
    <w:rsid w:val="000911AC"/>
    <w:rsid w:val="00091C94"/>
    <w:rsid w:val="00092600"/>
    <w:rsid w:val="0009262B"/>
    <w:rsid w:val="000927EC"/>
    <w:rsid w:val="00093310"/>
    <w:rsid w:val="00093AC9"/>
    <w:rsid w:val="00093AFE"/>
    <w:rsid w:val="00093D78"/>
    <w:rsid w:val="000942F1"/>
    <w:rsid w:val="0009445C"/>
    <w:rsid w:val="00094620"/>
    <w:rsid w:val="00095200"/>
    <w:rsid w:val="00095FE5"/>
    <w:rsid w:val="00096284"/>
    <w:rsid w:val="00096D81"/>
    <w:rsid w:val="00096E8A"/>
    <w:rsid w:val="00097865"/>
    <w:rsid w:val="0009797B"/>
    <w:rsid w:val="000A0343"/>
    <w:rsid w:val="000A0A44"/>
    <w:rsid w:val="000A0B48"/>
    <w:rsid w:val="000A0D39"/>
    <w:rsid w:val="000A1662"/>
    <w:rsid w:val="000A1BC0"/>
    <w:rsid w:val="000A1EB8"/>
    <w:rsid w:val="000A2629"/>
    <w:rsid w:val="000A2C29"/>
    <w:rsid w:val="000A2F9E"/>
    <w:rsid w:val="000A350D"/>
    <w:rsid w:val="000A364D"/>
    <w:rsid w:val="000A3B3E"/>
    <w:rsid w:val="000A3E47"/>
    <w:rsid w:val="000A522B"/>
    <w:rsid w:val="000A567B"/>
    <w:rsid w:val="000A57C3"/>
    <w:rsid w:val="000A5BA2"/>
    <w:rsid w:val="000A5EE2"/>
    <w:rsid w:val="000A6039"/>
    <w:rsid w:val="000A617B"/>
    <w:rsid w:val="000A652C"/>
    <w:rsid w:val="000A6F50"/>
    <w:rsid w:val="000A727D"/>
    <w:rsid w:val="000A7453"/>
    <w:rsid w:val="000A749B"/>
    <w:rsid w:val="000A7D08"/>
    <w:rsid w:val="000B0121"/>
    <w:rsid w:val="000B058A"/>
    <w:rsid w:val="000B0670"/>
    <w:rsid w:val="000B09A6"/>
    <w:rsid w:val="000B0E75"/>
    <w:rsid w:val="000B12B6"/>
    <w:rsid w:val="000B151C"/>
    <w:rsid w:val="000B1A23"/>
    <w:rsid w:val="000B2DCB"/>
    <w:rsid w:val="000B5C03"/>
    <w:rsid w:val="000B5CE0"/>
    <w:rsid w:val="000B6178"/>
    <w:rsid w:val="000B61E2"/>
    <w:rsid w:val="000B63E8"/>
    <w:rsid w:val="000B64D4"/>
    <w:rsid w:val="000B6C2D"/>
    <w:rsid w:val="000B6CAC"/>
    <w:rsid w:val="000B6CBD"/>
    <w:rsid w:val="000B7612"/>
    <w:rsid w:val="000B76A4"/>
    <w:rsid w:val="000B78AE"/>
    <w:rsid w:val="000C1BA5"/>
    <w:rsid w:val="000C22EB"/>
    <w:rsid w:val="000C3601"/>
    <w:rsid w:val="000C3DF9"/>
    <w:rsid w:val="000C3E19"/>
    <w:rsid w:val="000C3EE1"/>
    <w:rsid w:val="000C44DC"/>
    <w:rsid w:val="000C4971"/>
    <w:rsid w:val="000C4CF2"/>
    <w:rsid w:val="000C4FAF"/>
    <w:rsid w:val="000C5386"/>
    <w:rsid w:val="000C5417"/>
    <w:rsid w:val="000C5A9B"/>
    <w:rsid w:val="000C6713"/>
    <w:rsid w:val="000D0445"/>
    <w:rsid w:val="000D05F2"/>
    <w:rsid w:val="000D0A8D"/>
    <w:rsid w:val="000D0E8C"/>
    <w:rsid w:val="000D1BFC"/>
    <w:rsid w:val="000D1D5D"/>
    <w:rsid w:val="000D281A"/>
    <w:rsid w:val="000D2848"/>
    <w:rsid w:val="000D2B7D"/>
    <w:rsid w:val="000D326A"/>
    <w:rsid w:val="000D4430"/>
    <w:rsid w:val="000D4468"/>
    <w:rsid w:val="000D51FB"/>
    <w:rsid w:val="000D6145"/>
    <w:rsid w:val="000D6A83"/>
    <w:rsid w:val="000D73EF"/>
    <w:rsid w:val="000D75D6"/>
    <w:rsid w:val="000D7BC6"/>
    <w:rsid w:val="000E0640"/>
    <w:rsid w:val="000E115A"/>
    <w:rsid w:val="000E135D"/>
    <w:rsid w:val="000E4783"/>
    <w:rsid w:val="000E4B58"/>
    <w:rsid w:val="000E51CC"/>
    <w:rsid w:val="000E7C2E"/>
    <w:rsid w:val="000F00BA"/>
    <w:rsid w:val="000F035F"/>
    <w:rsid w:val="000F12E4"/>
    <w:rsid w:val="000F316A"/>
    <w:rsid w:val="000F3C74"/>
    <w:rsid w:val="000F3D8F"/>
    <w:rsid w:val="000F472D"/>
    <w:rsid w:val="000F4A03"/>
    <w:rsid w:val="000F4BB8"/>
    <w:rsid w:val="000F4FA9"/>
    <w:rsid w:val="000F5378"/>
    <w:rsid w:val="000F53FB"/>
    <w:rsid w:val="000F56EB"/>
    <w:rsid w:val="000F5847"/>
    <w:rsid w:val="000F6089"/>
    <w:rsid w:val="000F7127"/>
    <w:rsid w:val="000F7B54"/>
    <w:rsid w:val="000F7C83"/>
    <w:rsid w:val="000F7F79"/>
    <w:rsid w:val="001000B3"/>
    <w:rsid w:val="00100805"/>
    <w:rsid w:val="00100E8D"/>
    <w:rsid w:val="00100F8A"/>
    <w:rsid w:val="00100FAB"/>
    <w:rsid w:val="0010337C"/>
    <w:rsid w:val="0010400A"/>
    <w:rsid w:val="0010452E"/>
    <w:rsid w:val="001057F7"/>
    <w:rsid w:val="00105AE2"/>
    <w:rsid w:val="001060C6"/>
    <w:rsid w:val="00106164"/>
    <w:rsid w:val="00106170"/>
    <w:rsid w:val="00106565"/>
    <w:rsid w:val="00106B80"/>
    <w:rsid w:val="00106BE4"/>
    <w:rsid w:val="001075D6"/>
    <w:rsid w:val="00110109"/>
    <w:rsid w:val="0011032E"/>
    <w:rsid w:val="001105A3"/>
    <w:rsid w:val="001113ED"/>
    <w:rsid w:val="001118EB"/>
    <w:rsid w:val="00111E32"/>
    <w:rsid w:val="00112431"/>
    <w:rsid w:val="001129E0"/>
    <w:rsid w:val="0011348B"/>
    <w:rsid w:val="001136A2"/>
    <w:rsid w:val="00114A35"/>
    <w:rsid w:val="00114C9A"/>
    <w:rsid w:val="001156A9"/>
    <w:rsid w:val="00115982"/>
    <w:rsid w:val="001161BE"/>
    <w:rsid w:val="00116C53"/>
    <w:rsid w:val="001205FA"/>
    <w:rsid w:val="00121799"/>
    <w:rsid w:val="001221D5"/>
    <w:rsid w:val="00122263"/>
    <w:rsid w:val="001222FC"/>
    <w:rsid w:val="00122ACA"/>
    <w:rsid w:val="00122F9F"/>
    <w:rsid w:val="00123902"/>
    <w:rsid w:val="00124A51"/>
    <w:rsid w:val="00124A56"/>
    <w:rsid w:val="00126506"/>
    <w:rsid w:val="00126621"/>
    <w:rsid w:val="00126B1D"/>
    <w:rsid w:val="00127AD3"/>
    <w:rsid w:val="001301E9"/>
    <w:rsid w:val="00130909"/>
    <w:rsid w:val="00130B25"/>
    <w:rsid w:val="001318B5"/>
    <w:rsid w:val="00131D82"/>
    <w:rsid w:val="001329D3"/>
    <w:rsid w:val="00132B22"/>
    <w:rsid w:val="00133D36"/>
    <w:rsid w:val="00134488"/>
    <w:rsid w:val="00137645"/>
    <w:rsid w:val="0014015A"/>
    <w:rsid w:val="00140E99"/>
    <w:rsid w:val="00142D93"/>
    <w:rsid w:val="00142F5B"/>
    <w:rsid w:val="00143182"/>
    <w:rsid w:val="00143488"/>
    <w:rsid w:val="00143601"/>
    <w:rsid w:val="00143BAD"/>
    <w:rsid w:val="00143C5D"/>
    <w:rsid w:val="00143F67"/>
    <w:rsid w:val="00144595"/>
    <w:rsid w:val="00145234"/>
    <w:rsid w:val="00145540"/>
    <w:rsid w:val="001456B0"/>
    <w:rsid w:val="001459A4"/>
    <w:rsid w:val="00146339"/>
    <w:rsid w:val="001479EE"/>
    <w:rsid w:val="001500C8"/>
    <w:rsid w:val="0015072F"/>
    <w:rsid w:val="00150A3D"/>
    <w:rsid w:val="001526C6"/>
    <w:rsid w:val="001533C4"/>
    <w:rsid w:val="001545EF"/>
    <w:rsid w:val="00154727"/>
    <w:rsid w:val="001547AB"/>
    <w:rsid w:val="0015551F"/>
    <w:rsid w:val="00155636"/>
    <w:rsid w:val="00155CE6"/>
    <w:rsid w:val="00155E39"/>
    <w:rsid w:val="00156D3D"/>
    <w:rsid w:val="00156F8F"/>
    <w:rsid w:val="00157100"/>
    <w:rsid w:val="00157130"/>
    <w:rsid w:val="001576B1"/>
    <w:rsid w:val="0016047B"/>
    <w:rsid w:val="001606D9"/>
    <w:rsid w:val="00160A4C"/>
    <w:rsid w:val="00160D02"/>
    <w:rsid w:val="00162867"/>
    <w:rsid w:val="00162913"/>
    <w:rsid w:val="00162F5A"/>
    <w:rsid w:val="0016390B"/>
    <w:rsid w:val="00163C52"/>
    <w:rsid w:val="00163EFF"/>
    <w:rsid w:val="00163F50"/>
    <w:rsid w:val="00163F66"/>
    <w:rsid w:val="00164320"/>
    <w:rsid w:val="0016478E"/>
    <w:rsid w:val="00165519"/>
    <w:rsid w:val="00165EAB"/>
    <w:rsid w:val="00165EC4"/>
    <w:rsid w:val="001661FB"/>
    <w:rsid w:val="001669F4"/>
    <w:rsid w:val="001671A0"/>
    <w:rsid w:val="0016767F"/>
    <w:rsid w:val="0016781C"/>
    <w:rsid w:val="0017164F"/>
    <w:rsid w:val="00173536"/>
    <w:rsid w:val="00173565"/>
    <w:rsid w:val="00173B07"/>
    <w:rsid w:val="00174B6A"/>
    <w:rsid w:val="00174C2D"/>
    <w:rsid w:val="001751FA"/>
    <w:rsid w:val="001752B4"/>
    <w:rsid w:val="001761E4"/>
    <w:rsid w:val="00176217"/>
    <w:rsid w:val="001766F5"/>
    <w:rsid w:val="00177866"/>
    <w:rsid w:val="001778CC"/>
    <w:rsid w:val="00177F7B"/>
    <w:rsid w:val="00180585"/>
    <w:rsid w:val="00180E11"/>
    <w:rsid w:val="00181C10"/>
    <w:rsid w:val="00181D9C"/>
    <w:rsid w:val="00182B2C"/>
    <w:rsid w:val="00183411"/>
    <w:rsid w:val="001837FF"/>
    <w:rsid w:val="00183F57"/>
    <w:rsid w:val="0018419E"/>
    <w:rsid w:val="0018427D"/>
    <w:rsid w:val="00184B0E"/>
    <w:rsid w:val="0018651A"/>
    <w:rsid w:val="001865DE"/>
    <w:rsid w:val="00186A17"/>
    <w:rsid w:val="0018752F"/>
    <w:rsid w:val="00187A3B"/>
    <w:rsid w:val="00193838"/>
    <w:rsid w:val="00194831"/>
    <w:rsid w:val="00194912"/>
    <w:rsid w:val="00194AD8"/>
    <w:rsid w:val="00195222"/>
    <w:rsid w:val="00195452"/>
    <w:rsid w:val="00196018"/>
    <w:rsid w:val="00196A6A"/>
    <w:rsid w:val="00196ED1"/>
    <w:rsid w:val="001975D8"/>
    <w:rsid w:val="001A04C5"/>
    <w:rsid w:val="001A178D"/>
    <w:rsid w:val="001A178E"/>
    <w:rsid w:val="001A18D8"/>
    <w:rsid w:val="001A2A95"/>
    <w:rsid w:val="001A31C2"/>
    <w:rsid w:val="001A32FB"/>
    <w:rsid w:val="001A36D2"/>
    <w:rsid w:val="001A43FA"/>
    <w:rsid w:val="001A47C5"/>
    <w:rsid w:val="001A4BDB"/>
    <w:rsid w:val="001A515F"/>
    <w:rsid w:val="001A5246"/>
    <w:rsid w:val="001A52B9"/>
    <w:rsid w:val="001A59FB"/>
    <w:rsid w:val="001A5E9E"/>
    <w:rsid w:val="001A5EE7"/>
    <w:rsid w:val="001A60A3"/>
    <w:rsid w:val="001A6354"/>
    <w:rsid w:val="001A6366"/>
    <w:rsid w:val="001A6476"/>
    <w:rsid w:val="001A68B6"/>
    <w:rsid w:val="001A69C6"/>
    <w:rsid w:val="001A7A3A"/>
    <w:rsid w:val="001A7AE8"/>
    <w:rsid w:val="001A7F99"/>
    <w:rsid w:val="001B0633"/>
    <w:rsid w:val="001B166D"/>
    <w:rsid w:val="001B1A0E"/>
    <w:rsid w:val="001B1A65"/>
    <w:rsid w:val="001B204E"/>
    <w:rsid w:val="001B2372"/>
    <w:rsid w:val="001B2518"/>
    <w:rsid w:val="001B3443"/>
    <w:rsid w:val="001B37F1"/>
    <w:rsid w:val="001B3FCA"/>
    <w:rsid w:val="001B4D20"/>
    <w:rsid w:val="001B566D"/>
    <w:rsid w:val="001B56DB"/>
    <w:rsid w:val="001B61EB"/>
    <w:rsid w:val="001B79A1"/>
    <w:rsid w:val="001B79AB"/>
    <w:rsid w:val="001B7F84"/>
    <w:rsid w:val="001C2A7C"/>
    <w:rsid w:val="001C2A9B"/>
    <w:rsid w:val="001C2BC3"/>
    <w:rsid w:val="001C2F28"/>
    <w:rsid w:val="001C3056"/>
    <w:rsid w:val="001C3920"/>
    <w:rsid w:val="001C3DD6"/>
    <w:rsid w:val="001C4299"/>
    <w:rsid w:val="001C4874"/>
    <w:rsid w:val="001C48ED"/>
    <w:rsid w:val="001C4AED"/>
    <w:rsid w:val="001C5F94"/>
    <w:rsid w:val="001C6654"/>
    <w:rsid w:val="001C6A38"/>
    <w:rsid w:val="001C6E66"/>
    <w:rsid w:val="001C7234"/>
    <w:rsid w:val="001C770E"/>
    <w:rsid w:val="001D1100"/>
    <w:rsid w:val="001D1391"/>
    <w:rsid w:val="001D23C0"/>
    <w:rsid w:val="001D25D7"/>
    <w:rsid w:val="001D2684"/>
    <w:rsid w:val="001D2D23"/>
    <w:rsid w:val="001D3243"/>
    <w:rsid w:val="001D3899"/>
    <w:rsid w:val="001D4D3A"/>
    <w:rsid w:val="001D50B2"/>
    <w:rsid w:val="001D542B"/>
    <w:rsid w:val="001D5F27"/>
    <w:rsid w:val="001D6FD3"/>
    <w:rsid w:val="001D71F4"/>
    <w:rsid w:val="001D75B3"/>
    <w:rsid w:val="001D7645"/>
    <w:rsid w:val="001D7C0E"/>
    <w:rsid w:val="001E0767"/>
    <w:rsid w:val="001E186E"/>
    <w:rsid w:val="001E1E86"/>
    <w:rsid w:val="001E238E"/>
    <w:rsid w:val="001E2483"/>
    <w:rsid w:val="001E2A5F"/>
    <w:rsid w:val="001E2B1E"/>
    <w:rsid w:val="001E2CFF"/>
    <w:rsid w:val="001E2F24"/>
    <w:rsid w:val="001E30D4"/>
    <w:rsid w:val="001E34DF"/>
    <w:rsid w:val="001E4DA6"/>
    <w:rsid w:val="001E52EB"/>
    <w:rsid w:val="001E584D"/>
    <w:rsid w:val="001E61D2"/>
    <w:rsid w:val="001E6A3D"/>
    <w:rsid w:val="001E70BE"/>
    <w:rsid w:val="001E73D9"/>
    <w:rsid w:val="001E740C"/>
    <w:rsid w:val="001E7D9D"/>
    <w:rsid w:val="001F0974"/>
    <w:rsid w:val="001F1235"/>
    <w:rsid w:val="001F1CB3"/>
    <w:rsid w:val="001F1DA2"/>
    <w:rsid w:val="001F23FB"/>
    <w:rsid w:val="001F321D"/>
    <w:rsid w:val="001F32E3"/>
    <w:rsid w:val="001F38B5"/>
    <w:rsid w:val="001F4081"/>
    <w:rsid w:val="001F42AB"/>
    <w:rsid w:val="001F43FA"/>
    <w:rsid w:val="001F5B3D"/>
    <w:rsid w:val="001F636D"/>
    <w:rsid w:val="001F63F5"/>
    <w:rsid w:val="001F7361"/>
    <w:rsid w:val="002011B0"/>
    <w:rsid w:val="002023C9"/>
    <w:rsid w:val="00203037"/>
    <w:rsid w:val="00203181"/>
    <w:rsid w:val="00203783"/>
    <w:rsid w:val="0020385F"/>
    <w:rsid w:val="00203936"/>
    <w:rsid w:val="0020421A"/>
    <w:rsid w:val="00204D43"/>
    <w:rsid w:val="00204F65"/>
    <w:rsid w:val="00204FCA"/>
    <w:rsid w:val="002064D7"/>
    <w:rsid w:val="002068A0"/>
    <w:rsid w:val="00207021"/>
    <w:rsid w:val="0020732F"/>
    <w:rsid w:val="0020799C"/>
    <w:rsid w:val="00207D00"/>
    <w:rsid w:val="002105C1"/>
    <w:rsid w:val="002115DE"/>
    <w:rsid w:val="002116FD"/>
    <w:rsid w:val="00211DC8"/>
    <w:rsid w:val="00211EBE"/>
    <w:rsid w:val="00211F1C"/>
    <w:rsid w:val="00213056"/>
    <w:rsid w:val="00213846"/>
    <w:rsid w:val="00213EF5"/>
    <w:rsid w:val="00214830"/>
    <w:rsid w:val="00214FD8"/>
    <w:rsid w:val="00216BF5"/>
    <w:rsid w:val="00217AF5"/>
    <w:rsid w:val="00220320"/>
    <w:rsid w:val="002216BE"/>
    <w:rsid w:val="00221ACE"/>
    <w:rsid w:val="00221C13"/>
    <w:rsid w:val="0022227B"/>
    <w:rsid w:val="00222FE4"/>
    <w:rsid w:val="00223B49"/>
    <w:rsid w:val="00223C3A"/>
    <w:rsid w:val="00223D5A"/>
    <w:rsid w:val="0022437D"/>
    <w:rsid w:val="00224D9E"/>
    <w:rsid w:val="00224DD4"/>
    <w:rsid w:val="002259B9"/>
    <w:rsid w:val="002259BC"/>
    <w:rsid w:val="00226C08"/>
    <w:rsid w:val="002278A0"/>
    <w:rsid w:val="00227E7A"/>
    <w:rsid w:val="00230019"/>
    <w:rsid w:val="002309CC"/>
    <w:rsid w:val="00231121"/>
    <w:rsid w:val="00231BA9"/>
    <w:rsid w:val="0023209F"/>
    <w:rsid w:val="002322D1"/>
    <w:rsid w:val="00232A7E"/>
    <w:rsid w:val="00232DC3"/>
    <w:rsid w:val="002332F4"/>
    <w:rsid w:val="00233C01"/>
    <w:rsid w:val="00233C1D"/>
    <w:rsid w:val="0023407A"/>
    <w:rsid w:val="0023413C"/>
    <w:rsid w:val="002342DA"/>
    <w:rsid w:val="002346F0"/>
    <w:rsid w:val="00234BCA"/>
    <w:rsid w:val="0023554C"/>
    <w:rsid w:val="0023629D"/>
    <w:rsid w:val="00236B42"/>
    <w:rsid w:val="00236E97"/>
    <w:rsid w:val="00236EDE"/>
    <w:rsid w:val="00237255"/>
    <w:rsid w:val="002424AF"/>
    <w:rsid w:val="0024352F"/>
    <w:rsid w:val="002439DC"/>
    <w:rsid w:val="00243A60"/>
    <w:rsid w:val="00243E11"/>
    <w:rsid w:val="00243E3D"/>
    <w:rsid w:val="00243F92"/>
    <w:rsid w:val="002441D2"/>
    <w:rsid w:val="002441F8"/>
    <w:rsid w:val="00244ABB"/>
    <w:rsid w:val="00244DC8"/>
    <w:rsid w:val="0024537A"/>
    <w:rsid w:val="002458BA"/>
    <w:rsid w:val="00245CE9"/>
    <w:rsid w:val="0024636C"/>
    <w:rsid w:val="002469D2"/>
    <w:rsid w:val="002478CC"/>
    <w:rsid w:val="00247925"/>
    <w:rsid w:val="00247EA5"/>
    <w:rsid w:val="002500AF"/>
    <w:rsid w:val="00250125"/>
    <w:rsid w:val="00250293"/>
    <w:rsid w:val="00251006"/>
    <w:rsid w:val="00251079"/>
    <w:rsid w:val="002524D5"/>
    <w:rsid w:val="002530DA"/>
    <w:rsid w:val="00253436"/>
    <w:rsid w:val="002539C6"/>
    <w:rsid w:val="00253B1D"/>
    <w:rsid w:val="00254DCF"/>
    <w:rsid w:val="0025534B"/>
    <w:rsid w:val="002559EE"/>
    <w:rsid w:val="00255BB7"/>
    <w:rsid w:val="0025613F"/>
    <w:rsid w:val="00257541"/>
    <w:rsid w:val="00257A39"/>
    <w:rsid w:val="00257AC4"/>
    <w:rsid w:val="00257BBE"/>
    <w:rsid w:val="0026071C"/>
    <w:rsid w:val="00261EEF"/>
    <w:rsid w:val="00262A1A"/>
    <w:rsid w:val="00262A87"/>
    <w:rsid w:val="00262D72"/>
    <w:rsid w:val="00264138"/>
    <w:rsid w:val="002649E0"/>
    <w:rsid w:val="00264D26"/>
    <w:rsid w:val="00265284"/>
    <w:rsid w:val="0026610F"/>
    <w:rsid w:val="00266159"/>
    <w:rsid w:val="00267642"/>
    <w:rsid w:val="00267AEA"/>
    <w:rsid w:val="00267F0A"/>
    <w:rsid w:val="002700E6"/>
    <w:rsid w:val="0027205E"/>
    <w:rsid w:val="00272849"/>
    <w:rsid w:val="0027294B"/>
    <w:rsid w:val="00272C1A"/>
    <w:rsid w:val="00273EB4"/>
    <w:rsid w:val="00274047"/>
    <w:rsid w:val="00274682"/>
    <w:rsid w:val="00275158"/>
    <w:rsid w:val="00275A4B"/>
    <w:rsid w:val="00275C5A"/>
    <w:rsid w:val="0027611B"/>
    <w:rsid w:val="00276CB6"/>
    <w:rsid w:val="00277BA2"/>
    <w:rsid w:val="002800EE"/>
    <w:rsid w:val="00280F0F"/>
    <w:rsid w:val="00281014"/>
    <w:rsid w:val="00281EAC"/>
    <w:rsid w:val="00283776"/>
    <w:rsid w:val="0028458C"/>
    <w:rsid w:val="00285679"/>
    <w:rsid w:val="002856C9"/>
    <w:rsid w:val="00285BCE"/>
    <w:rsid w:val="00285F31"/>
    <w:rsid w:val="002860F9"/>
    <w:rsid w:val="0028658E"/>
    <w:rsid w:val="0028665D"/>
    <w:rsid w:val="00286C85"/>
    <w:rsid w:val="0029078F"/>
    <w:rsid w:val="002914B5"/>
    <w:rsid w:val="00292A3F"/>
    <w:rsid w:val="00296173"/>
    <w:rsid w:val="00296BF7"/>
    <w:rsid w:val="00297AE4"/>
    <w:rsid w:val="00297DF6"/>
    <w:rsid w:val="002A0317"/>
    <w:rsid w:val="002A098D"/>
    <w:rsid w:val="002A14AB"/>
    <w:rsid w:val="002A15B1"/>
    <w:rsid w:val="002A2ADE"/>
    <w:rsid w:val="002A2F50"/>
    <w:rsid w:val="002A3C12"/>
    <w:rsid w:val="002A4832"/>
    <w:rsid w:val="002A5A55"/>
    <w:rsid w:val="002A67A6"/>
    <w:rsid w:val="002A7943"/>
    <w:rsid w:val="002B05A1"/>
    <w:rsid w:val="002B09A4"/>
    <w:rsid w:val="002B0DB9"/>
    <w:rsid w:val="002B114A"/>
    <w:rsid w:val="002B119C"/>
    <w:rsid w:val="002B1C1F"/>
    <w:rsid w:val="002B2A62"/>
    <w:rsid w:val="002B2EE8"/>
    <w:rsid w:val="002B334F"/>
    <w:rsid w:val="002B3CE9"/>
    <w:rsid w:val="002B407E"/>
    <w:rsid w:val="002B432F"/>
    <w:rsid w:val="002B62B3"/>
    <w:rsid w:val="002B6754"/>
    <w:rsid w:val="002B6CCE"/>
    <w:rsid w:val="002B7108"/>
    <w:rsid w:val="002C0636"/>
    <w:rsid w:val="002C13BD"/>
    <w:rsid w:val="002C18B7"/>
    <w:rsid w:val="002C2510"/>
    <w:rsid w:val="002C2775"/>
    <w:rsid w:val="002C27C1"/>
    <w:rsid w:val="002C2939"/>
    <w:rsid w:val="002C36E3"/>
    <w:rsid w:val="002C5099"/>
    <w:rsid w:val="002C538A"/>
    <w:rsid w:val="002C56B8"/>
    <w:rsid w:val="002C5889"/>
    <w:rsid w:val="002C58DC"/>
    <w:rsid w:val="002C5C1E"/>
    <w:rsid w:val="002C6269"/>
    <w:rsid w:val="002C6DC3"/>
    <w:rsid w:val="002C71CE"/>
    <w:rsid w:val="002C7C32"/>
    <w:rsid w:val="002D08F8"/>
    <w:rsid w:val="002D0A2E"/>
    <w:rsid w:val="002D1A5B"/>
    <w:rsid w:val="002D2A6A"/>
    <w:rsid w:val="002D2AE5"/>
    <w:rsid w:val="002D3E57"/>
    <w:rsid w:val="002D436D"/>
    <w:rsid w:val="002D577C"/>
    <w:rsid w:val="002D71B7"/>
    <w:rsid w:val="002D7832"/>
    <w:rsid w:val="002D7893"/>
    <w:rsid w:val="002E0516"/>
    <w:rsid w:val="002E0C63"/>
    <w:rsid w:val="002E1071"/>
    <w:rsid w:val="002E121F"/>
    <w:rsid w:val="002E15B9"/>
    <w:rsid w:val="002E1D55"/>
    <w:rsid w:val="002E1EF8"/>
    <w:rsid w:val="002E2158"/>
    <w:rsid w:val="002E393E"/>
    <w:rsid w:val="002E3AA1"/>
    <w:rsid w:val="002E4F02"/>
    <w:rsid w:val="002E6B73"/>
    <w:rsid w:val="002E7722"/>
    <w:rsid w:val="002F038F"/>
    <w:rsid w:val="002F07BA"/>
    <w:rsid w:val="002F0DA9"/>
    <w:rsid w:val="002F1014"/>
    <w:rsid w:val="002F15DD"/>
    <w:rsid w:val="002F1E3B"/>
    <w:rsid w:val="002F2DB1"/>
    <w:rsid w:val="002F3535"/>
    <w:rsid w:val="002F3BAB"/>
    <w:rsid w:val="002F4C95"/>
    <w:rsid w:val="002F4D78"/>
    <w:rsid w:val="002F4F60"/>
    <w:rsid w:val="002F590F"/>
    <w:rsid w:val="002F643C"/>
    <w:rsid w:val="002F6594"/>
    <w:rsid w:val="002F6DE2"/>
    <w:rsid w:val="002F70DB"/>
    <w:rsid w:val="002F71C0"/>
    <w:rsid w:val="002F73DC"/>
    <w:rsid w:val="002F74F1"/>
    <w:rsid w:val="00301017"/>
    <w:rsid w:val="0030155F"/>
    <w:rsid w:val="0030318B"/>
    <w:rsid w:val="003043A3"/>
    <w:rsid w:val="00304FDC"/>
    <w:rsid w:val="0030587B"/>
    <w:rsid w:val="00305E96"/>
    <w:rsid w:val="00306D98"/>
    <w:rsid w:val="0030786C"/>
    <w:rsid w:val="0031031A"/>
    <w:rsid w:val="0031068D"/>
    <w:rsid w:val="00310981"/>
    <w:rsid w:val="0031120C"/>
    <w:rsid w:val="00311D9B"/>
    <w:rsid w:val="003124D9"/>
    <w:rsid w:val="00312594"/>
    <w:rsid w:val="003143FE"/>
    <w:rsid w:val="00315498"/>
    <w:rsid w:val="00315B92"/>
    <w:rsid w:val="00315C95"/>
    <w:rsid w:val="00316474"/>
    <w:rsid w:val="00317D82"/>
    <w:rsid w:val="00317FE0"/>
    <w:rsid w:val="003205EA"/>
    <w:rsid w:val="00320A8C"/>
    <w:rsid w:val="00321208"/>
    <w:rsid w:val="0032122A"/>
    <w:rsid w:val="00322107"/>
    <w:rsid w:val="0032213C"/>
    <w:rsid w:val="00322355"/>
    <w:rsid w:val="0032265B"/>
    <w:rsid w:val="00322846"/>
    <w:rsid w:val="0032398B"/>
    <w:rsid w:val="00326B7F"/>
    <w:rsid w:val="00326DA7"/>
    <w:rsid w:val="003270E4"/>
    <w:rsid w:val="00327FA6"/>
    <w:rsid w:val="00330DAA"/>
    <w:rsid w:val="00330F5C"/>
    <w:rsid w:val="00331D24"/>
    <w:rsid w:val="00331EAA"/>
    <w:rsid w:val="00332C9B"/>
    <w:rsid w:val="003332F0"/>
    <w:rsid w:val="00333CFE"/>
    <w:rsid w:val="00334875"/>
    <w:rsid w:val="00334E87"/>
    <w:rsid w:val="003353EE"/>
    <w:rsid w:val="003364A8"/>
    <w:rsid w:val="003366C9"/>
    <w:rsid w:val="003371B0"/>
    <w:rsid w:val="003374CD"/>
    <w:rsid w:val="00337BFE"/>
    <w:rsid w:val="00337E1F"/>
    <w:rsid w:val="003401EE"/>
    <w:rsid w:val="00340DF1"/>
    <w:rsid w:val="0034145B"/>
    <w:rsid w:val="00341C50"/>
    <w:rsid w:val="00342830"/>
    <w:rsid w:val="003433D7"/>
    <w:rsid w:val="00343984"/>
    <w:rsid w:val="00343C6F"/>
    <w:rsid w:val="00344987"/>
    <w:rsid w:val="0034556A"/>
    <w:rsid w:val="00345796"/>
    <w:rsid w:val="00346929"/>
    <w:rsid w:val="003469ED"/>
    <w:rsid w:val="003479CF"/>
    <w:rsid w:val="00350F30"/>
    <w:rsid w:val="003517F9"/>
    <w:rsid w:val="00351BA9"/>
    <w:rsid w:val="0035220A"/>
    <w:rsid w:val="003537AB"/>
    <w:rsid w:val="0035401F"/>
    <w:rsid w:val="00354DD3"/>
    <w:rsid w:val="00354F28"/>
    <w:rsid w:val="00354F64"/>
    <w:rsid w:val="00354FE6"/>
    <w:rsid w:val="00355005"/>
    <w:rsid w:val="0035512B"/>
    <w:rsid w:val="00355BB0"/>
    <w:rsid w:val="0035620E"/>
    <w:rsid w:val="00356586"/>
    <w:rsid w:val="003575BE"/>
    <w:rsid w:val="00360345"/>
    <w:rsid w:val="003603FD"/>
    <w:rsid w:val="0036063B"/>
    <w:rsid w:val="00361845"/>
    <w:rsid w:val="00361A05"/>
    <w:rsid w:val="0036206A"/>
    <w:rsid w:val="003624C4"/>
    <w:rsid w:val="003625E5"/>
    <w:rsid w:val="00362A2F"/>
    <w:rsid w:val="00362E39"/>
    <w:rsid w:val="00363B00"/>
    <w:rsid w:val="00363B91"/>
    <w:rsid w:val="003641FA"/>
    <w:rsid w:val="003643E6"/>
    <w:rsid w:val="00364481"/>
    <w:rsid w:val="003646BF"/>
    <w:rsid w:val="00364E46"/>
    <w:rsid w:val="003654AC"/>
    <w:rsid w:val="0036562E"/>
    <w:rsid w:val="003677BB"/>
    <w:rsid w:val="003708A1"/>
    <w:rsid w:val="003710CF"/>
    <w:rsid w:val="00371101"/>
    <w:rsid w:val="00371FE4"/>
    <w:rsid w:val="00372570"/>
    <w:rsid w:val="0037358A"/>
    <w:rsid w:val="0037485B"/>
    <w:rsid w:val="0037486E"/>
    <w:rsid w:val="003750F6"/>
    <w:rsid w:val="003760FC"/>
    <w:rsid w:val="003776F7"/>
    <w:rsid w:val="003826B9"/>
    <w:rsid w:val="0038365C"/>
    <w:rsid w:val="0038369B"/>
    <w:rsid w:val="00383B78"/>
    <w:rsid w:val="003846BF"/>
    <w:rsid w:val="00385A9D"/>
    <w:rsid w:val="00386780"/>
    <w:rsid w:val="00387121"/>
    <w:rsid w:val="003902B1"/>
    <w:rsid w:val="00390498"/>
    <w:rsid w:val="0039123A"/>
    <w:rsid w:val="0039179C"/>
    <w:rsid w:val="003926B4"/>
    <w:rsid w:val="003929B6"/>
    <w:rsid w:val="00392F26"/>
    <w:rsid w:val="00393B65"/>
    <w:rsid w:val="003947DC"/>
    <w:rsid w:val="00394B16"/>
    <w:rsid w:val="003950A5"/>
    <w:rsid w:val="00395579"/>
    <w:rsid w:val="00396896"/>
    <w:rsid w:val="00396FD0"/>
    <w:rsid w:val="003975B0"/>
    <w:rsid w:val="00397946"/>
    <w:rsid w:val="00397B07"/>
    <w:rsid w:val="003A0624"/>
    <w:rsid w:val="003A1A7A"/>
    <w:rsid w:val="003A1BBC"/>
    <w:rsid w:val="003A2392"/>
    <w:rsid w:val="003A2831"/>
    <w:rsid w:val="003A3911"/>
    <w:rsid w:val="003A3CB6"/>
    <w:rsid w:val="003A3DA0"/>
    <w:rsid w:val="003A3ED1"/>
    <w:rsid w:val="003A44DB"/>
    <w:rsid w:val="003A4AFF"/>
    <w:rsid w:val="003A4C14"/>
    <w:rsid w:val="003A6466"/>
    <w:rsid w:val="003A6AF1"/>
    <w:rsid w:val="003A7D1C"/>
    <w:rsid w:val="003B230C"/>
    <w:rsid w:val="003B2907"/>
    <w:rsid w:val="003B2B72"/>
    <w:rsid w:val="003B3175"/>
    <w:rsid w:val="003B3971"/>
    <w:rsid w:val="003B41B1"/>
    <w:rsid w:val="003B4C8D"/>
    <w:rsid w:val="003B5330"/>
    <w:rsid w:val="003B55D1"/>
    <w:rsid w:val="003B58F1"/>
    <w:rsid w:val="003B5B61"/>
    <w:rsid w:val="003B6240"/>
    <w:rsid w:val="003B6376"/>
    <w:rsid w:val="003B6AAC"/>
    <w:rsid w:val="003B745B"/>
    <w:rsid w:val="003B7A16"/>
    <w:rsid w:val="003B7AF8"/>
    <w:rsid w:val="003C04FF"/>
    <w:rsid w:val="003C056E"/>
    <w:rsid w:val="003C0595"/>
    <w:rsid w:val="003C0838"/>
    <w:rsid w:val="003C08DF"/>
    <w:rsid w:val="003C1654"/>
    <w:rsid w:val="003C1A09"/>
    <w:rsid w:val="003C31DA"/>
    <w:rsid w:val="003C35AD"/>
    <w:rsid w:val="003C3C8E"/>
    <w:rsid w:val="003C4453"/>
    <w:rsid w:val="003C5080"/>
    <w:rsid w:val="003C5542"/>
    <w:rsid w:val="003C72A3"/>
    <w:rsid w:val="003C72AF"/>
    <w:rsid w:val="003C79BA"/>
    <w:rsid w:val="003C7C15"/>
    <w:rsid w:val="003C7D19"/>
    <w:rsid w:val="003C7D2F"/>
    <w:rsid w:val="003D0A93"/>
    <w:rsid w:val="003D0C5A"/>
    <w:rsid w:val="003D1828"/>
    <w:rsid w:val="003D1DE4"/>
    <w:rsid w:val="003D1E9A"/>
    <w:rsid w:val="003D2422"/>
    <w:rsid w:val="003D279D"/>
    <w:rsid w:val="003D30B0"/>
    <w:rsid w:val="003D39A1"/>
    <w:rsid w:val="003D3FBF"/>
    <w:rsid w:val="003D4A30"/>
    <w:rsid w:val="003D5218"/>
    <w:rsid w:val="003D70E5"/>
    <w:rsid w:val="003D7452"/>
    <w:rsid w:val="003D79BB"/>
    <w:rsid w:val="003D7A66"/>
    <w:rsid w:val="003D7C98"/>
    <w:rsid w:val="003D7D9D"/>
    <w:rsid w:val="003E0543"/>
    <w:rsid w:val="003E177F"/>
    <w:rsid w:val="003E1EEA"/>
    <w:rsid w:val="003E20FC"/>
    <w:rsid w:val="003E27B4"/>
    <w:rsid w:val="003E2AF6"/>
    <w:rsid w:val="003E32AE"/>
    <w:rsid w:val="003E50A2"/>
    <w:rsid w:val="003E535E"/>
    <w:rsid w:val="003E53A5"/>
    <w:rsid w:val="003E53C7"/>
    <w:rsid w:val="003E5603"/>
    <w:rsid w:val="003E7058"/>
    <w:rsid w:val="003E749E"/>
    <w:rsid w:val="003E7C3F"/>
    <w:rsid w:val="003F3A74"/>
    <w:rsid w:val="003F4002"/>
    <w:rsid w:val="003F4156"/>
    <w:rsid w:val="003F42F8"/>
    <w:rsid w:val="003F4D68"/>
    <w:rsid w:val="003F4F11"/>
    <w:rsid w:val="003F56B6"/>
    <w:rsid w:val="003F5ADF"/>
    <w:rsid w:val="003F5FED"/>
    <w:rsid w:val="003F6758"/>
    <w:rsid w:val="003F681C"/>
    <w:rsid w:val="003F6B2F"/>
    <w:rsid w:val="003F7269"/>
    <w:rsid w:val="003F7464"/>
    <w:rsid w:val="003F7985"/>
    <w:rsid w:val="0040062E"/>
    <w:rsid w:val="004006A5"/>
    <w:rsid w:val="004007CC"/>
    <w:rsid w:val="004009A0"/>
    <w:rsid w:val="00400B29"/>
    <w:rsid w:val="00400DD3"/>
    <w:rsid w:val="004012D7"/>
    <w:rsid w:val="00401538"/>
    <w:rsid w:val="00401847"/>
    <w:rsid w:val="00402812"/>
    <w:rsid w:val="004029B2"/>
    <w:rsid w:val="004029C9"/>
    <w:rsid w:val="00403A58"/>
    <w:rsid w:val="00403ACE"/>
    <w:rsid w:val="00403E28"/>
    <w:rsid w:val="00404F5E"/>
    <w:rsid w:val="0040504B"/>
    <w:rsid w:val="004055BB"/>
    <w:rsid w:val="0040576B"/>
    <w:rsid w:val="004059F4"/>
    <w:rsid w:val="00405F5B"/>
    <w:rsid w:val="004067FD"/>
    <w:rsid w:val="00406928"/>
    <w:rsid w:val="00407FE5"/>
    <w:rsid w:val="004101B0"/>
    <w:rsid w:val="00410326"/>
    <w:rsid w:val="004104D7"/>
    <w:rsid w:val="00410708"/>
    <w:rsid w:val="00410EC7"/>
    <w:rsid w:val="00411AB2"/>
    <w:rsid w:val="00411B39"/>
    <w:rsid w:val="00412493"/>
    <w:rsid w:val="00412792"/>
    <w:rsid w:val="004127A7"/>
    <w:rsid w:val="00413071"/>
    <w:rsid w:val="0041317C"/>
    <w:rsid w:val="00413876"/>
    <w:rsid w:val="00413A1E"/>
    <w:rsid w:val="00413E80"/>
    <w:rsid w:val="00414476"/>
    <w:rsid w:val="00414BDF"/>
    <w:rsid w:val="00414C2E"/>
    <w:rsid w:val="00414FDB"/>
    <w:rsid w:val="004151CF"/>
    <w:rsid w:val="00415552"/>
    <w:rsid w:val="00416364"/>
    <w:rsid w:val="00416560"/>
    <w:rsid w:val="004166DE"/>
    <w:rsid w:val="00417588"/>
    <w:rsid w:val="004179A9"/>
    <w:rsid w:val="0042047F"/>
    <w:rsid w:val="004207BF"/>
    <w:rsid w:val="00420AA6"/>
    <w:rsid w:val="00420B9F"/>
    <w:rsid w:val="0042106B"/>
    <w:rsid w:val="0042192C"/>
    <w:rsid w:val="0042223E"/>
    <w:rsid w:val="00422260"/>
    <w:rsid w:val="0042283A"/>
    <w:rsid w:val="0042294B"/>
    <w:rsid w:val="0042413F"/>
    <w:rsid w:val="00424EBB"/>
    <w:rsid w:val="004256E5"/>
    <w:rsid w:val="00425B29"/>
    <w:rsid w:val="00425F8C"/>
    <w:rsid w:val="004261A5"/>
    <w:rsid w:val="004308C9"/>
    <w:rsid w:val="00430BB8"/>
    <w:rsid w:val="00430C17"/>
    <w:rsid w:val="004319F8"/>
    <w:rsid w:val="00431E55"/>
    <w:rsid w:val="004321F6"/>
    <w:rsid w:val="004324D4"/>
    <w:rsid w:val="004326D9"/>
    <w:rsid w:val="00433044"/>
    <w:rsid w:val="00433764"/>
    <w:rsid w:val="004339A8"/>
    <w:rsid w:val="00434088"/>
    <w:rsid w:val="0043675F"/>
    <w:rsid w:val="00436EC0"/>
    <w:rsid w:val="004375B9"/>
    <w:rsid w:val="00440723"/>
    <w:rsid w:val="004422F2"/>
    <w:rsid w:val="004428D0"/>
    <w:rsid w:val="004428DE"/>
    <w:rsid w:val="004435BB"/>
    <w:rsid w:val="004438A1"/>
    <w:rsid w:val="00444185"/>
    <w:rsid w:val="004443A7"/>
    <w:rsid w:val="0044442C"/>
    <w:rsid w:val="00444ACD"/>
    <w:rsid w:val="00444D58"/>
    <w:rsid w:val="00445120"/>
    <w:rsid w:val="00445941"/>
    <w:rsid w:val="004464EB"/>
    <w:rsid w:val="00446EE1"/>
    <w:rsid w:val="00447785"/>
    <w:rsid w:val="00447D26"/>
    <w:rsid w:val="00447DFC"/>
    <w:rsid w:val="0045148E"/>
    <w:rsid w:val="004517B7"/>
    <w:rsid w:val="00452011"/>
    <w:rsid w:val="00452568"/>
    <w:rsid w:val="00452944"/>
    <w:rsid w:val="004529ED"/>
    <w:rsid w:val="00454351"/>
    <w:rsid w:val="004546B8"/>
    <w:rsid w:val="004546ED"/>
    <w:rsid w:val="00455BB3"/>
    <w:rsid w:val="00455D45"/>
    <w:rsid w:val="00456682"/>
    <w:rsid w:val="00457586"/>
    <w:rsid w:val="00457831"/>
    <w:rsid w:val="00461834"/>
    <w:rsid w:val="00461F8F"/>
    <w:rsid w:val="004622BC"/>
    <w:rsid w:val="0046289F"/>
    <w:rsid w:val="00464595"/>
    <w:rsid w:val="004651C7"/>
    <w:rsid w:val="004658B5"/>
    <w:rsid w:val="00465965"/>
    <w:rsid w:val="00465BA4"/>
    <w:rsid w:val="00465EAE"/>
    <w:rsid w:val="00466331"/>
    <w:rsid w:val="00466EBE"/>
    <w:rsid w:val="00466F93"/>
    <w:rsid w:val="00467136"/>
    <w:rsid w:val="00471EA5"/>
    <w:rsid w:val="00472309"/>
    <w:rsid w:val="00472A79"/>
    <w:rsid w:val="00473009"/>
    <w:rsid w:val="004734EA"/>
    <w:rsid w:val="00473656"/>
    <w:rsid w:val="00473AC1"/>
    <w:rsid w:val="00473BDF"/>
    <w:rsid w:val="00473DD3"/>
    <w:rsid w:val="00473F19"/>
    <w:rsid w:val="00474A69"/>
    <w:rsid w:val="00475438"/>
    <w:rsid w:val="00475E22"/>
    <w:rsid w:val="00476E5B"/>
    <w:rsid w:val="004772E8"/>
    <w:rsid w:val="00477FFB"/>
    <w:rsid w:val="004800DA"/>
    <w:rsid w:val="0048088E"/>
    <w:rsid w:val="00480F2B"/>
    <w:rsid w:val="00481327"/>
    <w:rsid w:val="00482720"/>
    <w:rsid w:val="0048287C"/>
    <w:rsid w:val="004835E7"/>
    <w:rsid w:val="00485867"/>
    <w:rsid w:val="004859E1"/>
    <w:rsid w:val="004867E2"/>
    <w:rsid w:val="00487691"/>
    <w:rsid w:val="004876E1"/>
    <w:rsid w:val="00490B17"/>
    <w:rsid w:val="0049191C"/>
    <w:rsid w:val="00491B3A"/>
    <w:rsid w:val="00491F4D"/>
    <w:rsid w:val="00492008"/>
    <w:rsid w:val="00492BA7"/>
    <w:rsid w:val="00492CFD"/>
    <w:rsid w:val="0049361E"/>
    <w:rsid w:val="004937DE"/>
    <w:rsid w:val="00494207"/>
    <w:rsid w:val="004949AC"/>
    <w:rsid w:val="00494DD5"/>
    <w:rsid w:val="004960B9"/>
    <w:rsid w:val="004962D2"/>
    <w:rsid w:val="00496C70"/>
    <w:rsid w:val="0049796B"/>
    <w:rsid w:val="004A00AB"/>
    <w:rsid w:val="004A0230"/>
    <w:rsid w:val="004A0DA1"/>
    <w:rsid w:val="004A13D6"/>
    <w:rsid w:val="004A29CD"/>
    <w:rsid w:val="004A2A47"/>
    <w:rsid w:val="004A3199"/>
    <w:rsid w:val="004A4102"/>
    <w:rsid w:val="004A44C6"/>
    <w:rsid w:val="004A4EDC"/>
    <w:rsid w:val="004A52E9"/>
    <w:rsid w:val="004A5A0B"/>
    <w:rsid w:val="004A6040"/>
    <w:rsid w:val="004A6597"/>
    <w:rsid w:val="004A682F"/>
    <w:rsid w:val="004A7422"/>
    <w:rsid w:val="004A7554"/>
    <w:rsid w:val="004A7848"/>
    <w:rsid w:val="004A793B"/>
    <w:rsid w:val="004A7B6C"/>
    <w:rsid w:val="004B1743"/>
    <w:rsid w:val="004B1CB4"/>
    <w:rsid w:val="004B1ED5"/>
    <w:rsid w:val="004B21B2"/>
    <w:rsid w:val="004B2CAE"/>
    <w:rsid w:val="004B2D75"/>
    <w:rsid w:val="004B2F18"/>
    <w:rsid w:val="004B3129"/>
    <w:rsid w:val="004B3DDB"/>
    <w:rsid w:val="004B44FD"/>
    <w:rsid w:val="004B463A"/>
    <w:rsid w:val="004B4C43"/>
    <w:rsid w:val="004B5546"/>
    <w:rsid w:val="004B589E"/>
    <w:rsid w:val="004B5CFC"/>
    <w:rsid w:val="004B647C"/>
    <w:rsid w:val="004B6BBF"/>
    <w:rsid w:val="004B6CC8"/>
    <w:rsid w:val="004B6DFC"/>
    <w:rsid w:val="004B6F79"/>
    <w:rsid w:val="004B706E"/>
    <w:rsid w:val="004B774D"/>
    <w:rsid w:val="004B7797"/>
    <w:rsid w:val="004B7EF4"/>
    <w:rsid w:val="004C0455"/>
    <w:rsid w:val="004C226E"/>
    <w:rsid w:val="004C2AC2"/>
    <w:rsid w:val="004C3761"/>
    <w:rsid w:val="004C3B02"/>
    <w:rsid w:val="004C40BF"/>
    <w:rsid w:val="004C4AED"/>
    <w:rsid w:val="004C5258"/>
    <w:rsid w:val="004C5732"/>
    <w:rsid w:val="004C5C07"/>
    <w:rsid w:val="004C5F7F"/>
    <w:rsid w:val="004D0293"/>
    <w:rsid w:val="004D0326"/>
    <w:rsid w:val="004D0794"/>
    <w:rsid w:val="004D1F40"/>
    <w:rsid w:val="004D2C2D"/>
    <w:rsid w:val="004D3AB3"/>
    <w:rsid w:val="004D43D0"/>
    <w:rsid w:val="004D44D1"/>
    <w:rsid w:val="004D4A8B"/>
    <w:rsid w:val="004D6005"/>
    <w:rsid w:val="004D6390"/>
    <w:rsid w:val="004D69B5"/>
    <w:rsid w:val="004D6EDC"/>
    <w:rsid w:val="004D7227"/>
    <w:rsid w:val="004D7B5E"/>
    <w:rsid w:val="004E036C"/>
    <w:rsid w:val="004E06AB"/>
    <w:rsid w:val="004E0E7F"/>
    <w:rsid w:val="004E0EB8"/>
    <w:rsid w:val="004E18E9"/>
    <w:rsid w:val="004E2178"/>
    <w:rsid w:val="004E25EC"/>
    <w:rsid w:val="004E2ADC"/>
    <w:rsid w:val="004E4030"/>
    <w:rsid w:val="004E43B2"/>
    <w:rsid w:val="004F0772"/>
    <w:rsid w:val="004F0E53"/>
    <w:rsid w:val="004F1D02"/>
    <w:rsid w:val="004F2679"/>
    <w:rsid w:val="004F2F21"/>
    <w:rsid w:val="004F3973"/>
    <w:rsid w:val="004F3DE5"/>
    <w:rsid w:val="004F445A"/>
    <w:rsid w:val="004F4695"/>
    <w:rsid w:val="004F5B5B"/>
    <w:rsid w:val="004F6913"/>
    <w:rsid w:val="004F7017"/>
    <w:rsid w:val="004F7865"/>
    <w:rsid w:val="004F7F51"/>
    <w:rsid w:val="00500785"/>
    <w:rsid w:val="00501029"/>
    <w:rsid w:val="00501168"/>
    <w:rsid w:val="00501229"/>
    <w:rsid w:val="005016C0"/>
    <w:rsid w:val="0050174E"/>
    <w:rsid w:val="00501854"/>
    <w:rsid w:val="0050219B"/>
    <w:rsid w:val="0050339E"/>
    <w:rsid w:val="005033A8"/>
    <w:rsid w:val="005036F8"/>
    <w:rsid w:val="00503ACE"/>
    <w:rsid w:val="00503F17"/>
    <w:rsid w:val="00503F3A"/>
    <w:rsid w:val="005046F1"/>
    <w:rsid w:val="0050576F"/>
    <w:rsid w:val="00505D60"/>
    <w:rsid w:val="0050621D"/>
    <w:rsid w:val="00506386"/>
    <w:rsid w:val="00506928"/>
    <w:rsid w:val="00506D16"/>
    <w:rsid w:val="00507638"/>
    <w:rsid w:val="005077EF"/>
    <w:rsid w:val="00510C14"/>
    <w:rsid w:val="0051148F"/>
    <w:rsid w:val="00511AD5"/>
    <w:rsid w:val="00511DC7"/>
    <w:rsid w:val="00512BBC"/>
    <w:rsid w:val="00514055"/>
    <w:rsid w:val="00514153"/>
    <w:rsid w:val="005142C5"/>
    <w:rsid w:val="0051460E"/>
    <w:rsid w:val="0051501B"/>
    <w:rsid w:val="005152B5"/>
    <w:rsid w:val="005153BA"/>
    <w:rsid w:val="00515886"/>
    <w:rsid w:val="00517213"/>
    <w:rsid w:val="00517742"/>
    <w:rsid w:val="00520CA8"/>
    <w:rsid w:val="0052123C"/>
    <w:rsid w:val="00521319"/>
    <w:rsid w:val="00521699"/>
    <w:rsid w:val="0052252A"/>
    <w:rsid w:val="00522BC8"/>
    <w:rsid w:val="00523C28"/>
    <w:rsid w:val="00524F36"/>
    <w:rsid w:val="00524FB4"/>
    <w:rsid w:val="005265E4"/>
    <w:rsid w:val="00527567"/>
    <w:rsid w:val="00527CA3"/>
    <w:rsid w:val="0053176B"/>
    <w:rsid w:val="005341B3"/>
    <w:rsid w:val="00536F42"/>
    <w:rsid w:val="00537182"/>
    <w:rsid w:val="00537DC9"/>
    <w:rsid w:val="00540007"/>
    <w:rsid w:val="00540AE8"/>
    <w:rsid w:val="00540EB3"/>
    <w:rsid w:val="00541EDD"/>
    <w:rsid w:val="00542243"/>
    <w:rsid w:val="00542743"/>
    <w:rsid w:val="00542C2D"/>
    <w:rsid w:val="00545478"/>
    <w:rsid w:val="005457F8"/>
    <w:rsid w:val="005458BF"/>
    <w:rsid w:val="005467FB"/>
    <w:rsid w:val="00546B10"/>
    <w:rsid w:val="005478BD"/>
    <w:rsid w:val="005479C0"/>
    <w:rsid w:val="005479E3"/>
    <w:rsid w:val="00550730"/>
    <w:rsid w:val="00551085"/>
    <w:rsid w:val="00551985"/>
    <w:rsid w:val="005528D5"/>
    <w:rsid w:val="00552BD3"/>
    <w:rsid w:val="005532A0"/>
    <w:rsid w:val="00553A6B"/>
    <w:rsid w:val="00553D04"/>
    <w:rsid w:val="0055446D"/>
    <w:rsid w:val="005550FC"/>
    <w:rsid w:val="00555109"/>
    <w:rsid w:val="00555AF7"/>
    <w:rsid w:val="00555B07"/>
    <w:rsid w:val="00556501"/>
    <w:rsid w:val="005567D6"/>
    <w:rsid w:val="0055683C"/>
    <w:rsid w:val="00556B35"/>
    <w:rsid w:val="00556DE4"/>
    <w:rsid w:val="0055741A"/>
    <w:rsid w:val="00557B1B"/>
    <w:rsid w:val="00560D21"/>
    <w:rsid w:val="005611B7"/>
    <w:rsid w:val="005618D4"/>
    <w:rsid w:val="00561CFC"/>
    <w:rsid w:val="005621D8"/>
    <w:rsid w:val="00562466"/>
    <w:rsid w:val="00562919"/>
    <w:rsid w:val="00562E8A"/>
    <w:rsid w:val="00563721"/>
    <w:rsid w:val="005647CF"/>
    <w:rsid w:val="00564867"/>
    <w:rsid w:val="00565196"/>
    <w:rsid w:val="00565C79"/>
    <w:rsid w:val="00565DF0"/>
    <w:rsid w:val="00566460"/>
    <w:rsid w:val="0056696F"/>
    <w:rsid w:val="00567DB9"/>
    <w:rsid w:val="00570535"/>
    <w:rsid w:val="00571A51"/>
    <w:rsid w:val="00571D6E"/>
    <w:rsid w:val="00572269"/>
    <w:rsid w:val="0057244A"/>
    <w:rsid w:val="005725CC"/>
    <w:rsid w:val="00572D0C"/>
    <w:rsid w:val="00572D40"/>
    <w:rsid w:val="00572F26"/>
    <w:rsid w:val="00573D4F"/>
    <w:rsid w:val="005741C5"/>
    <w:rsid w:val="0057472C"/>
    <w:rsid w:val="00574743"/>
    <w:rsid w:val="005750C5"/>
    <w:rsid w:val="005752DE"/>
    <w:rsid w:val="00575BD8"/>
    <w:rsid w:val="00575D60"/>
    <w:rsid w:val="00575D8D"/>
    <w:rsid w:val="00576972"/>
    <w:rsid w:val="00577248"/>
    <w:rsid w:val="00577DA1"/>
    <w:rsid w:val="0058042B"/>
    <w:rsid w:val="0058095C"/>
    <w:rsid w:val="00580EBE"/>
    <w:rsid w:val="005816E9"/>
    <w:rsid w:val="0058194D"/>
    <w:rsid w:val="00581B83"/>
    <w:rsid w:val="00583136"/>
    <w:rsid w:val="00583699"/>
    <w:rsid w:val="00584363"/>
    <w:rsid w:val="00584AA6"/>
    <w:rsid w:val="005857B3"/>
    <w:rsid w:val="00585CDD"/>
    <w:rsid w:val="00587058"/>
    <w:rsid w:val="00587586"/>
    <w:rsid w:val="0059029B"/>
    <w:rsid w:val="00590409"/>
    <w:rsid w:val="00591957"/>
    <w:rsid w:val="00591F07"/>
    <w:rsid w:val="00593A18"/>
    <w:rsid w:val="005945BF"/>
    <w:rsid w:val="005948D7"/>
    <w:rsid w:val="0059579F"/>
    <w:rsid w:val="00597ADE"/>
    <w:rsid w:val="00597BF9"/>
    <w:rsid w:val="005A0C11"/>
    <w:rsid w:val="005A0EA7"/>
    <w:rsid w:val="005A0F4F"/>
    <w:rsid w:val="005A21D8"/>
    <w:rsid w:val="005A2893"/>
    <w:rsid w:val="005A2A68"/>
    <w:rsid w:val="005A309A"/>
    <w:rsid w:val="005A373D"/>
    <w:rsid w:val="005A3B90"/>
    <w:rsid w:val="005A5154"/>
    <w:rsid w:val="005A5AAC"/>
    <w:rsid w:val="005A652D"/>
    <w:rsid w:val="005A697F"/>
    <w:rsid w:val="005A6E39"/>
    <w:rsid w:val="005A77BA"/>
    <w:rsid w:val="005A7852"/>
    <w:rsid w:val="005A7991"/>
    <w:rsid w:val="005B01FC"/>
    <w:rsid w:val="005B0B58"/>
    <w:rsid w:val="005B0F39"/>
    <w:rsid w:val="005B1D1D"/>
    <w:rsid w:val="005B225A"/>
    <w:rsid w:val="005B3513"/>
    <w:rsid w:val="005B3F6C"/>
    <w:rsid w:val="005B4CBA"/>
    <w:rsid w:val="005B4E53"/>
    <w:rsid w:val="005B5596"/>
    <w:rsid w:val="005B5857"/>
    <w:rsid w:val="005B5D48"/>
    <w:rsid w:val="005B5DD5"/>
    <w:rsid w:val="005B5E49"/>
    <w:rsid w:val="005B640B"/>
    <w:rsid w:val="005B6BCC"/>
    <w:rsid w:val="005B7FE6"/>
    <w:rsid w:val="005C0EB2"/>
    <w:rsid w:val="005C19C4"/>
    <w:rsid w:val="005C1B83"/>
    <w:rsid w:val="005C25FF"/>
    <w:rsid w:val="005C29CD"/>
    <w:rsid w:val="005C2D55"/>
    <w:rsid w:val="005C2F93"/>
    <w:rsid w:val="005C3348"/>
    <w:rsid w:val="005C346B"/>
    <w:rsid w:val="005C3D23"/>
    <w:rsid w:val="005C4084"/>
    <w:rsid w:val="005C4C1E"/>
    <w:rsid w:val="005C4FF4"/>
    <w:rsid w:val="005C5ABC"/>
    <w:rsid w:val="005C5C6E"/>
    <w:rsid w:val="005C63FC"/>
    <w:rsid w:val="005C7FF1"/>
    <w:rsid w:val="005D044D"/>
    <w:rsid w:val="005D0ABD"/>
    <w:rsid w:val="005D0D43"/>
    <w:rsid w:val="005D18AD"/>
    <w:rsid w:val="005D22CD"/>
    <w:rsid w:val="005D26B4"/>
    <w:rsid w:val="005D2C00"/>
    <w:rsid w:val="005D4FBF"/>
    <w:rsid w:val="005D6132"/>
    <w:rsid w:val="005E0CA0"/>
    <w:rsid w:val="005E1468"/>
    <w:rsid w:val="005E151C"/>
    <w:rsid w:val="005E1995"/>
    <w:rsid w:val="005E20EB"/>
    <w:rsid w:val="005E27B9"/>
    <w:rsid w:val="005E28CE"/>
    <w:rsid w:val="005E2936"/>
    <w:rsid w:val="005E3DCA"/>
    <w:rsid w:val="005E4E70"/>
    <w:rsid w:val="005E5051"/>
    <w:rsid w:val="005E5F6F"/>
    <w:rsid w:val="005E6CBC"/>
    <w:rsid w:val="005E72FF"/>
    <w:rsid w:val="005E73C0"/>
    <w:rsid w:val="005E788F"/>
    <w:rsid w:val="005E79DA"/>
    <w:rsid w:val="005F07ED"/>
    <w:rsid w:val="005F1768"/>
    <w:rsid w:val="005F1998"/>
    <w:rsid w:val="005F258D"/>
    <w:rsid w:val="005F2706"/>
    <w:rsid w:val="005F2F73"/>
    <w:rsid w:val="005F3A72"/>
    <w:rsid w:val="005F5278"/>
    <w:rsid w:val="005F52DD"/>
    <w:rsid w:val="005F6A8F"/>
    <w:rsid w:val="005F6BB7"/>
    <w:rsid w:val="005F7588"/>
    <w:rsid w:val="005F7839"/>
    <w:rsid w:val="005F7B51"/>
    <w:rsid w:val="006006B9"/>
    <w:rsid w:val="00601702"/>
    <w:rsid w:val="006024C2"/>
    <w:rsid w:val="006028D3"/>
    <w:rsid w:val="00603AC2"/>
    <w:rsid w:val="00603DB9"/>
    <w:rsid w:val="00604342"/>
    <w:rsid w:val="00604CF1"/>
    <w:rsid w:val="006050AC"/>
    <w:rsid w:val="006057EA"/>
    <w:rsid w:val="00606132"/>
    <w:rsid w:val="00606FBA"/>
    <w:rsid w:val="00607381"/>
    <w:rsid w:val="006075F0"/>
    <w:rsid w:val="00607669"/>
    <w:rsid w:val="006076F4"/>
    <w:rsid w:val="00607AFD"/>
    <w:rsid w:val="006105E5"/>
    <w:rsid w:val="0061061D"/>
    <w:rsid w:val="006117E5"/>
    <w:rsid w:val="00611B12"/>
    <w:rsid w:val="00611C28"/>
    <w:rsid w:val="00611E07"/>
    <w:rsid w:val="00612D2D"/>
    <w:rsid w:val="00612F97"/>
    <w:rsid w:val="0061345D"/>
    <w:rsid w:val="00613BB8"/>
    <w:rsid w:val="0061549B"/>
    <w:rsid w:val="0061574C"/>
    <w:rsid w:val="006159A0"/>
    <w:rsid w:val="00615B1D"/>
    <w:rsid w:val="00615DE6"/>
    <w:rsid w:val="00616150"/>
    <w:rsid w:val="006162D3"/>
    <w:rsid w:val="0061640D"/>
    <w:rsid w:val="00616802"/>
    <w:rsid w:val="00616921"/>
    <w:rsid w:val="00616B60"/>
    <w:rsid w:val="00617E12"/>
    <w:rsid w:val="006200D7"/>
    <w:rsid w:val="006203D4"/>
    <w:rsid w:val="00620C25"/>
    <w:rsid w:val="00621477"/>
    <w:rsid w:val="00621ADA"/>
    <w:rsid w:val="00621E7C"/>
    <w:rsid w:val="006224D3"/>
    <w:rsid w:val="00623501"/>
    <w:rsid w:val="00623F7B"/>
    <w:rsid w:val="00624525"/>
    <w:rsid w:val="00624BD4"/>
    <w:rsid w:val="0062608B"/>
    <w:rsid w:val="00626305"/>
    <w:rsid w:val="00626A33"/>
    <w:rsid w:val="00627441"/>
    <w:rsid w:val="00627A15"/>
    <w:rsid w:val="00627C78"/>
    <w:rsid w:val="00630083"/>
    <w:rsid w:val="00631309"/>
    <w:rsid w:val="0063158F"/>
    <w:rsid w:val="00631D6B"/>
    <w:rsid w:val="00631EFD"/>
    <w:rsid w:val="00632183"/>
    <w:rsid w:val="006330A1"/>
    <w:rsid w:val="00633B2A"/>
    <w:rsid w:val="00633C3F"/>
    <w:rsid w:val="0063438B"/>
    <w:rsid w:val="0063479F"/>
    <w:rsid w:val="00634A38"/>
    <w:rsid w:val="006353F0"/>
    <w:rsid w:val="006357B5"/>
    <w:rsid w:val="00636467"/>
    <w:rsid w:val="006364A1"/>
    <w:rsid w:val="0063678E"/>
    <w:rsid w:val="006374A2"/>
    <w:rsid w:val="00637BFD"/>
    <w:rsid w:val="00637C5C"/>
    <w:rsid w:val="00637EAA"/>
    <w:rsid w:val="006419AC"/>
    <w:rsid w:val="00641C4E"/>
    <w:rsid w:val="00641FB3"/>
    <w:rsid w:val="00642E98"/>
    <w:rsid w:val="006440C0"/>
    <w:rsid w:val="0064434C"/>
    <w:rsid w:val="00644848"/>
    <w:rsid w:val="0064530E"/>
    <w:rsid w:val="00645B26"/>
    <w:rsid w:val="0064600B"/>
    <w:rsid w:val="006471CC"/>
    <w:rsid w:val="006472FE"/>
    <w:rsid w:val="00647A29"/>
    <w:rsid w:val="00650777"/>
    <w:rsid w:val="0065079F"/>
    <w:rsid w:val="00650AF9"/>
    <w:rsid w:val="00650E0D"/>
    <w:rsid w:val="0065117D"/>
    <w:rsid w:val="006512A2"/>
    <w:rsid w:val="00651E21"/>
    <w:rsid w:val="00652381"/>
    <w:rsid w:val="00652939"/>
    <w:rsid w:val="00652A28"/>
    <w:rsid w:val="00652FF0"/>
    <w:rsid w:val="0065379F"/>
    <w:rsid w:val="00653EBB"/>
    <w:rsid w:val="0065463D"/>
    <w:rsid w:val="006547BC"/>
    <w:rsid w:val="00654B41"/>
    <w:rsid w:val="00654C12"/>
    <w:rsid w:val="00654E24"/>
    <w:rsid w:val="00655443"/>
    <w:rsid w:val="00655B8A"/>
    <w:rsid w:val="00656188"/>
    <w:rsid w:val="0065648C"/>
    <w:rsid w:val="00656E5A"/>
    <w:rsid w:val="0065715A"/>
    <w:rsid w:val="006577F0"/>
    <w:rsid w:val="00660695"/>
    <w:rsid w:val="00660921"/>
    <w:rsid w:val="00660AD4"/>
    <w:rsid w:val="00660E98"/>
    <w:rsid w:val="006610F1"/>
    <w:rsid w:val="00661C6B"/>
    <w:rsid w:val="00661EA4"/>
    <w:rsid w:val="006623FF"/>
    <w:rsid w:val="0066281D"/>
    <w:rsid w:val="00662D3E"/>
    <w:rsid w:val="00665145"/>
    <w:rsid w:val="00665374"/>
    <w:rsid w:val="00665799"/>
    <w:rsid w:val="00667044"/>
    <w:rsid w:val="006670DB"/>
    <w:rsid w:val="006671F5"/>
    <w:rsid w:val="00667BE3"/>
    <w:rsid w:val="00670DED"/>
    <w:rsid w:val="00671004"/>
    <w:rsid w:val="006722AB"/>
    <w:rsid w:val="00672646"/>
    <w:rsid w:val="006731F4"/>
    <w:rsid w:val="00673AF0"/>
    <w:rsid w:val="00674E42"/>
    <w:rsid w:val="006754E1"/>
    <w:rsid w:val="00675FDC"/>
    <w:rsid w:val="0067620E"/>
    <w:rsid w:val="00676563"/>
    <w:rsid w:val="00676B5A"/>
    <w:rsid w:val="00677B71"/>
    <w:rsid w:val="00680135"/>
    <w:rsid w:val="0068070E"/>
    <w:rsid w:val="00681256"/>
    <w:rsid w:val="006813F8"/>
    <w:rsid w:val="00681D59"/>
    <w:rsid w:val="00682112"/>
    <w:rsid w:val="006829B1"/>
    <w:rsid w:val="00682B99"/>
    <w:rsid w:val="00682BA6"/>
    <w:rsid w:val="00683504"/>
    <w:rsid w:val="006835ED"/>
    <w:rsid w:val="0068411B"/>
    <w:rsid w:val="006848EE"/>
    <w:rsid w:val="00685093"/>
    <w:rsid w:val="00685208"/>
    <w:rsid w:val="00686957"/>
    <w:rsid w:val="00686980"/>
    <w:rsid w:val="006872BA"/>
    <w:rsid w:val="00687622"/>
    <w:rsid w:val="00690795"/>
    <w:rsid w:val="006913A0"/>
    <w:rsid w:val="00691648"/>
    <w:rsid w:val="006917D7"/>
    <w:rsid w:val="0069290C"/>
    <w:rsid w:val="0069434C"/>
    <w:rsid w:val="00694886"/>
    <w:rsid w:val="00694F44"/>
    <w:rsid w:val="00695724"/>
    <w:rsid w:val="006966E0"/>
    <w:rsid w:val="00696EF9"/>
    <w:rsid w:val="00696F51"/>
    <w:rsid w:val="0069779C"/>
    <w:rsid w:val="006979A5"/>
    <w:rsid w:val="006A016F"/>
    <w:rsid w:val="006A052D"/>
    <w:rsid w:val="006A07CE"/>
    <w:rsid w:val="006A0DF7"/>
    <w:rsid w:val="006A1B4D"/>
    <w:rsid w:val="006A2B4D"/>
    <w:rsid w:val="006A3D12"/>
    <w:rsid w:val="006A4321"/>
    <w:rsid w:val="006A43D9"/>
    <w:rsid w:val="006A4840"/>
    <w:rsid w:val="006A4EB0"/>
    <w:rsid w:val="006A50D2"/>
    <w:rsid w:val="006A50FB"/>
    <w:rsid w:val="006A6296"/>
    <w:rsid w:val="006A65F0"/>
    <w:rsid w:val="006A6B99"/>
    <w:rsid w:val="006A70B9"/>
    <w:rsid w:val="006A7801"/>
    <w:rsid w:val="006A7E5F"/>
    <w:rsid w:val="006A7F3B"/>
    <w:rsid w:val="006B08D1"/>
    <w:rsid w:val="006B0B62"/>
    <w:rsid w:val="006B131F"/>
    <w:rsid w:val="006B136C"/>
    <w:rsid w:val="006B1D1A"/>
    <w:rsid w:val="006B1DE1"/>
    <w:rsid w:val="006B261B"/>
    <w:rsid w:val="006B295C"/>
    <w:rsid w:val="006B2C90"/>
    <w:rsid w:val="006B30E0"/>
    <w:rsid w:val="006B3126"/>
    <w:rsid w:val="006B35E6"/>
    <w:rsid w:val="006B465A"/>
    <w:rsid w:val="006B49D9"/>
    <w:rsid w:val="006B5508"/>
    <w:rsid w:val="006B6AD3"/>
    <w:rsid w:val="006B6DD0"/>
    <w:rsid w:val="006B6FCC"/>
    <w:rsid w:val="006B745F"/>
    <w:rsid w:val="006B74FA"/>
    <w:rsid w:val="006B756C"/>
    <w:rsid w:val="006C0399"/>
    <w:rsid w:val="006C2A8E"/>
    <w:rsid w:val="006C2C58"/>
    <w:rsid w:val="006C2FF8"/>
    <w:rsid w:val="006C3255"/>
    <w:rsid w:val="006C3D5A"/>
    <w:rsid w:val="006C3F26"/>
    <w:rsid w:val="006C3F7D"/>
    <w:rsid w:val="006C418C"/>
    <w:rsid w:val="006C4CFB"/>
    <w:rsid w:val="006C4D3F"/>
    <w:rsid w:val="006C5047"/>
    <w:rsid w:val="006C74C8"/>
    <w:rsid w:val="006D0317"/>
    <w:rsid w:val="006D0785"/>
    <w:rsid w:val="006D0D17"/>
    <w:rsid w:val="006D1F84"/>
    <w:rsid w:val="006D303E"/>
    <w:rsid w:val="006D30C2"/>
    <w:rsid w:val="006D35BF"/>
    <w:rsid w:val="006D3C7D"/>
    <w:rsid w:val="006D4659"/>
    <w:rsid w:val="006D4D8D"/>
    <w:rsid w:val="006D521C"/>
    <w:rsid w:val="006D545C"/>
    <w:rsid w:val="006D5D5F"/>
    <w:rsid w:val="006D68FB"/>
    <w:rsid w:val="006D69E4"/>
    <w:rsid w:val="006E0D28"/>
    <w:rsid w:val="006E2868"/>
    <w:rsid w:val="006E2C16"/>
    <w:rsid w:val="006E3AEF"/>
    <w:rsid w:val="006E4CB2"/>
    <w:rsid w:val="006E526D"/>
    <w:rsid w:val="006E5D3F"/>
    <w:rsid w:val="006E6024"/>
    <w:rsid w:val="006E6756"/>
    <w:rsid w:val="006F1917"/>
    <w:rsid w:val="006F234B"/>
    <w:rsid w:val="006F26D3"/>
    <w:rsid w:val="006F306C"/>
    <w:rsid w:val="006F3A36"/>
    <w:rsid w:val="006F4AD3"/>
    <w:rsid w:val="006F63A5"/>
    <w:rsid w:val="006F6E04"/>
    <w:rsid w:val="006F7580"/>
    <w:rsid w:val="006F761B"/>
    <w:rsid w:val="00700849"/>
    <w:rsid w:val="00701043"/>
    <w:rsid w:val="0070142B"/>
    <w:rsid w:val="007020EF"/>
    <w:rsid w:val="0070212A"/>
    <w:rsid w:val="0070276E"/>
    <w:rsid w:val="00702AC8"/>
    <w:rsid w:val="00702F8F"/>
    <w:rsid w:val="0070363D"/>
    <w:rsid w:val="00704780"/>
    <w:rsid w:val="00704A20"/>
    <w:rsid w:val="00705478"/>
    <w:rsid w:val="007065D6"/>
    <w:rsid w:val="007067FE"/>
    <w:rsid w:val="0070764B"/>
    <w:rsid w:val="007079FC"/>
    <w:rsid w:val="00707F7F"/>
    <w:rsid w:val="00710360"/>
    <w:rsid w:val="0071069A"/>
    <w:rsid w:val="00711A36"/>
    <w:rsid w:val="007125D3"/>
    <w:rsid w:val="00712DDE"/>
    <w:rsid w:val="00712E9E"/>
    <w:rsid w:val="007136F0"/>
    <w:rsid w:val="007139C5"/>
    <w:rsid w:val="00713A73"/>
    <w:rsid w:val="00714863"/>
    <w:rsid w:val="00714C26"/>
    <w:rsid w:val="0071529C"/>
    <w:rsid w:val="00715552"/>
    <w:rsid w:val="00716140"/>
    <w:rsid w:val="0071624B"/>
    <w:rsid w:val="007170DA"/>
    <w:rsid w:val="007172AD"/>
    <w:rsid w:val="00717546"/>
    <w:rsid w:val="00717AC8"/>
    <w:rsid w:val="00720801"/>
    <w:rsid w:val="00722A1C"/>
    <w:rsid w:val="00722B1B"/>
    <w:rsid w:val="00722C2B"/>
    <w:rsid w:val="0072416F"/>
    <w:rsid w:val="007243AC"/>
    <w:rsid w:val="0072478D"/>
    <w:rsid w:val="007253D9"/>
    <w:rsid w:val="00725819"/>
    <w:rsid w:val="00725E05"/>
    <w:rsid w:val="00727C94"/>
    <w:rsid w:val="00730D2F"/>
    <w:rsid w:val="0073177B"/>
    <w:rsid w:val="00731B0A"/>
    <w:rsid w:val="00731EAE"/>
    <w:rsid w:val="0073221F"/>
    <w:rsid w:val="00733026"/>
    <w:rsid w:val="00733073"/>
    <w:rsid w:val="00733C24"/>
    <w:rsid w:val="00733C73"/>
    <w:rsid w:val="00734F6B"/>
    <w:rsid w:val="00735033"/>
    <w:rsid w:val="00735328"/>
    <w:rsid w:val="0073618F"/>
    <w:rsid w:val="00736319"/>
    <w:rsid w:val="0073685B"/>
    <w:rsid w:val="00737101"/>
    <w:rsid w:val="007373FA"/>
    <w:rsid w:val="00737CE1"/>
    <w:rsid w:val="00740D85"/>
    <w:rsid w:val="00740E16"/>
    <w:rsid w:val="00740EEB"/>
    <w:rsid w:val="00742582"/>
    <w:rsid w:val="00744054"/>
    <w:rsid w:val="00744413"/>
    <w:rsid w:val="007449BF"/>
    <w:rsid w:val="00745202"/>
    <w:rsid w:val="0074556B"/>
    <w:rsid w:val="007457EB"/>
    <w:rsid w:val="00745B15"/>
    <w:rsid w:val="00745D1E"/>
    <w:rsid w:val="007463FE"/>
    <w:rsid w:val="007465B5"/>
    <w:rsid w:val="00746BC0"/>
    <w:rsid w:val="00747ABC"/>
    <w:rsid w:val="00750132"/>
    <w:rsid w:val="00750E3F"/>
    <w:rsid w:val="007510B4"/>
    <w:rsid w:val="00752142"/>
    <w:rsid w:val="007523F9"/>
    <w:rsid w:val="00752FE4"/>
    <w:rsid w:val="0075357E"/>
    <w:rsid w:val="007536FD"/>
    <w:rsid w:val="0075392C"/>
    <w:rsid w:val="00753B29"/>
    <w:rsid w:val="007545BA"/>
    <w:rsid w:val="00754870"/>
    <w:rsid w:val="007554A3"/>
    <w:rsid w:val="00755B76"/>
    <w:rsid w:val="00755D62"/>
    <w:rsid w:val="00756881"/>
    <w:rsid w:val="0075708E"/>
    <w:rsid w:val="007573E8"/>
    <w:rsid w:val="007604FA"/>
    <w:rsid w:val="007609AE"/>
    <w:rsid w:val="00760C4E"/>
    <w:rsid w:val="00760F8B"/>
    <w:rsid w:val="00760F9E"/>
    <w:rsid w:val="00761384"/>
    <w:rsid w:val="0076148A"/>
    <w:rsid w:val="007616E6"/>
    <w:rsid w:val="0076189C"/>
    <w:rsid w:val="00761FCA"/>
    <w:rsid w:val="0076250D"/>
    <w:rsid w:val="007627BE"/>
    <w:rsid w:val="00764228"/>
    <w:rsid w:val="007647E7"/>
    <w:rsid w:val="00764F03"/>
    <w:rsid w:val="00765887"/>
    <w:rsid w:val="00765B1A"/>
    <w:rsid w:val="00765DC1"/>
    <w:rsid w:val="0076690B"/>
    <w:rsid w:val="00767BC5"/>
    <w:rsid w:val="00767DEA"/>
    <w:rsid w:val="00771BD5"/>
    <w:rsid w:val="00771D96"/>
    <w:rsid w:val="00772D53"/>
    <w:rsid w:val="007753EC"/>
    <w:rsid w:val="0077583F"/>
    <w:rsid w:val="00776A29"/>
    <w:rsid w:val="00777335"/>
    <w:rsid w:val="00777451"/>
    <w:rsid w:val="00777570"/>
    <w:rsid w:val="007779D3"/>
    <w:rsid w:val="00780003"/>
    <w:rsid w:val="0078066A"/>
    <w:rsid w:val="00780677"/>
    <w:rsid w:val="00780843"/>
    <w:rsid w:val="007821EB"/>
    <w:rsid w:val="007843F2"/>
    <w:rsid w:val="0078468A"/>
    <w:rsid w:val="007846FA"/>
    <w:rsid w:val="00784EC3"/>
    <w:rsid w:val="00785085"/>
    <w:rsid w:val="00785A9F"/>
    <w:rsid w:val="00785E26"/>
    <w:rsid w:val="00785E2A"/>
    <w:rsid w:val="00786E6C"/>
    <w:rsid w:val="00787991"/>
    <w:rsid w:val="00790B5B"/>
    <w:rsid w:val="00791307"/>
    <w:rsid w:val="007925DF"/>
    <w:rsid w:val="00793A2F"/>
    <w:rsid w:val="00794B6D"/>
    <w:rsid w:val="00794BDD"/>
    <w:rsid w:val="00795430"/>
    <w:rsid w:val="00797DC3"/>
    <w:rsid w:val="00797F59"/>
    <w:rsid w:val="007A07E5"/>
    <w:rsid w:val="007A08AA"/>
    <w:rsid w:val="007A0A12"/>
    <w:rsid w:val="007A132D"/>
    <w:rsid w:val="007A1345"/>
    <w:rsid w:val="007A1B7C"/>
    <w:rsid w:val="007A258F"/>
    <w:rsid w:val="007A2DDB"/>
    <w:rsid w:val="007A3B13"/>
    <w:rsid w:val="007A3DC8"/>
    <w:rsid w:val="007A491D"/>
    <w:rsid w:val="007A5091"/>
    <w:rsid w:val="007A55CC"/>
    <w:rsid w:val="007A5AD6"/>
    <w:rsid w:val="007A6444"/>
    <w:rsid w:val="007A69C1"/>
    <w:rsid w:val="007A6D23"/>
    <w:rsid w:val="007A70BA"/>
    <w:rsid w:val="007B0C63"/>
    <w:rsid w:val="007B0D68"/>
    <w:rsid w:val="007B149D"/>
    <w:rsid w:val="007B162E"/>
    <w:rsid w:val="007B251D"/>
    <w:rsid w:val="007B2877"/>
    <w:rsid w:val="007B323C"/>
    <w:rsid w:val="007B33FD"/>
    <w:rsid w:val="007B3437"/>
    <w:rsid w:val="007B3533"/>
    <w:rsid w:val="007B42A3"/>
    <w:rsid w:val="007B4F58"/>
    <w:rsid w:val="007B5279"/>
    <w:rsid w:val="007B528D"/>
    <w:rsid w:val="007B5DA6"/>
    <w:rsid w:val="007B63CA"/>
    <w:rsid w:val="007B6544"/>
    <w:rsid w:val="007B6B11"/>
    <w:rsid w:val="007B6E13"/>
    <w:rsid w:val="007B77D1"/>
    <w:rsid w:val="007B7C2D"/>
    <w:rsid w:val="007B7F35"/>
    <w:rsid w:val="007C07C7"/>
    <w:rsid w:val="007C1CD9"/>
    <w:rsid w:val="007C2BDB"/>
    <w:rsid w:val="007C2EB3"/>
    <w:rsid w:val="007C32EF"/>
    <w:rsid w:val="007C361D"/>
    <w:rsid w:val="007C4B84"/>
    <w:rsid w:val="007C5505"/>
    <w:rsid w:val="007C609A"/>
    <w:rsid w:val="007C70FF"/>
    <w:rsid w:val="007C7C25"/>
    <w:rsid w:val="007D004F"/>
    <w:rsid w:val="007D035F"/>
    <w:rsid w:val="007D06B2"/>
    <w:rsid w:val="007D0990"/>
    <w:rsid w:val="007D09EB"/>
    <w:rsid w:val="007D0B38"/>
    <w:rsid w:val="007D294E"/>
    <w:rsid w:val="007D5440"/>
    <w:rsid w:val="007D5A4C"/>
    <w:rsid w:val="007D63A0"/>
    <w:rsid w:val="007D649B"/>
    <w:rsid w:val="007D69EB"/>
    <w:rsid w:val="007D7CF4"/>
    <w:rsid w:val="007E04B1"/>
    <w:rsid w:val="007E0563"/>
    <w:rsid w:val="007E0A03"/>
    <w:rsid w:val="007E0D33"/>
    <w:rsid w:val="007E128F"/>
    <w:rsid w:val="007E1C09"/>
    <w:rsid w:val="007E2C32"/>
    <w:rsid w:val="007E3100"/>
    <w:rsid w:val="007E38FC"/>
    <w:rsid w:val="007E4B6F"/>
    <w:rsid w:val="007E5BB1"/>
    <w:rsid w:val="007F0B79"/>
    <w:rsid w:val="007F0E76"/>
    <w:rsid w:val="007F1017"/>
    <w:rsid w:val="007F1495"/>
    <w:rsid w:val="007F16EB"/>
    <w:rsid w:val="007F1A2F"/>
    <w:rsid w:val="007F2582"/>
    <w:rsid w:val="007F2BC7"/>
    <w:rsid w:val="007F3F4D"/>
    <w:rsid w:val="007F4285"/>
    <w:rsid w:val="007F4A3F"/>
    <w:rsid w:val="007F4A61"/>
    <w:rsid w:val="007F4ED4"/>
    <w:rsid w:val="007F4FCA"/>
    <w:rsid w:val="007F5255"/>
    <w:rsid w:val="007F52BD"/>
    <w:rsid w:val="007F52DA"/>
    <w:rsid w:val="007F5408"/>
    <w:rsid w:val="007F5523"/>
    <w:rsid w:val="007F56CC"/>
    <w:rsid w:val="007F5D2B"/>
    <w:rsid w:val="007F61C2"/>
    <w:rsid w:val="007F69C5"/>
    <w:rsid w:val="007F6D93"/>
    <w:rsid w:val="00800A08"/>
    <w:rsid w:val="00800CCA"/>
    <w:rsid w:val="00801CA4"/>
    <w:rsid w:val="00804E6F"/>
    <w:rsid w:val="00805142"/>
    <w:rsid w:val="00805187"/>
    <w:rsid w:val="00805283"/>
    <w:rsid w:val="0080566B"/>
    <w:rsid w:val="00805774"/>
    <w:rsid w:val="00805FCE"/>
    <w:rsid w:val="00806B9C"/>
    <w:rsid w:val="0080716C"/>
    <w:rsid w:val="00807461"/>
    <w:rsid w:val="00807A8B"/>
    <w:rsid w:val="00810D2E"/>
    <w:rsid w:val="00811271"/>
    <w:rsid w:val="00811383"/>
    <w:rsid w:val="00811510"/>
    <w:rsid w:val="00811BBB"/>
    <w:rsid w:val="00812149"/>
    <w:rsid w:val="00812CAC"/>
    <w:rsid w:val="008146BB"/>
    <w:rsid w:val="00814717"/>
    <w:rsid w:val="0081488A"/>
    <w:rsid w:val="00814C1A"/>
    <w:rsid w:val="00816361"/>
    <w:rsid w:val="008166EF"/>
    <w:rsid w:val="0081672A"/>
    <w:rsid w:val="00816FEF"/>
    <w:rsid w:val="00817196"/>
    <w:rsid w:val="0081740E"/>
    <w:rsid w:val="008176B8"/>
    <w:rsid w:val="008200D1"/>
    <w:rsid w:val="0082027B"/>
    <w:rsid w:val="00820A8C"/>
    <w:rsid w:val="00821413"/>
    <w:rsid w:val="0082155D"/>
    <w:rsid w:val="008215C4"/>
    <w:rsid w:val="008215FB"/>
    <w:rsid w:val="0082185F"/>
    <w:rsid w:val="008220CC"/>
    <w:rsid w:val="00822CDA"/>
    <w:rsid w:val="00822D44"/>
    <w:rsid w:val="00823174"/>
    <w:rsid w:val="00823901"/>
    <w:rsid w:val="0082430C"/>
    <w:rsid w:val="00824729"/>
    <w:rsid w:val="00824A6B"/>
    <w:rsid w:val="0082564B"/>
    <w:rsid w:val="00825751"/>
    <w:rsid w:val="008264EB"/>
    <w:rsid w:val="008268CE"/>
    <w:rsid w:val="0082737C"/>
    <w:rsid w:val="008276F0"/>
    <w:rsid w:val="00827C23"/>
    <w:rsid w:val="008305DA"/>
    <w:rsid w:val="00831E17"/>
    <w:rsid w:val="00832433"/>
    <w:rsid w:val="00833B05"/>
    <w:rsid w:val="008344D7"/>
    <w:rsid w:val="0083516B"/>
    <w:rsid w:val="008354A6"/>
    <w:rsid w:val="00835BAC"/>
    <w:rsid w:val="00835D5E"/>
    <w:rsid w:val="008362B4"/>
    <w:rsid w:val="008372D7"/>
    <w:rsid w:val="00837452"/>
    <w:rsid w:val="0083758D"/>
    <w:rsid w:val="00840CA2"/>
    <w:rsid w:val="008424C2"/>
    <w:rsid w:val="00842B06"/>
    <w:rsid w:val="0084374F"/>
    <w:rsid w:val="00843E09"/>
    <w:rsid w:val="0084458E"/>
    <w:rsid w:val="0084459E"/>
    <w:rsid w:val="00844A22"/>
    <w:rsid w:val="008454B5"/>
    <w:rsid w:val="00845A19"/>
    <w:rsid w:val="00845F65"/>
    <w:rsid w:val="00847703"/>
    <w:rsid w:val="00847DF5"/>
    <w:rsid w:val="00852357"/>
    <w:rsid w:val="008527BF"/>
    <w:rsid w:val="0085309D"/>
    <w:rsid w:val="00853A08"/>
    <w:rsid w:val="0085401B"/>
    <w:rsid w:val="00854D4A"/>
    <w:rsid w:val="00854DD1"/>
    <w:rsid w:val="008550B5"/>
    <w:rsid w:val="00856851"/>
    <w:rsid w:val="00856897"/>
    <w:rsid w:val="00856E4E"/>
    <w:rsid w:val="00856E5A"/>
    <w:rsid w:val="00856E9A"/>
    <w:rsid w:val="00857511"/>
    <w:rsid w:val="00857D06"/>
    <w:rsid w:val="0086004F"/>
    <w:rsid w:val="0086075D"/>
    <w:rsid w:val="00861FA4"/>
    <w:rsid w:val="00862502"/>
    <w:rsid w:val="00862CC1"/>
    <w:rsid w:val="00862EF2"/>
    <w:rsid w:val="00863B49"/>
    <w:rsid w:val="008642A7"/>
    <w:rsid w:val="00865328"/>
    <w:rsid w:val="008659E3"/>
    <w:rsid w:val="008660D4"/>
    <w:rsid w:val="008664BA"/>
    <w:rsid w:val="00866F0A"/>
    <w:rsid w:val="00866FDE"/>
    <w:rsid w:val="008670F1"/>
    <w:rsid w:val="00870180"/>
    <w:rsid w:val="008711F0"/>
    <w:rsid w:val="00871FA9"/>
    <w:rsid w:val="008728E9"/>
    <w:rsid w:val="0087301A"/>
    <w:rsid w:val="00874603"/>
    <w:rsid w:val="008767A8"/>
    <w:rsid w:val="008773DA"/>
    <w:rsid w:val="00877A83"/>
    <w:rsid w:val="0088037E"/>
    <w:rsid w:val="00880676"/>
    <w:rsid w:val="00880E8F"/>
    <w:rsid w:val="00880EB2"/>
    <w:rsid w:val="00881770"/>
    <w:rsid w:val="00881E9D"/>
    <w:rsid w:val="00882395"/>
    <w:rsid w:val="008825B6"/>
    <w:rsid w:val="00882874"/>
    <w:rsid w:val="00882E3C"/>
    <w:rsid w:val="0088308A"/>
    <w:rsid w:val="00883787"/>
    <w:rsid w:val="00883935"/>
    <w:rsid w:val="00884561"/>
    <w:rsid w:val="008855E4"/>
    <w:rsid w:val="00886CD2"/>
    <w:rsid w:val="00887495"/>
    <w:rsid w:val="00890454"/>
    <w:rsid w:val="00890577"/>
    <w:rsid w:val="00890C16"/>
    <w:rsid w:val="008915D6"/>
    <w:rsid w:val="00891E6F"/>
    <w:rsid w:val="00891F1B"/>
    <w:rsid w:val="008925CF"/>
    <w:rsid w:val="0089275D"/>
    <w:rsid w:val="00892A36"/>
    <w:rsid w:val="00893239"/>
    <w:rsid w:val="008937CD"/>
    <w:rsid w:val="0089420E"/>
    <w:rsid w:val="00894489"/>
    <w:rsid w:val="00894CD6"/>
    <w:rsid w:val="008963A5"/>
    <w:rsid w:val="00896536"/>
    <w:rsid w:val="00896D5D"/>
    <w:rsid w:val="0089721B"/>
    <w:rsid w:val="008976C0"/>
    <w:rsid w:val="008978FD"/>
    <w:rsid w:val="008A15C2"/>
    <w:rsid w:val="008A19C5"/>
    <w:rsid w:val="008A2DE8"/>
    <w:rsid w:val="008A30C7"/>
    <w:rsid w:val="008A314D"/>
    <w:rsid w:val="008A3158"/>
    <w:rsid w:val="008A3363"/>
    <w:rsid w:val="008A3371"/>
    <w:rsid w:val="008A356C"/>
    <w:rsid w:val="008A3A78"/>
    <w:rsid w:val="008A3C3E"/>
    <w:rsid w:val="008A568C"/>
    <w:rsid w:val="008A56F9"/>
    <w:rsid w:val="008A5AD6"/>
    <w:rsid w:val="008A7264"/>
    <w:rsid w:val="008A79DE"/>
    <w:rsid w:val="008A7C6D"/>
    <w:rsid w:val="008B0A61"/>
    <w:rsid w:val="008B106E"/>
    <w:rsid w:val="008B1757"/>
    <w:rsid w:val="008B1C33"/>
    <w:rsid w:val="008B474E"/>
    <w:rsid w:val="008B4B6F"/>
    <w:rsid w:val="008B4DA1"/>
    <w:rsid w:val="008B51A5"/>
    <w:rsid w:val="008B52F0"/>
    <w:rsid w:val="008B553B"/>
    <w:rsid w:val="008B6623"/>
    <w:rsid w:val="008B6B39"/>
    <w:rsid w:val="008B7992"/>
    <w:rsid w:val="008B7D7E"/>
    <w:rsid w:val="008C0537"/>
    <w:rsid w:val="008C05FD"/>
    <w:rsid w:val="008C081D"/>
    <w:rsid w:val="008C0D77"/>
    <w:rsid w:val="008C1CD2"/>
    <w:rsid w:val="008C408C"/>
    <w:rsid w:val="008C51BD"/>
    <w:rsid w:val="008C5610"/>
    <w:rsid w:val="008C5739"/>
    <w:rsid w:val="008C7282"/>
    <w:rsid w:val="008C7CFF"/>
    <w:rsid w:val="008C7E4D"/>
    <w:rsid w:val="008C7ECB"/>
    <w:rsid w:val="008D171F"/>
    <w:rsid w:val="008D18DF"/>
    <w:rsid w:val="008D208B"/>
    <w:rsid w:val="008D39A8"/>
    <w:rsid w:val="008D3B86"/>
    <w:rsid w:val="008D3D5F"/>
    <w:rsid w:val="008D4270"/>
    <w:rsid w:val="008D43FD"/>
    <w:rsid w:val="008D461D"/>
    <w:rsid w:val="008D4755"/>
    <w:rsid w:val="008D4C3D"/>
    <w:rsid w:val="008D57AE"/>
    <w:rsid w:val="008D5DFF"/>
    <w:rsid w:val="008D5F43"/>
    <w:rsid w:val="008D604E"/>
    <w:rsid w:val="008D6906"/>
    <w:rsid w:val="008D743C"/>
    <w:rsid w:val="008D7724"/>
    <w:rsid w:val="008D7B6C"/>
    <w:rsid w:val="008E019D"/>
    <w:rsid w:val="008E083F"/>
    <w:rsid w:val="008E0D3C"/>
    <w:rsid w:val="008E1B9E"/>
    <w:rsid w:val="008E4E0A"/>
    <w:rsid w:val="008E4ECA"/>
    <w:rsid w:val="008E55AB"/>
    <w:rsid w:val="008E7A5F"/>
    <w:rsid w:val="008E7CED"/>
    <w:rsid w:val="008E7D34"/>
    <w:rsid w:val="008F05A3"/>
    <w:rsid w:val="008F0785"/>
    <w:rsid w:val="008F120A"/>
    <w:rsid w:val="008F1309"/>
    <w:rsid w:val="008F245A"/>
    <w:rsid w:val="008F261D"/>
    <w:rsid w:val="008F27E0"/>
    <w:rsid w:val="008F2F21"/>
    <w:rsid w:val="008F4697"/>
    <w:rsid w:val="008F4748"/>
    <w:rsid w:val="008F48EB"/>
    <w:rsid w:val="008F4A48"/>
    <w:rsid w:val="008F4F0B"/>
    <w:rsid w:val="008F5075"/>
    <w:rsid w:val="008F7A5F"/>
    <w:rsid w:val="00900E07"/>
    <w:rsid w:val="00901F4C"/>
    <w:rsid w:val="00902C8F"/>
    <w:rsid w:val="009046C4"/>
    <w:rsid w:val="009061CC"/>
    <w:rsid w:val="009062A5"/>
    <w:rsid w:val="0090634D"/>
    <w:rsid w:val="0090640A"/>
    <w:rsid w:val="00906C57"/>
    <w:rsid w:val="00907699"/>
    <w:rsid w:val="00910057"/>
    <w:rsid w:val="00910FA7"/>
    <w:rsid w:val="00910FD2"/>
    <w:rsid w:val="00911272"/>
    <w:rsid w:val="00911339"/>
    <w:rsid w:val="009113C4"/>
    <w:rsid w:val="0091153A"/>
    <w:rsid w:val="00911746"/>
    <w:rsid w:val="009125DA"/>
    <w:rsid w:val="0091269D"/>
    <w:rsid w:val="00912952"/>
    <w:rsid w:val="0091336B"/>
    <w:rsid w:val="009135D6"/>
    <w:rsid w:val="00913666"/>
    <w:rsid w:val="00914008"/>
    <w:rsid w:val="009140D4"/>
    <w:rsid w:val="00914C77"/>
    <w:rsid w:val="00916432"/>
    <w:rsid w:val="00916577"/>
    <w:rsid w:val="0091719A"/>
    <w:rsid w:val="0091736D"/>
    <w:rsid w:val="00917B17"/>
    <w:rsid w:val="0092165D"/>
    <w:rsid w:val="00921ACB"/>
    <w:rsid w:val="00923360"/>
    <w:rsid w:val="0092369B"/>
    <w:rsid w:val="00924C86"/>
    <w:rsid w:val="00924E20"/>
    <w:rsid w:val="00925323"/>
    <w:rsid w:val="00925618"/>
    <w:rsid w:val="0092584F"/>
    <w:rsid w:val="00925EA5"/>
    <w:rsid w:val="0092663A"/>
    <w:rsid w:val="00926847"/>
    <w:rsid w:val="00926C86"/>
    <w:rsid w:val="00927D57"/>
    <w:rsid w:val="00931FEF"/>
    <w:rsid w:val="009320F1"/>
    <w:rsid w:val="009322BF"/>
    <w:rsid w:val="0093470E"/>
    <w:rsid w:val="009348D0"/>
    <w:rsid w:val="00934988"/>
    <w:rsid w:val="00934DB9"/>
    <w:rsid w:val="009363FE"/>
    <w:rsid w:val="009369C1"/>
    <w:rsid w:val="00937089"/>
    <w:rsid w:val="0094169A"/>
    <w:rsid w:val="00942015"/>
    <w:rsid w:val="0094223D"/>
    <w:rsid w:val="00942E1A"/>
    <w:rsid w:val="00944D97"/>
    <w:rsid w:val="00944F8A"/>
    <w:rsid w:val="00945075"/>
    <w:rsid w:val="0094628D"/>
    <w:rsid w:val="009468CA"/>
    <w:rsid w:val="00947090"/>
    <w:rsid w:val="009474C0"/>
    <w:rsid w:val="009510A2"/>
    <w:rsid w:val="00951592"/>
    <w:rsid w:val="0095195E"/>
    <w:rsid w:val="00952409"/>
    <w:rsid w:val="00953257"/>
    <w:rsid w:val="009540A1"/>
    <w:rsid w:val="0095474C"/>
    <w:rsid w:val="00954A04"/>
    <w:rsid w:val="009554C0"/>
    <w:rsid w:val="00955C3E"/>
    <w:rsid w:val="009563B7"/>
    <w:rsid w:val="009570ED"/>
    <w:rsid w:val="00957D92"/>
    <w:rsid w:val="00960057"/>
    <w:rsid w:val="00960487"/>
    <w:rsid w:val="009606C3"/>
    <w:rsid w:val="00961533"/>
    <w:rsid w:val="00962CB9"/>
    <w:rsid w:val="00963752"/>
    <w:rsid w:val="00964312"/>
    <w:rsid w:val="00965843"/>
    <w:rsid w:val="00965B8A"/>
    <w:rsid w:val="00966864"/>
    <w:rsid w:val="009674F1"/>
    <w:rsid w:val="009677EF"/>
    <w:rsid w:val="0097071F"/>
    <w:rsid w:val="009717AC"/>
    <w:rsid w:val="00971F14"/>
    <w:rsid w:val="0097234B"/>
    <w:rsid w:val="0097303E"/>
    <w:rsid w:val="009732A1"/>
    <w:rsid w:val="00973F59"/>
    <w:rsid w:val="00974014"/>
    <w:rsid w:val="00974EE5"/>
    <w:rsid w:val="009751C1"/>
    <w:rsid w:val="00975E94"/>
    <w:rsid w:val="0097602D"/>
    <w:rsid w:val="00976501"/>
    <w:rsid w:val="00976957"/>
    <w:rsid w:val="0098076A"/>
    <w:rsid w:val="00980DA8"/>
    <w:rsid w:val="009811F1"/>
    <w:rsid w:val="00982191"/>
    <w:rsid w:val="00982566"/>
    <w:rsid w:val="0098262F"/>
    <w:rsid w:val="00982FBA"/>
    <w:rsid w:val="009830A4"/>
    <w:rsid w:val="00983E57"/>
    <w:rsid w:val="00983F82"/>
    <w:rsid w:val="00985DE2"/>
    <w:rsid w:val="0098647D"/>
    <w:rsid w:val="00986683"/>
    <w:rsid w:val="0098675D"/>
    <w:rsid w:val="00986E19"/>
    <w:rsid w:val="009873AB"/>
    <w:rsid w:val="00987AFC"/>
    <w:rsid w:val="00987BA4"/>
    <w:rsid w:val="00987BFC"/>
    <w:rsid w:val="00987D0E"/>
    <w:rsid w:val="009903C3"/>
    <w:rsid w:val="00990931"/>
    <w:rsid w:val="00990D28"/>
    <w:rsid w:val="009911D0"/>
    <w:rsid w:val="00992587"/>
    <w:rsid w:val="009926E0"/>
    <w:rsid w:val="00992D33"/>
    <w:rsid w:val="0099451E"/>
    <w:rsid w:val="009957EE"/>
    <w:rsid w:val="00996B1A"/>
    <w:rsid w:val="009973BB"/>
    <w:rsid w:val="009A0AC1"/>
    <w:rsid w:val="009A13BC"/>
    <w:rsid w:val="009A18F6"/>
    <w:rsid w:val="009A1C6D"/>
    <w:rsid w:val="009A2DCC"/>
    <w:rsid w:val="009A3045"/>
    <w:rsid w:val="009A3F34"/>
    <w:rsid w:val="009A48FE"/>
    <w:rsid w:val="009A4C43"/>
    <w:rsid w:val="009A4FA3"/>
    <w:rsid w:val="009A4FF7"/>
    <w:rsid w:val="009A5ABC"/>
    <w:rsid w:val="009A621C"/>
    <w:rsid w:val="009A7115"/>
    <w:rsid w:val="009A7F10"/>
    <w:rsid w:val="009B1026"/>
    <w:rsid w:val="009B1277"/>
    <w:rsid w:val="009B1F10"/>
    <w:rsid w:val="009B2A98"/>
    <w:rsid w:val="009B2C78"/>
    <w:rsid w:val="009B34E6"/>
    <w:rsid w:val="009B3E26"/>
    <w:rsid w:val="009B51F9"/>
    <w:rsid w:val="009B545A"/>
    <w:rsid w:val="009B563E"/>
    <w:rsid w:val="009B673A"/>
    <w:rsid w:val="009B6B45"/>
    <w:rsid w:val="009B6C08"/>
    <w:rsid w:val="009C0CD3"/>
    <w:rsid w:val="009C1271"/>
    <w:rsid w:val="009C2A4E"/>
    <w:rsid w:val="009C2F46"/>
    <w:rsid w:val="009C3706"/>
    <w:rsid w:val="009C3A3A"/>
    <w:rsid w:val="009C40D2"/>
    <w:rsid w:val="009C426B"/>
    <w:rsid w:val="009C440D"/>
    <w:rsid w:val="009C6B80"/>
    <w:rsid w:val="009C6CEA"/>
    <w:rsid w:val="009C79FC"/>
    <w:rsid w:val="009C7B85"/>
    <w:rsid w:val="009D0254"/>
    <w:rsid w:val="009D051B"/>
    <w:rsid w:val="009D068F"/>
    <w:rsid w:val="009D12A0"/>
    <w:rsid w:val="009D1A64"/>
    <w:rsid w:val="009D2005"/>
    <w:rsid w:val="009D231A"/>
    <w:rsid w:val="009D29EC"/>
    <w:rsid w:val="009D447B"/>
    <w:rsid w:val="009D4BCF"/>
    <w:rsid w:val="009D5B91"/>
    <w:rsid w:val="009D5DDB"/>
    <w:rsid w:val="009D60FE"/>
    <w:rsid w:val="009D6317"/>
    <w:rsid w:val="009D675E"/>
    <w:rsid w:val="009D68AD"/>
    <w:rsid w:val="009D706E"/>
    <w:rsid w:val="009D72F7"/>
    <w:rsid w:val="009D777C"/>
    <w:rsid w:val="009D792E"/>
    <w:rsid w:val="009E008F"/>
    <w:rsid w:val="009E0222"/>
    <w:rsid w:val="009E0C6D"/>
    <w:rsid w:val="009E0DFE"/>
    <w:rsid w:val="009E15BB"/>
    <w:rsid w:val="009E16BF"/>
    <w:rsid w:val="009E1D8E"/>
    <w:rsid w:val="009E31F6"/>
    <w:rsid w:val="009E377B"/>
    <w:rsid w:val="009E386F"/>
    <w:rsid w:val="009E44B1"/>
    <w:rsid w:val="009E451F"/>
    <w:rsid w:val="009E4A7A"/>
    <w:rsid w:val="009E4B60"/>
    <w:rsid w:val="009E4C07"/>
    <w:rsid w:val="009E610A"/>
    <w:rsid w:val="009E65EC"/>
    <w:rsid w:val="009E70FC"/>
    <w:rsid w:val="009E777F"/>
    <w:rsid w:val="009F06C8"/>
    <w:rsid w:val="009F08DD"/>
    <w:rsid w:val="009F4E5C"/>
    <w:rsid w:val="009F4F8A"/>
    <w:rsid w:val="009F56E5"/>
    <w:rsid w:val="009F5FCC"/>
    <w:rsid w:val="009F60AF"/>
    <w:rsid w:val="009F6120"/>
    <w:rsid w:val="009F61CE"/>
    <w:rsid w:val="009F6883"/>
    <w:rsid w:val="009F6EA4"/>
    <w:rsid w:val="009F6F67"/>
    <w:rsid w:val="009F7B85"/>
    <w:rsid w:val="00A00702"/>
    <w:rsid w:val="00A00A3C"/>
    <w:rsid w:val="00A00C0B"/>
    <w:rsid w:val="00A00CDC"/>
    <w:rsid w:val="00A00D76"/>
    <w:rsid w:val="00A01184"/>
    <w:rsid w:val="00A01449"/>
    <w:rsid w:val="00A01A0C"/>
    <w:rsid w:val="00A01FA4"/>
    <w:rsid w:val="00A0226E"/>
    <w:rsid w:val="00A0243C"/>
    <w:rsid w:val="00A02B20"/>
    <w:rsid w:val="00A031B3"/>
    <w:rsid w:val="00A037C2"/>
    <w:rsid w:val="00A03C01"/>
    <w:rsid w:val="00A03D43"/>
    <w:rsid w:val="00A04380"/>
    <w:rsid w:val="00A0477A"/>
    <w:rsid w:val="00A04786"/>
    <w:rsid w:val="00A05472"/>
    <w:rsid w:val="00A05C32"/>
    <w:rsid w:val="00A063CA"/>
    <w:rsid w:val="00A0653F"/>
    <w:rsid w:val="00A07B63"/>
    <w:rsid w:val="00A07C52"/>
    <w:rsid w:val="00A105C0"/>
    <w:rsid w:val="00A10B3D"/>
    <w:rsid w:val="00A10D2F"/>
    <w:rsid w:val="00A11CD0"/>
    <w:rsid w:val="00A12D51"/>
    <w:rsid w:val="00A1393D"/>
    <w:rsid w:val="00A13948"/>
    <w:rsid w:val="00A13C68"/>
    <w:rsid w:val="00A1456F"/>
    <w:rsid w:val="00A148D8"/>
    <w:rsid w:val="00A14B14"/>
    <w:rsid w:val="00A151CE"/>
    <w:rsid w:val="00A1555B"/>
    <w:rsid w:val="00A155C5"/>
    <w:rsid w:val="00A1585F"/>
    <w:rsid w:val="00A15D7F"/>
    <w:rsid w:val="00A16509"/>
    <w:rsid w:val="00A16AD8"/>
    <w:rsid w:val="00A17060"/>
    <w:rsid w:val="00A20201"/>
    <w:rsid w:val="00A2021E"/>
    <w:rsid w:val="00A20B2B"/>
    <w:rsid w:val="00A20C4C"/>
    <w:rsid w:val="00A20D72"/>
    <w:rsid w:val="00A21C95"/>
    <w:rsid w:val="00A21CF3"/>
    <w:rsid w:val="00A21FDC"/>
    <w:rsid w:val="00A24475"/>
    <w:rsid w:val="00A24813"/>
    <w:rsid w:val="00A25196"/>
    <w:rsid w:val="00A25A76"/>
    <w:rsid w:val="00A26130"/>
    <w:rsid w:val="00A26760"/>
    <w:rsid w:val="00A271DC"/>
    <w:rsid w:val="00A272D3"/>
    <w:rsid w:val="00A272E5"/>
    <w:rsid w:val="00A27896"/>
    <w:rsid w:val="00A278D7"/>
    <w:rsid w:val="00A27AEC"/>
    <w:rsid w:val="00A27F3A"/>
    <w:rsid w:val="00A30344"/>
    <w:rsid w:val="00A31822"/>
    <w:rsid w:val="00A32061"/>
    <w:rsid w:val="00A320DB"/>
    <w:rsid w:val="00A32421"/>
    <w:rsid w:val="00A32D4F"/>
    <w:rsid w:val="00A33A93"/>
    <w:rsid w:val="00A33B8A"/>
    <w:rsid w:val="00A34C46"/>
    <w:rsid w:val="00A34E38"/>
    <w:rsid w:val="00A35D16"/>
    <w:rsid w:val="00A35E0E"/>
    <w:rsid w:val="00A3621E"/>
    <w:rsid w:val="00A365E1"/>
    <w:rsid w:val="00A36B8F"/>
    <w:rsid w:val="00A378D4"/>
    <w:rsid w:val="00A37BCD"/>
    <w:rsid w:val="00A402A1"/>
    <w:rsid w:val="00A41689"/>
    <w:rsid w:val="00A4190B"/>
    <w:rsid w:val="00A41A7B"/>
    <w:rsid w:val="00A41D24"/>
    <w:rsid w:val="00A421ED"/>
    <w:rsid w:val="00A42251"/>
    <w:rsid w:val="00A42592"/>
    <w:rsid w:val="00A42656"/>
    <w:rsid w:val="00A4284C"/>
    <w:rsid w:val="00A4294D"/>
    <w:rsid w:val="00A43695"/>
    <w:rsid w:val="00A43C59"/>
    <w:rsid w:val="00A447AB"/>
    <w:rsid w:val="00A44C5B"/>
    <w:rsid w:val="00A45980"/>
    <w:rsid w:val="00A45C0B"/>
    <w:rsid w:val="00A460F8"/>
    <w:rsid w:val="00A47222"/>
    <w:rsid w:val="00A47F6E"/>
    <w:rsid w:val="00A50020"/>
    <w:rsid w:val="00A50219"/>
    <w:rsid w:val="00A50630"/>
    <w:rsid w:val="00A507E4"/>
    <w:rsid w:val="00A50ECD"/>
    <w:rsid w:val="00A515FC"/>
    <w:rsid w:val="00A5173A"/>
    <w:rsid w:val="00A518F3"/>
    <w:rsid w:val="00A52729"/>
    <w:rsid w:val="00A53093"/>
    <w:rsid w:val="00A53556"/>
    <w:rsid w:val="00A53675"/>
    <w:rsid w:val="00A546A4"/>
    <w:rsid w:val="00A56176"/>
    <w:rsid w:val="00A564D7"/>
    <w:rsid w:val="00A56592"/>
    <w:rsid w:val="00A56B6A"/>
    <w:rsid w:val="00A56C9D"/>
    <w:rsid w:val="00A578DC"/>
    <w:rsid w:val="00A57A1C"/>
    <w:rsid w:val="00A57DB3"/>
    <w:rsid w:val="00A60A65"/>
    <w:rsid w:val="00A6128D"/>
    <w:rsid w:val="00A61E4A"/>
    <w:rsid w:val="00A62558"/>
    <w:rsid w:val="00A62A71"/>
    <w:rsid w:val="00A62E66"/>
    <w:rsid w:val="00A62ECE"/>
    <w:rsid w:val="00A6319E"/>
    <w:rsid w:val="00A640E2"/>
    <w:rsid w:val="00A64591"/>
    <w:rsid w:val="00A64C98"/>
    <w:rsid w:val="00A64D65"/>
    <w:rsid w:val="00A64D70"/>
    <w:rsid w:val="00A64FBF"/>
    <w:rsid w:val="00A65B78"/>
    <w:rsid w:val="00A6725B"/>
    <w:rsid w:val="00A67931"/>
    <w:rsid w:val="00A70345"/>
    <w:rsid w:val="00A70605"/>
    <w:rsid w:val="00A70867"/>
    <w:rsid w:val="00A71915"/>
    <w:rsid w:val="00A7240D"/>
    <w:rsid w:val="00A726A5"/>
    <w:rsid w:val="00A7302B"/>
    <w:rsid w:val="00A73134"/>
    <w:rsid w:val="00A73174"/>
    <w:rsid w:val="00A7365A"/>
    <w:rsid w:val="00A73B66"/>
    <w:rsid w:val="00A748EB"/>
    <w:rsid w:val="00A752F8"/>
    <w:rsid w:val="00A75853"/>
    <w:rsid w:val="00A76001"/>
    <w:rsid w:val="00A76B67"/>
    <w:rsid w:val="00A771F3"/>
    <w:rsid w:val="00A77417"/>
    <w:rsid w:val="00A777B2"/>
    <w:rsid w:val="00A779ED"/>
    <w:rsid w:val="00A8061D"/>
    <w:rsid w:val="00A8136D"/>
    <w:rsid w:val="00A8256B"/>
    <w:rsid w:val="00A825D4"/>
    <w:rsid w:val="00A828F6"/>
    <w:rsid w:val="00A82B73"/>
    <w:rsid w:val="00A82E5E"/>
    <w:rsid w:val="00A83923"/>
    <w:rsid w:val="00A83C6E"/>
    <w:rsid w:val="00A844A4"/>
    <w:rsid w:val="00A85F26"/>
    <w:rsid w:val="00A8605E"/>
    <w:rsid w:val="00A862FE"/>
    <w:rsid w:val="00A86E8B"/>
    <w:rsid w:val="00A86F91"/>
    <w:rsid w:val="00A87164"/>
    <w:rsid w:val="00A871A9"/>
    <w:rsid w:val="00A872D4"/>
    <w:rsid w:val="00A87356"/>
    <w:rsid w:val="00A912FA"/>
    <w:rsid w:val="00A91C03"/>
    <w:rsid w:val="00A92867"/>
    <w:rsid w:val="00A93072"/>
    <w:rsid w:val="00A938BD"/>
    <w:rsid w:val="00A93953"/>
    <w:rsid w:val="00A959D8"/>
    <w:rsid w:val="00A9737F"/>
    <w:rsid w:val="00A978F5"/>
    <w:rsid w:val="00AA0380"/>
    <w:rsid w:val="00AA113D"/>
    <w:rsid w:val="00AA1DF2"/>
    <w:rsid w:val="00AA3067"/>
    <w:rsid w:val="00AA3C55"/>
    <w:rsid w:val="00AA3F42"/>
    <w:rsid w:val="00AA43BC"/>
    <w:rsid w:val="00AA4E30"/>
    <w:rsid w:val="00AA5BB1"/>
    <w:rsid w:val="00AA5E0D"/>
    <w:rsid w:val="00AA6AC5"/>
    <w:rsid w:val="00AA6BD5"/>
    <w:rsid w:val="00AA6BD8"/>
    <w:rsid w:val="00AA6C7D"/>
    <w:rsid w:val="00AA7D53"/>
    <w:rsid w:val="00AA7FD6"/>
    <w:rsid w:val="00AB042A"/>
    <w:rsid w:val="00AB107D"/>
    <w:rsid w:val="00AB11AD"/>
    <w:rsid w:val="00AB1323"/>
    <w:rsid w:val="00AB19EF"/>
    <w:rsid w:val="00AB2495"/>
    <w:rsid w:val="00AB2AA1"/>
    <w:rsid w:val="00AB2D34"/>
    <w:rsid w:val="00AB3430"/>
    <w:rsid w:val="00AB3690"/>
    <w:rsid w:val="00AB37B9"/>
    <w:rsid w:val="00AB4AD1"/>
    <w:rsid w:val="00AB518E"/>
    <w:rsid w:val="00AB5746"/>
    <w:rsid w:val="00AB5E07"/>
    <w:rsid w:val="00AB66EC"/>
    <w:rsid w:val="00AB7528"/>
    <w:rsid w:val="00AB7CFA"/>
    <w:rsid w:val="00AB7D0D"/>
    <w:rsid w:val="00AC1097"/>
    <w:rsid w:val="00AC379C"/>
    <w:rsid w:val="00AC4384"/>
    <w:rsid w:val="00AC46C5"/>
    <w:rsid w:val="00AC4C90"/>
    <w:rsid w:val="00AC5052"/>
    <w:rsid w:val="00AC5402"/>
    <w:rsid w:val="00AC574E"/>
    <w:rsid w:val="00AC5B42"/>
    <w:rsid w:val="00AC5B48"/>
    <w:rsid w:val="00AC625A"/>
    <w:rsid w:val="00AC6FE2"/>
    <w:rsid w:val="00AC70AA"/>
    <w:rsid w:val="00AC7A20"/>
    <w:rsid w:val="00AD0127"/>
    <w:rsid w:val="00AD033C"/>
    <w:rsid w:val="00AD03D9"/>
    <w:rsid w:val="00AD05D2"/>
    <w:rsid w:val="00AD1450"/>
    <w:rsid w:val="00AD15E8"/>
    <w:rsid w:val="00AD183D"/>
    <w:rsid w:val="00AD1A3A"/>
    <w:rsid w:val="00AD2FED"/>
    <w:rsid w:val="00AD356D"/>
    <w:rsid w:val="00AD5520"/>
    <w:rsid w:val="00AD6104"/>
    <w:rsid w:val="00AD6502"/>
    <w:rsid w:val="00AD7D0B"/>
    <w:rsid w:val="00AD7F0A"/>
    <w:rsid w:val="00AE0695"/>
    <w:rsid w:val="00AE1A5D"/>
    <w:rsid w:val="00AE3E7E"/>
    <w:rsid w:val="00AE3F8E"/>
    <w:rsid w:val="00AE661C"/>
    <w:rsid w:val="00AE7E53"/>
    <w:rsid w:val="00AF0002"/>
    <w:rsid w:val="00AF1315"/>
    <w:rsid w:val="00AF19BF"/>
    <w:rsid w:val="00AF1DCC"/>
    <w:rsid w:val="00AF2B69"/>
    <w:rsid w:val="00AF2DC3"/>
    <w:rsid w:val="00AF553B"/>
    <w:rsid w:val="00AF5FC6"/>
    <w:rsid w:val="00AF6C76"/>
    <w:rsid w:val="00AF6DB4"/>
    <w:rsid w:val="00B014EC"/>
    <w:rsid w:val="00B033E5"/>
    <w:rsid w:val="00B03A63"/>
    <w:rsid w:val="00B05EEB"/>
    <w:rsid w:val="00B10064"/>
    <w:rsid w:val="00B101BB"/>
    <w:rsid w:val="00B1035E"/>
    <w:rsid w:val="00B10F49"/>
    <w:rsid w:val="00B1143E"/>
    <w:rsid w:val="00B1249F"/>
    <w:rsid w:val="00B129A4"/>
    <w:rsid w:val="00B12A6D"/>
    <w:rsid w:val="00B12FA9"/>
    <w:rsid w:val="00B1385E"/>
    <w:rsid w:val="00B13C29"/>
    <w:rsid w:val="00B14869"/>
    <w:rsid w:val="00B149C6"/>
    <w:rsid w:val="00B159C6"/>
    <w:rsid w:val="00B15E1E"/>
    <w:rsid w:val="00B1603E"/>
    <w:rsid w:val="00B16390"/>
    <w:rsid w:val="00B1681C"/>
    <w:rsid w:val="00B17133"/>
    <w:rsid w:val="00B17EFC"/>
    <w:rsid w:val="00B200F1"/>
    <w:rsid w:val="00B201A4"/>
    <w:rsid w:val="00B201D1"/>
    <w:rsid w:val="00B20FD3"/>
    <w:rsid w:val="00B213A6"/>
    <w:rsid w:val="00B22676"/>
    <w:rsid w:val="00B22E60"/>
    <w:rsid w:val="00B23517"/>
    <w:rsid w:val="00B235B0"/>
    <w:rsid w:val="00B24AAE"/>
    <w:rsid w:val="00B24DF6"/>
    <w:rsid w:val="00B2697B"/>
    <w:rsid w:val="00B27A61"/>
    <w:rsid w:val="00B27C84"/>
    <w:rsid w:val="00B30297"/>
    <w:rsid w:val="00B3083B"/>
    <w:rsid w:val="00B30D36"/>
    <w:rsid w:val="00B30D9D"/>
    <w:rsid w:val="00B313CD"/>
    <w:rsid w:val="00B31A97"/>
    <w:rsid w:val="00B3284A"/>
    <w:rsid w:val="00B328E9"/>
    <w:rsid w:val="00B3426A"/>
    <w:rsid w:val="00B34FE2"/>
    <w:rsid w:val="00B35166"/>
    <w:rsid w:val="00B357D8"/>
    <w:rsid w:val="00B35E23"/>
    <w:rsid w:val="00B360F4"/>
    <w:rsid w:val="00B36521"/>
    <w:rsid w:val="00B36550"/>
    <w:rsid w:val="00B36A00"/>
    <w:rsid w:val="00B3792B"/>
    <w:rsid w:val="00B37B23"/>
    <w:rsid w:val="00B37BFC"/>
    <w:rsid w:val="00B40358"/>
    <w:rsid w:val="00B403AA"/>
    <w:rsid w:val="00B40F48"/>
    <w:rsid w:val="00B41614"/>
    <w:rsid w:val="00B416DF"/>
    <w:rsid w:val="00B42851"/>
    <w:rsid w:val="00B42F80"/>
    <w:rsid w:val="00B430B7"/>
    <w:rsid w:val="00B435CB"/>
    <w:rsid w:val="00B43897"/>
    <w:rsid w:val="00B4402E"/>
    <w:rsid w:val="00B44C46"/>
    <w:rsid w:val="00B44E27"/>
    <w:rsid w:val="00B45352"/>
    <w:rsid w:val="00B4558B"/>
    <w:rsid w:val="00B465EC"/>
    <w:rsid w:val="00B46C0A"/>
    <w:rsid w:val="00B505C8"/>
    <w:rsid w:val="00B50C01"/>
    <w:rsid w:val="00B50DB8"/>
    <w:rsid w:val="00B51623"/>
    <w:rsid w:val="00B51DFC"/>
    <w:rsid w:val="00B5222F"/>
    <w:rsid w:val="00B52363"/>
    <w:rsid w:val="00B5331F"/>
    <w:rsid w:val="00B53654"/>
    <w:rsid w:val="00B53757"/>
    <w:rsid w:val="00B53905"/>
    <w:rsid w:val="00B5419C"/>
    <w:rsid w:val="00B546DB"/>
    <w:rsid w:val="00B54943"/>
    <w:rsid w:val="00B54B5B"/>
    <w:rsid w:val="00B5542E"/>
    <w:rsid w:val="00B555B7"/>
    <w:rsid w:val="00B5562E"/>
    <w:rsid w:val="00B55862"/>
    <w:rsid w:val="00B55D65"/>
    <w:rsid w:val="00B560C0"/>
    <w:rsid w:val="00B56305"/>
    <w:rsid w:val="00B57000"/>
    <w:rsid w:val="00B579F9"/>
    <w:rsid w:val="00B57A77"/>
    <w:rsid w:val="00B60939"/>
    <w:rsid w:val="00B60AFD"/>
    <w:rsid w:val="00B61A08"/>
    <w:rsid w:val="00B62715"/>
    <w:rsid w:val="00B63FCB"/>
    <w:rsid w:val="00B64573"/>
    <w:rsid w:val="00B64C87"/>
    <w:rsid w:val="00B64FA2"/>
    <w:rsid w:val="00B653C5"/>
    <w:rsid w:val="00B65611"/>
    <w:rsid w:val="00B65A5E"/>
    <w:rsid w:val="00B66A1F"/>
    <w:rsid w:val="00B67138"/>
    <w:rsid w:val="00B672E7"/>
    <w:rsid w:val="00B678EA"/>
    <w:rsid w:val="00B70E8E"/>
    <w:rsid w:val="00B71541"/>
    <w:rsid w:val="00B71A50"/>
    <w:rsid w:val="00B71D84"/>
    <w:rsid w:val="00B72C37"/>
    <w:rsid w:val="00B738EB"/>
    <w:rsid w:val="00B74938"/>
    <w:rsid w:val="00B74DC0"/>
    <w:rsid w:val="00B75408"/>
    <w:rsid w:val="00B75CC6"/>
    <w:rsid w:val="00B76429"/>
    <w:rsid w:val="00B7681E"/>
    <w:rsid w:val="00B76C92"/>
    <w:rsid w:val="00B77A5E"/>
    <w:rsid w:val="00B80DC4"/>
    <w:rsid w:val="00B80EFD"/>
    <w:rsid w:val="00B816D8"/>
    <w:rsid w:val="00B818A4"/>
    <w:rsid w:val="00B819C0"/>
    <w:rsid w:val="00B822F1"/>
    <w:rsid w:val="00B82CB2"/>
    <w:rsid w:val="00B8346E"/>
    <w:rsid w:val="00B8351D"/>
    <w:rsid w:val="00B83739"/>
    <w:rsid w:val="00B83FAE"/>
    <w:rsid w:val="00B840A0"/>
    <w:rsid w:val="00B84117"/>
    <w:rsid w:val="00B8428B"/>
    <w:rsid w:val="00B84D3C"/>
    <w:rsid w:val="00B850C6"/>
    <w:rsid w:val="00B858F0"/>
    <w:rsid w:val="00B85AA2"/>
    <w:rsid w:val="00B86262"/>
    <w:rsid w:val="00B8649C"/>
    <w:rsid w:val="00B8695D"/>
    <w:rsid w:val="00B87F0A"/>
    <w:rsid w:val="00B87F99"/>
    <w:rsid w:val="00B90122"/>
    <w:rsid w:val="00B90585"/>
    <w:rsid w:val="00B90FA0"/>
    <w:rsid w:val="00B913EE"/>
    <w:rsid w:val="00B91407"/>
    <w:rsid w:val="00B914D1"/>
    <w:rsid w:val="00B92028"/>
    <w:rsid w:val="00B92D0B"/>
    <w:rsid w:val="00B93458"/>
    <w:rsid w:val="00B94945"/>
    <w:rsid w:val="00B94A26"/>
    <w:rsid w:val="00B94DD6"/>
    <w:rsid w:val="00B9784B"/>
    <w:rsid w:val="00BA136F"/>
    <w:rsid w:val="00BA322D"/>
    <w:rsid w:val="00BA358F"/>
    <w:rsid w:val="00BA545B"/>
    <w:rsid w:val="00BA559A"/>
    <w:rsid w:val="00BA63FA"/>
    <w:rsid w:val="00BA64F1"/>
    <w:rsid w:val="00BA6AB3"/>
    <w:rsid w:val="00BA7219"/>
    <w:rsid w:val="00BA7551"/>
    <w:rsid w:val="00BB00B3"/>
    <w:rsid w:val="00BB02D8"/>
    <w:rsid w:val="00BB048E"/>
    <w:rsid w:val="00BB0BDD"/>
    <w:rsid w:val="00BB176C"/>
    <w:rsid w:val="00BB2A73"/>
    <w:rsid w:val="00BB2E53"/>
    <w:rsid w:val="00BB342F"/>
    <w:rsid w:val="00BB3A45"/>
    <w:rsid w:val="00BB3C84"/>
    <w:rsid w:val="00BB4ACC"/>
    <w:rsid w:val="00BB58AE"/>
    <w:rsid w:val="00BB5D81"/>
    <w:rsid w:val="00BB6C89"/>
    <w:rsid w:val="00BB703E"/>
    <w:rsid w:val="00BB7242"/>
    <w:rsid w:val="00BB732D"/>
    <w:rsid w:val="00BB7405"/>
    <w:rsid w:val="00BB7F6D"/>
    <w:rsid w:val="00BC0511"/>
    <w:rsid w:val="00BC1E9D"/>
    <w:rsid w:val="00BC3631"/>
    <w:rsid w:val="00BC4090"/>
    <w:rsid w:val="00BC496C"/>
    <w:rsid w:val="00BC51CD"/>
    <w:rsid w:val="00BC579E"/>
    <w:rsid w:val="00BC591F"/>
    <w:rsid w:val="00BC5E97"/>
    <w:rsid w:val="00BC64D3"/>
    <w:rsid w:val="00BC6724"/>
    <w:rsid w:val="00BC758F"/>
    <w:rsid w:val="00BC7620"/>
    <w:rsid w:val="00BC7D6D"/>
    <w:rsid w:val="00BD04A8"/>
    <w:rsid w:val="00BD062B"/>
    <w:rsid w:val="00BD0665"/>
    <w:rsid w:val="00BD1499"/>
    <w:rsid w:val="00BD1D12"/>
    <w:rsid w:val="00BD1FCA"/>
    <w:rsid w:val="00BD2108"/>
    <w:rsid w:val="00BD2A94"/>
    <w:rsid w:val="00BD2CB0"/>
    <w:rsid w:val="00BD2DB6"/>
    <w:rsid w:val="00BD37BC"/>
    <w:rsid w:val="00BD5974"/>
    <w:rsid w:val="00BD5F7C"/>
    <w:rsid w:val="00BD6702"/>
    <w:rsid w:val="00BD6862"/>
    <w:rsid w:val="00BD68A3"/>
    <w:rsid w:val="00BD6938"/>
    <w:rsid w:val="00BD6CF3"/>
    <w:rsid w:val="00BD7F3B"/>
    <w:rsid w:val="00BD7F72"/>
    <w:rsid w:val="00BE017A"/>
    <w:rsid w:val="00BE0ECA"/>
    <w:rsid w:val="00BE1119"/>
    <w:rsid w:val="00BE2180"/>
    <w:rsid w:val="00BE21F2"/>
    <w:rsid w:val="00BE2701"/>
    <w:rsid w:val="00BE3513"/>
    <w:rsid w:val="00BE360E"/>
    <w:rsid w:val="00BE374D"/>
    <w:rsid w:val="00BE3A26"/>
    <w:rsid w:val="00BE4275"/>
    <w:rsid w:val="00BE4612"/>
    <w:rsid w:val="00BE66FA"/>
    <w:rsid w:val="00BE6AB3"/>
    <w:rsid w:val="00BE73A3"/>
    <w:rsid w:val="00BF06AE"/>
    <w:rsid w:val="00BF0E32"/>
    <w:rsid w:val="00BF0F95"/>
    <w:rsid w:val="00BF1071"/>
    <w:rsid w:val="00BF12D3"/>
    <w:rsid w:val="00BF15A9"/>
    <w:rsid w:val="00BF2433"/>
    <w:rsid w:val="00BF2E6E"/>
    <w:rsid w:val="00BF3F27"/>
    <w:rsid w:val="00BF449A"/>
    <w:rsid w:val="00BF4569"/>
    <w:rsid w:val="00BF4C7A"/>
    <w:rsid w:val="00BF4C7E"/>
    <w:rsid w:val="00BF5C69"/>
    <w:rsid w:val="00BF61C9"/>
    <w:rsid w:val="00BF62E6"/>
    <w:rsid w:val="00BF6AE5"/>
    <w:rsid w:val="00BF6C94"/>
    <w:rsid w:val="00BF76E3"/>
    <w:rsid w:val="00BF77DA"/>
    <w:rsid w:val="00BF7A42"/>
    <w:rsid w:val="00C00424"/>
    <w:rsid w:val="00C00BB0"/>
    <w:rsid w:val="00C021A5"/>
    <w:rsid w:val="00C021C5"/>
    <w:rsid w:val="00C02FD5"/>
    <w:rsid w:val="00C04B19"/>
    <w:rsid w:val="00C04F16"/>
    <w:rsid w:val="00C0742C"/>
    <w:rsid w:val="00C1036C"/>
    <w:rsid w:val="00C10A85"/>
    <w:rsid w:val="00C1179F"/>
    <w:rsid w:val="00C1193F"/>
    <w:rsid w:val="00C12793"/>
    <w:rsid w:val="00C127B9"/>
    <w:rsid w:val="00C128FA"/>
    <w:rsid w:val="00C12C14"/>
    <w:rsid w:val="00C142A1"/>
    <w:rsid w:val="00C1491D"/>
    <w:rsid w:val="00C1494A"/>
    <w:rsid w:val="00C155E5"/>
    <w:rsid w:val="00C157A0"/>
    <w:rsid w:val="00C15F04"/>
    <w:rsid w:val="00C16E19"/>
    <w:rsid w:val="00C179B3"/>
    <w:rsid w:val="00C17E3F"/>
    <w:rsid w:val="00C17FD3"/>
    <w:rsid w:val="00C200AA"/>
    <w:rsid w:val="00C21459"/>
    <w:rsid w:val="00C237ED"/>
    <w:rsid w:val="00C24632"/>
    <w:rsid w:val="00C24A50"/>
    <w:rsid w:val="00C25418"/>
    <w:rsid w:val="00C25BB3"/>
    <w:rsid w:val="00C25D9C"/>
    <w:rsid w:val="00C25FA4"/>
    <w:rsid w:val="00C26464"/>
    <w:rsid w:val="00C270B0"/>
    <w:rsid w:val="00C274B8"/>
    <w:rsid w:val="00C2778B"/>
    <w:rsid w:val="00C30139"/>
    <w:rsid w:val="00C301F3"/>
    <w:rsid w:val="00C3151C"/>
    <w:rsid w:val="00C3151D"/>
    <w:rsid w:val="00C31649"/>
    <w:rsid w:val="00C3177B"/>
    <w:rsid w:val="00C33723"/>
    <w:rsid w:val="00C33C63"/>
    <w:rsid w:val="00C3434C"/>
    <w:rsid w:val="00C34DD0"/>
    <w:rsid w:val="00C36877"/>
    <w:rsid w:val="00C40181"/>
    <w:rsid w:val="00C40385"/>
    <w:rsid w:val="00C40701"/>
    <w:rsid w:val="00C4120B"/>
    <w:rsid w:val="00C41768"/>
    <w:rsid w:val="00C421E7"/>
    <w:rsid w:val="00C42339"/>
    <w:rsid w:val="00C42551"/>
    <w:rsid w:val="00C42AD1"/>
    <w:rsid w:val="00C43358"/>
    <w:rsid w:val="00C438DC"/>
    <w:rsid w:val="00C43C15"/>
    <w:rsid w:val="00C47195"/>
    <w:rsid w:val="00C475AA"/>
    <w:rsid w:val="00C477D9"/>
    <w:rsid w:val="00C478E7"/>
    <w:rsid w:val="00C47CB6"/>
    <w:rsid w:val="00C504FE"/>
    <w:rsid w:val="00C50DD3"/>
    <w:rsid w:val="00C51239"/>
    <w:rsid w:val="00C527C7"/>
    <w:rsid w:val="00C52806"/>
    <w:rsid w:val="00C534E8"/>
    <w:rsid w:val="00C53C98"/>
    <w:rsid w:val="00C56161"/>
    <w:rsid w:val="00C56751"/>
    <w:rsid w:val="00C56814"/>
    <w:rsid w:val="00C56FCF"/>
    <w:rsid w:val="00C572F6"/>
    <w:rsid w:val="00C57B6C"/>
    <w:rsid w:val="00C60848"/>
    <w:rsid w:val="00C6151F"/>
    <w:rsid w:val="00C6191D"/>
    <w:rsid w:val="00C61A59"/>
    <w:rsid w:val="00C628A6"/>
    <w:rsid w:val="00C632D2"/>
    <w:rsid w:val="00C6339F"/>
    <w:rsid w:val="00C63A89"/>
    <w:rsid w:val="00C64344"/>
    <w:rsid w:val="00C65108"/>
    <w:rsid w:val="00C65576"/>
    <w:rsid w:val="00C65FB3"/>
    <w:rsid w:val="00C66165"/>
    <w:rsid w:val="00C6750C"/>
    <w:rsid w:val="00C7060A"/>
    <w:rsid w:val="00C7151A"/>
    <w:rsid w:val="00C717E3"/>
    <w:rsid w:val="00C71F60"/>
    <w:rsid w:val="00C72241"/>
    <w:rsid w:val="00C72972"/>
    <w:rsid w:val="00C750C8"/>
    <w:rsid w:val="00C751B5"/>
    <w:rsid w:val="00C7560F"/>
    <w:rsid w:val="00C767B6"/>
    <w:rsid w:val="00C76D09"/>
    <w:rsid w:val="00C76F72"/>
    <w:rsid w:val="00C80682"/>
    <w:rsid w:val="00C807F6"/>
    <w:rsid w:val="00C80A0E"/>
    <w:rsid w:val="00C81CAA"/>
    <w:rsid w:val="00C81D43"/>
    <w:rsid w:val="00C8213F"/>
    <w:rsid w:val="00C8303F"/>
    <w:rsid w:val="00C85154"/>
    <w:rsid w:val="00C858A5"/>
    <w:rsid w:val="00C85A70"/>
    <w:rsid w:val="00C86839"/>
    <w:rsid w:val="00C86DE0"/>
    <w:rsid w:val="00C87754"/>
    <w:rsid w:val="00C878B0"/>
    <w:rsid w:val="00C8797A"/>
    <w:rsid w:val="00C87B55"/>
    <w:rsid w:val="00C900B8"/>
    <w:rsid w:val="00C90197"/>
    <w:rsid w:val="00C904E8"/>
    <w:rsid w:val="00C90AE3"/>
    <w:rsid w:val="00C90C71"/>
    <w:rsid w:val="00C917FE"/>
    <w:rsid w:val="00C91FD1"/>
    <w:rsid w:val="00C924DF"/>
    <w:rsid w:val="00C92A30"/>
    <w:rsid w:val="00C931CF"/>
    <w:rsid w:val="00C93742"/>
    <w:rsid w:val="00C938CF"/>
    <w:rsid w:val="00C94053"/>
    <w:rsid w:val="00C944E1"/>
    <w:rsid w:val="00C951A4"/>
    <w:rsid w:val="00C95FF3"/>
    <w:rsid w:val="00C9624D"/>
    <w:rsid w:val="00C969DA"/>
    <w:rsid w:val="00C9708B"/>
    <w:rsid w:val="00CA072A"/>
    <w:rsid w:val="00CA0B82"/>
    <w:rsid w:val="00CA1070"/>
    <w:rsid w:val="00CA1416"/>
    <w:rsid w:val="00CA2C77"/>
    <w:rsid w:val="00CA444F"/>
    <w:rsid w:val="00CA4DD9"/>
    <w:rsid w:val="00CA4EBD"/>
    <w:rsid w:val="00CA5245"/>
    <w:rsid w:val="00CA5EFE"/>
    <w:rsid w:val="00CA6085"/>
    <w:rsid w:val="00CA6DC8"/>
    <w:rsid w:val="00CA71F4"/>
    <w:rsid w:val="00CA7399"/>
    <w:rsid w:val="00CA7B09"/>
    <w:rsid w:val="00CB0D5A"/>
    <w:rsid w:val="00CB12A5"/>
    <w:rsid w:val="00CB1CAC"/>
    <w:rsid w:val="00CB2E87"/>
    <w:rsid w:val="00CB2F2A"/>
    <w:rsid w:val="00CB3B1A"/>
    <w:rsid w:val="00CB4D6D"/>
    <w:rsid w:val="00CB5383"/>
    <w:rsid w:val="00CB5B1A"/>
    <w:rsid w:val="00CB5D72"/>
    <w:rsid w:val="00CB660A"/>
    <w:rsid w:val="00CB6861"/>
    <w:rsid w:val="00CB6B22"/>
    <w:rsid w:val="00CB7F5F"/>
    <w:rsid w:val="00CC0B70"/>
    <w:rsid w:val="00CC1B39"/>
    <w:rsid w:val="00CC1BFA"/>
    <w:rsid w:val="00CC1E0C"/>
    <w:rsid w:val="00CC2B33"/>
    <w:rsid w:val="00CC2E9F"/>
    <w:rsid w:val="00CC35EA"/>
    <w:rsid w:val="00CC3848"/>
    <w:rsid w:val="00CC3A96"/>
    <w:rsid w:val="00CC3BEB"/>
    <w:rsid w:val="00CC4A3B"/>
    <w:rsid w:val="00CC56EC"/>
    <w:rsid w:val="00CC5829"/>
    <w:rsid w:val="00CC5D44"/>
    <w:rsid w:val="00CC6604"/>
    <w:rsid w:val="00CC6B3A"/>
    <w:rsid w:val="00CC6D5E"/>
    <w:rsid w:val="00CC77F9"/>
    <w:rsid w:val="00CC7A56"/>
    <w:rsid w:val="00CD0200"/>
    <w:rsid w:val="00CD1062"/>
    <w:rsid w:val="00CD183E"/>
    <w:rsid w:val="00CD3AA1"/>
    <w:rsid w:val="00CD3D1E"/>
    <w:rsid w:val="00CD3D43"/>
    <w:rsid w:val="00CD3F47"/>
    <w:rsid w:val="00CD3F77"/>
    <w:rsid w:val="00CD529F"/>
    <w:rsid w:val="00CD555D"/>
    <w:rsid w:val="00CD5685"/>
    <w:rsid w:val="00CD6ADC"/>
    <w:rsid w:val="00CD717F"/>
    <w:rsid w:val="00CD7193"/>
    <w:rsid w:val="00CD7B9A"/>
    <w:rsid w:val="00CE09EA"/>
    <w:rsid w:val="00CE19F1"/>
    <w:rsid w:val="00CE1DBC"/>
    <w:rsid w:val="00CE220B"/>
    <w:rsid w:val="00CE277B"/>
    <w:rsid w:val="00CE33D4"/>
    <w:rsid w:val="00CE38C8"/>
    <w:rsid w:val="00CE3F01"/>
    <w:rsid w:val="00CE4692"/>
    <w:rsid w:val="00CE4C94"/>
    <w:rsid w:val="00CE524F"/>
    <w:rsid w:val="00CE58CC"/>
    <w:rsid w:val="00CE6274"/>
    <w:rsid w:val="00CE6D7B"/>
    <w:rsid w:val="00CE77B6"/>
    <w:rsid w:val="00CF02D7"/>
    <w:rsid w:val="00CF2B8D"/>
    <w:rsid w:val="00CF37A3"/>
    <w:rsid w:val="00CF3A1B"/>
    <w:rsid w:val="00CF456B"/>
    <w:rsid w:val="00CF4BE9"/>
    <w:rsid w:val="00CF4EB4"/>
    <w:rsid w:val="00CF4FFA"/>
    <w:rsid w:val="00CF5204"/>
    <w:rsid w:val="00CF5A22"/>
    <w:rsid w:val="00CF5C3C"/>
    <w:rsid w:val="00CF662E"/>
    <w:rsid w:val="00CF6EDC"/>
    <w:rsid w:val="00CF7C1D"/>
    <w:rsid w:val="00D0262E"/>
    <w:rsid w:val="00D029E3"/>
    <w:rsid w:val="00D02B22"/>
    <w:rsid w:val="00D02FF4"/>
    <w:rsid w:val="00D035E0"/>
    <w:rsid w:val="00D03679"/>
    <w:rsid w:val="00D04A0A"/>
    <w:rsid w:val="00D04AF5"/>
    <w:rsid w:val="00D05157"/>
    <w:rsid w:val="00D05384"/>
    <w:rsid w:val="00D05D07"/>
    <w:rsid w:val="00D05E3D"/>
    <w:rsid w:val="00D06139"/>
    <w:rsid w:val="00D06A70"/>
    <w:rsid w:val="00D1046C"/>
    <w:rsid w:val="00D10947"/>
    <w:rsid w:val="00D110BD"/>
    <w:rsid w:val="00D11638"/>
    <w:rsid w:val="00D12E7D"/>
    <w:rsid w:val="00D12EC1"/>
    <w:rsid w:val="00D13174"/>
    <w:rsid w:val="00D13675"/>
    <w:rsid w:val="00D1406C"/>
    <w:rsid w:val="00D141E1"/>
    <w:rsid w:val="00D14506"/>
    <w:rsid w:val="00D14D18"/>
    <w:rsid w:val="00D1530A"/>
    <w:rsid w:val="00D15314"/>
    <w:rsid w:val="00D15865"/>
    <w:rsid w:val="00D15B48"/>
    <w:rsid w:val="00D166C5"/>
    <w:rsid w:val="00D178C5"/>
    <w:rsid w:val="00D17D6C"/>
    <w:rsid w:val="00D205C6"/>
    <w:rsid w:val="00D20EC8"/>
    <w:rsid w:val="00D2143F"/>
    <w:rsid w:val="00D2155B"/>
    <w:rsid w:val="00D23648"/>
    <w:rsid w:val="00D23D11"/>
    <w:rsid w:val="00D244B6"/>
    <w:rsid w:val="00D24B8C"/>
    <w:rsid w:val="00D2517B"/>
    <w:rsid w:val="00D255D9"/>
    <w:rsid w:val="00D258FA"/>
    <w:rsid w:val="00D25A49"/>
    <w:rsid w:val="00D269C3"/>
    <w:rsid w:val="00D26E8C"/>
    <w:rsid w:val="00D27097"/>
    <w:rsid w:val="00D2726D"/>
    <w:rsid w:val="00D2730A"/>
    <w:rsid w:val="00D2754D"/>
    <w:rsid w:val="00D27AE3"/>
    <w:rsid w:val="00D27B27"/>
    <w:rsid w:val="00D27F85"/>
    <w:rsid w:val="00D30297"/>
    <w:rsid w:val="00D306B8"/>
    <w:rsid w:val="00D30A1B"/>
    <w:rsid w:val="00D30A90"/>
    <w:rsid w:val="00D30B7E"/>
    <w:rsid w:val="00D30D5B"/>
    <w:rsid w:val="00D31A47"/>
    <w:rsid w:val="00D323D9"/>
    <w:rsid w:val="00D33BE9"/>
    <w:rsid w:val="00D33F93"/>
    <w:rsid w:val="00D3419D"/>
    <w:rsid w:val="00D3540E"/>
    <w:rsid w:val="00D35711"/>
    <w:rsid w:val="00D357FF"/>
    <w:rsid w:val="00D35A75"/>
    <w:rsid w:val="00D372EE"/>
    <w:rsid w:val="00D40A35"/>
    <w:rsid w:val="00D423CB"/>
    <w:rsid w:val="00D424C7"/>
    <w:rsid w:val="00D42F71"/>
    <w:rsid w:val="00D434AA"/>
    <w:rsid w:val="00D43913"/>
    <w:rsid w:val="00D4397D"/>
    <w:rsid w:val="00D43B2A"/>
    <w:rsid w:val="00D43CF1"/>
    <w:rsid w:val="00D43D83"/>
    <w:rsid w:val="00D44413"/>
    <w:rsid w:val="00D44580"/>
    <w:rsid w:val="00D45E2C"/>
    <w:rsid w:val="00D471D8"/>
    <w:rsid w:val="00D47575"/>
    <w:rsid w:val="00D47652"/>
    <w:rsid w:val="00D47FCA"/>
    <w:rsid w:val="00D50B2B"/>
    <w:rsid w:val="00D5184C"/>
    <w:rsid w:val="00D52016"/>
    <w:rsid w:val="00D5243B"/>
    <w:rsid w:val="00D52910"/>
    <w:rsid w:val="00D5338E"/>
    <w:rsid w:val="00D533EC"/>
    <w:rsid w:val="00D53B16"/>
    <w:rsid w:val="00D54730"/>
    <w:rsid w:val="00D54F0E"/>
    <w:rsid w:val="00D553BA"/>
    <w:rsid w:val="00D55D6D"/>
    <w:rsid w:val="00D5619D"/>
    <w:rsid w:val="00D56969"/>
    <w:rsid w:val="00D56A95"/>
    <w:rsid w:val="00D57511"/>
    <w:rsid w:val="00D6076E"/>
    <w:rsid w:val="00D60A36"/>
    <w:rsid w:val="00D60B16"/>
    <w:rsid w:val="00D60BBF"/>
    <w:rsid w:val="00D61A15"/>
    <w:rsid w:val="00D61A4C"/>
    <w:rsid w:val="00D61B0D"/>
    <w:rsid w:val="00D62E7E"/>
    <w:rsid w:val="00D63724"/>
    <w:rsid w:val="00D639F8"/>
    <w:rsid w:val="00D63FF5"/>
    <w:rsid w:val="00D645B7"/>
    <w:rsid w:val="00D65922"/>
    <w:rsid w:val="00D669A1"/>
    <w:rsid w:val="00D6747B"/>
    <w:rsid w:val="00D6758D"/>
    <w:rsid w:val="00D67F9E"/>
    <w:rsid w:val="00D70731"/>
    <w:rsid w:val="00D70F16"/>
    <w:rsid w:val="00D71896"/>
    <w:rsid w:val="00D72414"/>
    <w:rsid w:val="00D72617"/>
    <w:rsid w:val="00D72F57"/>
    <w:rsid w:val="00D73E99"/>
    <w:rsid w:val="00D73FC9"/>
    <w:rsid w:val="00D74A45"/>
    <w:rsid w:val="00D7543F"/>
    <w:rsid w:val="00D76497"/>
    <w:rsid w:val="00D76A44"/>
    <w:rsid w:val="00D76DBD"/>
    <w:rsid w:val="00D77839"/>
    <w:rsid w:val="00D80957"/>
    <w:rsid w:val="00D80E38"/>
    <w:rsid w:val="00D815EF"/>
    <w:rsid w:val="00D81949"/>
    <w:rsid w:val="00D81D42"/>
    <w:rsid w:val="00D81F26"/>
    <w:rsid w:val="00D822E2"/>
    <w:rsid w:val="00D82752"/>
    <w:rsid w:val="00D829B8"/>
    <w:rsid w:val="00D83304"/>
    <w:rsid w:val="00D83330"/>
    <w:rsid w:val="00D83940"/>
    <w:rsid w:val="00D84306"/>
    <w:rsid w:val="00D843F2"/>
    <w:rsid w:val="00D848E2"/>
    <w:rsid w:val="00D8555F"/>
    <w:rsid w:val="00D85796"/>
    <w:rsid w:val="00D85CE9"/>
    <w:rsid w:val="00D86231"/>
    <w:rsid w:val="00D8794F"/>
    <w:rsid w:val="00D905CA"/>
    <w:rsid w:val="00D90D33"/>
    <w:rsid w:val="00D91135"/>
    <w:rsid w:val="00D912AB"/>
    <w:rsid w:val="00D91923"/>
    <w:rsid w:val="00D92D9D"/>
    <w:rsid w:val="00D930C3"/>
    <w:rsid w:val="00D93202"/>
    <w:rsid w:val="00D9369D"/>
    <w:rsid w:val="00D936B8"/>
    <w:rsid w:val="00D93753"/>
    <w:rsid w:val="00D937CE"/>
    <w:rsid w:val="00D93878"/>
    <w:rsid w:val="00D95196"/>
    <w:rsid w:val="00D962AB"/>
    <w:rsid w:val="00D96FDF"/>
    <w:rsid w:val="00D97542"/>
    <w:rsid w:val="00D97846"/>
    <w:rsid w:val="00DA05BF"/>
    <w:rsid w:val="00DA151A"/>
    <w:rsid w:val="00DA1787"/>
    <w:rsid w:val="00DA24AC"/>
    <w:rsid w:val="00DA266F"/>
    <w:rsid w:val="00DA3167"/>
    <w:rsid w:val="00DA35B1"/>
    <w:rsid w:val="00DA3694"/>
    <w:rsid w:val="00DA38B5"/>
    <w:rsid w:val="00DA3A69"/>
    <w:rsid w:val="00DA3BCE"/>
    <w:rsid w:val="00DA4B9D"/>
    <w:rsid w:val="00DA4DC3"/>
    <w:rsid w:val="00DA5437"/>
    <w:rsid w:val="00DA5C9C"/>
    <w:rsid w:val="00DA77A5"/>
    <w:rsid w:val="00DA79A1"/>
    <w:rsid w:val="00DA7A6C"/>
    <w:rsid w:val="00DA7CE9"/>
    <w:rsid w:val="00DB03AF"/>
    <w:rsid w:val="00DB0E36"/>
    <w:rsid w:val="00DB16DE"/>
    <w:rsid w:val="00DB18E8"/>
    <w:rsid w:val="00DB2723"/>
    <w:rsid w:val="00DB3DBF"/>
    <w:rsid w:val="00DB484F"/>
    <w:rsid w:val="00DB5265"/>
    <w:rsid w:val="00DB6306"/>
    <w:rsid w:val="00DB6FB6"/>
    <w:rsid w:val="00DB7F9D"/>
    <w:rsid w:val="00DC04F6"/>
    <w:rsid w:val="00DC0690"/>
    <w:rsid w:val="00DC0BE3"/>
    <w:rsid w:val="00DC0F9C"/>
    <w:rsid w:val="00DC11B2"/>
    <w:rsid w:val="00DC1C64"/>
    <w:rsid w:val="00DC1D65"/>
    <w:rsid w:val="00DC2216"/>
    <w:rsid w:val="00DC2EC9"/>
    <w:rsid w:val="00DC32AF"/>
    <w:rsid w:val="00DC3BEB"/>
    <w:rsid w:val="00DC3C57"/>
    <w:rsid w:val="00DC3F4A"/>
    <w:rsid w:val="00DC405A"/>
    <w:rsid w:val="00DC42B4"/>
    <w:rsid w:val="00DC455E"/>
    <w:rsid w:val="00DC4E45"/>
    <w:rsid w:val="00DC5470"/>
    <w:rsid w:val="00DC5501"/>
    <w:rsid w:val="00DC5DE4"/>
    <w:rsid w:val="00DC6658"/>
    <w:rsid w:val="00DC6926"/>
    <w:rsid w:val="00DC7154"/>
    <w:rsid w:val="00DC7DDC"/>
    <w:rsid w:val="00DC7E8A"/>
    <w:rsid w:val="00DD0033"/>
    <w:rsid w:val="00DD0B0C"/>
    <w:rsid w:val="00DD0F78"/>
    <w:rsid w:val="00DD1B62"/>
    <w:rsid w:val="00DD2265"/>
    <w:rsid w:val="00DD273C"/>
    <w:rsid w:val="00DD3F28"/>
    <w:rsid w:val="00DD406B"/>
    <w:rsid w:val="00DD4446"/>
    <w:rsid w:val="00DD4537"/>
    <w:rsid w:val="00DD4E15"/>
    <w:rsid w:val="00DD5777"/>
    <w:rsid w:val="00DD76BF"/>
    <w:rsid w:val="00DE0335"/>
    <w:rsid w:val="00DE0606"/>
    <w:rsid w:val="00DE09F3"/>
    <w:rsid w:val="00DE1BF7"/>
    <w:rsid w:val="00DE2304"/>
    <w:rsid w:val="00DE2865"/>
    <w:rsid w:val="00DE3138"/>
    <w:rsid w:val="00DE37F8"/>
    <w:rsid w:val="00DE4273"/>
    <w:rsid w:val="00DE4E51"/>
    <w:rsid w:val="00DE4FCB"/>
    <w:rsid w:val="00DE58BA"/>
    <w:rsid w:val="00DE5AFA"/>
    <w:rsid w:val="00DE5D07"/>
    <w:rsid w:val="00DE5E84"/>
    <w:rsid w:val="00DE606D"/>
    <w:rsid w:val="00DE612C"/>
    <w:rsid w:val="00DE6281"/>
    <w:rsid w:val="00DE6BF3"/>
    <w:rsid w:val="00DE72A7"/>
    <w:rsid w:val="00DE7588"/>
    <w:rsid w:val="00DE7832"/>
    <w:rsid w:val="00DF18FC"/>
    <w:rsid w:val="00DF1A4A"/>
    <w:rsid w:val="00DF1FDE"/>
    <w:rsid w:val="00DF3922"/>
    <w:rsid w:val="00DF5513"/>
    <w:rsid w:val="00DF58FC"/>
    <w:rsid w:val="00DF5988"/>
    <w:rsid w:val="00DF5D2B"/>
    <w:rsid w:val="00DF6341"/>
    <w:rsid w:val="00E00E8E"/>
    <w:rsid w:val="00E01DD9"/>
    <w:rsid w:val="00E02247"/>
    <w:rsid w:val="00E02C32"/>
    <w:rsid w:val="00E03424"/>
    <w:rsid w:val="00E04CBD"/>
    <w:rsid w:val="00E04F26"/>
    <w:rsid w:val="00E05252"/>
    <w:rsid w:val="00E05345"/>
    <w:rsid w:val="00E05472"/>
    <w:rsid w:val="00E05630"/>
    <w:rsid w:val="00E05861"/>
    <w:rsid w:val="00E05B1F"/>
    <w:rsid w:val="00E061B2"/>
    <w:rsid w:val="00E06B48"/>
    <w:rsid w:val="00E06DBB"/>
    <w:rsid w:val="00E07340"/>
    <w:rsid w:val="00E0774D"/>
    <w:rsid w:val="00E10149"/>
    <w:rsid w:val="00E1085A"/>
    <w:rsid w:val="00E10A89"/>
    <w:rsid w:val="00E10AF8"/>
    <w:rsid w:val="00E11340"/>
    <w:rsid w:val="00E11EF9"/>
    <w:rsid w:val="00E120F3"/>
    <w:rsid w:val="00E122A1"/>
    <w:rsid w:val="00E13ADA"/>
    <w:rsid w:val="00E1417D"/>
    <w:rsid w:val="00E14240"/>
    <w:rsid w:val="00E147FB"/>
    <w:rsid w:val="00E15B1B"/>
    <w:rsid w:val="00E16372"/>
    <w:rsid w:val="00E16AD8"/>
    <w:rsid w:val="00E16BDB"/>
    <w:rsid w:val="00E17FFA"/>
    <w:rsid w:val="00E20031"/>
    <w:rsid w:val="00E20057"/>
    <w:rsid w:val="00E20251"/>
    <w:rsid w:val="00E20E4D"/>
    <w:rsid w:val="00E20ED6"/>
    <w:rsid w:val="00E21358"/>
    <w:rsid w:val="00E21C01"/>
    <w:rsid w:val="00E2249B"/>
    <w:rsid w:val="00E22A0D"/>
    <w:rsid w:val="00E23792"/>
    <w:rsid w:val="00E23C8E"/>
    <w:rsid w:val="00E244F6"/>
    <w:rsid w:val="00E2462B"/>
    <w:rsid w:val="00E258DB"/>
    <w:rsid w:val="00E25BF4"/>
    <w:rsid w:val="00E25E8A"/>
    <w:rsid w:val="00E26B40"/>
    <w:rsid w:val="00E2771E"/>
    <w:rsid w:val="00E278CB"/>
    <w:rsid w:val="00E279ED"/>
    <w:rsid w:val="00E3066B"/>
    <w:rsid w:val="00E308CD"/>
    <w:rsid w:val="00E30A15"/>
    <w:rsid w:val="00E311EF"/>
    <w:rsid w:val="00E31558"/>
    <w:rsid w:val="00E32180"/>
    <w:rsid w:val="00E32520"/>
    <w:rsid w:val="00E32736"/>
    <w:rsid w:val="00E32DFF"/>
    <w:rsid w:val="00E33780"/>
    <w:rsid w:val="00E34948"/>
    <w:rsid w:val="00E356D3"/>
    <w:rsid w:val="00E369D2"/>
    <w:rsid w:val="00E36A14"/>
    <w:rsid w:val="00E36B73"/>
    <w:rsid w:val="00E36E4B"/>
    <w:rsid w:val="00E37569"/>
    <w:rsid w:val="00E401B2"/>
    <w:rsid w:val="00E40419"/>
    <w:rsid w:val="00E4164B"/>
    <w:rsid w:val="00E41E30"/>
    <w:rsid w:val="00E421D8"/>
    <w:rsid w:val="00E42796"/>
    <w:rsid w:val="00E42DC5"/>
    <w:rsid w:val="00E42F73"/>
    <w:rsid w:val="00E431BC"/>
    <w:rsid w:val="00E43D70"/>
    <w:rsid w:val="00E45A22"/>
    <w:rsid w:val="00E461EA"/>
    <w:rsid w:val="00E466DA"/>
    <w:rsid w:val="00E466F3"/>
    <w:rsid w:val="00E470A3"/>
    <w:rsid w:val="00E47B2C"/>
    <w:rsid w:val="00E47DE7"/>
    <w:rsid w:val="00E509B6"/>
    <w:rsid w:val="00E50CD2"/>
    <w:rsid w:val="00E512E4"/>
    <w:rsid w:val="00E51560"/>
    <w:rsid w:val="00E51821"/>
    <w:rsid w:val="00E51E1F"/>
    <w:rsid w:val="00E53266"/>
    <w:rsid w:val="00E53FC8"/>
    <w:rsid w:val="00E54347"/>
    <w:rsid w:val="00E5435B"/>
    <w:rsid w:val="00E55282"/>
    <w:rsid w:val="00E55424"/>
    <w:rsid w:val="00E55915"/>
    <w:rsid w:val="00E55BB5"/>
    <w:rsid w:val="00E560C8"/>
    <w:rsid w:val="00E564C0"/>
    <w:rsid w:val="00E56FC5"/>
    <w:rsid w:val="00E57533"/>
    <w:rsid w:val="00E600B4"/>
    <w:rsid w:val="00E60216"/>
    <w:rsid w:val="00E60245"/>
    <w:rsid w:val="00E611DF"/>
    <w:rsid w:val="00E64D26"/>
    <w:rsid w:val="00E655A6"/>
    <w:rsid w:val="00E65C4B"/>
    <w:rsid w:val="00E65E79"/>
    <w:rsid w:val="00E669AD"/>
    <w:rsid w:val="00E66BA2"/>
    <w:rsid w:val="00E67060"/>
    <w:rsid w:val="00E67416"/>
    <w:rsid w:val="00E67CAE"/>
    <w:rsid w:val="00E7051F"/>
    <w:rsid w:val="00E70CD7"/>
    <w:rsid w:val="00E712B9"/>
    <w:rsid w:val="00E718B6"/>
    <w:rsid w:val="00E723BA"/>
    <w:rsid w:val="00E72578"/>
    <w:rsid w:val="00E72D66"/>
    <w:rsid w:val="00E73581"/>
    <w:rsid w:val="00E758A2"/>
    <w:rsid w:val="00E75CC6"/>
    <w:rsid w:val="00E769E5"/>
    <w:rsid w:val="00E7757E"/>
    <w:rsid w:val="00E80C97"/>
    <w:rsid w:val="00E81DBB"/>
    <w:rsid w:val="00E833F7"/>
    <w:rsid w:val="00E8346C"/>
    <w:rsid w:val="00E83BDF"/>
    <w:rsid w:val="00E83DF9"/>
    <w:rsid w:val="00E844AA"/>
    <w:rsid w:val="00E847D3"/>
    <w:rsid w:val="00E850A9"/>
    <w:rsid w:val="00E85624"/>
    <w:rsid w:val="00E85A8F"/>
    <w:rsid w:val="00E86458"/>
    <w:rsid w:val="00E86915"/>
    <w:rsid w:val="00E86EAB"/>
    <w:rsid w:val="00E86FCC"/>
    <w:rsid w:val="00E875FB"/>
    <w:rsid w:val="00E87685"/>
    <w:rsid w:val="00E87A1D"/>
    <w:rsid w:val="00E9019B"/>
    <w:rsid w:val="00E905EA"/>
    <w:rsid w:val="00E9094A"/>
    <w:rsid w:val="00E9162B"/>
    <w:rsid w:val="00E91D35"/>
    <w:rsid w:val="00E926A5"/>
    <w:rsid w:val="00E943C0"/>
    <w:rsid w:val="00E94C4E"/>
    <w:rsid w:val="00E962CC"/>
    <w:rsid w:val="00E96F78"/>
    <w:rsid w:val="00E9723A"/>
    <w:rsid w:val="00EA0299"/>
    <w:rsid w:val="00EA040D"/>
    <w:rsid w:val="00EA1504"/>
    <w:rsid w:val="00EA17C3"/>
    <w:rsid w:val="00EA2192"/>
    <w:rsid w:val="00EA2CAA"/>
    <w:rsid w:val="00EA34AE"/>
    <w:rsid w:val="00EA360F"/>
    <w:rsid w:val="00EA3864"/>
    <w:rsid w:val="00EA4560"/>
    <w:rsid w:val="00EA5C85"/>
    <w:rsid w:val="00EA6232"/>
    <w:rsid w:val="00EA648E"/>
    <w:rsid w:val="00EA7CB4"/>
    <w:rsid w:val="00EA7F1C"/>
    <w:rsid w:val="00EB06F5"/>
    <w:rsid w:val="00EB15B6"/>
    <w:rsid w:val="00EB3D06"/>
    <w:rsid w:val="00EB4541"/>
    <w:rsid w:val="00EB4916"/>
    <w:rsid w:val="00EB4BEB"/>
    <w:rsid w:val="00EB679E"/>
    <w:rsid w:val="00EB7B9E"/>
    <w:rsid w:val="00EC00C9"/>
    <w:rsid w:val="00EC03AC"/>
    <w:rsid w:val="00EC0438"/>
    <w:rsid w:val="00EC0DD9"/>
    <w:rsid w:val="00EC22C6"/>
    <w:rsid w:val="00EC2649"/>
    <w:rsid w:val="00EC295A"/>
    <w:rsid w:val="00EC31ED"/>
    <w:rsid w:val="00EC4D63"/>
    <w:rsid w:val="00EC5836"/>
    <w:rsid w:val="00EC5FB1"/>
    <w:rsid w:val="00EC688C"/>
    <w:rsid w:val="00ED029F"/>
    <w:rsid w:val="00ED0533"/>
    <w:rsid w:val="00ED0CBB"/>
    <w:rsid w:val="00ED0F7B"/>
    <w:rsid w:val="00ED10F6"/>
    <w:rsid w:val="00ED12E3"/>
    <w:rsid w:val="00ED2184"/>
    <w:rsid w:val="00ED2A56"/>
    <w:rsid w:val="00ED2D41"/>
    <w:rsid w:val="00ED35DB"/>
    <w:rsid w:val="00ED3B84"/>
    <w:rsid w:val="00ED3C9C"/>
    <w:rsid w:val="00ED3CD8"/>
    <w:rsid w:val="00ED419C"/>
    <w:rsid w:val="00ED4B04"/>
    <w:rsid w:val="00ED4DB3"/>
    <w:rsid w:val="00ED57EA"/>
    <w:rsid w:val="00ED5BD4"/>
    <w:rsid w:val="00ED77FD"/>
    <w:rsid w:val="00ED79A0"/>
    <w:rsid w:val="00EE0373"/>
    <w:rsid w:val="00EE07D3"/>
    <w:rsid w:val="00EE115B"/>
    <w:rsid w:val="00EE11DC"/>
    <w:rsid w:val="00EE13DE"/>
    <w:rsid w:val="00EE1996"/>
    <w:rsid w:val="00EE1C01"/>
    <w:rsid w:val="00EE22AF"/>
    <w:rsid w:val="00EE2CA6"/>
    <w:rsid w:val="00EE2DAB"/>
    <w:rsid w:val="00EE42AF"/>
    <w:rsid w:val="00EE43F3"/>
    <w:rsid w:val="00EE4EB3"/>
    <w:rsid w:val="00EE5965"/>
    <w:rsid w:val="00EE630C"/>
    <w:rsid w:val="00EE638F"/>
    <w:rsid w:val="00EE672E"/>
    <w:rsid w:val="00EE71C1"/>
    <w:rsid w:val="00EE7364"/>
    <w:rsid w:val="00EE7434"/>
    <w:rsid w:val="00EF00DF"/>
    <w:rsid w:val="00EF0171"/>
    <w:rsid w:val="00EF06B7"/>
    <w:rsid w:val="00EF0E3D"/>
    <w:rsid w:val="00EF1186"/>
    <w:rsid w:val="00EF1B25"/>
    <w:rsid w:val="00EF1DA0"/>
    <w:rsid w:val="00EF2526"/>
    <w:rsid w:val="00EF2FA0"/>
    <w:rsid w:val="00EF36D2"/>
    <w:rsid w:val="00EF3B48"/>
    <w:rsid w:val="00EF3C32"/>
    <w:rsid w:val="00EF43D2"/>
    <w:rsid w:val="00EF4747"/>
    <w:rsid w:val="00EF4761"/>
    <w:rsid w:val="00EF4BF8"/>
    <w:rsid w:val="00EF54EA"/>
    <w:rsid w:val="00EF667A"/>
    <w:rsid w:val="00EF7E4E"/>
    <w:rsid w:val="00F00911"/>
    <w:rsid w:val="00F0164F"/>
    <w:rsid w:val="00F018EA"/>
    <w:rsid w:val="00F02253"/>
    <w:rsid w:val="00F024FA"/>
    <w:rsid w:val="00F0291D"/>
    <w:rsid w:val="00F02B7C"/>
    <w:rsid w:val="00F03644"/>
    <w:rsid w:val="00F03C2E"/>
    <w:rsid w:val="00F0409C"/>
    <w:rsid w:val="00F04113"/>
    <w:rsid w:val="00F04A66"/>
    <w:rsid w:val="00F04B4B"/>
    <w:rsid w:val="00F04C5D"/>
    <w:rsid w:val="00F0516C"/>
    <w:rsid w:val="00F05565"/>
    <w:rsid w:val="00F067A2"/>
    <w:rsid w:val="00F074F6"/>
    <w:rsid w:val="00F07B9E"/>
    <w:rsid w:val="00F1116F"/>
    <w:rsid w:val="00F111DE"/>
    <w:rsid w:val="00F1263A"/>
    <w:rsid w:val="00F139C5"/>
    <w:rsid w:val="00F15B77"/>
    <w:rsid w:val="00F17F05"/>
    <w:rsid w:val="00F21236"/>
    <w:rsid w:val="00F22BD1"/>
    <w:rsid w:val="00F234F4"/>
    <w:rsid w:val="00F23593"/>
    <w:rsid w:val="00F239DF"/>
    <w:rsid w:val="00F23BD3"/>
    <w:rsid w:val="00F23F68"/>
    <w:rsid w:val="00F24837"/>
    <w:rsid w:val="00F24B83"/>
    <w:rsid w:val="00F25664"/>
    <w:rsid w:val="00F2575F"/>
    <w:rsid w:val="00F264A2"/>
    <w:rsid w:val="00F265E4"/>
    <w:rsid w:val="00F27565"/>
    <w:rsid w:val="00F27CB4"/>
    <w:rsid w:val="00F306C4"/>
    <w:rsid w:val="00F310D4"/>
    <w:rsid w:val="00F31182"/>
    <w:rsid w:val="00F31D5A"/>
    <w:rsid w:val="00F32CF9"/>
    <w:rsid w:val="00F32D22"/>
    <w:rsid w:val="00F32F88"/>
    <w:rsid w:val="00F33975"/>
    <w:rsid w:val="00F33C86"/>
    <w:rsid w:val="00F33DE9"/>
    <w:rsid w:val="00F35C8A"/>
    <w:rsid w:val="00F35E6D"/>
    <w:rsid w:val="00F3619A"/>
    <w:rsid w:val="00F36324"/>
    <w:rsid w:val="00F3676B"/>
    <w:rsid w:val="00F36D39"/>
    <w:rsid w:val="00F3702C"/>
    <w:rsid w:val="00F372E2"/>
    <w:rsid w:val="00F377C6"/>
    <w:rsid w:val="00F404B6"/>
    <w:rsid w:val="00F40AAA"/>
    <w:rsid w:val="00F40BA7"/>
    <w:rsid w:val="00F40F9D"/>
    <w:rsid w:val="00F416CA"/>
    <w:rsid w:val="00F41ACD"/>
    <w:rsid w:val="00F41E4F"/>
    <w:rsid w:val="00F42552"/>
    <w:rsid w:val="00F43B89"/>
    <w:rsid w:val="00F43D37"/>
    <w:rsid w:val="00F445FD"/>
    <w:rsid w:val="00F460DA"/>
    <w:rsid w:val="00F46CB6"/>
    <w:rsid w:val="00F4756D"/>
    <w:rsid w:val="00F47DE8"/>
    <w:rsid w:val="00F5138D"/>
    <w:rsid w:val="00F51EE6"/>
    <w:rsid w:val="00F528BB"/>
    <w:rsid w:val="00F52B08"/>
    <w:rsid w:val="00F53E4A"/>
    <w:rsid w:val="00F542C1"/>
    <w:rsid w:val="00F544B1"/>
    <w:rsid w:val="00F54FE6"/>
    <w:rsid w:val="00F550E3"/>
    <w:rsid w:val="00F55CBA"/>
    <w:rsid w:val="00F55E73"/>
    <w:rsid w:val="00F55EDA"/>
    <w:rsid w:val="00F567CB"/>
    <w:rsid w:val="00F568D2"/>
    <w:rsid w:val="00F56C80"/>
    <w:rsid w:val="00F60092"/>
    <w:rsid w:val="00F60363"/>
    <w:rsid w:val="00F610FD"/>
    <w:rsid w:val="00F61C18"/>
    <w:rsid w:val="00F61F07"/>
    <w:rsid w:val="00F62941"/>
    <w:rsid w:val="00F65790"/>
    <w:rsid w:val="00F65BAD"/>
    <w:rsid w:val="00F65F4B"/>
    <w:rsid w:val="00F666EE"/>
    <w:rsid w:val="00F67575"/>
    <w:rsid w:val="00F67A69"/>
    <w:rsid w:val="00F67C41"/>
    <w:rsid w:val="00F700D6"/>
    <w:rsid w:val="00F70118"/>
    <w:rsid w:val="00F70BE6"/>
    <w:rsid w:val="00F70BFF"/>
    <w:rsid w:val="00F70C9D"/>
    <w:rsid w:val="00F7101F"/>
    <w:rsid w:val="00F717CA"/>
    <w:rsid w:val="00F71BDD"/>
    <w:rsid w:val="00F722D2"/>
    <w:rsid w:val="00F72C4A"/>
    <w:rsid w:val="00F732ED"/>
    <w:rsid w:val="00F73E08"/>
    <w:rsid w:val="00F74CD9"/>
    <w:rsid w:val="00F752DC"/>
    <w:rsid w:val="00F761C5"/>
    <w:rsid w:val="00F7693D"/>
    <w:rsid w:val="00F80A7B"/>
    <w:rsid w:val="00F80AC6"/>
    <w:rsid w:val="00F80E5D"/>
    <w:rsid w:val="00F817A7"/>
    <w:rsid w:val="00F81E78"/>
    <w:rsid w:val="00F82776"/>
    <w:rsid w:val="00F83916"/>
    <w:rsid w:val="00F842B9"/>
    <w:rsid w:val="00F84712"/>
    <w:rsid w:val="00F85134"/>
    <w:rsid w:val="00F851CE"/>
    <w:rsid w:val="00F85D51"/>
    <w:rsid w:val="00F8698E"/>
    <w:rsid w:val="00F9068B"/>
    <w:rsid w:val="00F91219"/>
    <w:rsid w:val="00F9226B"/>
    <w:rsid w:val="00F92444"/>
    <w:rsid w:val="00F93755"/>
    <w:rsid w:val="00F9393E"/>
    <w:rsid w:val="00F93969"/>
    <w:rsid w:val="00F945CE"/>
    <w:rsid w:val="00F94AE7"/>
    <w:rsid w:val="00F956C3"/>
    <w:rsid w:val="00F95B21"/>
    <w:rsid w:val="00F960CD"/>
    <w:rsid w:val="00F96EF6"/>
    <w:rsid w:val="00F96FD0"/>
    <w:rsid w:val="00F97170"/>
    <w:rsid w:val="00F97A78"/>
    <w:rsid w:val="00F97C73"/>
    <w:rsid w:val="00F97E7D"/>
    <w:rsid w:val="00FA0B20"/>
    <w:rsid w:val="00FA0B3E"/>
    <w:rsid w:val="00FA1EF4"/>
    <w:rsid w:val="00FA24E7"/>
    <w:rsid w:val="00FA29BF"/>
    <w:rsid w:val="00FA3602"/>
    <w:rsid w:val="00FA3D5F"/>
    <w:rsid w:val="00FA3DEC"/>
    <w:rsid w:val="00FA5EE6"/>
    <w:rsid w:val="00FA6319"/>
    <w:rsid w:val="00FA6AA9"/>
    <w:rsid w:val="00FA76E3"/>
    <w:rsid w:val="00FA7956"/>
    <w:rsid w:val="00FB016A"/>
    <w:rsid w:val="00FB04F3"/>
    <w:rsid w:val="00FB0824"/>
    <w:rsid w:val="00FB0A05"/>
    <w:rsid w:val="00FB0B0A"/>
    <w:rsid w:val="00FB105D"/>
    <w:rsid w:val="00FB1E19"/>
    <w:rsid w:val="00FB1F58"/>
    <w:rsid w:val="00FB2FCB"/>
    <w:rsid w:val="00FB31A5"/>
    <w:rsid w:val="00FB366B"/>
    <w:rsid w:val="00FB3F06"/>
    <w:rsid w:val="00FB3FD3"/>
    <w:rsid w:val="00FB43C3"/>
    <w:rsid w:val="00FB4C9C"/>
    <w:rsid w:val="00FB5424"/>
    <w:rsid w:val="00FB58B6"/>
    <w:rsid w:val="00FB5C78"/>
    <w:rsid w:val="00FB6EFD"/>
    <w:rsid w:val="00FB7C55"/>
    <w:rsid w:val="00FC011A"/>
    <w:rsid w:val="00FC03AD"/>
    <w:rsid w:val="00FC0BA1"/>
    <w:rsid w:val="00FC1074"/>
    <w:rsid w:val="00FC1884"/>
    <w:rsid w:val="00FC2230"/>
    <w:rsid w:val="00FC2890"/>
    <w:rsid w:val="00FC358C"/>
    <w:rsid w:val="00FC371D"/>
    <w:rsid w:val="00FC3767"/>
    <w:rsid w:val="00FC3ED9"/>
    <w:rsid w:val="00FC489A"/>
    <w:rsid w:val="00FC4AAA"/>
    <w:rsid w:val="00FC4BF7"/>
    <w:rsid w:val="00FC4D0D"/>
    <w:rsid w:val="00FC4F78"/>
    <w:rsid w:val="00FC502D"/>
    <w:rsid w:val="00FC5F0B"/>
    <w:rsid w:val="00FC62B3"/>
    <w:rsid w:val="00FC63D6"/>
    <w:rsid w:val="00FC74B5"/>
    <w:rsid w:val="00FD2023"/>
    <w:rsid w:val="00FD2084"/>
    <w:rsid w:val="00FD2100"/>
    <w:rsid w:val="00FD2C29"/>
    <w:rsid w:val="00FD3CC7"/>
    <w:rsid w:val="00FD436C"/>
    <w:rsid w:val="00FD446D"/>
    <w:rsid w:val="00FD4538"/>
    <w:rsid w:val="00FD4AEC"/>
    <w:rsid w:val="00FD4F2C"/>
    <w:rsid w:val="00FD62DB"/>
    <w:rsid w:val="00FD6394"/>
    <w:rsid w:val="00FD6580"/>
    <w:rsid w:val="00FD688C"/>
    <w:rsid w:val="00FD6BFD"/>
    <w:rsid w:val="00FD6FD9"/>
    <w:rsid w:val="00FD73F4"/>
    <w:rsid w:val="00FD7659"/>
    <w:rsid w:val="00FD7846"/>
    <w:rsid w:val="00FE0039"/>
    <w:rsid w:val="00FE075C"/>
    <w:rsid w:val="00FE0E6C"/>
    <w:rsid w:val="00FE1CDC"/>
    <w:rsid w:val="00FE24C4"/>
    <w:rsid w:val="00FE49FC"/>
    <w:rsid w:val="00FE5397"/>
    <w:rsid w:val="00FE58EA"/>
    <w:rsid w:val="00FE5C76"/>
    <w:rsid w:val="00FE5CE8"/>
    <w:rsid w:val="00FE5D7F"/>
    <w:rsid w:val="00FE6EDF"/>
    <w:rsid w:val="00FE70C3"/>
    <w:rsid w:val="00FE7AA0"/>
    <w:rsid w:val="00FE7DE7"/>
    <w:rsid w:val="00FF0058"/>
    <w:rsid w:val="00FF1216"/>
    <w:rsid w:val="00FF1A8B"/>
    <w:rsid w:val="00FF2820"/>
    <w:rsid w:val="00FF2AD9"/>
    <w:rsid w:val="00FF3031"/>
    <w:rsid w:val="00FF359F"/>
    <w:rsid w:val="00FF35AF"/>
    <w:rsid w:val="00FF3DCF"/>
    <w:rsid w:val="00FF48CB"/>
    <w:rsid w:val="00FF492C"/>
    <w:rsid w:val="00FF4A21"/>
    <w:rsid w:val="00FF4E98"/>
    <w:rsid w:val="00FF50D0"/>
    <w:rsid w:val="00FF520D"/>
    <w:rsid w:val="00FF53B7"/>
    <w:rsid w:val="00FF5842"/>
    <w:rsid w:val="00FF5AA3"/>
    <w:rsid w:val="00FF5AD8"/>
    <w:rsid w:val="00FF5CB3"/>
    <w:rsid w:val="00FF69E8"/>
    <w:rsid w:val="00FF7517"/>
    <w:rsid w:val="0879CBDA"/>
    <w:rsid w:val="14B6D7A4"/>
    <w:rsid w:val="14FFF44B"/>
    <w:rsid w:val="17A806D8"/>
    <w:rsid w:val="17BF5AB3"/>
    <w:rsid w:val="1D3F8545"/>
    <w:rsid w:val="2C3752EB"/>
    <w:rsid w:val="363A256D"/>
    <w:rsid w:val="3AAB62A3"/>
    <w:rsid w:val="4231E611"/>
    <w:rsid w:val="474E26EE"/>
    <w:rsid w:val="4BF08834"/>
    <w:rsid w:val="50656952"/>
    <w:rsid w:val="534F34DC"/>
    <w:rsid w:val="55F1263F"/>
    <w:rsid w:val="590B01AD"/>
    <w:rsid w:val="61B5D2C3"/>
    <w:rsid w:val="66E4CFAC"/>
    <w:rsid w:val="672CD142"/>
    <w:rsid w:val="6A63BC66"/>
    <w:rsid w:val="6E7AF544"/>
    <w:rsid w:val="71BF2F53"/>
    <w:rsid w:val="73618760"/>
    <w:rsid w:val="73D40780"/>
    <w:rsid w:val="77E7C53E"/>
    <w:rsid w:val="7B2B8BC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Caption (Agency),Caption Char Char Char Char,Caption Char Char Char,Caption Char Char Char Char Char,Caption Char Char Char Char1 Char Char,Caption Char Char Char Char Char Char,Caption Char1,Caption Char Char,c"/>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Caption (Agency) Char,Caption Char Char Char Char Char1,Caption Char Char Char Char1,Caption Char Char Char Char Char Char1,Caption Char Char Char Char1 Char Char Char,Caption Char Char Char Char Char Char Char"/>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link w:val="ListParagraphChar"/>
    <w:uiPriority w:val="34"/>
    <w:qFormat/>
    <w:rsid w:val="004C3B02"/>
    <w:pPr>
      <w:numPr>
        <w:numId w:val="11"/>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077D48"/>
    <w:pPr>
      <w:jc w:val="center"/>
    </w:pPr>
    <w:rPr>
      <w:rFonts w:ascii="Arial Narrow" w:eastAsiaTheme="majorEastAsia" w:hAnsi="Arial Narrow"/>
      <w:b/>
      <w:bCs/>
      <w:szCs w:val="24"/>
    </w:rPr>
  </w:style>
  <w:style w:type="paragraph" w:customStyle="1" w:styleId="2-SectionHeading">
    <w:name w:val="2-Section Heading"/>
    <w:next w:val="3-BodyText"/>
    <w:qFormat/>
    <w:rsid w:val="004C3B02"/>
    <w:pPr>
      <w:keepNext/>
      <w:numPr>
        <w:numId w:val="1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12"/>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0"/>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5A0EA7"/>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5A0EA7"/>
    <w:rPr>
      <w:rFonts w:ascii="Arial Narrow" w:hAnsi="Arial Narrow" w:cs="Arial"/>
      <w:snapToGrid w:val="0"/>
      <w:sz w:val="18"/>
      <w:szCs w:val="22"/>
    </w:rPr>
  </w:style>
  <w:style w:type="paragraph" w:customStyle="1" w:styleId="EndNoteBibliographyTitle">
    <w:name w:val="EndNote Bibliography Title"/>
    <w:basedOn w:val="Normal"/>
    <w:link w:val="EndNoteBibliographyTitleChar"/>
    <w:rsid w:val="00317FE0"/>
    <w:pPr>
      <w:jc w:val="center"/>
    </w:pPr>
    <w:rPr>
      <w:rFonts w:cs="Calibri"/>
      <w:noProof/>
    </w:rPr>
  </w:style>
  <w:style w:type="character" w:customStyle="1" w:styleId="ListBulletChar">
    <w:name w:val="List Bullet Char"/>
    <w:basedOn w:val="DefaultParagraphFont"/>
    <w:link w:val="ListBullet"/>
    <w:rsid w:val="00317FE0"/>
    <w:rPr>
      <w:rFonts w:ascii="Calibri" w:hAnsi="Calibri" w:cs="Arial"/>
      <w:sz w:val="24"/>
      <w:szCs w:val="24"/>
    </w:rPr>
  </w:style>
  <w:style w:type="character" w:customStyle="1" w:styleId="EndNoteBibliographyTitleChar">
    <w:name w:val="EndNote Bibliography Title Char"/>
    <w:basedOn w:val="ListBulletChar"/>
    <w:link w:val="EndNoteBibliographyTitle"/>
    <w:rsid w:val="00317FE0"/>
    <w:rPr>
      <w:rFonts w:ascii="Calibri" w:hAnsi="Calibri" w:cs="Calibri"/>
      <w:noProof/>
      <w:sz w:val="24"/>
      <w:szCs w:val="24"/>
    </w:rPr>
  </w:style>
  <w:style w:type="paragraph" w:customStyle="1" w:styleId="EndNoteBibliography">
    <w:name w:val="EndNote Bibliography"/>
    <w:basedOn w:val="Normal"/>
    <w:link w:val="EndNoteBibliographyChar"/>
    <w:rsid w:val="00317FE0"/>
    <w:rPr>
      <w:rFonts w:cs="Calibri"/>
      <w:noProof/>
    </w:rPr>
  </w:style>
  <w:style w:type="character" w:customStyle="1" w:styleId="EndNoteBibliographyChar">
    <w:name w:val="EndNote Bibliography Char"/>
    <w:basedOn w:val="ListBulletChar"/>
    <w:link w:val="EndNoteBibliography"/>
    <w:rsid w:val="00317FE0"/>
    <w:rPr>
      <w:rFonts w:ascii="Calibri" w:hAnsi="Calibri" w:cs="Calibri"/>
      <w:noProof/>
      <w:sz w:val="24"/>
      <w:szCs w:val="24"/>
    </w:rPr>
  </w:style>
  <w:style w:type="character" w:styleId="UnresolvedMention">
    <w:name w:val="Unresolved Mention"/>
    <w:basedOn w:val="DefaultParagraphFont"/>
    <w:uiPriority w:val="99"/>
    <w:semiHidden/>
    <w:unhideWhenUsed/>
    <w:rsid w:val="006671F5"/>
    <w:rPr>
      <w:color w:val="605E5C"/>
      <w:shd w:val="clear" w:color="auto" w:fill="E1DFDD"/>
    </w:rPr>
  </w:style>
  <w:style w:type="table" w:styleId="TableGridLight">
    <w:name w:val="Grid Table Light"/>
    <w:basedOn w:val="TableNormal"/>
    <w:uiPriority w:val="40"/>
    <w:rsid w:val="00BD04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rsid w:val="00C3177B"/>
    <w:rPr>
      <w:sz w:val="20"/>
      <w:szCs w:val="20"/>
    </w:rPr>
  </w:style>
  <w:style w:type="character" w:customStyle="1" w:styleId="FootnoteTextChar">
    <w:name w:val="Footnote Text Char"/>
    <w:basedOn w:val="DefaultParagraphFont"/>
    <w:link w:val="FootnoteText"/>
    <w:semiHidden/>
    <w:rsid w:val="00C3177B"/>
    <w:rPr>
      <w:rFonts w:ascii="Calibri" w:hAnsi="Calibri" w:cs="Arial"/>
    </w:rPr>
  </w:style>
  <w:style w:type="character" w:styleId="FootnoteReference">
    <w:name w:val="footnote reference"/>
    <w:basedOn w:val="DefaultParagraphFont"/>
    <w:unhideWhenUsed/>
    <w:rsid w:val="00C3177B"/>
    <w:rPr>
      <w:vertAlign w:val="superscript"/>
    </w:rPr>
  </w:style>
  <w:style w:type="paragraph" w:customStyle="1" w:styleId="Company">
    <w:name w:val="Company"/>
    <w:basedOn w:val="BodyText"/>
    <w:uiPriority w:val="8"/>
    <w:qFormat/>
    <w:rsid w:val="0034145B"/>
    <w:pPr>
      <w:keepLines/>
      <w:spacing w:after="120" w:line="288" w:lineRule="auto"/>
      <w:jc w:val="center"/>
    </w:pPr>
    <w:rPr>
      <w:rFonts w:ascii="Montserrat" w:eastAsia="Calibri" w:hAnsi="Montserrat" w:cs="Calibri"/>
      <w:b/>
      <w:bCs/>
      <w:sz w:val="18"/>
      <w:szCs w:val="20"/>
      <w:lang w:eastAsia="en-US"/>
    </w:rPr>
  </w:style>
  <w:style w:type="character" w:styleId="Strong">
    <w:name w:val="Strong"/>
    <w:uiPriority w:val="22"/>
    <w:qFormat/>
    <w:rsid w:val="0034145B"/>
    <w:rPr>
      <w:b/>
    </w:rPr>
  </w:style>
  <w:style w:type="paragraph" w:customStyle="1" w:styleId="PBACTabletext">
    <w:name w:val="PBAC Table text"/>
    <w:qFormat/>
    <w:rsid w:val="0034145B"/>
    <w:pPr>
      <w:keepLines/>
      <w:suppressLineNumbers/>
      <w:spacing w:after="80"/>
      <w:textboxTightWrap w:val="allLines"/>
    </w:pPr>
    <w:rPr>
      <w:rFonts w:ascii="Arial Narrow" w:hAnsi="Arial Narrow" w:cs="Arial"/>
      <w:szCs w:val="24"/>
      <w:lang w:eastAsia="en-GB"/>
    </w:rPr>
  </w:style>
  <w:style w:type="paragraph" w:customStyle="1" w:styleId="Tabletext8pt">
    <w:name w:val="Table text 8pt"/>
    <w:basedOn w:val="Tabletext"/>
    <w:qFormat/>
    <w:rsid w:val="0034145B"/>
    <w:pPr>
      <w:keepLines/>
      <w:spacing w:before="40" w:after="40" w:line="259" w:lineRule="auto"/>
    </w:pPr>
    <w:rPr>
      <w:rFonts w:ascii="Montserrat" w:eastAsia="Calibri" w:hAnsi="Montserrat" w:cs="Calibri"/>
      <w:snapToGrid/>
      <w:sz w:val="16"/>
      <w:szCs w:val="16"/>
      <w:lang w:eastAsia="en-US"/>
    </w:rPr>
  </w:style>
  <w:style w:type="character" w:styleId="Emphasis">
    <w:name w:val="Emphasis"/>
    <w:uiPriority w:val="20"/>
    <w:qFormat/>
    <w:rsid w:val="0034145B"/>
    <w:rPr>
      <w:i/>
      <w:iCs/>
    </w:rPr>
  </w:style>
  <w:style w:type="paragraph" w:customStyle="1" w:styleId="Tablebullet">
    <w:name w:val="Table bullet"/>
    <w:uiPriority w:val="4"/>
    <w:rsid w:val="0034145B"/>
    <w:pPr>
      <w:numPr>
        <w:numId w:val="19"/>
      </w:numPr>
      <w:spacing w:before="20" w:after="20"/>
      <w:ind w:left="340"/>
    </w:pPr>
    <w:rPr>
      <w:rFonts w:ascii="Montserrat" w:hAnsi="Montserrat" w:cs="Calibri"/>
      <w:bCs/>
      <w:color w:val="000000"/>
      <w:sz w:val="16"/>
      <w:szCs w:val="26"/>
      <w:lang w:eastAsia="en-US"/>
    </w:rPr>
  </w:style>
  <w:style w:type="paragraph" w:customStyle="1" w:styleId="Tabletextindent">
    <w:name w:val="Table text indent"/>
    <w:basedOn w:val="Normal"/>
    <w:uiPriority w:val="4"/>
    <w:qFormat/>
    <w:rsid w:val="0034145B"/>
    <w:pPr>
      <w:keepNext/>
      <w:keepLines/>
      <w:spacing w:before="20" w:after="20"/>
      <w:ind w:left="284"/>
      <w:jc w:val="left"/>
    </w:pPr>
    <w:rPr>
      <w:rFonts w:ascii="Montserrat" w:eastAsia="Calibri" w:hAnsi="Montserrat" w:cs="Calibri"/>
      <w:sz w:val="16"/>
      <w:szCs w:val="16"/>
      <w:lang w:eastAsia="en-US"/>
      <w14:ligatures w14:val="standardContextual"/>
    </w:rPr>
  </w:style>
  <w:style w:type="paragraph" w:customStyle="1" w:styleId="TableH28ptCentered">
    <w:name w:val="Table H2 8pt + Centered"/>
    <w:basedOn w:val="Normal"/>
    <w:qFormat/>
    <w:rsid w:val="0034145B"/>
    <w:pPr>
      <w:keepNext/>
      <w:keepLines/>
      <w:spacing w:before="20" w:after="20"/>
      <w:contextualSpacing/>
      <w:jc w:val="center"/>
    </w:pPr>
    <w:rPr>
      <w:rFonts w:ascii="Montserrat" w:eastAsia="Calibri" w:hAnsi="Montserrat" w:cs="Calibri"/>
      <w:b/>
      <w:sz w:val="16"/>
      <w:szCs w:val="20"/>
      <w:lang w:eastAsia="en-US"/>
      <w14:ligatures w14:val="standardContextual"/>
    </w:rPr>
  </w:style>
  <w:style w:type="paragraph" w:customStyle="1" w:styleId="TableH28pt">
    <w:name w:val="Table H2 8pt"/>
    <w:basedOn w:val="TableH28ptCentered"/>
    <w:qFormat/>
    <w:rsid w:val="0034145B"/>
    <w:pPr>
      <w:jc w:val="left"/>
    </w:pPr>
  </w:style>
  <w:style w:type="paragraph" w:customStyle="1" w:styleId="Tabletext8ptCentered">
    <w:name w:val="Table text 8pt + Centered"/>
    <w:basedOn w:val="Tabletext8pt"/>
    <w:qFormat/>
    <w:rsid w:val="0034145B"/>
  </w:style>
  <w:style w:type="paragraph" w:customStyle="1" w:styleId="Tabletext9pt">
    <w:name w:val="Table text 9pt"/>
    <w:basedOn w:val="Tabletext"/>
    <w:qFormat/>
    <w:rsid w:val="0034145B"/>
    <w:pPr>
      <w:keepNext/>
      <w:keepLines/>
      <w:spacing w:before="20" w:after="20"/>
    </w:pPr>
    <w:rPr>
      <w:rFonts w:ascii="Montserrat" w:eastAsia="Calibri" w:hAnsi="Montserrat" w:cs="Calibri"/>
      <w:snapToGrid/>
      <w:sz w:val="18"/>
      <w:szCs w:val="16"/>
      <w:lang w:eastAsia="en-US"/>
    </w:rPr>
  </w:style>
  <w:style w:type="paragraph" w:customStyle="1" w:styleId="TableFigNotes18">
    <w:name w:val="TableFigNotes+18"/>
    <w:basedOn w:val="ListParagraph"/>
    <w:next w:val="BodyText"/>
    <w:link w:val="TableFigNotes18Char"/>
    <w:uiPriority w:val="4"/>
    <w:qFormat/>
    <w:rsid w:val="0034145B"/>
    <w:pPr>
      <w:numPr>
        <w:numId w:val="0"/>
      </w:numPr>
      <w:spacing w:before="60" w:after="360" w:line="276" w:lineRule="auto"/>
      <w:contextualSpacing/>
    </w:pPr>
    <w:rPr>
      <w:rFonts w:ascii="Montserrat" w:eastAsia="Calibri" w:hAnsi="Montserrat" w:cs="Calibri"/>
      <w:snapToGrid/>
      <w:sz w:val="14"/>
      <w:szCs w:val="20"/>
      <w:lang w:eastAsia="en-US"/>
    </w:rPr>
  </w:style>
  <w:style w:type="character" w:customStyle="1" w:styleId="TableFigNotes18Char">
    <w:name w:val="TableFigNotes+18 Char"/>
    <w:basedOn w:val="DefaultParagraphFont"/>
    <w:link w:val="TableFigNotes18"/>
    <w:uiPriority w:val="4"/>
    <w:locked/>
    <w:rsid w:val="0034145B"/>
    <w:rPr>
      <w:rFonts w:ascii="Montserrat" w:eastAsia="Calibri" w:hAnsi="Montserrat" w:cs="Calibri"/>
      <w:sz w:val="14"/>
      <w:lang w:eastAsia="en-US"/>
    </w:rPr>
  </w:style>
  <w:style w:type="character" w:customStyle="1" w:styleId="cf01">
    <w:name w:val="cf01"/>
    <w:basedOn w:val="DefaultParagraphFont"/>
    <w:rsid w:val="003E177F"/>
    <w:rPr>
      <w:rFonts w:ascii="Segoe UI" w:hAnsi="Segoe UI" w:cs="Segoe UI" w:hint="default"/>
      <w:sz w:val="18"/>
      <w:szCs w:val="18"/>
    </w:rPr>
  </w:style>
  <w:style w:type="paragraph" w:customStyle="1" w:styleId="pf0">
    <w:name w:val="pf0"/>
    <w:basedOn w:val="Normal"/>
    <w:rsid w:val="004F7F51"/>
    <w:pPr>
      <w:spacing w:before="100" w:beforeAutospacing="1" w:after="100" w:afterAutospacing="1"/>
      <w:jc w:val="left"/>
    </w:pPr>
    <w:rPr>
      <w:rFonts w:ascii="Times New Roman" w:hAnsi="Times New Roman" w:cs="Times New Roman"/>
    </w:rPr>
  </w:style>
  <w:style w:type="paragraph" w:styleId="EndnoteText">
    <w:name w:val="endnote text"/>
    <w:basedOn w:val="Normal"/>
    <w:link w:val="EndnoteTextChar"/>
    <w:semiHidden/>
    <w:unhideWhenUsed/>
    <w:rsid w:val="008D461D"/>
    <w:rPr>
      <w:sz w:val="20"/>
      <w:szCs w:val="20"/>
    </w:rPr>
  </w:style>
  <w:style w:type="character" w:customStyle="1" w:styleId="EndnoteTextChar">
    <w:name w:val="Endnote Text Char"/>
    <w:basedOn w:val="DefaultParagraphFont"/>
    <w:link w:val="EndnoteText"/>
    <w:semiHidden/>
    <w:rsid w:val="008D461D"/>
    <w:rPr>
      <w:rFonts w:ascii="Calibri" w:hAnsi="Calibri" w:cs="Arial"/>
    </w:rPr>
  </w:style>
  <w:style w:type="character" w:styleId="EndnoteReference">
    <w:name w:val="endnote reference"/>
    <w:basedOn w:val="DefaultParagraphFont"/>
    <w:semiHidden/>
    <w:unhideWhenUsed/>
    <w:rsid w:val="008D461D"/>
    <w:rPr>
      <w:vertAlign w:val="superscript"/>
    </w:rPr>
  </w:style>
  <w:style w:type="character" w:customStyle="1" w:styleId="Heading1Char">
    <w:name w:val="Heading 1 Char"/>
    <w:basedOn w:val="DefaultParagraphFont"/>
    <w:link w:val="Heading1"/>
    <w:uiPriority w:val="1"/>
    <w:rsid w:val="00A57DB3"/>
    <w:rPr>
      <w:rFonts w:ascii="Calibri" w:hAnsi="Calibri" w:cs="Arial"/>
      <w:b/>
      <w:caps/>
      <w:sz w:val="32"/>
      <w:szCs w:val="24"/>
    </w:rPr>
  </w:style>
  <w:style w:type="character" w:customStyle="1" w:styleId="Heading3Char">
    <w:name w:val="Heading 3 Char"/>
    <w:basedOn w:val="DefaultParagraphFont"/>
    <w:link w:val="Heading3"/>
    <w:rsid w:val="00A57DB3"/>
    <w:rPr>
      <w:rFonts w:ascii="Calibri" w:hAnsi="Calibri" w:cs="Arial"/>
      <w:sz w:val="24"/>
      <w:szCs w:val="24"/>
      <w:u w:val="single"/>
    </w:rPr>
  </w:style>
  <w:style w:type="character" w:customStyle="1" w:styleId="Heading4Char">
    <w:name w:val="Heading 4 Char"/>
    <w:basedOn w:val="DefaultParagraphFont"/>
    <w:link w:val="Heading4"/>
    <w:rsid w:val="00A57DB3"/>
    <w:rPr>
      <w:rFonts w:ascii="Calibri" w:hAnsi="Calibri" w:cs="Arial"/>
      <w:b/>
      <w:bCs/>
      <w:i/>
      <w:sz w:val="26"/>
      <w:szCs w:val="28"/>
    </w:rPr>
  </w:style>
  <w:style w:type="character" w:customStyle="1" w:styleId="Heading5Char">
    <w:name w:val="Heading 5 Char"/>
    <w:basedOn w:val="DefaultParagraphFont"/>
    <w:link w:val="Heading5"/>
    <w:rsid w:val="00A57DB3"/>
    <w:rPr>
      <w:rFonts w:ascii="Calibri" w:hAnsi="Calibri" w:cs="Arial"/>
      <w:b/>
      <w:bCs/>
      <w:iCs/>
      <w:sz w:val="26"/>
      <w:szCs w:val="26"/>
    </w:rPr>
  </w:style>
  <w:style w:type="character" w:customStyle="1" w:styleId="Heading6Char">
    <w:name w:val="Heading 6 Char"/>
    <w:basedOn w:val="DefaultParagraphFont"/>
    <w:link w:val="Heading6"/>
    <w:rsid w:val="00A57DB3"/>
    <w:rPr>
      <w:rFonts w:ascii="Calibri" w:hAnsi="Calibri" w:cs="Arial"/>
      <w:b/>
      <w:bCs/>
      <w:i/>
      <w:sz w:val="24"/>
      <w:szCs w:val="24"/>
    </w:rPr>
  </w:style>
  <w:style w:type="character" w:customStyle="1" w:styleId="cf11">
    <w:name w:val="cf11"/>
    <w:basedOn w:val="DefaultParagraphFont"/>
    <w:rsid w:val="005B3F6C"/>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1A52B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A52B9"/>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9593">
      <w:bodyDiv w:val="1"/>
      <w:marLeft w:val="0"/>
      <w:marRight w:val="0"/>
      <w:marTop w:val="0"/>
      <w:marBottom w:val="0"/>
      <w:divBdr>
        <w:top w:val="none" w:sz="0" w:space="0" w:color="auto"/>
        <w:left w:val="none" w:sz="0" w:space="0" w:color="auto"/>
        <w:bottom w:val="none" w:sz="0" w:space="0" w:color="auto"/>
        <w:right w:val="none" w:sz="0" w:space="0" w:color="auto"/>
      </w:divBdr>
    </w:div>
    <w:div w:id="7466781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4395735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1994527">
      <w:bodyDiv w:val="1"/>
      <w:marLeft w:val="0"/>
      <w:marRight w:val="0"/>
      <w:marTop w:val="0"/>
      <w:marBottom w:val="0"/>
      <w:divBdr>
        <w:top w:val="none" w:sz="0" w:space="0" w:color="auto"/>
        <w:left w:val="none" w:sz="0" w:space="0" w:color="auto"/>
        <w:bottom w:val="none" w:sz="0" w:space="0" w:color="auto"/>
        <w:right w:val="none" w:sz="0" w:space="0" w:color="auto"/>
      </w:divBdr>
    </w:div>
    <w:div w:id="457265024">
      <w:bodyDiv w:val="1"/>
      <w:marLeft w:val="0"/>
      <w:marRight w:val="0"/>
      <w:marTop w:val="0"/>
      <w:marBottom w:val="0"/>
      <w:divBdr>
        <w:top w:val="none" w:sz="0" w:space="0" w:color="auto"/>
        <w:left w:val="none" w:sz="0" w:space="0" w:color="auto"/>
        <w:bottom w:val="none" w:sz="0" w:space="0" w:color="auto"/>
        <w:right w:val="none" w:sz="0" w:space="0" w:color="auto"/>
      </w:divBdr>
    </w:div>
    <w:div w:id="543714748">
      <w:bodyDiv w:val="1"/>
      <w:marLeft w:val="0"/>
      <w:marRight w:val="0"/>
      <w:marTop w:val="0"/>
      <w:marBottom w:val="0"/>
      <w:divBdr>
        <w:top w:val="none" w:sz="0" w:space="0" w:color="auto"/>
        <w:left w:val="none" w:sz="0" w:space="0" w:color="auto"/>
        <w:bottom w:val="none" w:sz="0" w:space="0" w:color="auto"/>
        <w:right w:val="none" w:sz="0" w:space="0" w:color="auto"/>
      </w:divBdr>
    </w:div>
    <w:div w:id="697315352">
      <w:bodyDiv w:val="1"/>
      <w:marLeft w:val="0"/>
      <w:marRight w:val="0"/>
      <w:marTop w:val="0"/>
      <w:marBottom w:val="0"/>
      <w:divBdr>
        <w:top w:val="none" w:sz="0" w:space="0" w:color="auto"/>
        <w:left w:val="none" w:sz="0" w:space="0" w:color="auto"/>
        <w:bottom w:val="none" w:sz="0" w:space="0" w:color="auto"/>
        <w:right w:val="none" w:sz="0" w:space="0" w:color="auto"/>
      </w:divBdr>
    </w:div>
    <w:div w:id="730739196">
      <w:bodyDiv w:val="1"/>
      <w:marLeft w:val="0"/>
      <w:marRight w:val="0"/>
      <w:marTop w:val="0"/>
      <w:marBottom w:val="0"/>
      <w:divBdr>
        <w:top w:val="none" w:sz="0" w:space="0" w:color="auto"/>
        <w:left w:val="none" w:sz="0" w:space="0" w:color="auto"/>
        <w:bottom w:val="none" w:sz="0" w:space="0" w:color="auto"/>
        <w:right w:val="none" w:sz="0" w:space="0" w:color="auto"/>
      </w:divBdr>
    </w:div>
    <w:div w:id="76240960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81133064">
      <w:bodyDiv w:val="1"/>
      <w:marLeft w:val="0"/>
      <w:marRight w:val="0"/>
      <w:marTop w:val="0"/>
      <w:marBottom w:val="0"/>
      <w:divBdr>
        <w:top w:val="none" w:sz="0" w:space="0" w:color="auto"/>
        <w:left w:val="none" w:sz="0" w:space="0" w:color="auto"/>
        <w:bottom w:val="none" w:sz="0" w:space="0" w:color="auto"/>
        <w:right w:val="none" w:sz="0" w:space="0" w:color="auto"/>
      </w:divBdr>
    </w:div>
    <w:div w:id="927156533">
      <w:bodyDiv w:val="1"/>
      <w:marLeft w:val="0"/>
      <w:marRight w:val="0"/>
      <w:marTop w:val="0"/>
      <w:marBottom w:val="0"/>
      <w:divBdr>
        <w:top w:val="none" w:sz="0" w:space="0" w:color="auto"/>
        <w:left w:val="none" w:sz="0" w:space="0" w:color="auto"/>
        <w:bottom w:val="none" w:sz="0" w:space="0" w:color="auto"/>
        <w:right w:val="none" w:sz="0" w:space="0" w:color="auto"/>
      </w:divBdr>
      <w:divsChild>
        <w:div w:id="25065158">
          <w:marLeft w:val="547"/>
          <w:marRight w:val="0"/>
          <w:marTop w:val="200"/>
          <w:marBottom w:val="120"/>
          <w:divBdr>
            <w:top w:val="none" w:sz="0" w:space="0" w:color="auto"/>
            <w:left w:val="none" w:sz="0" w:space="0" w:color="auto"/>
            <w:bottom w:val="none" w:sz="0" w:space="0" w:color="auto"/>
            <w:right w:val="none" w:sz="0" w:space="0" w:color="auto"/>
          </w:divBdr>
        </w:div>
      </w:divsChild>
    </w:div>
    <w:div w:id="944308377">
      <w:bodyDiv w:val="1"/>
      <w:marLeft w:val="0"/>
      <w:marRight w:val="0"/>
      <w:marTop w:val="0"/>
      <w:marBottom w:val="0"/>
      <w:divBdr>
        <w:top w:val="none" w:sz="0" w:space="0" w:color="auto"/>
        <w:left w:val="none" w:sz="0" w:space="0" w:color="auto"/>
        <w:bottom w:val="none" w:sz="0" w:space="0" w:color="auto"/>
        <w:right w:val="none" w:sz="0" w:space="0" w:color="auto"/>
      </w:divBdr>
    </w:div>
    <w:div w:id="1013800121">
      <w:bodyDiv w:val="1"/>
      <w:marLeft w:val="0"/>
      <w:marRight w:val="0"/>
      <w:marTop w:val="0"/>
      <w:marBottom w:val="0"/>
      <w:divBdr>
        <w:top w:val="none" w:sz="0" w:space="0" w:color="auto"/>
        <w:left w:val="none" w:sz="0" w:space="0" w:color="auto"/>
        <w:bottom w:val="none" w:sz="0" w:space="0" w:color="auto"/>
        <w:right w:val="none" w:sz="0" w:space="0" w:color="auto"/>
      </w:divBdr>
    </w:div>
    <w:div w:id="102828972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2296931">
      <w:bodyDiv w:val="1"/>
      <w:marLeft w:val="0"/>
      <w:marRight w:val="0"/>
      <w:marTop w:val="0"/>
      <w:marBottom w:val="0"/>
      <w:divBdr>
        <w:top w:val="none" w:sz="0" w:space="0" w:color="auto"/>
        <w:left w:val="none" w:sz="0" w:space="0" w:color="auto"/>
        <w:bottom w:val="none" w:sz="0" w:space="0" w:color="auto"/>
        <w:right w:val="none" w:sz="0" w:space="0" w:color="auto"/>
      </w:divBdr>
    </w:div>
    <w:div w:id="1576434287">
      <w:bodyDiv w:val="1"/>
      <w:marLeft w:val="0"/>
      <w:marRight w:val="0"/>
      <w:marTop w:val="0"/>
      <w:marBottom w:val="0"/>
      <w:divBdr>
        <w:top w:val="none" w:sz="0" w:space="0" w:color="auto"/>
        <w:left w:val="none" w:sz="0" w:space="0" w:color="auto"/>
        <w:bottom w:val="none" w:sz="0" w:space="0" w:color="auto"/>
        <w:right w:val="none" w:sz="0" w:space="0" w:color="auto"/>
      </w:divBdr>
    </w:div>
    <w:div w:id="161909526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95239679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3925577">
      <w:bodyDiv w:val="1"/>
      <w:marLeft w:val="0"/>
      <w:marRight w:val="0"/>
      <w:marTop w:val="0"/>
      <w:marBottom w:val="0"/>
      <w:divBdr>
        <w:top w:val="none" w:sz="0" w:space="0" w:color="auto"/>
        <w:left w:val="none" w:sz="0" w:space="0" w:color="auto"/>
        <w:bottom w:val="none" w:sz="0" w:space="0" w:color="auto"/>
        <w:right w:val="none" w:sz="0" w:space="0" w:color="auto"/>
      </w:divBdr>
    </w:div>
    <w:div w:id="205719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books/NBK482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f95629-adac-4ec1-8738-e1cec852b92b" xsi:nil="true"/>
    <lcf76f155ced4ddcb4097134ff3c332f xmlns="7f856f8d-13b3-495a-9a4b-41f8182eda4c">
      <Terms xmlns="http://schemas.microsoft.com/office/infopath/2007/PartnerControls"/>
    </lcf76f155ced4ddcb4097134ff3c332f>
    <Datecreated xmlns="7f856f8d-13b3-495a-9a4b-41f8182ed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D7373-6EC2-4EFE-B227-B41021A39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ADE1E-0FF3-4E93-8247-470F4EE6E8F9}">
  <ds:schemaRefs>
    <ds:schemaRef ds:uri="http://schemas.microsoft.com/office/2006/metadata/properties"/>
    <ds:schemaRef ds:uri="http://schemas.microsoft.com/office/infopath/2007/PartnerControls"/>
    <ds:schemaRef ds:uri="72f95629-adac-4ec1-8738-e1cec852b92b"/>
    <ds:schemaRef ds:uri="7f856f8d-13b3-495a-9a4b-41f8182eda4c"/>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E3085113-83E8-418E-ACE3-26B225D21085}">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16845</Words>
  <Characters>96023</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112643</CharactersWithSpaces>
  <SharedDoc>false</SharedDoc>
  <HLinks>
    <vt:vector size="6" baseType="variant">
      <vt:variant>
        <vt:i4>1507416</vt:i4>
      </vt:variant>
      <vt:variant>
        <vt:i4>0</vt:i4>
      </vt:variant>
      <vt:variant>
        <vt:i4>0</vt:i4>
      </vt:variant>
      <vt:variant>
        <vt:i4>5</vt:i4>
      </vt:variant>
      <vt:variant>
        <vt:lpwstr>https://www.ncbi.nlm.nih.gov/books/NBK482301/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2026-01-30T05:42:00Z</dcterms:created>
  <dcterms:modified xsi:type="dcterms:W3CDTF">2026-03-02T06:05:00Z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75c64ffe,5ca40232,5b0da3d6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728e666,6e4ca514,37486bb9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2025-11-27T04:46:12Z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8fe7b6c6-5a8c-47a8-9024-df81e49f22b7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