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AD4F6B" w:rsidR="0032705F" w:rsidP="004A6040" w:rsidRDefault="00AC6D2E" w14:paraId="45AD1E3E" w14:textId="15A361BF">
      <w:pPr>
        <w:pStyle w:val="1-MainHeading"/>
      </w:pPr>
      <w:bookmarkStart w:name="_Toc209002899" w:id="0"/>
      <w:r w:rsidR="00AC6D2E">
        <w:rPr/>
        <w:t>6.05</w:t>
      </w:r>
      <w:r>
        <w:tab/>
      </w:r>
      <w:r w:rsidR="0032705F">
        <w:rPr/>
        <w:t>ONASEMNOGENE ABEPARVOVEC,</w:t>
      </w:r>
      <w:r>
        <w:br/>
      </w:r>
      <w:r w:rsidR="0032705F">
        <w:rPr/>
        <w:t>Solution for injection,</w:t>
      </w:r>
      <w:r>
        <w:br/>
      </w:r>
      <w:r w:rsidR="0032705F">
        <w:rPr/>
        <w:t>customised based on patient weight,</w:t>
      </w:r>
      <w:r>
        <w:br/>
      </w:r>
      <w:r w:rsidR="0032705F">
        <w:rPr/>
        <w:t>Zolgensma®,</w:t>
      </w:r>
      <w:r>
        <w:br/>
      </w:r>
      <w:r w:rsidR="0032705F">
        <w:rPr/>
        <w:t>Novartis Pharmaceuticals Australia Pty Ltd.</w:t>
      </w:r>
      <w:bookmarkEnd w:id="0"/>
    </w:p>
    <w:p w:rsidRPr="00AD4F6B" w:rsidR="0032705F" w:rsidP="0032705F" w:rsidRDefault="0032705F" w14:paraId="36B97E64" w14:textId="77777777">
      <w:pPr>
        <w:pStyle w:val="2-SectionHeading"/>
        <w:numPr>
          <w:ilvl w:val="0"/>
          <w:numId w:val="1"/>
        </w:numPr>
      </w:pPr>
      <w:bookmarkStart w:name="_Toc209002901" w:id="1"/>
      <w:r w:rsidRPr="00AD4F6B">
        <w:t>Purpose of submission</w:t>
      </w:r>
      <w:bookmarkEnd w:id="1"/>
    </w:p>
    <w:p w:rsidRPr="00AD4F6B" w:rsidR="0032705F" w:rsidP="00DD16F3" w:rsidRDefault="0032705F" w14:paraId="05329846" w14:textId="654DD7C0">
      <w:pPr>
        <w:pStyle w:val="3-BodyText"/>
        <w:numPr>
          <w:ilvl w:val="1"/>
          <w:numId w:val="1"/>
        </w:numPr>
      </w:pPr>
      <w:r w:rsidRPr="00AD4F6B">
        <w:t>The Category 2 submission requested to expand the current Section 100 (Highly Specialised Drugs Program), Authority Required (Written) PBS listing for onasemnogene abeparvovec (ONA) for the treatment of spinal muscular atrophy (SMA) to include paediatric patients weighing up to 21 kg.</w:t>
      </w:r>
    </w:p>
    <w:p w:rsidRPr="00AD4F6B" w:rsidR="0032705F" w:rsidP="0032705F" w:rsidRDefault="0032705F" w14:paraId="01087606" w14:textId="2B1D4A41">
      <w:pPr>
        <w:pStyle w:val="3-BodyText"/>
        <w:numPr>
          <w:ilvl w:val="1"/>
          <w:numId w:val="1"/>
        </w:numPr>
      </w:pPr>
      <w:r w:rsidRPr="00AD4F6B">
        <w:t>Listing was requested on the basis of a cost-</w:t>
      </w:r>
      <w:r w:rsidRPr="00AD4F6B" w:rsidR="00D23F94">
        <w:t>comparison</w:t>
      </w:r>
      <w:r w:rsidRPr="00AD4F6B">
        <w:t xml:space="preserve"> approach versus ONA, when used in paediatric patients less than 9 months of age with (i) Type I SMA or with pre-symptomatic SMA with 1-2 copies of the </w:t>
      </w:r>
      <w:r w:rsidRPr="00AD4F6B">
        <w:rPr>
          <w:i/>
          <w:iCs/>
        </w:rPr>
        <w:t>SMN2</w:t>
      </w:r>
      <w:r w:rsidRPr="00AD4F6B">
        <w:t xml:space="preserve"> gene, or (ii) pre-symptomatic SMA with three copies of the </w:t>
      </w:r>
      <w:r w:rsidRPr="00AD4F6B">
        <w:rPr>
          <w:i/>
          <w:iCs/>
        </w:rPr>
        <w:t>SMN</w:t>
      </w:r>
      <w:r w:rsidRPr="00AD4F6B">
        <w:t>2 gene</w:t>
      </w:r>
      <w:r w:rsidRPr="00AD4F6B" w:rsidR="004F445C">
        <w:t xml:space="preserve"> (i.e. the current PBS listing for ONA)</w:t>
      </w:r>
      <w:r w:rsidRPr="00AD4F6B">
        <w:t xml:space="preserve">. </w:t>
      </w:r>
      <w:r w:rsidRPr="00AD4F6B" w:rsidR="003D0913">
        <w:rPr>
          <w:highlight w:val="yellow"/>
        </w:rPr>
        <w:fldChar w:fldCharType="begin"/>
      </w:r>
      <w:r w:rsidRPr="00AD4F6B" w:rsidR="003D0913">
        <w:instrText xml:space="preserve"> REF _Ref207883109 \h </w:instrText>
      </w:r>
      <w:r w:rsidRPr="00AD4F6B" w:rsidR="003D0913">
        <w:rPr>
          <w:highlight w:val="yellow"/>
        </w:rPr>
      </w:r>
      <w:r w:rsidRPr="00AD4F6B" w:rsidR="003D0913">
        <w:rPr>
          <w:highlight w:val="yellow"/>
        </w:rPr>
        <w:fldChar w:fldCharType="separate"/>
      </w:r>
      <w:r w:rsidRPr="00AD4F6B" w:rsidR="00F0459B">
        <w:t xml:space="preserve">Table </w:t>
      </w:r>
      <w:r w:rsidR="00F0459B">
        <w:rPr>
          <w:noProof/>
        </w:rPr>
        <w:t>1</w:t>
      </w:r>
      <w:r w:rsidRPr="00AD4F6B" w:rsidR="003D0913">
        <w:rPr>
          <w:highlight w:val="yellow"/>
        </w:rPr>
        <w:fldChar w:fldCharType="end"/>
      </w:r>
      <w:r w:rsidRPr="00AD4F6B">
        <w:t xml:space="preserve"> provides a summary of the key components of the submission.</w:t>
      </w:r>
    </w:p>
    <w:p w:rsidRPr="00AD4F6B" w:rsidR="0032705F" w:rsidP="004A6040" w:rsidRDefault="0032705F" w14:paraId="3CA46752" w14:textId="75CA0AB1">
      <w:pPr>
        <w:pStyle w:val="TableFigureHeading"/>
        <w:rPr>
          <w:rStyle w:val="CommentReference"/>
          <w:b/>
          <w:szCs w:val="24"/>
        </w:rPr>
      </w:pPr>
      <w:bookmarkStart w:name="_Ref207883109" w:id="2"/>
      <w:r w:rsidRPr="00AD4F6B">
        <w:t xml:space="preserve">Table </w:t>
      </w:r>
      <w:r w:rsidRPr="00AD4F6B" w:rsidR="004A4B0A">
        <w:fldChar w:fldCharType="begin"/>
      </w:r>
      <w:r w:rsidRPr="00AD4F6B" w:rsidR="004A4B0A">
        <w:instrText xml:space="preserve"> SEQ Table \* ARABIC </w:instrText>
      </w:r>
      <w:r w:rsidRPr="00AD4F6B" w:rsidR="004A4B0A">
        <w:fldChar w:fldCharType="separate"/>
      </w:r>
      <w:r w:rsidR="00F0459B">
        <w:rPr>
          <w:noProof/>
        </w:rPr>
        <w:t>1</w:t>
      </w:r>
      <w:r w:rsidRPr="00AD4F6B" w:rsidR="004A4B0A">
        <w:rPr>
          <w:noProof/>
        </w:rPr>
        <w:fldChar w:fldCharType="end"/>
      </w:r>
      <w:bookmarkEnd w:id="2"/>
      <w:r w:rsidRPr="00AD4F6B">
        <w:t>:</w:t>
      </w:r>
      <w:r w:rsidRPr="00AD4F6B">
        <w:rPr>
          <w:rStyle w:val="CommentReference"/>
          <w:b/>
          <w:szCs w:val="24"/>
        </w:rPr>
        <w:t xml:space="preserve"> Key components of the clinical issue addressed by the submission (as stated in the submission)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1: Key components of the clinical issue addressed by the submission (as stated in the submission"/>
      </w:tblPr>
      <w:tblGrid>
        <w:gridCol w:w="1252"/>
        <w:gridCol w:w="7765"/>
      </w:tblGrid>
      <w:tr w:rsidRPr="00AD4F6B" w:rsidR="00AD4F6B" w:rsidTr="00604C70" w14:paraId="351251E4" w14:textId="77777777">
        <w:tc>
          <w:tcPr>
            <w:tcW w:w="694" w:type="pct"/>
            <w:vAlign w:val="center"/>
          </w:tcPr>
          <w:p w:rsidRPr="00AD4F6B" w:rsidR="0032705F" w:rsidRDefault="0032705F" w14:paraId="0A1C95E7" w14:textId="77777777">
            <w:pPr>
              <w:pStyle w:val="In-tableHeading"/>
              <w:rPr>
                <w:lang w:val="en-AU"/>
              </w:rPr>
            </w:pPr>
            <w:r w:rsidRPr="00AD4F6B">
              <w:rPr>
                <w:lang w:val="en-AU"/>
              </w:rPr>
              <w:t>Component</w:t>
            </w:r>
          </w:p>
        </w:tc>
        <w:tc>
          <w:tcPr>
            <w:tcW w:w="4306" w:type="pct"/>
            <w:vAlign w:val="center"/>
          </w:tcPr>
          <w:p w:rsidRPr="00AD4F6B" w:rsidR="0032705F" w:rsidRDefault="0032705F" w14:paraId="05AF6715" w14:textId="77777777">
            <w:pPr>
              <w:pStyle w:val="In-tableHeading"/>
              <w:rPr>
                <w:lang w:val="en-AU"/>
              </w:rPr>
            </w:pPr>
            <w:r w:rsidRPr="00AD4F6B">
              <w:rPr>
                <w:lang w:val="en-AU"/>
              </w:rPr>
              <w:t>Description</w:t>
            </w:r>
          </w:p>
        </w:tc>
      </w:tr>
      <w:tr w:rsidRPr="00AD4F6B" w:rsidR="00AD4F6B" w:rsidTr="00604C70" w14:paraId="69D84D6F" w14:textId="77777777">
        <w:tc>
          <w:tcPr>
            <w:tcW w:w="694" w:type="pct"/>
            <w:vAlign w:val="center"/>
          </w:tcPr>
          <w:p w:rsidRPr="00AD4F6B" w:rsidR="0032705F" w:rsidRDefault="0032705F" w14:paraId="1ADC79B0" w14:textId="77777777">
            <w:pPr>
              <w:pStyle w:val="TableText0"/>
            </w:pPr>
            <w:r w:rsidRPr="00AD4F6B">
              <w:t>Population</w:t>
            </w:r>
          </w:p>
        </w:tc>
        <w:tc>
          <w:tcPr>
            <w:tcW w:w="4306" w:type="pct"/>
            <w:vAlign w:val="center"/>
          </w:tcPr>
          <w:p w:rsidRPr="00AD4F6B" w:rsidR="0032705F" w:rsidRDefault="0032705F" w14:paraId="173510F5" w14:textId="77777777">
            <w:pPr>
              <w:pStyle w:val="TableText0"/>
            </w:pPr>
            <w:r w:rsidRPr="00AD4F6B">
              <w:t>Paediatric patients weighing up to 21kg with (i) Type I SMA or pre-symptomatic SMA with 1-2 copies of the survival motor neuron 2 (</w:t>
            </w:r>
            <w:r w:rsidRPr="00AD4F6B">
              <w:rPr>
                <w:i/>
                <w:iCs/>
              </w:rPr>
              <w:t>SMN2</w:t>
            </w:r>
            <w:r w:rsidRPr="00AD4F6B">
              <w:t xml:space="preserve">) gene and (ii) Pre-symptomatic SMA with 3 copies of the </w:t>
            </w:r>
            <w:r w:rsidRPr="00AD4F6B">
              <w:rPr>
                <w:i/>
                <w:iCs/>
              </w:rPr>
              <w:t>SMN2</w:t>
            </w:r>
            <w:r w:rsidRPr="00AD4F6B">
              <w:t xml:space="preserve"> gene.</w:t>
            </w:r>
          </w:p>
        </w:tc>
      </w:tr>
      <w:tr w:rsidRPr="00AD4F6B" w:rsidR="00AD4F6B" w:rsidTr="00604C70" w14:paraId="0EE2BB4E" w14:textId="77777777">
        <w:tc>
          <w:tcPr>
            <w:tcW w:w="694" w:type="pct"/>
            <w:vAlign w:val="center"/>
          </w:tcPr>
          <w:p w:rsidRPr="00AD4F6B" w:rsidR="0032705F" w:rsidRDefault="0032705F" w14:paraId="2A1F91A3" w14:textId="77777777">
            <w:pPr>
              <w:pStyle w:val="TableText0"/>
            </w:pPr>
            <w:r w:rsidRPr="00AD4F6B">
              <w:t>Intervention</w:t>
            </w:r>
          </w:p>
        </w:tc>
        <w:tc>
          <w:tcPr>
            <w:tcW w:w="4306" w:type="pct"/>
            <w:vAlign w:val="center"/>
          </w:tcPr>
          <w:p w:rsidRPr="00AD4F6B" w:rsidR="0032705F" w:rsidRDefault="0032705F" w14:paraId="1822ECCA" w14:textId="77777777">
            <w:pPr>
              <w:pStyle w:val="TableText0"/>
            </w:pPr>
            <w:r w:rsidRPr="00AD4F6B">
              <w:t>Onasemnogene abeparvovec (ONA), administered as a single intravenous infusion through a venous catheter delivered over 60 minutes. Recommended dose is 1.1 x 10</w:t>
            </w:r>
            <w:r w:rsidRPr="00AD4F6B">
              <w:rPr>
                <w:vertAlign w:val="superscript"/>
              </w:rPr>
              <w:t>14</w:t>
            </w:r>
            <w:r w:rsidRPr="00AD4F6B">
              <w:t xml:space="preserve"> vector genomes per kilogram (vg/kg) of body weight, to be individually made up by the sponsor for each patient.</w:t>
            </w:r>
          </w:p>
        </w:tc>
      </w:tr>
      <w:tr w:rsidRPr="00AD4F6B" w:rsidR="00AD4F6B" w:rsidTr="00604C70" w14:paraId="3ADD9556" w14:textId="77777777">
        <w:tc>
          <w:tcPr>
            <w:tcW w:w="694" w:type="pct"/>
            <w:vAlign w:val="center"/>
          </w:tcPr>
          <w:p w:rsidRPr="00AD4F6B" w:rsidR="0032705F" w:rsidRDefault="0032705F" w14:paraId="2B386279" w14:textId="77777777">
            <w:pPr>
              <w:pStyle w:val="TableText0"/>
            </w:pPr>
            <w:r w:rsidRPr="00AD4F6B">
              <w:t>Comparator</w:t>
            </w:r>
          </w:p>
        </w:tc>
        <w:tc>
          <w:tcPr>
            <w:tcW w:w="4306" w:type="pct"/>
            <w:vAlign w:val="center"/>
          </w:tcPr>
          <w:p w:rsidRPr="00AD4F6B" w:rsidR="0032705F" w:rsidRDefault="0032705F" w14:paraId="2D268C35" w14:textId="77777777">
            <w:pPr>
              <w:pStyle w:val="TableText0"/>
            </w:pPr>
            <w:r w:rsidRPr="00AD4F6B">
              <w:t xml:space="preserve">Paediatric patients less than 9 months of age with (i) Type I SMA or pre-symptomatic SMA with 1-2 copies of the </w:t>
            </w:r>
            <w:r w:rsidRPr="00AD4F6B">
              <w:rPr>
                <w:i/>
                <w:iCs/>
              </w:rPr>
              <w:t xml:space="preserve">SMN2 </w:t>
            </w:r>
            <w:r w:rsidRPr="00AD4F6B">
              <w:t xml:space="preserve">gene and (ii) Pre-symptomatic SMA with 3 copies of the </w:t>
            </w:r>
            <w:r w:rsidRPr="00AD4F6B">
              <w:rPr>
                <w:i/>
                <w:iCs/>
              </w:rPr>
              <w:t xml:space="preserve">SMN2 </w:t>
            </w:r>
            <w:r w:rsidRPr="00AD4F6B">
              <w:t>gene currently treated with ONA (administered as above).</w:t>
            </w:r>
          </w:p>
        </w:tc>
      </w:tr>
      <w:tr w:rsidRPr="00AD4F6B" w:rsidR="00AD4F6B" w:rsidTr="00604C70" w14:paraId="722DFF03" w14:textId="77777777">
        <w:tc>
          <w:tcPr>
            <w:tcW w:w="694" w:type="pct"/>
            <w:vAlign w:val="center"/>
          </w:tcPr>
          <w:p w:rsidRPr="00AD4F6B" w:rsidR="0032705F" w:rsidRDefault="0032705F" w14:paraId="61B6D40A" w14:textId="77777777">
            <w:pPr>
              <w:pStyle w:val="TableText0"/>
            </w:pPr>
            <w:r w:rsidRPr="00AD4F6B">
              <w:t>Outcomes</w:t>
            </w:r>
          </w:p>
        </w:tc>
        <w:tc>
          <w:tcPr>
            <w:tcW w:w="4306" w:type="pct"/>
            <w:vAlign w:val="center"/>
          </w:tcPr>
          <w:p w:rsidRPr="00AD4F6B" w:rsidR="0032705F" w:rsidRDefault="0032705F" w14:paraId="3DF16EA2" w14:textId="77777777">
            <w:pPr>
              <w:pStyle w:val="TableText0"/>
            </w:pPr>
            <w:r w:rsidRPr="00AD4F6B">
              <w:t>Motor milestone development and safety.</w:t>
            </w:r>
          </w:p>
        </w:tc>
      </w:tr>
      <w:tr w:rsidRPr="00AD4F6B" w:rsidR="00AD4F6B" w:rsidTr="00604C70" w14:paraId="0083B4BB" w14:textId="77777777">
        <w:tc>
          <w:tcPr>
            <w:tcW w:w="694" w:type="pct"/>
            <w:vAlign w:val="center"/>
          </w:tcPr>
          <w:p w:rsidRPr="00AD4F6B" w:rsidR="0032705F" w:rsidRDefault="0032705F" w14:paraId="699CFED6" w14:textId="77777777">
            <w:pPr>
              <w:pStyle w:val="TableText0"/>
            </w:pPr>
            <w:r w:rsidRPr="00AD4F6B">
              <w:t>Clinical claim</w:t>
            </w:r>
          </w:p>
        </w:tc>
        <w:tc>
          <w:tcPr>
            <w:tcW w:w="4306" w:type="pct"/>
            <w:vAlign w:val="center"/>
          </w:tcPr>
          <w:p w:rsidRPr="00AD4F6B" w:rsidR="0032705F" w:rsidRDefault="0032705F" w14:paraId="46E9558C" w14:textId="77777777">
            <w:pPr>
              <w:pStyle w:val="TableText0"/>
            </w:pPr>
            <w:r w:rsidRPr="00AD4F6B">
              <w:t xml:space="preserve">Treatment of paediatric patients weighing up to 21kg  with (i) Type I SMA or pre-symptomatic SMA with 1-2 copies of the </w:t>
            </w:r>
            <w:r w:rsidRPr="00AD4F6B">
              <w:rPr>
                <w:i/>
                <w:iCs/>
              </w:rPr>
              <w:t>SMN2</w:t>
            </w:r>
            <w:r w:rsidRPr="00AD4F6B">
              <w:t xml:space="preserve"> gene and (ii) Pre-symptomatic SMA with 3 copies of the </w:t>
            </w:r>
            <w:r w:rsidRPr="00AD4F6B">
              <w:rPr>
                <w:i/>
                <w:iCs/>
              </w:rPr>
              <w:t xml:space="preserve">SMN2 </w:t>
            </w:r>
            <w:r w:rsidRPr="00AD4F6B">
              <w:t xml:space="preserve">gene is non–inferior to treatment of paediatric patients less than 9 months of age with (i) Type I SMA or pre-symptomatic SMA with 1-2 copies of the </w:t>
            </w:r>
            <w:r w:rsidRPr="00AD4F6B">
              <w:rPr>
                <w:i/>
                <w:iCs/>
              </w:rPr>
              <w:t>SMN2</w:t>
            </w:r>
            <w:r w:rsidRPr="00AD4F6B">
              <w:t xml:space="preserve"> gene and (ii) Pre-symptomatic SMA with 3 copies of the </w:t>
            </w:r>
            <w:r w:rsidRPr="00AD4F6B">
              <w:rPr>
                <w:i/>
                <w:iCs/>
              </w:rPr>
              <w:t xml:space="preserve">SMN2 </w:t>
            </w:r>
            <w:r w:rsidRPr="00AD4F6B">
              <w:t>gene with respect to development milestones and safety.</w:t>
            </w:r>
          </w:p>
        </w:tc>
      </w:tr>
    </w:tbl>
    <w:p w:rsidRPr="00AD4F6B" w:rsidR="0032705F" w:rsidRDefault="0032705F" w14:paraId="57B90761" w14:textId="77777777">
      <w:pPr>
        <w:pStyle w:val="FooterTableFigure"/>
        <w:spacing w:after="0"/>
      </w:pPr>
      <w:r w:rsidRPr="00AD4F6B">
        <w:t>Source: Table 1.1, p3 of the submission.</w:t>
      </w:r>
    </w:p>
    <w:p w:rsidRPr="00AD4F6B" w:rsidR="00FD1F5D" w:rsidRDefault="00FD1F5D" w14:paraId="25817C23" w14:textId="4E2EE614">
      <w:pPr>
        <w:pStyle w:val="FooterTableFigure"/>
        <w:spacing w:after="0"/>
      </w:pPr>
      <w:r w:rsidRPr="00AD4F6B">
        <w:t>SMA= spinal muscular atrophy</w:t>
      </w:r>
    </w:p>
    <w:p w:rsidRPr="00AD4F6B" w:rsidR="0032705F" w:rsidP="0032705F" w:rsidRDefault="0032705F" w14:paraId="705CFCD6" w14:textId="55E8093F">
      <w:pPr>
        <w:pStyle w:val="3-BodyText"/>
        <w:numPr>
          <w:ilvl w:val="1"/>
          <w:numId w:val="1"/>
        </w:numPr>
      </w:pPr>
      <w:r w:rsidRPr="00AD4F6B">
        <w:t xml:space="preserve">The submission proposed to remove the 9-month age limit and replace it with a weight </w:t>
      </w:r>
      <w:r w:rsidRPr="00AD4F6B">
        <w:rPr>
          <w:rFonts w:cstheme="minorHAnsi"/>
          <w:szCs w:val="24"/>
        </w:rPr>
        <w:t xml:space="preserve">limit of up to 21kg, and described </w:t>
      </w:r>
      <w:r w:rsidRPr="00AD4F6B" w:rsidR="00257E78">
        <w:rPr>
          <w:rFonts w:cstheme="minorHAnsi"/>
          <w:szCs w:val="24"/>
        </w:rPr>
        <w:t xml:space="preserve">the </w:t>
      </w:r>
      <w:r w:rsidRPr="00AD4F6B">
        <w:rPr>
          <w:rFonts w:cstheme="minorHAnsi"/>
          <w:szCs w:val="24"/>
        </w:rPr>
        <w:t xml:space="preserve">circumstances in which patients ineligible for ONA under the current listing may benefit from the proposed expanded listing (see </w:t>
      </w:r>
      <w:r w:rsidRPr="00AD4F6B" w:rsidR="004F731D">
        <w:rPr>
          <w:rFonts w:cstheme="minorHAnsi"/>
          <w:b/>
          <w:bCs/>
          <w:szCs w:val="24"/>
        </w:rPr>
        <w:fldChar w:fldCharType="begin"/>
      </w:r>
      <w:r w:rsidRPr="00AD4F6B" w:rsidR="004F731D">
        <w:rPr>
          <w:rFonts w:cstheme="minorHAnsi"/>
          <w:b/>
          <w:bCs/>
          <w:szCs w:val="24"/>
        </w:rPr>
        <w:instrText xml:space="preserve"> REF _Ref207890321 \h </w:instrText>
      </w:r>
      <w:r w:rsidRPr="00AD4F6B" w:rsidR="002C74A8">
        <w:rPr>
          <w:rFonts w:cstheme="minorHAnsi"/>
          <w:b/>
          <w:bCs/>
          <w:szCs w:val="24"/>
        </w:rPr>
        <w:instrText xml:space="preserve"> \* MERGEFORMAT </w:instrText>
      </w:r>
      <w:r w:rsidRPr="00AD4F6B" w:rsidR="004F731D">
        <w:rPr>
          <w:rFonts w:cstheme="minorHAnsi"/>
          <w:b/>
          <w:bCs/>
          <w:szCs w:val="24"/>
        </w:rPr>
      </w:r>
      <w:r w:rsidRPr="00AD4F6B" w:rsidR="004F731D">
        <w:rPr>
          <w:rFonts w:cstheme="minorHAnsi"/>
          <w:b/>
          <w:bCs/>
          <w:szCs w:val="24"/>
        </w:rPr>
        <w:fldChar w:fldCharType="separate"/>
      </w:r>
      <w:r w:rsidRPr="00F0459B" w:rsidR="00F0459B">
        <w:rPr>
          <w:rStyle w:val="CommentReference"/>
          <w:rFonts w:asciiTheme="minorHAnsi" w:hAnsiTheme="minorHAnsi" w:cstheme="minorHAnsi"/>
          <w:b w:val="0"/>
          <w:bCs/>
          <w:sz w:val="24"/>
          <w:szCs w:val="24"/>
        </w:rPr>
        <w:t xml:space="preserve">Table </w:t>
      </w:r>
      <w:r w:rsidRPr="00F0459B" w:rsidR="00F0459B">
        <w:rPr>
          <w:rStyle w:val="CommentReference"/>
          <w:rFonts w:asciiTheme="minorHAnsi" w:hAnsiTheme="minorHAnsi" w:cstheme="minorHAnsi"/>
          <w:b w:val="0"/>
          <w:bCs/>
          <w:noProof/>
          <w:sz w:val="24"/>
          <w:szCs w:val="24"/>
        </w:rPr>
        <w:t>2</w:t>
      </w:r>
      <w:r w:rsidRPr="00AD4F6B" w:rsidR="004F731D">
        <w:rPr>
          <w:rFonts w:cstheme="minorHAnsi"/>
          <w:b/>
          <w:bCs/>
          <w:szCs w:val="24"/>
        </w:rPr>
        <w:fldChar w:fldCharType="end"/>
      </w:r>
      <w:r w:rsidRPr="00AD4F6B">
        <w:rPr>
          <w:rFonts w:cstheme="minorHAnsi"/>
          <w:szCs w:val="24"/>
        </w:rPr>
        <w:t>)</w:t>
      </w:r>
      <w:r w:rsidRPr="00AD4F6B" w:rsidR="002C74A8">
        <w:rPr>
          <w:rFonts w:cstheme="minorHAnsi"/>
          <w:szCs w:val="24"/>
        </w:rPr>
        <w:t xml:space="preserve">. </w:t>
      </w:r>
    </w:p>
    <w:p w:rsidRPr="00AD4F6B" w:rsidR="0032705F" w:rsidP="00CD1F3B" w:rsidRDefault="0032705F" w14:paraId="3A5C98ED" w14:textId="3FBFD79F">
      <w:pPr>
        <w:pStyle w:val="Caption"/>
      </w:pPr>
      <w:bookmarkStart w:name="_Ref207890321" w:id="3"/>
      <w:r w:rsidRPr="00AD4F6B">
        <w:rPr>
          <w:rStyle w:val="CommentReference"/>
          <w:b/>
          <w:szCs w:val="24"/>
        </w:rPr>
        <w:t xml:space="preserve">Table </w:t>
      </w:r>
      <w:r w:rsidRPr="00AD4F6B" w:rsidR="004F731D">
        <w:rPr>
          <w:rStyle w:val="CommentReference"/>
          <w:b/>
          <w:szCs w:val="24"/>
        </w:rPr>
        <w:fldChar w:fldCharType="begin"/>
      </w:r>
      <w:r w:rsidRPr="00AD4F6B" w:rsidR="004F731D">
        <w:rPr>
          <w:rStyle w:val="CommentReference"/>
          <w:b/>
          <w:szCs w:val="24"/>
        </w:rPr>
        <w:instrText xml:space="preserve"> SEQ Table \* ARABIC </w:instrText>
      </w:r>
      <w:r w:rsidRPr="00AD4F6B" w:rsidR="004F731D">
        <w:rPr>
          <w:rStyle w:val="CommentReference"/>
          <w:b/>
          <w:szCs w:val="24"/>
        </w:rPr>
        <w:fldChar w:fldCharType="separate"/>
      </w:r>
      <w:r w:rsidR="00F0459B">
        <w:rPr>
          <w:rStyle w:val="CommentReference"/>
          <w:b/>
          <w:noProof/>
          <w:szCs w:val="24"/>
        </w:rPr>
        <w:t>2</w:t>
      </w:r>
      <w:r w:rsidRPr="00AD4F6B" w:rsidR="004F731D">
        <w:rPr>
          <w:rStyle w:val="CommentReference"/>
          <w:b/>
          <w:szCs w:val="24"/>
        </w:rPr>
        <w:fldChar w:fldCharType="end"/>
      </w:r>
      <w:bookmarkEnd w:id="3"/>
      <w:r w:rsidRPr="00AD4F6B">
        <w:rPr>
          <w:rStyle w:val="CommentReference"/>
          <w:b/>
          <w:szCs w:val="24"/>
        </w:rPr>
        <w:t>: Proposed circumstance</w:t>
      </w:r>
      <w:r w:rsidRPr="00AD4F6B" w:rsidR="003D0913">
        <w:rPr>
          <w:rStyle w:val="CommentReference"/>
          <w:b/>
          <w:szCs w:val="24"/>
        </w:rPr>
        <w:t>s</w:t>
      </w:r>
      <w:r w:rsidRPr="00AD4F6B">
        <w:rPr>
          <w:rStyle w:val="CommentReference"/>
          <w:b/>
          <w:szCs w:val="24"/>
        </w:rPr>
        <w:t xml:space="preserve"> for patients who could benefit from the proposed restriction change</w:t>
      </w:r>
    </w:p>
    <w:tbl>
      <w:tblPr>
        <w:tblStyle w:val="TableGrid"/>
        <w:tblW w:w="5000" w:type="pct"/>
        <w:tblLook w:val="04A0" w:firstRow="1" w:lastRow="0" w:firstColumn="1" w:lastColumn="0" w:noHBand="0" w:noVBand="1"/>
        <w:tblCaption w:val="Table 2: Proposed circumstances for patients who could benefit from the proposed restriction change"/>
      </w:tblPr>
      <w:tblGrid>
        <w:gridCol w:w="1414"/>
        <w:gridCol w:w="7603"/>
      </w:tblGrid>
      <w:tr w:rsidRPr="00AD4F6B" w:rsidR="00AD4F6B" w:rsidTr="00604C70" w14:paraId="7EDE63BD" w14:textId="77777777">
        <w:tc>
          <w:tcPr>
            <w:tcW w:w="784" w:type="pct"/>
          </w:tcPr>
          <w:p w:rsidRPr="00AD4F6B" w:rsidR="0032705F" w:rsidP="00CD1F3B" w:rsidRDefault="0032705F" w14:paraId="0D638741" w14:textId="77777777">
            <w:pPr>
              <w:keepNext/>
              <w:keepLines/>
              <w:rPr>
                <w:rFonts w:ascii="Arial Narrow" w:hAnsi="Arial Narrow"/>
                <w:b/>
                <w:bCs/>
                <w:sz w:val="20"/>
                <w:szCs w:val="20"/>
              </w:rPr>
            </w:pPr>
            <w:r w:rsidRPr="00AD4F6B">
              <w:rPr>
                <w:rFonts w:ascii="Arial Narrow" w:hAnsi="Arial Narrow"/>
                <w:b/>
                <w:bCs/>
                <w:sz w:val="20"/>
                <w:szCs w:val="20"/>
              </w:rPr>
              <w:t>Category name</w:t>
            </w:r>
          </w:p>
        </w:tc>
        <w:tc>
          <w:tcPr>
            <w:tcW w:w="4216" w:type="pct"/>
          </w:tcPr>
          <w:p w:rsidRPr="00AD4F6B" w:rsidR="0032705F" w:rsidP="00CD1F3B" w:rsidRDefault="0032705F" w14:paraId="3E488335" w14:textId="77777777">
            <w:pPr>
              <w:keepNext/>
              <w:keepLines/>
              <w:rPr>
                <w:rFonts w:ascii="Arial Narrow" w:hAnsi="Arial Narrow"/>
                <w:b/>
                <w:bCs/>
                <w:sz w:val="20"/>
                <w:szCs w:val="20"/>
              </w:rPr>
            </w:pPr>
            <w:r w:rsidRPr="00AD4F6B">
              <w:rPr>
                <w:rFonts w:ascii="Arial Narrow" w:hAnsi="Arial Narrow"/>
                <w:b/>
                <w:bCs/>
                <w:sz w:val="20"/>
                <w:szCs w:val="20"/>
              </w:rPr>
              <w:t>Description of population</w:t>
            </w:r>
          </w:p>
        </w:tc>
      </w:tr>
      <w:tr w:rsidRPr="00AD4F6B" w:rsidR="00AD4F6B" w:rsidTr="00604C70" w14:paraId="4F7ECA87" w14:textId="77777777">
        <w:tc>
          <w:tcPr>
            <w:tcW w:w="784" w:type="pct"/>
            <w:vAlign w:val="center"/>
          </w:tcPr>
          <w:p w:rsidRPr="00AD4F6B" w:rsidR="0032705F" w:rsidP="00CD1F3B" w:rsidRDefault="0032705F" w14:paraId="34A5418C" w14:textId="77777777">
            <w:pPr>
              <w:keepNext/>
              <w:keepLines/>
              <w:jc w:val="left"/>
              <w:rPr>
                <w:rFonts w:ascii="Arial Narrow" w:hAnsi="Arial Narrow"/>
                <w:sz w:val="20"/>
                <w:szCs w:val="20"/>
              </w:rPr>
            </w:pPr>
            <w:r w:rsidRPr="00AD4F6B">
              <w:rPr>
                <w:rFonts w:ascii="Arial Narrow" w:hAnsi="Arial Narrow"/>
                <w:sz w:val="20"/>
                <w:szCs w:val="20"/>
              </w:rPr>
              <w:t>Patient choice</w:t>
            </w:r>
          </w:p>
        </w:tc>
        <w:tc>
          <w:tcPr>
            <w:tcW w:w="4216" w:type="pct"/>
          </w:tcPr>
          <w:p w:rsidRPr="00AD4F6B" w:rsidR="0032705F" w:rsidP="00CD1F3B" w:rsidRDefault="00E40384" w14:paraId="42D06350" w14:textId="4E574135">
            <w:pPr>
              <w:keepNext/>
              <w:keepLines/>
              <w:rPr>
                <w:rFonts w:ascii="Arial Narrow" w:hAnsi="Arial Narrow"/>
                <w:sz w:val="20"/>
                <w:szCs w:val="20"/>
              </w:rPr>
            </w:pPr>
            <w:r w:rsidRPr="00AD4F6B">
              <w:rPr>
                <w:rFonts w:ascii="Arial Narrow" w:hAnsi="Arial Narrow"/>
                <w:sz w:val="20"/>
                <w:szCs w:val="20"/>
              </w:rPr>
              <w:t xml:space="preserve">When diagnosed at birth with Type I or pre-symptomatic SMA (1-3 </w:t>
            </w:r>
            <w:r w:rsidRPr="00AD4F6B">
              <w:rPr>
                <w:rFonts w:ascii="Arial Narrow" w:hAnsi="Arial Narrow"/>
                <w:i/>
                <w:iCs/>
                <w:sz w:val="20"/>
                <w:szCs w:val="20"/>
              </w:rPr>
              <w:t>SMN2</w:t>
            </w:r>
            <w:r w:rsidRPr="00AD4F6B">
              <w:rPr>
                <w:rFonts w:ascii="Arial Narrow" w:hAnsi="Arial Narrow"/>
                <w:sz w:val="20"/>
                <w:szCs w:val="20"/>
              </w:rPr>
              <w:t xml:space="preserve"> copies), the patient (</w:t>
            </w:r>
            <w:r w:rsidRPr="00AD4F6B" w:rsidR="0073289A">
              <w:rPr>
                <w:rFonts w:ascii="Arial Narrow" w:hAnsi="Arial Narrow"/>
                <w:sz w:val="20"/>
                <w:szCs w:val="20"/>
              </w:rPr>
              <w:t xml:space="preserve">or </w:t>
            </w:r>
            <w:r w:rsidRPr="00AD4F6B">
              <w:rPr>
                <w:rFonts w:ascii="Arial Narrow" w:hAnsi="Arial Narrow"/>
                <w:sz w:val="20"/>
                <w:szCs w:val="20"/>
              </w:rPr>
              <w:t>caregiver) has selected not to be treated with ONA. They are now 9 months or older and wish to be treated with ONA.</w:t>
            </w:r>
          </w:p>
        </w:tc>
      </w:tr>
      <w:tr w:rsidRPr="00AD4F6B" w:rsidR="00AD4F6B" w:rsidTr="00604C70" w14:paraId="697E9FFC" w14:textId="77777777">
        <w:tc>
          <w:tcPr>
            <w:tcW w:w="784" w:type="pct"/>
            <w:vAlign w:val="center"/>
          </w:tcPr>
          <w:p w:rsidRPr="00AD4F6B" w:rsidR="0032705F" w:rsidP="00CD1F3B" w:rsidRDefault="0032705F" w14:paraId="4E2C8E69" w14:textId="77777777">
            <w:pPr>
              <w:keepNext/>
              <w:keepLines/>
              <w:jc w:val="left"/>
              <w:rPr>
                <w:rFonts w:ascii="Arial Narrow" w:hAnsi="Arial Narrow"/>
                <w:sz w:val="20"/>
                <w:szCs w:val="20"/>
              </w:rPr>
            </w:pPr>
            <w:r w:rsidRPr="00AD4F6B">
              <w:rPr>
                <w:rFonts w:ascii="Arial Narrow" w:hAnsi="Arial Narrow"/>
                <w:sz w:val="20"/>
                <w:szCs w:val="20"/>
              </w:rPr>
              <w:t>High AAV9 at birth</w:t>
            </w:r>
          </w:p>
        </w:tc>
        <w:tc>
          <w:tcPr>
            <w:tcW w:w="4216" w:type="pct"/>
          </w:tcPr>
          <w:p w:rsidRPr="00AD4F6B" w:rsidR="0032705F" w:rsidP="00CD1F3B" w:rsidRDefault="0032705F" w14:paraId="1E60252B" w14:textId="77777777">
            <w:pPr>
              <w:keepNext/>
              <w:keepLines/>
              <w:rPr>
                <w:rFonts w:ascii="Arial Narrow" w:hAnsi="Arial Narrow"/>
                <w:sz w:val="20"/>
                <w:szCs w:val="20"/>
              </w:rPr>
            </w:pPr>
            <w:r w:rsidRPr="00AD4F6B">
              <w:rPr>
                <w:rFonts w:ascii="Arial Narrow" w:hAnsi="Arial Narrow"/>
                <w:sz w:val="20"/>
                <w:szCs w:val="20"/>
              </w:rPr>
              <w:t xml:space="preserve">High levels of anti-AAV9 antibody (&gt;1:50) is a contraindication for the use of ONA. These antibodies are highest in early infancy and may decline over time. A patient with high AAV9 which continues beyond 9 months currently cannot access ONA.  </w:t>
            </w:r>
          </w:p>
        </w:tc>
      </w:tr>
      <w:tr w:rsidRPr="00AD4F6B" w:rsidR="00AD4F6B" w:rsidTr="00604C70" w14:paraId="60DE0CDA" w14:textId="77777777">
        <w:tc>
          <w:tcPr>
            <w:tcW w:w="784" w:type="pct"/>
            <w:vAlign w:val="center"/>
          </w:tcPr>
          <w:p w:rsidRPr="00AD4F6B" w:rsidR="0032705F" w:rsidP="00CD1F3B" w:rsidRDefault="0032705F" w14:paraId="39CC7DAF" w14:textId="77777777">
            <w:pPr>
              <w:keepNext/>
              <w:keepLines/>
              <w:jc w:val="left"/>
              <w:rPr>
                <w:rFonts w:ascii="Arial Narrow" w:hAnsi="Arial Narrow"/>
                <w:sz w:val="20"/>
                <w:szCs w:val="20"/>
              </w:rPr>
            </w:pPr>
            <w:r w:rsidRPr="00AD4F6B">
              <w:rPr>
                <w:rFonts w:ascii="Arial Narrow" w:hAnsi="Arial Narrow"/>
                <w:sz w:val="20"/>
                <w:szCs w:val="20"/>
              </w:rPr>
              <w:t>Migrated to Australia after birth</w:t>
            </w:r>
          </w:p>
        </w:tc>
        <w:tc>
          <w:tcPr>
            <w:tcW w:w="4216" w:type="pct"/>
          </w:tcPr>
          <w:p w:rsidRPr="00AD4F6B" w:rsidR="0032705F" w:rsidP="00CD1F3B" w:rsidRDefault="0032183E" w14:paraId="74FE7511" w14:textId="046D7655">
            <w:pPr>
              <w:keepNext/>
              <w:keepLines/>
              <w:rPr>
                <w:rFonts w:ascii="Arial Narrow" w:hAnsi="Arial Narrow"/>
                <w:sz w:val="20"/>
                <w:szCs w:val="20"/>
              </w:rPr>
            </w:pPr>
            <w:r w:rsidRPr="00AD4F6B">
              <w:rPr>
                <w:rFonts w:ascii="Arial Narrow" w:hAnsi="Arial Narrow"/>
                <w:sz w:val="20"/>
                <w:szCs w:val="20"/>
              </w:rPr>
              <w:t xml:space="preserve">Patients originally born outside Australia and were not diagnosed with SMA at birth who were subsequently diagnosed with Type I or pre-symptomatic SMA (1-3 </w:t>
            </w:r>
            <w:r w:rsidRPr="00AD4F6B">
              <w:rPr>
                <w:rFonts w:ascii="Arial Narrow" w:hAnsi="Arial Narrow"/>
                <w:i/>
                <w:iCs/>
                <w:sz w:val="20"/>
                <w:szCs w:val="20"/>
              </w:rPr>
              <w:t>SMN2</w:t>
            </w:r>
            <w:r w:rsidRPr="00AD4F6B">
              <w:rPr>
                <w:rFonts w:ascii="Arial Narrow" w:hAnsi="Arial Narrow"/>
                <w:sz w:val="20"/>
                <w:szCs w:val="20"/>
              </w:rPr>
              <w:t xml:space="preserve"> copies</w:t>
            </w:r>
            <w:proofErr w:type="gramStart"/>
            <w:r w:rsidRPr="00AD4F6B">
              <w:rPr>
                <w:rFonts w:ascii="Arial Narrow" w:hAnsi="Arial Narrow"/>
                <w:sz w:val="20"/>
                <w:szCs w:val="20"/>
              </w:rPr>
              <w:t>), and</w:t>
            </w:r>
            <w:proofErr w:type="gramEnd"/>
            <w:r w:rsidRPr="00AD4F6B">
              <w:rPr>
                <w:rFonts w:ascii="Arial Narrow" w:hAnsi="Arial Narrow"/>
                <w:sz w:val="20"/>
                <w:szCs w:val="20"/>
              </w:rPr>
              <w:t xml:space="preserve"> are 9 months or older and wish to be treated with ONA. Without an extension to this age, these children will not have access to </w:t>
            </w:r>
            <w:r w:rsidRPr="00AD4F6B" w:rsidR="00430BA7">
              <w:rPr>
                <w:rFonts w:ascii="Arial Narrow" w:hAnsi="Arial Narrow"/>
                <w:sz w:val="20"/>
                <w:szCs w:val="20"/>
              </w:rPr>
              <w:t>ONA</w:t>
            </w:r>
            <w:r w:rsidRPr="00AD4F6B" w:rsidR="007319CA">
              <w:rPr>
                <w:rFonts w:ascii="Arial Narrow" w:hAnsi="Arial Narrow"/>
                <w:sz w:val="20"/>
                <w:szCs w:val="20"/>
              </w:rPr>
              <w:t>.</w:t>
            </w:r>
          </w:p>
        </w:tc>
      </w:tr>
      <w:tr w:rsidRPr="00AD4F6B" w:rsidR="00AD4F6B" w:rsidTr="00604C70" w14:paraId="30D41514" w14:textId="77777777">
        <w:tc>
          <w:tcPr>
            <w:tcW w:w="784" w:type="pct"/>
            <w:vAlign w:val="center"/>
          </w:tcPr>
          <w:p w:rsidRPr="00AD4F6B" w:rsidR="0032705F" w:rsidP="00CD1F3B" w:rsidRDefault="0032705F" w14:paraId="419FF4D1" w14:textId="77777777">
            <w:pPr>
              <w:keepNext/>
              <w:keepLines/>
              <w:jc w:val="left"/>
              <w:rPr>
                <w:rFonts w:ascii="Arial Narrow" w:hAnsi="Arial Narrow"/>
                <w:sz w:val="20"/>
                <w:szCs w:val="20"/>
              </w:rPr>
            </w:pPr>
            <w:r w:rsidRPr="00AD4F6B">
              <w:rPr>
                <w:rFonts w:ascii="Arial Narrow" w:hAnsi="Arial Narrow"/>
                <w:sz w:val="20"/>
                <w:szCs w:val="20"/>
              </w:rPr>
              <w:t>NBS missed patients</w:t>
            </w:r>
          </w:p>
        </w:tc>
        <w:tc>
          <w:tcPr>
            <w:tcW w:w="4216" w:type="pct"/>
          </w:tcPr>
          <w:p w:rsidRPr="00AD4F6B" w:rsidR="0032705F" w:rsidP="00CD1F3B" w:rsidRDefault="009A005B" w14:paraId="307FC5CD" w14:textId="7A076DD7">
            <w:pPr>
              <w:keepNext/>
              <w:keepLines/>
              <w:rPr>
                <w:rFonts w:ascii="Arial Narrow" w:hAnsi="Arial Narrow"/>
                <w:sz w:val="20"/>
                <w:szCs w:val="20"/>
              </w:rPr>
            </w:pPr>
            <w:r w:rsidRPr="00AD4F6B">
              <w:rPr>
                <w:rFonts w:ascii="Arial Narrow" w:hAnsi="Arial Narrow"/>
                <w:sz w:val="20"/>
                <w:szCs w:val="20"/>
              </w:rPr>
              <w:t>NBS for SMA is offered nationally to all newborns in Australia, with participation rates exceeding 99% of all live births (Woodcock 2025)</w:t>
            </w:r>
            <w:r w:rsidRPr="00AD4F6B" w:rsidR="009B13C3">
              <w:rPr>
                <w:rStyle w:val="FootnoteReference"/>
                <w:rFonts w:ascii="Arial Narrow" w:hAnsi="Arial Narrow"/>
                <w:sz w:val="20"/>
                <w:szCs w:val="20"/>
              </w:rPr>
              <w:footnoteReference w:id="1"/>
            </w:r>
            <w:r w:rsidRPr="00AD4F6B">
              <w:rPr>
                <w:rFonts w:ascii="Arial Narrow" w:hAnsi="Arial Narrow"/>
                <w:sz w:val="20"/>
                <w:szCs w:val="20"/>
              </w:rPr>
              <w:t>. For the small group of patients who were not diagnosed with SMA via NBS at birth, either because parents opt out of testing or babies are born at home, if these children are then diagnosed with SMA, after 9 months of age, they do not have access to ONA.</w:t>
            </w:r>
          </w:p>
        </w:tc>
      </w:tr>
      <w:tr w:rsidRPr="00AD4F6B" w:rsidR="00AD4F6B" w:rsidTr="00604C70" w14:paraId="216DB3B7" w14:textId="77777777">
        <w:tc>
          <w:tcPr>
            <w:tcW w:w="784" w:type="pct"/>
            <w:vAlign w:val="center"/>
          </w:tcPr>
          <w:p w:rsidRPr="00AD4F6B" w:rsidR="00FF41C1" w:rsidP="00CD1F3B" w:rsidRDefault="00FF41C1" w14:paraId="1D78F9F8" w14:textId="69B3A318">
            <w:pPr>
              <w:keepNext/>
              <w:keepLines/>
              <w:jc w:val="left"/>
              <w:rPr>
                <w:rFonts w:ascii="Arial Narrow" w:hAnsi="Arial Narrow"/>
                <w:sz w:val="20"/>
                <w:szCs w:val="20"/>
              </w:rPr>
            </w:pPr>
            <w:r w:rsidRPr="00AD4F6B">
              <w:rPr>
                <w:rFonts w:ascii="Arial Narrow" w:hAnsi="Arial Narrow"/>
                <w:sz w:val="20"/>
                <w:szCs w:val="20"/>
              </w:rPr>
              <w:t>Patients with a point mutati</w:t>
            </w:r>
            <w:r w:rsidRPr="00AD4F6B" w:rsidR="004604D4">
              <w:rPr>
                <w:rFonts w:ascii="Arial Narrow" w:hAnsi="Arial Narrow"/>
                <w:sz w:val="20"/>
                <w:szCs w:val="20"/>
              </w:rPr>
              <w:t>on</w:t>
            </w:r>
          </w:p>
        </w:tc>
        <w:tc>
          <w:tcPr>
            <w:tcW w:w="4216" w:type="pct"/>
          </w:tcPr>
          <w:p w:rsidRPr="00AD4F6B" w:rsidR="00FF41C1" w:rsidP="00CD1F3B" w:rsidRDefault="002A75EA" w14:paraId="451A6A52" w14:textId="7FAAFB45">
            <w:pPr>
              <w:keepNext/>
              <w:keepLines/>
              <w:jc w:val="left"/>
              <w:rPr>
                <w:rFonts w:ascii="Arial Narrow" w:hAnsi="Arial Narrow"/>
                <w:sz w:val="20"/>
                <w:szCs w:val="20"/>
              </w:rPr>
            </w:pPr>
            <w:r w:rsidRPr="00AD4F6B">
              <w:rPr>
                <w:rFonts w:ascii="Arial Narrow" w:hAnsi="Arial Narrow"/>
                <w:sz w:val="20"/>
                <w:szCs w:val="20"/>
              </w:rPr>
              <w:t>These are patients with a point mutation that are not detected by NBS (&lt;5% of cases; Schwartz et al. 2024). These patients would become eligible for ONA if they developed symptoms before 6 months of age and classified as SMA Type 1 but diagnosed after 9 months.</w:t>
            </w:r>
          </w:p>
        </w:tc>
      </w:tr>
    </w:tbl>
    <w:p w:rsidRPr="00AD4F6B" w:rsidR="0032705F" w:rsidP="00CD1F3B" w:rsidRDefault="0032705F" w14:paraId="53395E4E" w14:textId="04B9C6EF">
      <w:pPr>
        <w:pStyle w:val="TableFooter"/>
        <w:keepNext/>
        <w:keepLines/>
      </w:pPr>
      <w:r w:rsidRPr="00AD4F6B">
        <w:t>Source: Table 4.1, p99 of the submission</w:t>
      </w:r>
      <w:r w:rsidRPr="00AD4F6B" w:rsidR="00B44DEA">
        <w:t>; p2 of the submission</w:t>
      </w:r>
      <w:r w:rsidRPr="00AD4F6B" w:rsidR="00186A69">
        <w:t xml:space="preserve">, </w:t>
      </w:r>
      <w:r w:rsidRPr="00AD4F6B" w:rsidR="00186A69">
        <w:rPr>
          <w:i/>
          <w:iCs/>
        </w:rPr>
        <w:t xml:space="preserve">p1 </w:t>
      </w:r>
      <w:r w:rsidRPr="00293BFB" w:rsidR="00DE4E60">
        <w:t xml:space="preserve">Pre-Sub-Committee Response </w:t>
      </w:r>
      <w:r w:rsidR="00DE4E60">
        <w:t>(</w:t>
      </w:r>
      <w:r w:rsidRPr="00AD4F6B" w:rsidR="00186A69">
        <w:rPr>
          <w:i/>
          <w:iCs/>
        </w:rPr>
        <w:t>PSCR</w:t>
      </w:r>
      <w:r w:rsidR="008223DC">
        <w:rPr>
          <w:i/>
          <w:iCs/>
        </w:rPr>
        <w:t>)</w:t>
      </w:r>
      <w:r w:rsidRPr="00AD4F6B">
        <w:rPr>
          <w:i/>
          <w:iCs/>
        </w:rPr>
        <w:t>.</w:t>
      </w:r>
      <w:r w:rsidRPr="00AD4F6B">
        <w:t xml:space="preserve"> </w:t>
      </w:r>
    </w:p>
    <w:p w:rsidRPr="00AD4F6B" w:rsidR="0032705F" w:rsidP="00CD1F3B" w:rsidRDefault="0032705F" w14:paraId="5AE3BF76" w14:textId="46F2C0B8">
      <w:pPr>
        <w:pStyle w:val="TableFooter"/>
        <w:keepNext/>
        <w:keepLines/>
      </w:pPr>
      <w:r w:rsidRPr="00AD4F6B">
        <w:t>AAV9= adeno-associated virus serotype 9; kg= kilogram; NBS= newborn bloodspot screening; ONA= onasemnogene abeparvovec</w:t>
      </w:r>
      <w:r w:rsidRPr="00AD4F6B" w:rsidR="0094632C">
        <w:t>; SMA= spinal muscular atrophy</w:t>
      </w:r>
      <w:r w:rsidR="008C31C7">
        <w:t>; SMN</w:t>
      </w:r>
      <w:r w:rsidR="003D1241">
        <w:t>2</w:t>
      </w:r>
      <w:r w:rsidR="008C31C7">
        <w:t>=s</w:t>
      </w:r>
      <w:r w:rsidRPr="008C31C7" w:rsidR="008C31C7">
        <w:t>urvival motor neuron</w:t>
      </w:r>
      <w:r w:rsidR="003D1241">
        <w:t xml:space="preserve"> 2 gene</w:t>
      </w:r>
    </w:p>
    <w:p w:rsidRPr="00AD4F6B" w:rsidR="0032705F" w:rsidP="0032705F" w:rsidRDefault="0032705F" w14:paraId="6E34E5A2" w14:textId="57728275">
      <w:pPr>
        <w:pStyle w:val="3-BodyText"/>
        <w:numPr>
          <w:ilvl w:val="1"/>
          <w:numId w:val="1"/>
        </w:numPr>
      </w:pPr>
      <w:r w:rsidRPr="00AD4F6B">
        <w:t>It was unclear how many (treatment naïve) patients would initiate treatment with ONA due to the circumstances described above by the submission. Given sequential use of ONA is allowed following treatment with disease modifying treatments (DMTs)</w:t>
      </w:r>
      <w:r w:rsidRPr="00AD4F6B" w:rsidR="00FE3242">
        <w:t xml:space="preserve">, patients with SMA currently treated with nusinersen or </w:t>
      </w:r>
      <w:r w:rsidRPr="00AD4F6B" w:rsidR="00FC5711">
        <w:t>RIS</w:t>
      </w:r>
      <w:r w:rsidRPr="00AD4F6B" w:rsidR="00FE3242">
        <w:t xml:space="preserve"> would likely initially form </w:t>
      </w:r>
      <w:proofErr w:type="gramStart"/>
      <w:r w:rsidRPr="00AD4F6B" w:rsidR="00FE3242">
        <w:t>the majority of</w:t>
      </w:r>
      <w:proofErr w:type="gramEnd"/>
      <w:r w:rsidRPr="00AD4F6B" w:rsidR="00FE3242">
        <w:t xml:space="preserve"> the requested PBS population treated under the extended listing. That is, most patients under the requested extended listing (who are older than 9 months but below the 21 kg weight limit) would already be treated with a DMT before switching to ONA.</w:t>
      </w:r>
    </w:p>
    <w:p w:rsidRPr="00AD4F6B" w:rsidR="0032705F" w:rsidP="0032705F" w:rsidRDefault="0032705F" w14:paraId="7E5A7AE6" w14:textId="10F46D43">
      <w:pPr>
        <w:pStyle w:val="3-BodyText"/>
        <w:numPr>
          <w:ilvl w:val="1"/>
          <w:numId w:val="1"/>
        </w:numPr>
      </w:pPr>
      <w:r w:rsidRPr="00AD4F6B">
        <w:t>Based on weight-for-age data from the World Health Organisation (WHO)</w:t>
      </w:r>
      <w:r w:rsidRPr="00AD4F6B" w:rsidR="00E420E0">
        <w:rPr>
          <w:rStyle w:val="FootnoteReference"/>
        </w:rPr>
        <w:footnoteReference w:id="2"/>
      </w:r>
      <w:r w:rsidRPr="00AD4F6B">
        <w:t>, a weight of 21kg corresponds to the weight of an average 6-year-old child, though a weight limit of 21kg “may occasionally include patients up to 9 years of age” (TGA Clinical Evaluation Report).</w:t>
      </w:r>
    </w:p>
    <w:p w:rsidRPr="00AD4F6B" w:rsidR="0032705F" w:rsidP="0032705F" w:rsidRDefault="0032705F" w14:paraId="0C67BDA9" w14:textId="77777777">
      <w:pPr>
        <w:pStyle w:val="2-SectionHeading"/>
        <w:numPr>
          <w:ilvl w:val="0"/>
          <w:numId w:val="1"/>
        </w:numPr>
      </w:pPr>
      <w:bookmarkStart w:name="_Toc209002902" w:id="4"/>
      <w:r w:rsidRPr="00AD4F6B">
        <w:t>Background</w:t>
      </w:r>
      <w:bookmarkEnd w:id="4"/>
    </w:p>
    <w:p w:rsidRPr="00AD4F6B" w:rsidR="0032705F" w:rsidP="004A6040" w:rsidRDefault="0032705F" w14:paraId="02E3B56B" w14:textId="77777777">
      <w:pPr>
        <w:pStyle w:val="4-SubsectionHeading"/>
        <w:rPr>
          <w:color w:val="auto"/>
        </w:rPr>
      </w:pPr>
      <w:bookmarkStart w:name="_Toc22897638" w:id="5"/>
      <w:bookmarkStart w:name="_Toc209002903" w:id="6"/>
      <w:r w:rsidRPr="00AD4F6B">
        <w:rPr>
          <w:color w:val="auto"/>
        </w:rPr>
        <w:t>Registration status</w:t>
      </w:r>
      <w:bookmarkEnd w:id="5"/>
      <w:bookmarkEnd w:id="6"/>
    </w:p>
    <w:p w:rsidRPr="00AD4F6B" w:rsidR="0032705F" w:rsidP="0032705F" w:rsidRDefault="0032705F" w14:paraId="74B3861C" w14:textId="1C53722A">
      <w:pPr>
        <w:pStyle w:val="3-BodyText"/>
        <w:numPr>
          <w:ilvl w:val="1"/>
          <w:numId w:val="1"/>
        </w:numPr>
      </w:pPr>
      <w:r w:rsidRPr="00AD4F6B">
        <w:t xml:space="preserve">ONA was TGA registered on 4 March 2021 for the following indication: </w:t>
      </w:r>
    </w:p>
    <w:p w:rsidRPr="00AD4F6B" w:rsidR="0032705F" w:rsidP="000155ED" w:rsidRDefault="0032705F" w14:paraId="262CE1E1" w14:textId="77777777">
      <w:pPr>
        <w:pStyle w:val="3-BodyText"/>
        <w:numPr>
          <w:ilvl w:val="0"/>
          <w:numId w:val="0"/>
        </w:numPr>
        <w:ind w:left="993"/>
      </w:pPr>
      <w:r w:rsidRPr="00AD4F6B">
        <w:t xml:space="preserve">“ZOLGENSMA (onasemnogene abeparvovec) is indicated for the treatment of paediatric patients less than 9 months of age with symptomatic or pre-symptomatic </w:t>
      </w:r>
      <w:r w:rsidRPr="00AD4F6B">
        <w:t xml:space="preserve">spinal muscular atrophy (SMA) with bi-allelic mutations in the survival motor neuron 1 (SMN1) gene and 1 to 3 copies of the </w:t>
      </w:r>
      <w:r w:rsidRPr="00AD4F6B">
        <w:rPr>
          <w:i/>
          <w:iCs/>
        </w:rPr>
        <w:t>SMN2</w:t>
      </w:r>
      <w:r w:rsidRPr="00AD4F6B">
        <w:t xml:space="preserve"> gene.”</w:t>
      </w:r>
    </w:p>
    <w:p w:rsidRPr="00AD4F6B" w:rsidR="00A25A24" w:rsidP="00A25A24" w:rsidRDefault="00A25A24" w14:paraId="5A62D2D6" w14:textId="4BE52E16">
      <w:pPr>
        <w:pStyle w:val="3-BodyText"/>
        <w:numPr>
          <w:ilvl w:val="1"/>
          <w:numId w:val="1"/>
        </w:numPr>
      </w:pPr>
      <w:r w:rsidRPr="00AD4F6B">
        <w:t>It was noted that this indication for patients “less than 9 months” was supported by clinical study data and was proposed based on advice from the Advisory Committee on Medicines (ACM) (</w:t>
      </w:r>
      <w:r w:rsidRPr="00AD4F6B" w:rsidR="007747A0">
        <w:t>ACM</w:t>
      </w:r>
      <w:r w:rsidRPr="00AD4F6B">
        <w:t xml:space="preserve"> Minutes, December 2020 meeting). At the time, the ACM agreed that an indication of up to 2 years of age (as originally proposed by the sponsor) was not supported due to a lack of clinical study data, and increased risk of gene therapy toxicities in older and larger children (</w:t>
      </w:r>
      <w:r w:rsidRPr="00AD4F6B" w:rsidR="00E7570C">
        <w:t>ACM</w:t>
      </w:r>
      <w:r w:rsidRPr="00AD4F6B">
        <w:t xml:space="preserve"> Minutes, December 2020 meeting). Further, the ACM advised that the indication should specify 1-3 copies of SMN2, as this reflected the experience from the studies (</w:t>
      </w:r>
      <w:r w:rsidR="00313C6A">
        <w:t>A</w:t>
      </w:r>
      <w:r w:rsidRPr="00AD4F6B" w:rsidR="00E7570C">
        <w:t>CM</w:t>
      </w:r>
      <w:r w:rsidRPr="00AD4F6B">
        <w:t xml:space="preserve"> Minutes, December 2020 meeting). </w:t>
      </w:r>
    </w:p>
    <w:p w:rsidRPr="00AD4F6B" w:rsidR="0032705F" w:rsidP="0032705F" w:rsidRDefault="0032705F" w14:paraId="22E228F7" w14:textId="5F03B9A3">
      <w:pPr>
        <w:pStyle w:val="3-BodyText"/>
        <w:numPr>
          <w:ilvl w:val="1"/>
          <w:numId w:val="1"/>
        </w:numPr>
      </w:pPr>
      <w:r w:rsidRPr="00AD4F6B">
        <w:t xml:space="preserve">An application was lodged to the TGA on 31 October 2024 to remove the conditions of ‘less than 9 months of age’ and ‘1 to 3 copies of the </w:t>
      </w:r>
      <w:r w:rsidRPr="00AD4F6B">
        <w:rPr>
          <w:i/>
          <w:iCs/>
        </w:rPr>
        <w:t>SMN2</w:t>
      </w:r>
      <w:r w:rsidRPr="00AD4F6B">
        <w:t xml:space="preserve"> gene’ from the current TGA indication. The proposed indication </w:t>
      </w:r>
      <w:r w:rsidRPr="00AD4F6B" w:rsidR="0082656C">
        <w:t>wa</w:t>
      </w:r>
      <w:r w:rsidRPr="00AD4F6B">
        <w:t>s:</w:t>
      </w:r>
    </w:p>
    <w:p w:rsidRPr="00AD4F6B" w:rsidR="0032705F" w:rsidP="000155ED" w:rsidRDefault="0032705F" w14:paraId="594A565C" w14:textId="5867F1F0">
      <w:pPr>
        <w:pStyle w:val="3-BodyText"/>
        <w:numPr>
          <w:ilvl w:val="0"/>
          <w:numId w:val="0"/>
        </w:numPr>
        <w:ind w:left="1134"/>
      </w:pPr>
      <w:r w:rsidRPr="00AD4F6B">
        <w:t>“ZOLGENSMA (onasemnogene abeparvovec) is indicated for the treatment of paediatric patients with symptomatic or pre-symptomatic spinal muscular atrophy (SMA) with bi</w:t>
      </w:r>
      <w:r w:rsidRPr="00AD4F6B" w:rsidR="00A63D44">
        <w:t>-</w:t>
      </w:r>
      <w:r w:rsidRPr="00AD4F6B">
        <w:t xml:space="preserve">allelic mutations in the survival motor neuron 1 (SMN1) gene.”   </w:t>
      </w:r>
    </w:p>
    <w:p w:rsidRPr="00AD4F6B" w:rsidR="00B42ED3" w:rsidP="00B42ED3" w:rsidRDefault="00E03B53" w14:paraId="7C48FF70" w14:textId="202E710C">
      <w:pPr>
        <w:pStyle w:val="3-BodyText"/>
        <w:numPr>
          <w:ilvl w:val="1"/>
          <w:numId w:val="1"/>
        </w:numPr>
        <w:rPr>
          <w:b/>
          <w:bCs/>
        </w:rPr>
      </w:pPr>
      <w:r w:rsidRPr="00AD4F6B">
        <w:t>At the time of PBAC consideration the TGA Delegate’s Overview and ACM advice were available</w:t>
      </w:r>
      <w:r w:rsidRPr="00AD4F6B" w:rsidR="005268D8">
        <w:t xml:space="preserve">. </w:t>
      </w:r>
      <w:r w:rsidRPr="00AD4F6B" w:rsidR="00B42ED3">
        <w:t xml:space="preserve">The pre-PBAC response noted that ACM considered that ONA has a positive benefit-risk profile for the indication (TGA ACM Minutes): </w:t>
      </w:r>
    </w:p>
    <w:p w:rsidRPr="00AD4F6B" w:rsidR="00B42ED3" w:rsidP="00DF5DFA" w:rsidRDefault="00B42ED3" w14:paraId="177C556A" w14:textId="77777777">
      <w:pPr>
        <w:ind w:left="1021" w:right="340"/>
        <w:rPr>
          <w:rFonts w:eastAsiaTheme="minorHAnsi"/>
        </w:rPr>
      </w:pPr>
      <w:r w:rsidRPr="00AD4F6B">
        <w:rPr>
          <w:rFonts w:eastAsiaTheme="minorHAnsi"/>
        </w:rPr>
        <w:t>“ZOLGENSMA is indicated for the treatment of:</w:t>
      </w:r>
    </w:p>
    <w:p w:rsidRPr="00AD4F6B" w:rsidR="00B42ED3" w:rsidP="00DF5DFA" w:rsidRDefault="00B42ED3" w14:paraId="17E58260" w14:textId="77777777">
      <w:pPr>
        <w:ind w:left="1021" w:right="340"/>
        <w:rPr>
          <w:rFonts w:eastAsiaTheme="minorHAnsi"/>
        </w:rPr>
      </w:pPr>
      <w:r w:rsidRPr="00AD4F6B">
        <w:rPr>
          <w:rFonts w:eastAsiaTheme="minorHAnsi"/>
        </w:rPr>
        <w:t>Patients with 5q spinal muscular atrophy (SMA) with bi-allelic pathogenic variants in the SMN1 gene with 3 or fewer copies of the SMN2 gene.</w:t>
      </w:r>
    </w:p>
    <w:p w:rsidRPr="00AD4F6B" w:rsidR="0032705F" w:rsidP="0082656C" w:rsidRDefault="00B42ED3" w14:paraId="0E531EB5" w14:textId="70083247">
      <w:pPr>
        <w:ind w:left="1021" w:right="340"/>
        <w:rPr>
          <w:rFonts w:eastAsiaTheme="minorHAnsi"/>
        </w:rPr>
      </w:pPr>
      <w:r w:rsidRPr="00AD4F6B">
        <w:rPr>
          <w:rFonts w:eastAsiaTheme="minorHAnsi"/>
        </w:rPr>
        <w:t>Therapy may only be administered to patients up to the age of nine years and who weigh less than or equal to 21kg.”</w:t>
      </w:r>
    </w:p>
    <w:p w:rsidRPr="00AD4F6B" w:rsidR="0032705F" w:rsidP="0032705F" w:rsidRDefault="0032705F" w14:paraId="25CDAE4B" w14:textId="78448E17">
      <w:pPr>
        <w:pStyle w:val="3-BodyText"/>
        <w:numPr>
          <w:ilvl w:val="1"/>
          <w:numId w:val="1"/>
        </w:numPr>
      </w:pPr>
      <w:r w:rsidRPr="00AD4F6B">
        <w:t xml:space="preserve">Although an expansion from an age limit of 9 months of age to a weight limit of 21kg was requested, the submission noted that the sponsor would align the proposed PBS restriction with the TGA indication recommended by the Delegate. </w:t>
      </w:r>
      <w:r w:rsidRPr="00AD4F6B" w:rsidR="004D7362">
        <w:t xml:space="preserve">The </w:t>
      </w:r>
      <w:r w:rsidRPr="00AD4F6B" w:rsidR="00EA4091">
        <w:t xml:space="preserve">PSCR noted that the </w:t>
      </w:r>
      <w:r w:rsidRPr="00AD4F6B" w:rsidR="00BC2787">
        <w:t xml:space="preserve">intention for the indication when first submitted to the TGA was an age limit of </w:t>
      </w:r>
      <w:r w:rsidRPr="00AD4F6B" w:rsidR="00973DB6">
        <w:t xml:space="preserve">up to </w:t>
      </w:r>
      <w:r w:rsidRPr="00AD4F6B" w:rsidR="00BC2787">
        <w:t>2 years</w:t>
      </w:r>
      <w:r w:rsidRPr="00AD4F6B" w:rsidR="00973DB6">
        <w:t xml:space="preserve">. </w:t>
      </w:r>
      <w:r w:rsidRPr="00AD4F6B" w:rsidR="00C11A24">
        <w:t xml:space="preserve">The pre-PBAC further clarified that the sponsor is willing to accept </w:t>
      </w:r>
      <w:r w:rsidRPr="00AD4F6B" w:rsidR="00B92652">
        <w:t xml:space="preserve">an upper age restriction of 36 months for </w:t>
      </w:r>
      <w:r w:rsidRPr="00AD4F6B" w:rsidR="00316C0D">
        <w:t>ONA treatment in Type I and pre-symptomatic SMA patients with 1–3 SMN2 copies</w:t>
      </w:r>
      <w:r w:rsidRPr="00AD4F6B" w:rsidR="00FF2E36">
        <w:t xml:space="preserve"> and noted that this is within the </w:t>
      </w:r>
      <w:r w:rsidRPr="00AD4F6B" w:rsidR="00CF4014">
        <w:t>ACM proposed indication</w:t>
      </w:r>
      <w:r w:rsidRPr="00AD4F6B" w:rsidR="00316C0D">
        <w:t xml:space="preserve">. </w:t>
      </w:r>
      <w:r w:rsidRPr="00AD4F6B" w:rsidDel="00130690" w:rsidR="00316C0D">
        <w:t xml:space="preserve"> </w:t>
      </w:r>
    </w:p>
    <w:p w:rsidRPr="00AD4F6B" w:rsidR="00453205" w:rsidP="0032705F" w:rsidRDefault="00453205" w14:paraId="0136111F" w14:textId="63BC3638">
      <w:pPr>
        <w:pStyle w:val="3-BodyText"/>
        <w:numPr>
          <w:ilvl w:val="1"/>
          <w:numId w:val="1"/>
        </w:numPr>
      </w:pPr>
      <w:r w:rsidRPr="00AD4F6B">
        <w:t xml:space="preserve">The pre-PBAC response noted that </w:t>
      </w:r>
      <w:r w:rsidRPr="00AD4F6B" w:rsidR="0053252E">
        <w:t>there are still negotiations occurring with the TGA Delegate regarding either the removal of SMN2 copy number</w:t>
      </w:r>
      <w:r w:rsidRPr="00AD4F6B" w:rsidDel="00C77651" w:rsidR="0053252E">
        <w:t xml:space="preserve"> </w:t>
      </w:r>
      <w:r w:rsidRPr="00AD4F6B" w:rsidR="0053252E">
        <w:t xml:space="preserve">(or addition of 4 SMN2 copy number) and </w:t>
      </w:r>
      <w:r w:rsidRPr="00AD4F6B" w:rsidR="0053252E">
        <w:rPr>
          <w:lang w:val="en-US"/>
        </w:rPr>
        <w:t xml:space="preserve">as to the inclusion of age or weight in the TGA </w:t>
      </w:r>
      <w:r w:rsidRPr="00AD4F6B" w:rsidR="00EF562D">
        <w:rPr>
          <w:lang w:val="en-US"/>
        </w:rPr>
        <w:t>indication.</w:t>
      </w:r>
    </w:p>
    <w:p w:rsidRPr="00AD4F6B" w:rsidR="008E3CB2" w:rsidP="008E3CB2" w:rsidRDefault="008E3CB2" w14:paraId="1A178FEA" w14:textId="77777777">
      <w:pPr>
        <w:pStyle w:val="4-SubsectionHeading"/>
        <w:rPr>
          <w:color w:val="auto"/>
        </w:rPr>
      </w:pPr>
      <w:bookmarkStart w:name="_Toc202884169" w:id="7"/>
      <w:bookmarkStart w:name="_Toc208999799" w:id="8"/>
      <w:bookmarkStart w:name="_Hlk76375324" w:id="9"/>
      <w:r w:rsidRPr="00AD4F6B">
        <w:rPr>
          <w:color w:val="auto"/>
        </w:rPr>
        <w:t>Previous PBAC consideration</w:t>
      </w:r>
      <w:bookmarkEnd w:id="7"/>
      <w:bookmarkEnd w:id="8"/>
    </w:p>
    <w:p w:rsidRPr="00AD4F6B" w:rsidR="008E3CB2" w:rsidP="0063299E" w:rsidRDefault="00F338B5" w14:paraId="1D363540" w14:textId="47A33B21">
      <w:pPr>
        <w:pStyle w:val="3-BodyText"/>
        <w:spacing w:after="120"/>
        <w:rPr>
          <w:lang w:eastAsia="en-US"/>
        </w:rPr>
      </w:pPr>
      <w:r w:rsidRPr="00AD4F6B">
        <w:rPr>
          <w:lang w:eastAsia="en-US"/>
        </w:rPr>
        <w:t xml:space="preserve">ONA was recommended for the treatment of SMA in patients aged less than 9 months, with Type I SMA or pre-symptomatic patients with 1-2 copies of the SMN2 gene at the September 2021 PBAC meeting. This recommendation was on a cost-minimisation </w:t>
      </w:r>
      <w:r w:rsidRPr="00AD4F6B">
        <w:rPr>
          <w:lang w:eastAsia="en-US"/>
        </w:rPr>
        <w:t xml:space="preserve">basis to the least costly disease-modifying therapy for this condition, which was RIS, and in the context of an outcomes-based RSA (paragraph 9.1, ONA </w:t>
      </w:r>
      <w:r w:rsidR="00F8164A">
        <w:rPr>
          <w:lang w:eastAsia="en-US"/>
        </w:rPr>
        <w:t>Public Summary Document [</w:t>
      </w:r>
      <w:r w:rsidRPr="00AD4F6B">
        <w:rPr>
          <w:lang w:eastAsia="en-US"/>
        </w:rPr>
        <w:t>PSD</w:t>
      </w:r>
      <w:r w:rsidR="00F8164A">
        <w:rPr>
          <w:lang w:eastAsia="en-US"/>
        </w:rPr>
        <w:t>]</w:t>
      </w:r>
      <w:r w:rsidRPr="00AD4F6B">
        <w:rPr>
          <w:lang w:eastAsia="en-US"/>
        </w:rPr>
        <w:t>, September 2021 PBAC meeting). ONA was not recommended for listing at the November 2022 meeting for the pre-symptomatic treatment of patients with SMA and 3 copies of the SMN2 gene.</w:t>
      </w:r>
      <w:r w:rsidRPr="00AD4F6B" w:rsidR="00CD0BE1">
        <w:rPr>
          <w:lang w:eastAsia="en-US"/>
        </w:rPr>
        <w:t xml:space="preserve"> </w:t>
      </w:r>
      <w:r w:rsidRPr="00AD4F6B" w:rsidR="00FE74F5">
        <w:rPr>
          <w:lang w:eastAsia="en-US"/>
        </w:rPr>
        <w:t xml:space="preserve">The PBAC considered that the economic model presented in the submission was not suitable to support decision-making (paragraph 7.9, ONA PSD, November 2022 PBAC meeting). The PBAC considered that a comparison between the cost and clinical benefits for treating patients with 1-2 copies of SMN2 with ONA (as currently subsidised) and patients with 3 copies (proposed) would be more informative for establishing the cost effectiveness in the expanded population. The PBAC noted that the smaller clinical benefit for patients with 3 SMN2 copies would require the price of ONA to be lower than for the current listing for it to be similarly cost-effective (paragraph 7.10, ONA PSD, November 2022 PBAC meeting). </w:t>
      </w:r>
      <w:r w:rsidRPr="00AD4F6B" w:rsidR="00EB2799">
        <w:rPr>
          <w:lang w:eastAsia="en-US"/>
        </w:rPr>
        <w:t xml:space="preserve">At its July 2023 meeting the PBAC recommended </w:t>
      </w:r>
      <w:r w:rsidRPr="00AD4F6B" w:rsidR="00EC7C2D">
        <w:rPr>
          <w:lang w:eastAsia="en-US"/>
        </w:rPr>
        <w:t xml:space="preserve">amendment to the current listing of ONA to include pre-symptomatic treatment in patients </w:t>
      </w:r>
      <w:r w:rsidRPr="00AD4F6B" w:rsidR="00A64FCF">
        <w:rPr>
          <w:lang w:eastAsia="en-US"/>
        </w:rPr>
        <w:t xml:space="preserve">aged up to 9 months with SMA and SMN2 gene copy number of 3. </w:t>
      </w:r>
      <w:r w:rsidRPr="00AD4F6B" w:rsidR="00E429F4">
        <w:rPr>
          <w:lang w:eastAsia="en-US"/>
        </w:rPr>
        <w:t>The PBAC was satisfied that extension of the listing would be adequately cost-effective with a price reduction for use in the proposed population (paragraph 7.1</w:t>
      </w:r>
      <w:r w:rsidRPr="00AD4F6B" w:rsidR="00D43646">
        <w:rPr>
          <w:lang w:eastAsia="en-US"/>
        </w:rPr>
        <w:t>, ONA PSD, July 2023 PBAC meeting)</w:t>
      </w:r>
      <w:r w:rsidRPr="00AD4F6B" w:rsidR="00E429F4">
        <w:rPr>
          <w:lang w:eastAsia="en-US"/>
        </w:rPr>
        <w:t>.</w:t>
      </w:r>
    </w:p>
    <w:p w:rsidRPr="00AD4F6B" w:rsidR="004900F0" w:rsidP="004900F0" w:rsidRDefault="004900F0" w14:paraId="403A9E23" w14:textId="77777777">
      <w:pPr>
        <w:ind w:firstLine="720"/>
        <w:rPr>
          <w:i/>
          <w:iCs/>
        </w:rPr>
      </w:pPr>
      <w:r w:rsidRPr="00AD4F6B">
        <w:rPr>
          <w:i/>
          <w:iCs/>
        </w:rPr>
        <w:t>For more detail on PBAC’s view, see section 7 PBAC outcome.</w:t>
      </w:r>
    </w:p>
    <w:p w:rsidRPr="00AD4F6B" w:rsidR="0032705F" w:rsidP="0022226D" w:rsidRDefault="0032705F" w14:paraId="5A033426" w14:textId="36504672">
      <w:pPr>
        <w:pStyle w:val="2-SectionHeading"/>
        <w:numPr>
          <w:ilvl w:val="0"/>
          <w:numId w:val="1"/>
        </w:numPr>
      </w:pPr>
      <w:bookmarkStart w:name="_Toc107902078" w:id="10"/>
      <w:bookmarkStart w:name="_Toc209002904" w:id="11"/>
      <w:bookmarkEnd w:id="9"/>
      <w:bookmarkEnd w:id="10"/>
      <w:r w:rsidRPr="00AD4F6B">
        <w:t>Requested listing</w:t>
      </w:r>
      <w:bookmarkEnd w:id="11"/>
    </w:p>
    <w:p w:rsidRPr="00AD4F6B" w:rsidR="0080518B" w:rsidP="00284575" w:rsidRDefault="0080518B" w14:paraId="03B29887" w14:textId="09A2E418">
      <w:pPr>
        <w:rPr>
          <w:rFonts w:cs="Calibri"/>
          <w:bCs/>
          <w:i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Requested listing"/>
      </w:tblPr>
      <w:tblGrid>
        <w:gridCol w:w="3050"/>
        <w:gridCol w:w="1825"/>
        <w:gridCol w:w="833"/>
        <w:gridCol w:w="833"/>
        <w:gridCol w:w="833"/>
        <w:gridCol w:w="1643"/>
      </w:tblGrid>
      <w:tr w:rsidRPr="00AD4F6B" w:rsidR="00AD4F6B" w:rsidTr="00EA35AC" w14:paraId="6BFB7609" w14:textId="77777777">
        <w:trPr>
          <w:cantSplit/>
          <w:trHeight w:val="20"/>
        </w:trPr>
        <w:tc>
          <w:tcPr>
            <w:tcW w:w="1691" w:type="pct"/>
            <w:vAlign w:val="center"/>
          </w:tcPr>
          <w:p w:rsidRPr="00AD4F6B" w:rsidR="002246EF" w:rsidRDefault="002246EF" w14:paraId="0F065C58" w14:textId="77777777">
            <w:pPr>
              <w:keepNext/>
              <w:keepLines/>
              <w:rPr>
                <w:rFonts w:ascii="Arial Narrow" w:hAnsi="Arial Narrow"/>
                <w:b/>
                <w:bCs/>
                <w:sz w:val="20"/>
                <w:szCs w:val="20"/>
              </w:rPr>
            </w:pPr>
            <w:r w:rsidRPr="00AD4F6B">
              <w:rPr>
                <w:rFonts w:ascii="Arial Narrow" w:hAnsi="Arial Narrow"/>
                <w:b/>
                <w:bCs/>
                <w:sz w:val="20"/>
                <w:szCs w:val="20"/>
              </w:rPr>
              <w:t>MEDICINAL PRODUCT</w:t>
            </w:r>
          </w:p>
          <w:p w:rsidRPr="00AD4F6B" w:rsidR="002246EF" w:rsidRDefault="002246EF" w14:paraId="0211499B" w14:textId="77777777">
            <w:pPr>
              <w:keepNext/>
              <w:keepLines/>
              <w:rPr>
                <w:rFonts w:ascii="Arial Narrow" w:hAnsi="Arial Narrow"/>
                <w:b/>
                <w:sz w:val="20"/>
                <w:szCs w:val="20"/>
              </w:rPr>
            </w:pPr>
            <w:r w:rsidRPr="00AD4F6B">
              <w:rPr>
                <w:rFonts w:ascii="Arial Narrow" w:hAnsi="Arial Narrow"/>
                <w:b/>
                <w:bCs/>
                <w:sz w:val="20"/>
                <w:szCs w:val="20"/>
              </w:rPr>
              <w:t>medicinal product pack</w:t>
            </w:r>
          </w:p>
        </w:tc>
        <w:tc>
          <w:tcPr>
            <w:tcW w:w="1012" w:type="pct"/>
            <w:vAlign w:val="center"/>
          </w:tcPr>
          <w:p w:rsidRPr="00AD4F6B" w:rsidR="002246EF" w:rsidRDefault="002246EF" w14:paraId="6C41642C" w14:textId="77777777">
            <w:pPr>
              <w:pStyle w:val="TableText0"/>
              <w:rPr>
                <w:b/>
                <w:bCs w:val="0"/>
                <w:szCs w:val="20"/>
              </w:rPr>
            </w:pPr>
            <w:r w:rsidRPr="00AD4F6B">
              <w:rPr>
                <w:b/>
                <w:bCs w:val="0"/>
                <w:snapToGrid w:val="0"/>
              </w:rPr>
              <w:t xml:space="preserve">Dispensed Price for Max. Qty </w:t>
            </w:r>
          </w:p>
        </w:tc>
        <w:tc>
          <w:tcPr>
            <w:tcW w:w="462" w:type="pct"/>
            <w:vAlign w:val="center"/>
          </w:tcPr>
          <w:p w:rsidRPr="00AD4F6B" w:rsidR="002246EF" w:rsidRDefault="002246EF" w14:paraId="23ACD3EA" w14:textId="77777777">
            <w:pPr>
              <w:keepNext/>
              <w:keepLines/>
              <w:jc w:val="center"/>
              <w:rPr>
                <w:rFonts w:ascii="Arial Narrow" w:hAnsi="Arial Narrow"/>
                <w:b/>
                <w:sz w:val="20"/>
                <w:szCs w:val="20"/>
              </w:rPr>
            </w:pPr>
            <w:r w:rsidRPr="00AD4F6B">
              <w:rPr>
                <w:rFonts w:ascii="Arial Narrow" w:hAnsi="Arial Narrow"/>
                <w:b/>
                <w:sz w:val="20"/>
                <w:szCs w:val="20"/>
              </w:rPr>
              <w:t>Max. qty packs</w:t>
            </w:r>
          </w:p>
        </w:tc>
        <w:tc>
          <w:tcPr>
            <w:tcW w:w="462" w:type="pct"/>
            <w:vAlign w:val="center"/>
          </w:tcPr>
          <w:p w:rsidRPr="00AD4F6B" w:rsidR="002246EF" w:rsidRDefault="002246EF" w14:paraId="384A8004" w14:textId="77777777">
            <w:pPr>
              <w:keepNext/>
              <w:keepLines/>
              <w:jc w:val="center"/>
              <w:rPr>
                <w:rFonts w:ascii="Arial Narrow" w:hAnsi="Arial Narrow"/>
                <w:b/>
                <w:sz w:val="20"/>
                <w:szCs w:val="20"/>
              </w:rPr>
            </w:pPr>
            <w:r w:rsidRPr="00AD4F6B">
              <w:rPr>
                <w:rFonts w:ascii="Arial Narrow" w:hAnsi="Arial Narrow"/>
                <w:b/>
                <w:sz w:val="20"/>
                <w:szCs w:val="20"/>
              </w:rPr>
              <w:t>Max. qty units</w:t>
            </w:r>
          </w:p>
        </w:tc>
        <w:tc>
          <w:tcPr>
            <w:tcW w:w="462" w:type="pct"/>
            <w:vAlign w:val="center"/>
          </w:tcPr>
          <w:p w:rsidRPr="00AD4F6B" w:rsidR="002246EF" w:rsidRDefault="002246EF" w14:paraId="1D1DE249" w14:textId="77777777">
            <w:pPr>
              <w:keepNext/>
              <w:keepLines/>
              <w:jc w:val="center"/>
              <w:rPr>
                <w:rFonts w:ascii="Arial Narrow" w:hAnsi="Arial Narrow"/>
                <w:b/>
                <w:sz w:val="20"/>
                <w:szCs w:val="20"/>
              </w:rPr>
            </w:pPr>
            <w:r w:rsidRPr="00AD4F6B">
              <w:rPr>
                <w:rFonts w:ascii="Arial Narrow" w:hAnsi="Arial Narrow"/>
                <w:b/>
                <w:sz w:val="20"/>
                <w:szCs w:val="20"/>
              </w:rPr>
              <w:t>№.of</w:t>
            </w:r>
          </w:p>
          <w:p w:rsidRPr="00AD4F6B" w:rsidR="002246EF" w:rsidRDefault="002246EF" w14:paraId="1E7ED347" w14:textId="77777777">
            <w:pPr>
              <w:keepNext/>
              <w:keepLines/>
              <w:jc w:val="center"/>
              <w:rPr>
                <w:rFonts w:ascii="Arial Narrow" w:hAnsi="Arial Narrow"/>
                <w:b/>
                <w:sz w:val="20"/>
                <w:szCs w:val="20"/>
              </w:rPr>
            </w:pPr>
            <w:r w:rsidRPr="00AD4F6B">
              <w:rPr>
                <w:rFonts w:ascii="Arial Narrow" w:hAnsi="Arial Narrow"/>
                <w:b/>
                <w:sz w:val="20"/>
                <w:szCs w:val="20"/>
              </w:rPr>
              <w:t>Rpts</w:t>
            </w:r>
          </w:p>
        </w:tc>
        <w:tc>
          <w:tcPr>
            <w:tcW w:w="911" w:type="pct"/>
            <w:vAlign w:val="center"/>
          </w:tcPr>
          <w:p w:rsidRPr="00AD4F6B" w:rsidR="002246EF" w:rsidRDefault="002246EF" w14:paraId="027C0C96" w14:textId="77777777">
            <w:pPr>
              <w:keepNext/>
              <w:keepLines/>
              <w:rPr>
                <w:rFonts w:ascii="Arial Narrow" w:hAnsi="Arial Narrow"/>
                <w:b/>
                <w:sz w:val="20"/>
                <w:szCs w:val="20"/>
              </w:rPr>
            </w:pPr>
            <w:r w:rsidRPr="00AD4F6B">
              <w:rPr>
                <w:rFonts w:ascii="Arial Narrow" w:hAnsi="Arial Narrow"/>
                <w:b/>
                <w:sz w:val="20"/>
                <w:szCs w:val="20"/>
              </w:rPr>
              <w:t>Available brands</w:t>
            </w:r>
          </w:p>
        </w:tc>
      </w:tr>
      <w:tr w:rsidRPr="00AD4F6B" w:rsidR="00AD4F6B" w:rsidTr="00EA35AC" w14:paraId="060E08C2" w14:textId="77777777">
        <w:trPr>
          <w:cantSplit/>
          <w:trHeight w:val="20"/>
        </w:trPr>
        <w:tc>
          <w:tcPr>
            <w:tcW w:w="5000" w:type="pct"/>
            <w:gridSpan w:val="6"/>
            <w:vAlign w:val="center"/>
          </w:tcPr>
          <w:p w:rsidRPr="00AD4F6B" w:rsidR="002246EF" w:rsidRDefault="002246EF" w14:paraId="28EC232C" w14:textId="429BA226">
            <w:pPr>
              <w:pStyle w:val="TableText0"/>
              <w:rPr>
                <w:rFonts w:cs="Arial"/>
                <w:szCs w:val="20"/>
              </w:rPr>
            </w:pPr>
            <w:r w:rsidRPr="00AD4F6B">
              <w:rPr>
                <w:b/>
                <w:bCs w:val="0"/>
              </w:rPr>
              <w:t>Onasemnogene abeparvovec</w:t>
            </w:r>
            <w:r w:rsidRPr="00AD4F6B" w:rsidR="00B80D36">
              <w:rPr>
                <w:b/>
                <w:bCs w:val="0"/>
              </w:rPr>
              <w:t xml:space="preserve"> </w:t>
            </w:r>
            <w:r w:rsidRPr="00AD4F6B" w:rsidR="00DB5232">
              <w:rPr>
                <w:b/>
                <w:bCs w:val="0"/>
              </w:rPr>
              <w:t xml:space="preserve">(Type I SMA or pre-symptomatic SMA with 1-2 </w:t>
            </w:r>
            <w:r w:rsidRPr="00AD4F6B" w:rsidR="00DB5232">
              <w:rPr>
                <w:b/>
                <w:bCs w:val="0"/>
                <w:i/>
                <w:iCs/>
              </w:rPr>
              <w:t>SMN2</w:t>
            </w:r>
            <w:r w:rsidRPr="00AD4F6B" w:rsidR="00DB5232">
              <w:rPr>
                <w:b/>
                <w:bCs w:val="0"/>
              </w:rPr>
              <w:t xml:space="preserve"> copies)</w:t>
            </w:r>
          </w:p>
        </w:tc>
      </w:tr>
      <w:tr w:rsidRPr="00AD4F6B" w:rsidR="00AD4F6B" w:rsidTr="00EA35AC" w14:paraId="5EE6125C" w14:textId="77777777">
        <w:trPr>
          <w:cantSplit/>
          <w:trHeight w:val="20"/>
        </w:trPr>
        <w:tc>
          <w:tcPr>
            <w:tcW w:w="1691" w:type="pct"/>
            <w:vAlign w:val="center"/>
          </w:tcPr>
          <w:p w:rsidRPr="00AD4F6B" w:rsidR="002246EF" w:rsidRDefault="002246EF" w14:paraId="6372AFAC" w14:textId="77777777">
            <w:pPr>
              <w:pStyle w:val="TableText0"/>
            </w:pPr>
            <w:r w:rsidRPr="00AD4F6B">
              <w:t xml:space="preserve">Onasemnogene abeparvovec </w:t>
            </w:r>
          </w:p>
          <w:p w:rsidRPr="00AD4F6B" w:rsidR="002246EF" w:rsidRDefault="002246EF" w14:paraId="41CA5857" w14:textId="77777777">
            <w:pPr>
              <w:pStyle w:val="TableText0"/>
            </w:pPr>
            <w:r w:rsidRPr="00AD4F6B">
              <w:t>1.1 x 10</w:t>
            </w:r>
            <w:r w:rsidRPr="00AD4F6B">
              <w:rPr>
                <w:vertAlign w:val="superscript"/>
              </w:rPr>
              <w:t>14</w:t>
            </w:r>
            <w:r w:rsidRPr="00AD4F6B">
              <w:t xml:space="preserve"> vg/kg, </w:t>
            </w:r>
            <w:r w:rsidRPr="00AD4F6B">
              <w:rPr>
                <w:bCs w:val="0"/>
              </w:rPr>
              <w:t>liquid in vial, each finished pack customised based on patient weight</w:t>
            </w:r>
            <w:r w:rsidRPr="00AD4F6B">
              <w:t xml:space="preserve"> </w:t>
            </w:r>
            <w:r w:rsidRPr="00AD4F6B">
              <w:rPr>
                <w:szCs w:val="20"/>
              </w:rPr>
              <w:t xml:space="preserve"> </w:t>
            </w:r>
          </w:p>
        </w:tc>
        <w:tc>
          <w:tcPr>
            <w:tcW w:w="1012" w:type="pct"/>
          </w:tcPr>
          <w:p w:rsidRPr="00AD4F6B" w:rsidR="002246EF" w:rsidRDefault="002246EF" w14:paraId="0AABC8F1" w14:textId="77777777">
            <w:pPr>
              <w:pStyle w:val="TableText0"/>
              <w:jc w:val="center"/>
            </w:pPr>
            <w:r w:rsidRPr="00AD4F6B">
              <w:t>$2,527,773.87 published price</w:t>
            </w:r>
          </w:p>
          <w:p w:rsidRPr="00AD4F6B" w:rsidR="00C554FC" w:rsidP="00C554FC" w:rsidRDefault="002246EF" w14:paraId="42DE3DF6" w14:textId="0FB0444A">
            <w:pPr>
              <w:pStyle w:val="TableText0"/>
              <w:jc w:val="center"/>
            </w:pPr>
            <w:r w:rsidRPr="00AD4F6B">
              <w:t>$</w:t>
            </w:r>
            <w:r w:rsidRPr="00C554FC" w:rsidR="00C554FC">
              <w:rPr>
                <w:highlight w:val="black"/>
              </w:rPr>
              <w:t>&amp;&amp;&amp;&amp;</w:t>
            </w:r>
          </w:p>
          <w:p w:rsidRPr="00AD4F6B" w:rsidR="002246EF" w:rsidRDefault="002246EF" w14:paraId="25E4D864" w14:textId="77777777">
            <w:pPr>
              <w:pStyle w:val="TableText0"/>
              <w:jc w:val="center"/>
              <w:rPr>
                <w:szCs w:val="20"/>
              </w:rPr>
            </w:pPr>
            <w:r w:rsidRPr="00AD4F6B">
              <w:t>effective price</w:t>
            </w:r>
          </w:p>
        </w:tc>
        <w:tc>
          <w:tcPr>
            <w:tcW w:w="462" w:type="pct"/>
            <w:vAlign w:val="center"/>
          </w:tcPr>
          <w:p w:rsidRPr="00AD4F6B" w:rsidR="002246EF" w:rsidRDefault="002246EF" w14:paraId="574E32E4" w14:textId="77777777">
            <w:pPr>
              <w:keepNext/>
              <w:keepLines/>
              <w:jc w:val="center"/>
              <w:rPr>
                <w:rFonts w:ascii="Arial Narrow" w:hAnsi="Arial Narrow"/>
                <w:sz w:val="20"/>
                <w:szCs w:val="20"/>
              </w:rPr>
            </w:pPr>
            <w:r w:rsidRPr="00AD4F6B">
              <w:rPr>
                <w:rFonts w:ascii="Arial Narrow" w:hAnsi="Arial Narrow"/>
                <w:sz w:val="20"/>
              </w:rPr>
              <w:t>1</w:t>
            </w:r>
          </w:p>
        </w:tc>
        <w:tc>
          <w:tcPr>
            <w:tcW w:w="462" w:type="pct"/>
            <w:vAlign w:val="center"/>
          </w:tcPr>
          <w:p w:rsidRPr="00AD4F6B" w:rsidR="002246EF" w:rsidRDefault="002246EF" w14:paraId="6E03485D" w14:textId="77777777">
            <w:pPr>
              <w:keepNext/>
              <w:keepLines/>
              <w:jc w:val="center"/>
              <w:rPr>
                <w:rFonts w:ascii="Arial Narrow" w:hAnsi="Arial Narrow"/>
                <w:sz w:val="20"/>
                <w:szCs w:val="20"/>
              </w:rPr>
            </w:pPr>
            <w:r w:rsidRPr="00AD4F6B">
              <w:rPr>
                <w:rFonts w:ascii="Arial Narrow" w:hAnsi="Arial Narrow"/>
                <w:sz w:val="20"/>
              </w:rPr>
              <w:t>1</w:t>
            </w:r>
          </w:p>
        </w:tc>
        <w:tc>
          <w:tcPr>
            <w:tcW w:w="462" w:type="pct"/>
            <w:vAlign w:val="center"/>
          </w:tcPr>
          <w:p w:rsidRPr="00AD4F6B" w:rsidR="002246EF" w:rsidRDefault="002246EF" w14:paraId="0EFC1B70" w14:textId="77777777">
            <w:pPr>
              <w:keepNext/>
              <w:keepLines/>
              <w:jc w:val="center"/>
              <w:rPr>
                <w:rFonts w:ascii="Arial Narrow" w:hAnsi="Arial Narrow"/>
                <w:sz w:val="20"/>
                <w:szCs w:val="20"/>
              </w:rPr>
            </w:pPr>
            <w:r w:rsidRPr="00AD4F6B">
              <w:rPr>
                <w:rFonts w:ascii="Arial Narrow" w:hAnsi="Arial Narrow"/>
                <w:sz w:val="20"/>
              </w:rPr>
              <w:t>0</w:t>
            </w:r>
          </w:p>
        </w:tc>
        <w:tc>
          <w:tcPr>
            <w:tcW w:w="911" w:type="pct"/>
            <w:vAlign w:val="center"/>
          </w:tcPr>
          <w:p w:rsidRPr="00AD4F6B" w:rsidR="002246EF" w:rsidRDefault="002246EF" w14:paraId="78B550B4" w14:textId="77777777">
            <w:pPr>
              <w:keepNext/>
              <w:keepLines/>
              <w:rPr>
                <w:rFonts w:ascii="Arial Narrow" w:hAnsi="Arial Narrow"/>
                <w:sz w:val="20"/>
                <w:szCs w:val="20"/>
              </w:rPr>
            </w:pPr>
            <w:r w:rsidRPr="00AD4F6B">
              <w:rPr>
                <w:rFonts w:ascii="Arial Narrow" w:hAnsi="Arial Narrow"/>
                <w:sz w:val="20"/>
                <w:szCs w:val="20"/>
              </w:rPr>
              <w:t>ZOLGENSMA</w:t>
            </w:r>
          </w:p>
        </w:tc>
      </w:tr>
      <w:tr w:rsidRPr="00AD4F6B" w:rsidR="00AD4F6B" w:rsidTr="00EA35AC" w14:paraId="45DC1F36" w14:textId="77777777">
        <w:trPr>
          <w:cantSplit/>
          <w:trHeight w:val="20"/>
        </w:trPr>
        <w:tc>
          <w:tcPr>
            <w:tcW w:w="5000" w:type="pct"/>
            <w:gridSpan w:val="6"/>
            <w:vAlign w:val="center"/>
          </w:tcPr>
          <w:p w:rsidRPr="00AD4F6B" w:rsidR="00DB5232" w:rsidP="00DB5232" w:rsidRDefault="00DB5232" w14:paraId="475292F2" w14:textId="36CBDC81">
            <w:pPr>
              <w:rPr>
                <w:rFonts w:ascii="Arial Narrow" w:hAnsi="Arial Narrow"/>
                <w:sz w:val="20"/>
                <w:szCs w:val="20"/>
              </w:rPr>
            </w:pPr>
            <w:r w:rsidRPr="00AD4F6B">
              <w:rPr>
                <w:rFonts w:ascii="Arial Narrow" w:hAnsi="Arial Narrow"/>
                <w:b/>
                <w:bCs/>
                <w:sz w:val="20"/>
                <w:szCs w:val="20"/>
              </w:rPr>
              <w:t xml:space="preserve">Onasemnogene abeparvovec (Pre-symptomatic SMA with 3 copies of </w:t>
            </w:r>
            <w:r w:rsidRPr="00AD4F6B">
              <w:rPr>
                <w:rFonts w:ascii="Arial Narrow" w:hAnsi="Arial Narrow"/>
                <w:b/>
                <w:bCs/>
                <w:i/>
                <w:iCs/>
                <w:sz w:val="20"/>
                <w:szCs w:val="20"/>
              </w:rPr>
              <w:t>SMN2</w:t>
            </w:r>
            <w:r w:rsidRPr="00AD4F6B">
              <w:rPr>
                <w:rFonts w:ascii="Arial Narrow" w:hAnsi="Arial Narrow"/>
                <w:b/>
                <w:bCs/>
                <w:sz w:val="20"/>
                <w:szCs w:val="20"/>
              </w:rPr>
              <w:t>)</w:t>
            </w:r>
          </w:p>
        </w:tc>
      </w:tr>
      <w:tr w:rsidRPr="00AD4F6B" w:rsidR="00AD4F6B" w:rsidTr="00EA35AC" w14:paraId="6B0209C5" w14:textId="77777777">
        <w:trPr>
          <w:cantSplit/>
          <w:trHeight w:val="20"/>
        </w:trPr>
        <w:tc>
          <w:tcPr>
            <w:tcW w:w="1691" w:type="pct"/>
            <w:vAlign w:val="center"/>
          </w:tcPr>
          <w:p w:rsidRPr="00AD4F6B" w:rsidR="007D1BED" w:rsidP="007D1BED" w:rsidRDefault="007D1BED" w14:paraId="25A47101" w14:textId="77777777">
            <w:pPr>
              <w:pStyle w:val="TableText0"/>
            </w:pPr>
            <w:r w:rsidRPr="00AD4F6B">
              <w:t xml:space="preserve">Onasemnogene abeparvovec </w:t>
            </w:r>
          </w:p>
          <w:p w:rsidRPr="00AD4F6B" w:rsidR="007D1BED" w:rsidP="007D1BED" w:rsidRDefault="007D1BED" w14:paraId="7F745083" w14:textId="3090093B">
            <w:pPr>
              <w:pStyle w:val="TableText0"/>
            </w:pPr>
            <w:r w:rsidRPr="00AD4F6B">
              <w:t>1.1 x 10</w:t>
            </w:r>
            <w:r w:rsidRPr="00AD4F6B">
              <w:rPr>
                <w:vertAlign w:val="superscript"/>
              </w:rPr>
              <w:t>14</w:t>
            </w:r>
            <w:r w:rsidRPr="00AD4F6B">
              <w:t xml:space="preserve"> vg/kg, </w:t>
            </w:r>
            <w:r w:rsidRPr="00AD4F6B">
              <w:rPr>
                <w:bCs w:val="0"/>
              </w:rPr>
              <w:t>liquid in vial, each finished pack customised based on patient weight</w:t>
            </w:r>
            <w:r w:rsidRPr="00AD4F6B">
              <w:t xml:space="preserve"> </w:t>
            </w:r>
            <w:r w:rsidRPr="00AD4F6B">
              <w:rPr>
                <w:szCs w:val="20"/>
              </w:rPr>
              <w:t xml:space="preserve"> </w:t>
            </w:r>
          </w:p>
        </w:tc>
        <w:tc>
          <w:tcPr>
            <w:tcW w:w="1012" w:type="pct"/>
          </w:tcPr>
          <w:p w:rsidRPr="00AD4F6B" w:rsidR="007D1BED" w:rsidP="007D1BED" w:rsidRDefault="007D1BED" w14:paraId="20BEFC6B" w14:textId="77777777">
            <w:pPr>
              <w:pStyle w:val="TableText0"/>
              <w:jc w:val="center"/>
            </w:pPr>
            <w:r w:rsidRPr="00AD4F6B">
              <w:t>$2,527,773.87</w:t>
            </w:r>
          </w:p>
          <w:p w:rsidRPr="00AD4F6B" w:rsidR="007D1BED" w:rsidP="007D1BED" w:rsidRDefault="007D1BED" w14:paraId="59E6627F" w14:textId="77777777">
            <w:pPr>
              <w:pStyle w:val="TableText0"/>
              <w:jc w:val="center"/>
            </w:pPr>
            <w:r w:rsidRPr="00AD4F6B">
              <w:t>published price</w:t>
            </w:r>
          </w:p>
          <w:p w:rsidRPr="00AD4F6B" w:rsidR="00C554FC" w:rsidP="00C554FC" w:rsidRDefault="007D1BED" w14:paraId="36187B84" w14:textId="5F9EB611">
            <w:pPr>
              <w:pStyle w:val="TableText0"/>
              <w:jc w:val="center"/>
            </w:pPr>
            <w:r w:rsidRPr="00AD4F6B">
              <w:t>$</w:t>
            </w:r>
            <w:r w:rsidRPr="00C554FC" w:rsidR="00C554FC">
              <w:rPr>
                <w:highlight w:val="black"/>
              </w:rPr>
              <w:t>&amp;&amp;&amp;&amp;</w:t>
            </w:r>
          </w:p>
          <w:p w:rsidRPr="00AD4F6B" w:rsidR="007D1BED" w:rsidP="007D1BED" w:rsidRDefault="007D1BED" w14:paraId="2C41BA8F" w14:textId="7C726B97">
            <w:pPr>
              <w:pStyle w:val="TableText0"/>
              <w:jc w:val="center"/>
            </w:pPr>
            <w:r w:rsidRPr="00AD4F6B">
              <w:t>effective price</w:t>
            </w:r>
          </w:p>
        </w:tc>
        <w:tc>
          <w:tcPr>
            <w:tcW w:w="462" w:type="pct"/>
            <w:vAlign w:val="center"/>
          </w:tcPr>
          <w:p w:rsidRPr="00AD4F6B" w:rsidR="007D1BED" w:rsidP="007D1BED" w:rsidRDefault="007D1BED" w14:paraId="709EDB49" w14:textId="4C968441">
            <w:pPr>
              <w:keepNext/>
              <w:keepLines/>
              <w:jc w:val="center"/>
              <w:rPr>
                <w:rFonts w:ascii="Arial Narrow" w:hAnsi="Arial Narrow"/>
                <w:sz w:val="20"/>
              </w:rPr>
            </w:pPr>
            <w:r w:rsidRPr="00AD4F6B">
              <w:rPr>
                <w:rFonts w:ascii="Arial Narrow" w:hAnsi="Arial Narrow"/>
                <w:sz w:val="20"/>
              </w:rPr>
              <w:t>1</w:t>
            </w:r>
          </w:p>
        </w:tc>
        <w:tc>
          <w:tcPr>
            <w:tcW w:w="462" w:type="pct"/>
            <w:vAlign w:val="center"/>
          </w:tcPr>
          <w:p w:rsidRPr="00AD4F6B" w:rsidR="007D1BED" w:rsidP="007D1BED" w:rsidRDefault="007D1BED" w14:paraId="194F6979" w14:textId="455C89F4">
            <w:pPr>
              <w:keepNext/>
              <w:keepLines/>
              <w:jc w:val="center"/>
              <w:rPr>
                <w:rFonts w:ascii="Arial Narrow" w:hAnsi="Arial Narrow"/>
                <w:sz w:val="20"/>
              </w:rPr>
            </w:pPr>
            <w:r w:rsidRPr="00AD4F6B">
              <w:rPr>
                <w:rFonts w:ascii="Arial Narrow" w:hAnsi="Arial Narrow"/>
                <w:sz w:val="20"/>
              </w:rPr>
              <w:t>1</w:t>
            </w:r>
          </w:p>
        </w:tc>
        <w:tc>
          <w:tcPr>
            <w:tcW w:w="462" w:type="pct"/>
            <w:vAlign w:val="center"/>
          </w:tcPr>
          <w:p w:rsidRPr="00AD4F6B" w:rsidR="007D1BED" w:rsidP="007D1BED" w:rsidRDefault="007D1BED" w14:paraId="168DF471" w14:textId="0A253567">
            <w:pPr>
              <w:keepNext/>
              <w:keepLines/>
              <w:jc w:val="center"/>
              <w:rPr>
                <w:rFonts w:ascii="Arial Narrow" w:hAnsi="Arial Narrow"/>
                <w:sz w:val="20"/>
              </w:rPr>
            </w:pPr>
            <w:r w:rsidRPr="00AD4F6B">
              <w:rPr>
                <w:rFonts w:ascii="Arial Narrow" w:hAnsi="Arial Narrow"/>
                <w:sz w:val="20"/>
              </w:rPr>
              <w:t>0</w:t>
            </w:r>
          </w:p>
        </w:tc>
        <w:tc>
          <w:tcPr>
            <w:tcW w:w="911" w:type="pct"/>
            <w:vAlign w:val="center"/>
          </w:tcPr>
          <w:p w:rsidRPr="00AD4F6B" w:rsidR="007D1BED" w:rsidP="007D1BED" w:rsidRDefault="007D1BED" w14:paraId="5EE75057" w14:textId="507E6923">
            <w:pPr>
              <w:keepNext/>
              <w:keepLines/>
              <w:rPr>
                <w:rFonts w:ascii="Arial Narrow" w:hAnsi="Arial Narrow"/>
                <w:sz w:val="20"/>
                <w:szCs w:val="20"/>
              </w:rPr>
            </w:pPr>
            <w:r w:rsidRPr="00AD4F6B">
              <w:rPr>
                <w:rFonts w:ascii="Arial Narrow" w:hAnsi="Arial Narrow"/>
                <w:sz w:val="20"/>
                <w:szCs w:val="20"/>
              </w:rPr>
              <w:t>ZOLGENSMA</w:t>
            </w:r>
          </w:p>
        </w:tc>
      </w:tr>
    </w:tbl>
    <w:p w:rsidRPr="00AD4F6B" w:rsidR="0017285A" w:rsidP="0017285A" w:rsidRDefault="0017285A" w14:paraId="3C771F67" w14:textId="5B37F7B2">
      <w:pPr>
        <w:pStyle w:val="TableFooter"/>
        <w:keepNext/>
        <w:keepLines/>
      </w:pPr>
      <w:bookmarkStart w:name="_Hlk104809082" w:id="12"/>
      <w:r w:rsidRPr="00AD4F6B">
        <w:t>Source: Tables 1.10 &amp; 1.11, p19 of the submission.</w:t>
      </w:r>
    </w:p>
    <w:p w:rsidRPr="00AD4F6B" w:rsidR="001B65A0" w:rsidP="008F3421" w:rsidRDefault="001B65A0" w14:paraId="3CF060F2" w14:textId="1AC3288B">
      <w:pPr>
        <w:keepNext/>
        <w:keepLines/>
        <w:rPr>
          <w:rFonts w:ascii="Arial Narrow" w:hAnsi="Arial Narrow"/>
          <w:sz w:val="18"/>
          <w:szCs w:val="18"/>
        </w:rPr>
      </w:pPr>
      <w:r w:rsidRPr="00AD4F6B">
        <w:rPr>
          <w:rFonts w:ascii="Arial Narrow" w:hAnsi="Arial Narrow"/>
          <w:sz w:val="18"/>
          <w:szCs w:val="18"/>
        </w:rPr>
        <w:t xml:space="preserve">SMA= spinal muscular atrophy; </w:t>
      </w:r>
      <w:r w:rsidRPr="00AD4F6B">
        <w:rPr>
          <w:rFonts w:ascii="Arial Narrow" w:hAnsi="Arial Narrow"/>
          <w:i/>
          <w:sz w:val="18"/>
          <w:szCs w:val="18"/>
        </w:rPr>
        <w:t>SMN2</w:t>
      </w:r>
      <w:r w:rsidRPr="00AD4F6B">
        <w:rPr>
          <w:rFonts w:ascii="Arial Narrow" w:hAnsi="Arial Narrow"/>
          <w:sz w:val="18"/>
          <w:szCs w:val="18"/>
        </w:rPr>
        <w:t>= survival motor neuron 2 gene</w:t>
      </w:r>
    </w:p>
    <w:p w:rsidRPr="00AD4F6B" w:rsidR="0032705F" w:rsidRDefault="0032705F" w14:paraId="3C498A85"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Caption w:val="Requested listing"/>
      </w:tblPr>
      <w:tblGrid>
        <w:gridCol w:w="9017"/>
      </w:tblGrid>
      <w:tr w:rsidRPr="00AD4F6B" w:rsidR="00AD4F6B" w:rsidTr="00EA35AC" w14:paraId="217BE88C" w14:textId="77777777">
        <w:trPr>
          <w:cantSplit/>
          <w:trHeight w:val="20"/>
        </w:trPr>
        <w:tc>
          <w:tcPr>
            <w:tcW w:w="5000" w:type="pct"/>
          </w:tcPr>
          <w:p w:rsidRPr="00AD4F6B" w:rsidR="0017285A" w:rsidRDefault="0017285A" w14:paraId="00E6634B" w14:textId="77777777">
            <w:pPr>
              <w:pStyle w:val="TableText0"/>
            </w:pPr>
            <w:r w:rsidRPr="00AD4F6B">
              <w:rPr>
                <w:b/>
              </w:rPr>
              <w:t xml:space="preserve">Category / Program: </w:t>
            </w:r>
            <w:r w:rsidRPr="00AD4F6B">
              <w:t>Section 100 – Highly Specialised Drugs Program</w:t>
            </w:r>
          </w:p>
        </w:tc>
      </w:tr>
      <w:tr w:rsidRPr="00AD4F6B" w:rsidR="00AD4F6B" w:rsidTr="00EA35AC" w14:paraId="573EAA6D" w14:textId="77777777">
        <w:trPr>
          <w:cantSplit/>
          <w:trHeight w:val="20"/>
        </w:trPr>
        <w:tc>
          <w:tcPr>
            <w:tcW w:w="5000" w:type="pct"/>
          </w:tcPr>
          <w:p w:rsidRPr="00AD4F6B" w:rsidR="0017285A" w:rsidRDefault="0017285A" w14:paraId="29951476" w14:textId="77777777">
            <w:pPr>
              <w:pStyle w:val="TableText0"/>
              <w:rPr>
                <w:b/>
              </w:rPr>
            </w:pPr>
            <w:r w:rsidRPr="00AD4F6B">
              <w:rPr>
                <w:b/>
              </w:rPr>
              <w:t xml:space="preserve">Prescriber type: </w:t>
            </w:r>
            <w:r w:rsidRPr="00AD4F6B">
              <w:fldChar w:fldCharType="begin">
                <w:ffData>
                  <w:name w:val=""/>
                  <w:enabled/>
                  <w:calcOnExit w:val="0"/>
                  <w:checkBox>
                    <w:sizeAuto/>
                    <w:default w:val="1"/>
                  </w:checkBox>
                </w:ffData>
              </w:fldChar>
            </w:r>
            <w:r w:rsidRPr="00AD4F6B">
              <w:instrText xml:space="preserve"> FORMCHECKBOX </w:instrText>
            </w:r>
            <w:r w:rsidRPr="00AD4F6B">
              <w:fldChar w:fldCharType="separate"/>
            </w:r>
            <w:r w:rsidRPr="00AD4F6B">
              <w:fldChar w:fldCharType="end"/>
            </w:r>
            <w:r w:rsidRPr="00AD4F6B">
              <w:t>Medical Practitioners</w:t>
            </w:r>
          </w:p>
        </w:tc>
      </w:tr>
      <w:tr w:rsidRPr="00AD4F6B" w:rsidR="00AD4F6B" w:rsidTr="00EA35AC" w14:paraId="6479AB0B" w14:textId="77777777">
        <w:trPr>
          <w:cantSplit/>
          <w:trHeight w:val="20"/>
        </w:trPr>
        <w:tc>
          <w:tcPr>
            <w:tcW w:w="5000" w:type="pct"/>
          </w:tcPr>
          <w:p w:rsidRPr="00AD4F6B" w:rsidR="0017285A" w:rsidRDefault="0017285A" w14:paraId="1A1CF898" w14:textId="77777777">
            <w:pPr>
              <w:pStyle w:val="TableText0"/>
              <w:rPr>
                <w:rFonts w:eastAsia="Times New Roman"/>
              </w:rPr>
            </w:pPr>
            <w:r w:rsidRPr="00AD4F6B">
              <w:rPr>
                <w:b/>
              </w:rPr>
              <w:t xml:space="preserve">Restriction type: </w:t>
            </w:r>
            <w:r w:rsidRPr="00AD4F6B">
              <w:rPr>
                <w:rFonts w:eastAsia="Times New Roman"/>
              </w:rPr>
              <w:fldChar w:fldCharType="begin">
                <w:ffData>
                  <w:name w:val=""/>
                  <w:enabled/>
                  <w:calcOnExit w:val="0"/>
                  <w:checkBox>
                    <w:sizeAuto/>
                    <w:default w:val="1"/>
                  </w:checkBox>
                </w:ffData>
              </w:fldChar>
            </w:r>
            <w:r w:rsidRPr="00AD4F6B">
              <w:rPr>
                <w:rFonts w:eastAsia="Times New Roman"/>
              </w:rPr>
              <w:instrText xml:space="preserve"> FORMCHECKBOX </w:instrText>
            </w:r>
            <w:r w:rsidRPr="00AD4F6B">
              <w:rPr>
                <w:rFonts w:eastAsia="Times New Roman"/>
              </w:rPr>
            </w:r>
            <w:r w:rsidRPr="00AD4F6B">
              <w:rPr>
                <w:rFonts w:eastAsia="Times New Roman"/>
              </w:rPr>
              <w:fldChar w:fldCharType="separate"/>
            </w:r>
            <w:r w:rsidRPr="00AD4F6B">
              <w:rPr>
                <w:rFonts w:eastAsia="Times New Roman"/>
              </w:rPr>
              <w:fldChar w:fldCharType="end"/>
            </w:r>
            <w:r w:rsidRPr="00AD4F6B">
              <w:rPr>
                <w:rFonts w:eastAsia="Times New Roman"/>
              </w:rPr>
              <w:t xml:space="preserve">Authority Required (in writing only via post/HPOS upload)  </w:t>
            </w:r>
          </w:p>
        </w:tc>
      </w:tr>
      <w:tr w:rsidRPr="00AD4F6B" w:rsidR="00AD4F6B" w:rsidTr="00EA35AC" w14:paraId="66C89318" w14:textId="77777777">
        <w:trPr>
          <w:cantSplit/>
          <w:trHeight w:val="20"/>
        </w:trPr>
        <w:tc>
          <w:tcPr>
            <w:tcW w:w="5000" w:type="pct"/>
            <w:vAlign w:val="center"/>
            <w:hideMark/>
          </w:tcPr>
          <w:p w:rsidRPr="00AD4F6B" w:rsidR="0017285A" w:rsidRDefault="0017285A" w14:paraId="2AA3BE4E" w14:textId="77777777">
            <w:pPr>
              <w:pStyle w:val="TableText0"/>
            </w:pPr>
            <w:r w:rsidRPr="00AD4F6B">
              <w:rPr>
                <w:b/>
              </w:rPr>
              <w:t>Indication:</w:t>
            </w:r>
            <w:r w:rsidRPr="00AD4F6B">
              <w:t xml:space="preserve"> Spinal Muscular Atrophy</w:t>
            </w:r>
          </w:p>
        </w:tc>
      </w:tr>
      <w:tr w:rsidRPr="00AD4F6B" w:rsidR="00AD4F6B" w:rsidTr="00EA35AC" w14:paraId="5B0C1AF1" w14:textId="77777777">
        <w:trPr>
          <w:cantSplit/>
          <w:trHeight w:val="20"/>
        </w:trPr>
        <w:tc>
          <w:tcPr>
            <w:tcW w:w="5000" w:type="pct"/>
            <w:vAlign w:val="center"/>
            <w:hideMark/>
          </w:tcPr>
          <w:p w:rsidRPr="00AD4F6B" w:rsidR="0017285A" w:rsidRDefault="0017285A" w14:paraId="37BFFAFA" w14:textId="77777777">
            <w:pPr>
              <w:pStyle w:val="TableText0"/>
            </w:pPr>
            <w:r w:rsidRPr="00AD4F6B">
              <w:rPr>
                <w:b/>
              </w:rPr>
              <w:t xml:space="preserve">Treatment Phase: </w:t>
            </w:r>
            <w:r w:rsidRPr="00AD4F6B">
              <w:rPr>
                <w:bCs w:val="0"/>
              </w:rPr>
              <w:t>Use in a patient untreated with disease modifying therapies for this condition</w:t>
            </w:r>
          </w:p>
        </w:tc>
      </w:tr>
      <w:tr w:rsidRPr="00AD4F6B" w:rsidR="00AD4F6B" w:rsidTr="00EA35AC" w14:paraId="12B4EDD4" w14:textId="77777777">
        <w:trPr>
          <w:cantSplit/>
          <w:trHeight w:val="20"/>
        </w:trPr>
        <w:tc>
          <w:tcPr>
            <w:tcW w:w="5000" w:type="pct"/>
            <w:vAlign w:val="center"/>
            <w:hideMark/>
          </w:tcPr>
          <w:p w:rsidRPr="00AD4F6B" w:rsidR="0017285A" w:rsidRDefault="0017285A" w14:paraId="7A726C62" w14:textId="77777777">
            <w:pPr>
              <w:pStyle w:val="TableText0"/>
            </w:pPr>
            <w:r w:rsidRPr="00AD4F6B">
              <w:rPr>
                <w:b/>
              </w:rPr>
              <w:t>Clinical criteria:</w:t>
            </w:r>
          </w:p>
        </w:tc>
      </w:tr>
      <w:tr w:rsidRPr="00AD4F6B" w:rsidR="00AD4F6B" w:rsidTr="00EA35AC" w14:paraId="2E1DB268" w14:textId="77777777">
        <w:trPr>
          <w:cantSplit/>
          <w:trHeight w:val="20"/>
        </w:trPr>
        <w:tc>
          <w:tcPr>
            <w:tcW w:w="5000" w:type="pct"/>
            <w:vAlign w:val="center"/>
            <w:hideMark/>
          </w:tcPr>
          <w:p w:rsidRPr="00AD4F6B" w:rsidR="0017285A" w:rsidRDefault="0017285A" w14:paraId="4214AC2B" w14:textId="77777777">
            <w:pPr>
              <w:pStyle w:val="TableText0"/>
            </w:pPr>
            <w:r w:rsidRPr="00AD4F6B">
              <w:t>The condition must have genetic confirmation of 5q homozygous deletion of the survival motor neuron 1 (SMN1) gene; OR</w:t>
            </w:r>
          </w:p>
        </w:tc>
      </w:tr>
      <w:tr w:rsidRPr="00AD4F6B" w:rsidR="00AD4F6B" w:rsidTr="00EA35AC" w14:paraId="1B380B40" w14:textId="77777777">
        <w:trPr>
          <w:cantSplit/>
          <w:trHeight w:val="20"/>
        </w:trPr>
        <w:tc>
          <w:tcPr>
            <w:tcW w:w="5000" w:type="pct"/>
            <w:vAlign w:val="center"/>
          </w:tcPr>
          <w:p w:rsidRPr="00AD4F6B" w:rsidR="0017285A" w:rsidRDefault="0017285A" w14:paraId="44520FE1" w14:textId="77777777">
            <w:pPr>
              <w:pStyle w:val="TableText0"/>
            </w:pPr>
            <w:r w:rsidRPr="00AD4F6B">
              <w:t>The condition must have genetic confirmation of deletion of one copy of the SMN1 gene in addition to a pathogenic/likely pathogenic variant in the remaining single copy of the SMN1 gene</w:t>
            </w:r>
          </w:p>
        </w:tc>
      </w:tr>
      <w:tr w:rsidRPr="00AD4F6B" w:rsidR="00AD4F6B" w:rsidTr="00EA35AC" w14:paraId="35183959" w14:textId="77777777">
        <w:trPr>
          <w:cantSplit/>
          <w:trHeight w:val="20"/>
        </w:trPr>
        <w:tc>
          <w:tcPr>
            <w:tcW w:w="5000" w:type="pct"/>
            <w:vAlign w:val="center"/>
            <w:hideMark/>
          </w:tcPr>
          <w:p w:rsidRPr="00AD4F6B" w:rsidR="0017285A" w:rsidRDefault="0017285A" w14:paraId="501447ED" w14:textId="77777777">
            <w:pPr>
              <w:pStyle w:val="TableText0"/>
            </w:pPr>
            <w:r w:rsidRPr="00AD4F6B">
              <w:rPr>
                <w:b/>
              </w:rPr>
              <w:t>AND</w:t>
            </w:r>
          </w:p>
        </w:tc>
      </w:tr>
      <w:tr w:rsidRPr="00AD4F6B" w:rsidR="00AD4F6B" w:rsidTr="00EA35AC" w14:paraId="6D52775D" w14:textId="77777777">
        <w:trPr>
          <w:cantSplit/>
          <w:trHeight w:val="20"/>
        </w:trPr>
        <w:tc>
          <w:tcPr>
            <w:tcW w:w="5000" w:type="pct"/>
            <w:vAlign w:val="center"/>
            <w:hideMark/>
          </w:tcPr>
          <w:p w:rsidRPr="00AD4F6B" w:rsidR="0017285A" w:rsidRDefault="0017285A" w14:paraId="7D5CD489" w14:textId="77777777">
            <w:pPr>
              <w:pStyle w:val="TableText0"/>
            </w:pPr>
            <w:r w:rsidRPr="00AD4F6B">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tc>
      </w:tr>
      <w:tr w:rsidRPr="00AD4F6B" w:rsidR="00AD4F6B" w:rsidTr="00EA35AC" w14:paraId="731E8884" w14:textId="77777777">
        <w:trPr>
          <w:cantSplit/>
          <w:trHeight w:val="20"/>
        </w:trPr>
        <w:tc>
          <w:tcPr>
            <w:tcW w:w="5000" w:type="pct"/>
            <w:vAlign w:val="center"/>
          </w:tcPr>
          <w:p w:rsidRPr="00AD4F6B" w:rsidR="0017285A" w:rsidRDefault="0017285A" w14:paraId="0FBA24B2" w14:textId="77777777">
            <w:pPr>
              <w:pStyle w:val="TableText0"/>
            </w:pPr>
            <w:r w:rsidRPr="00AD4F6B">
              <w:rPr>
                <w:b/>
              </w:rPr>
              <w:t>AND</w:t>
            </w:r>
          </w:p>
        </w:tc>
      </w:tr>
      <w:tr w:rsidRPr="00AD4F6B" w:rsidR="00AD4F6B" w:rsidTr="00EA35AC" w14:paraId="3A28D38D" w14:textId="77777777">
        <w:trPr>
          <w:cantSplit/>
          <w:trHeight w:val="20"/>
        </w:trPr>
        <w:tc>
          <w:tcPr>
            <w:tcW w:w="5000" w:type="pct"/>
            <w:vAlign w:val="center"/>
          </w:tcPr>
          <w:p w:rsidRPr="00AD4F6B" w:rsidR="0017285A" w:rsidRDefault="0017285A" w14:paraId="75683792" w14:textId="77777777">
            <w:pPr>
              <w:pStyle w:val="TableText0"/>
            </w:pPr>
            <w:r w:rsidRPr="00AD4F6B">
              <w:t>The treatment must be given concomitantly with best supportive care for this condition</w:t>
            </w:r>
          </w:p>
        </w:tc>
      </w:tr>
      <w:tr w:rsidRPr="00AD4F6B" w:rsidR="00AD4F6B" w:rsidTr="00EA35AC" w14:paraId="3AE0241C" w14:textId="77777777">
        <w:trPr>
          <w:cantSplit/>
          <w:trHeight w:val="20"/>
        </w:trPr>
        <w:tc>
          <w:tcPr>
            <w:tcW w:w="5000" w:type="pct"/>
            <w:vAlign w:val="center"/>
            <w:hideMark/>
          </w:tcPr>
          <w:p w:rsidRPr="00AD4F6B" w:rsidR="0017285A" w:rsidRDefault="0017285A" w14:paraId="4B489746" w14:textId="77777777">
            <w:pPr>
              <w:pStyle w:val="TableText0"/>
            </w:pPr>
            <w:r w:rsidRPr="00AD4F6B">
              <w:rPr>
                <w:b/>
              </w:rPr>
              <w:t>Treatment criteria:</w:t>
            </w:r>
          </w:p>
        </w:tc>
      </w:tr>
      <w:tr w:rsidRPr="00AD4F6B" w:rsidR="00AD4F6B" w:rsidTr="00EA35AC" w14:paraId="0577C8B8" w14:textId="77777777">
        <w:trPr>
          <w:cantSplit/>
          <w:trHeight w:val="20"/>
        </w:trPr>
        <w:tc>
          <w:tcPr>
            <w:tcW w:w="5000" w:type="pct"/>
            <w:vAlign w:val="center"/>
            <w:hideMark/>
          </w:tcPr>
          <w:p w:rsidRPr="00AD4F6B" w:rsidR="0017285A" w:rsidRDefault="0017285A" w14:paraId="43D60B2E" w14:textId="77777777">
            <w:pPr>
              <w:pStyle w:val="TableText0"/>
              <w:rPr>
                <w:i/>
                <w:iCs/>
              </w:rPr>
            </w:pPr>
            <w:r w:rsidRPr="00AD4F6B">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Pr="00AD4F6B" w:rsidR="00AD4F6B" w:rsidTr="00EA35AC" w14:paraId="63F81B4A" w14:textId="77777777">
        <w:trPr>
          <w:cantSplit/>
          <w:trHeight w:val="20"/>
        </w:trPr>
        <w:tc>
          <w:tcPr>
            <w:tcW w:w="5000" w:type="pct"/>
            <w:vAlign w:val="center"/>
          </w:tcPr>
          <w:p w:rsidRPr="00AD4F6B" w:rsidR="0017285A" w:rsidRDefault="0017285A" w14:paraId="5F5BE8A0" w14:textId="77777777">
            <w:pPr>
              <w:pStyle w:val="TableText0"/>
            </w:pPr>
            <w:r w:rsidRPr="00AD4F6B">
              <w:rPr>
                <w:b/>
              </w:rPr>
              <w:t>AND</w:t>
            </w:r>
          </w:p>
        </w:tc>
      </w:tr>
      <w:tr w:rsidRPr="00AD4F6B" w:rsidR="00AD4F6B" w:rsidTr="00EA35AC" w14:paraId="501723CA" w14:textId="77777777">
        <w:trPr>
          <w:cantSplit/>
          <w:trHeight w:val="20"/>
        </w:trPr>
        <w:tc>
          <w:tcPr>
            <w:tcW w:w="5000" w:type="pct"/>
            <w:vAlign w:val="center"/>
          </w:tcPr>
          <w:p w:rsidRPr="00AD4F6B" w:rsidR="0017285A" w:rsidRDefault="0017285A" w14:paraId="403BC591" w14:textId="77777777">
            <w:pPr>
              <w:pStyle w:val="TableText0"/>
            </w:pPr>
            <w:r w:rsidRPr="00AD4F6B">
              <w:t>Must be treated in a treatment centre that is each of: (i) recognised in the management of SMA, (ii) accredited in the use of this gene technology by the relevant authority, (iii) will(has) source(d) this product from an accredited supplier, as specified in the administrative notes to this listing</w:t>
            </w:r>
          </w:p>
        </w:tc>
      </w:tr>
      <w:tr w:rsidRPr="00AD4F6B" w:rsidR="00AD4F6B" w:rsidTr="00EA35AC" w14:paraId="77DBF207" w14:textId="77777777">
        <w:trPr>
          <w:cantSplit/>
          <w:trHeight w:val="20"/>
        </w:trPr>
        <w:tc>
          <w:tcPr>
            <w:tcW w:w="5000" w:type="pct"/>
            <w:vAlign w:val="center"/>
          </w:tcPr>
          <w:p w:rsidRPr="00AD4F6B" w:rsidR="0017285A" w:rsidRDefault="0017285A" w14:paraId="22C4ED9A" w14:textId="77777777">
            <w:pPr>
              <w:pStyle w:val="TableText0"/>
            </w:pPr>
            <w:r w:rsidRPr="00AD4F6B">
              <w:rPr>
                <w:b/>
              </w:rPr>
              <w:t>AND</w:t>
            </w:r>
          </w:p>
        </w:tc>
      </w:tr>
      <w:tr w:rsidRPr="00AD4F6B" w:rsidR="00AD4F6B" w:rsidTr="00EA35AC" w14:paraId="0D5EB20E" w14:textId="77777777">
        <w:trPr>
          <w:cantSplit/>
          <w:trHeight w:val="20"/>
        </w:trPr>
        <w:tc>
          <w:tcPr>
            <w:tcW w:w="5000" w:type="pct"/>
            <w:vAlign w:val="center"/>
          </w:tcPr>
          <w:p w:rsidRPr="00AD4F6B" w:rsidR="0017285A" w:rsidRDefault="0017285A" w14:paraId="4BE0E284"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once only in a lifetime</w:t>
            </w:r>
          </w:p>
        </w:tc>
      </w:tr>
      <w:tr w:rsidRPr="00AD4F6B" w:rsidR="00AD4F6B" w:rsidTr="00EA35AC" w14:paraId="598E1879" w14:textId="77777777">
        <w:trPr>
          <w:cantSplit/>
          <w:trHeight w:val="20"/>
        </w:trPr>
        <w:tc>
          <w:tcPr>
            <w:tcW w:w="5000" w:type="pct"/>
            <w:vAlign w:val="center"/>
          </w:tcPr>
          <w:p w:rsidRPr="00AD4F6B" w:rsidR="0017285A" w:rsidRDefault="0017285A" w14:paraId="04E17D3C" w14:textId="77777777">
            <w:pPr>
              <w:rPr>
                <w:rFonts w:ascii="Arial Narrow" w:hAnsi="Arial Narrow"/>
                <w:sz w:val="20"/>
                <w:szCs w:val="20"/>
              </w:rPr>
            </w:pPr>
            <w:r w:rsidRPr="00AD4F6B">
              <w:rPr>
                <w:rFonts w:ascii="Arial Narrow" w:hAnsi="Arial Narrow" w:eastAsiaTheme="majorEastAsia" w:cstheme="majorBidi"/>
                <w:b/>
                <w:bCs/>
                <w:sz w:val="20"/>
              </w:rPr>
              <w:t>AND</w:t>
            </w:r>
          </w:p>
        </w:tc>
      </w:tr>
      <w:tr w:rsidRPr="00AD4F6B" w:rsidR="00AD4F6B" w:rsidTr="00EA35AC" w14:paraId="316CEE76" w14:textId="77777777">
        <w:trPr>
          <w:cantSplit/>
          <w:trHeight w:val="20"/>
        </w:trPr>
        <w:tc>
          <w:tcPr>
            <w:tcW w:w="5000" w:type="pct"/>
            <w:vAlign w:val="center"/>
          </w:tcPr>
          <w:p w:rsidRPr="00AD4F6B" w:rsidR="0017285A" w:rsidRDefault="0017285A" w14:paraId="3B4DC435" w14:textId="77777777">
            <w:pPr>
              <w:rPr>
                <w:rFonts w:ascii="Arial Narrow" w:hAnsi="Arial Narrow"/>
                <w:sz w:val="20"/>
                <w:szCs w:val="20"/>
              </w:rPr>
            </w:pPr>
            <w:r w:rsidRPr="00AD4F6B">
              <w:rPr>
                <w:rFonts w:ascii="Arial Narrow" w:hAnsi="Arial Narrow"/>
                <w:sz w:val="20"/>
                <w:szCs w:val="20"/>
              </w:rPr>
              <w:t xml:space="preserve">Patient must not be undergoing treatment with this pharmaceutical benefit through this listing where prior treatment has occurred with any of: (i) nusinersen, (ii) </w:t>
            </w:r>
            <w:proofErr w:type="spellStart"/>
            <w:r w:rsidRPr="00AD4F6B">
              <w:rPr>
                <w:rFonts w:ascii="Arial Narrow" w:hAnsi="Arial Narrow"/>
                <w:sz w:val="20"/>
                <w:szCs w:val="20"/>
              </w:rPr>
              <w:t>risdiplam</w:t>
            </w:r>
            <w:proofErr w:type="spellEnd"/>
          </w:p>
        </w:tc>
      </w:tr>
      <w:tr w:rsidRPr="00AD4F6B" w:rsidR="00AD4F6B" w:rsidTr="00EA35AC" w14:paraId="4695BAFE" w14:textId="77777777">
        <w:trPr>
          <w:cantSplit/>
          <w:trHeight w:val="20"/>
        </w:trPr>
        <w:tc>
          <w:tcPr>
            <w:tcW w:w="5000" w:type="pct"/>
            <w:vAlign w:val="center"/>
            <w:hideMark/>
          </w:tcPr>
          <w:p w:rsidRPr="00AD4F6B" w:rsidR="0017285A" w:rsidRDefault="0017285A" w14:paraId="3B04EA1A" w14:textId="77777777">
            <w:pPr>
              <w:pStyle w:val="TableText0"/>
            </w:pPr>
            <w:r w:rsidRPr="00AD4F6B">
              <w:rPr>
                <w:b/>
              </w:rPr>
              <w:t>Population criteria:</w:t>
            </w:r>
          </w:p>
        </w:tc>
      </w:tr>
      <w:tr w:rsidRPr="00AD4F6B" w:rsidR="00AD4F6B" w:rsidTr="00EA35AC" w14:paraId="44787560" w14:textId="77777777">
        <w:trPr>
          <w:cantSplit/>
          <w:trHeight w:val="20"/>
        </w:trPr>
        <w:tc>
          <w:tcPr>
            <w:tcW w:w="5000" w:type="pct"/>
            <w:vAlign w:val="center"/>
          </w:tcPr>
          <w:p w:rsidRPr="00AD4F6B" w:rsidR="0017285A" w:rsidRDefault="0017285A" w14:paraId="79336A0D" w14:textId="77777777">
            <w:pPr>
              <w:pStyle w:val="TableText0"/>
            </w:pPr>
            <w:r w:rsidRPr="00AD4F6B">
              <w:t>Patient must weigh no heavier than 21kg</w:t>
            </w:r>
          </w:p>
        </w:tc>
      </w:tr>
      <w:tr w:rsidRPr="00AD4F6B" w:rsidR="00AD4F6B" w:rsidTr="00EA35AC" w14:paraId="7A37AF2B" w14:textId="77777777">
        <w:trPr>
          <w:cantSplit/>
          <w:trHeight w:val="20"/>
        </w:trPr>
        <w:tc>
          <w:tcPr>
            <w:tcW w:w="5000" w:type="pct"/>
            <w:vAlign w:val="center"/>
          </w:tcPr>
          <w:p w:rsidRPr="00AD4F6B" w:rsidR="0017285A" w:rsidRDefault="0017285A" w14:paraId="5C3BB911" w14:textId="77777777">
            <w:pPr>
              <w:pStyle w:val="TableText0"/>
            </w:pPr>
            <w:r w:rsidRPr="00AD4F6B">
              <w:rPr>
                <w:b/>
              </w:rPr>
              <w:t>AND</w:t>
            </w:r>
          </w:p>
        </w:tc>
      </w:tr>
      <w:tr w:rsidRPr="00AD4F6B" w:rsidR="00AD4F6B" w:rsidTr="00EA35AC" w14:paraId="74E87BAD" w14:textId="77777777">
        <w:trPr>
          <w:cantSplit/>
          <w:trHeight w:val="20"/>
        </w:trPr>
        <w:tc>
          <w:tcPr>
            <w:tcW w:w="5000" w:type="pct"/>
          </w:tcPr>
          <w:p w:rsidRPr="00AD4F6B" w:rsidR="0017285A" w:rsidRDefault="0017285A" w14:paraId="4547F756" w14:textId="77777777">
            <w:pPr>
              <w:rPr>
                <w:rFonts w:ascii="Arial Narrow" w:hAnsi="Arial Narrow"/>
                <w:sz w:val="20"/>
                <w:szCs w:val="20"/>
              </w:rPr>
            </w:pPr>
            <w:r w:rsidRPr="00AD4F6B">
              <w:rPr>
                <w:rFonts w:ascii="Arial Narrow" w:hAnsi="Arial Narrow"/>
                <w:sz w:val="20"/>
                <w:szCs w:val="20"/>
              </w:rPr>
              <w:t>Patient must have symptomatic Type I SMA; OR</w:t>
            </w:r>
          </w:p>
        </w:tc>
      </w:tr>
      <w:tr w:rsidRPr="00AD4F6B" w:rsidR="00AD4F6B" w:rsidTr="00EA35AC" w14:paraId="6EE13143" w14:textId="77777777">
        <w:trPr>
          <w:cantSplit/>
          <w:trHeight w:val="20"/>
        </w:trPr>
        <w:tc>
          <w:tcPr>
            <w:tcW w:w="5000" w:type="pct"/>
            <w:vAlign w:val="center"/>
          </w:tcPr>
          <w:p w:rsidRPr="00AD4F6B" w:rsidR="0017285A" w:rsidRDefault="0017285A" w14:paraId="15DD8919" w14:textId="77777777">
            <w:pPr>
              <w:rPr>
                <w:rFonts w:ascii="Arial Narrow" w:hAnsi="Arial Narrow"/>
                <w:sz w:val="20"/>
                <w:szCs w:val="20"/>
              </w:rPr>
            </w:pPr>
            <w:r w:rsidRPr="00AD4F6B">
              <w:rPr>
                <w:rFonts w:ascii="Arial Narrow" w:hAnsi="Arial Narrow"/>
                <w:sz w:val="20"/>
                <w:szCs w:val="20"/>
              </w:rPr>
              <w:t xml:space="preserve">Patient must have pre-symptomatic SMA with 1-2 copies of the </w:t>
            </w:r>
            <w:r w:rsidRPr="00AD4F6B">
              <w:rPr>
                <w:rFonts w:ascii="Arial Narrow" w:hAnsi="Arial Narrow"/>
                <w:i/>
                <w:iCs/>
                <w:sz w:val="20"/>
                <w:szCs w:val="20"/>
              </w:rPr>
              <w:t>SMN2</w:t>
            </w:r>
            <w:r w:rsidRPr="00AD4F6B">
              <w:rPr>
                <w:rFonts w:ascii="Arial Narrow" w:hAnsi="Arial Narrow"/>
                <w:sz w:val="20"/>
                <w:szCs w:val="20"/>
              </w:rPr>
              <w:t xml:space="preserve"> gene</w:t>
            </w:r>
          </w:p>
        </w:tc>
      </w:tr>
      <w:tr w:rsidRPr="00AD4F6B" w:rsidR="00AD4F6B" w:rsidTr="00EA35AC" w14:paraId="3A44007C" w14:textId="77777777">
        <w:trPr>
          <w:cantSplit/>
          <w:trHeight w:val="20"/>
        </w:trPr>
        <w:tc>
          <w:tcPr>
            <w:tcW w:w="5000" w:type="pct"/>
            <w:tcBorders>
              <w:top w:val="single" w:color="auto" w:sz="12" w:space="0"/>
            </w:tcBorders>
            <w:vAlign w:val="center"/>
          </w:tcPr>
          <w:p w:rsidRPr="00AD4F6B" w:rsidR="0017285A" w:rsidRDefault="0017285A" w14:paraId="502BC57C" w14:textId="77777777">
            <w:pPr>
              <w:pStyle w:val="TableText0"/>
            </w:pPr>
            <w:r w:rsidRPr="00AD4F6B">
              <w:rPr>
                <w:b/>
                <w:bCs w:val="0"/>
              </w:rPr>
              <w:t>Treatment Phase:</w:t>
            </w:r>
            <w:r w:rsidRPr="00AD4F6B">
              <w:t xml:space="preserve"> Use occurring after treatment with at least one disease modifying therapy for this condition (i.e. switching from nusinersen/</w:t>
            </w:r>
            <w:proofErr w:type="spellStart"/>
            <w:r w:rsidRPr="00AD4F6B">
              <w:t>risdiplam</w:t>
            </w:r>
            <w:proofErr w:type="spellEnd"/>
            <w:r w:rsidRPr="00AD4F6B">
              <w:t xml:space="preserve"> to onasemnogene abeparvovec)</w:t>
            </w:r>
          </w:p>
        </w:tc>
      </w:tr>
      <w:tr w:rsidRPr="00AD4F6B" w:rsidR="00AD4F6B" w:rsidTr="00EA35AC" w14:paraId="14B35C3C" w14:textId="77777777">
        <w:trPr>
          <w:cantSplit/>
          <w:trHeight w:val="20"/>
        </w:trPr>
        <w:tc>
          <w:tcPr>
            <w:tcW w:w="5000" w:type="pct"/>
            <w:vAlign w:val="center"/>
          </w:tcPr>
          <w:p w:rsidRPr="00AD4F6B" w:rsidR="0017285A" w:rsidRDefault="0017285A" w14:paraId="5DD3781A" w14:textId="77777777">
            <w:pPr>
              <w:pStyle w:val="TableText0"/>
              <w:rPr>
                <w:b/>
                <w:bCs w:val="0"/>
              </w:rPr>
            </w:pPr>
            <w:r w:rsidRPr="00AD4F6B">
              <w:rPr>
                <w:b/>
                <w:bCs w:val="0"/>
              </w:rPr>
              <w:t>Clinical criteria:</w:t>
            </w:r>
          </w:p>
        </w:tc>
      </w:tr>
      <w:tr w:rsidRPr="00AD4F6B" w:rsidR="00AD4F6B" w:rsidTr="00EA35AC" w14:paraId="78B346F9" w14:textId="77777777">
        <w:trPr>
          <w:cantSplit/>
          <w:trHeight w:val="20"/>
        </w:trPr>
        <w:tc>
          <w:tcPr>
            <w:tcW w:w="5000" w:type="pct"/>
            <w:vAlign w:val="center"/>
          </w:tcPr>
          <w:p w:rsidRPr="00AD4F6B" w:rsidR="0017285A" w:rsidRDefault="0017285A" w14:paraId="3FE614A8" w14:textId="77777777">
            <w:pPr>
              <w:pStyle w:val="TableText0"/>
            </w:pPr>
            <w:r w:rsidRPr="00AD4F6B">
              <w:t>The treatment must be given concomitantly with best supportive care for this condition</w:t>
            </w:r>
          </w:p>
        </w:tc>
      </w:tr>
      <w:tr w:rsidRPr="00AD4F6B" w:rsidR="00AD4F6B" w:rsidTr="00EA35AC" w14:paraId="49F476CC" w14:textId="77777777">
        <w:trPr>
          <w:cantSplit/>
          <w:trHeight w:val="20"/>
        </w:trPr>
        <w:tc>
          <w:tcPr>
            <w:tcW w:w="5000" w:type="pct"/>
            <w:vAlign w:val="center"/>
          </w:tcPr>
          <w:p w:rsidRPr="00AD4F6B" w:rsidR="0017285A" w:rsidRDefault="0017285A" w14:paraId="10B6A569" w14:textId="77777777">
            <w:pPr>
              <w:pStyle w:val="TableText0"/>
            </w:pPr>
            <w:r w:rsidRPr="00AD4F6B">
              <w:rPr>
                <w:b/>
              </w:rPr>
              <w:t>AND</w:t>
            </w:r>
          </w:p>
        </w:tc>
      </w:tr>
      <w:tr w:rsidRPr="00AD4F6B" w:rsidR="00AD4F6B" w:rsidTr="00EA35AC" w14:paraId="05153C5B" w14:textId="77777777">
        <w:trPr>
          <w:cantSplit/>
          <w:trHeight w:val="20"/>
        </w:trPr>
        <w:tc>
          <w:tcPr>
            <w:tcW w:w="5000" w:type="pct"/>
            <w:vAlign w:val="center"/>
          </w:tcPr>
          <w:p w:rsidRPr="00AD4F6B" w:rsidR="0017285A" w:rsidRDefault="0017285A" w14:paraId="427E5F27" w14:textId="77777777">
            <w:pPr>
              <w:pStyle w:val="TableText0"/>
            </w:pPr>
            <w:r w:rsidRPr="00AD4F6B">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tc>
      </w:tr>
      <w:tr w:rsidRPr="00AD4F6B" w:rsidR="00AD4F6B" w:rsidTr="00EA35AC" w14:paraId="49102EBB" w14:textId="77777777">
        <w:trPr>
          <w:cantSplit/>
          <w:trHeight w:val="20"/>
        </w:trPr>
        <w:tc>
          <w:tcPr>
            <w:tcW w:w="5000" w:type="pct"/>
            <w:vAlign w:val="center"/>
          </w:tcPr>
          <w:p w:rsidRPr="00AD4F6B" w:rsidR="0017285A" w:rsidRDefault="0017285A" w14:paraId="1AB912BA" w14:textId="77777777">
            <w:pPr>
              <w:pStyle w:val="TableText0"/>
              <w:rPr>
                <w:b/>
                <w:bCs w:val="0"/>
              </w:rPr>
            </w:pPr>
            <w:r w:rsidRPr="00AD4F6B">
              <w:rPr>
                <w:b/>
                <w:bCs w:val="0"/>
              </w:rPr>
              <w:t>Treatment criteria:</w:t>
            </w:r>
          </w:p>
        </w:tc>
      </w:tr>
      <w:tr w:rsidRPr="00AD4F6B" w:rsidR="00AD4F6B" w:rsidTr="00EA35AC" w14:paraId="29CAD57E" w14:textId="77777777">
        <w:trPr>
          <w:cantSplit/>
          <w:trHeight w:val="20"/>
        </w:trPr>
        <w:tc>
          <w:tcPr>
            <w:tcW w:w="5000" w:type="pct"/>
            <w:vAlign w:val="center"/>
          </w:tcPr>
          <w:p w:rsidRPr="00AD4F6B" w:rsidR="0017285A" w:rsidRDefault="0017285A" w14:paraId="0CDD8884" w14:textId="77777777">
            <w:pPr>
              <w:pStyle w:val="TableText0"/>
            </w:pPr>
            <w:r w:rsidRPr="00AD4F6B">
              <w:t>Patient must be undergoing treatment with this pharmaceutical benefit following prior PBS-subsidised treatment with at least one other disease modifying therapy for this condition</w:t>
            </w:r>
          </w:p>
        </w:tc>
      </w:tr>
      <w:tr w:rsidRPr="00AD4F6B" w:rsidR="00AD4F6B" w:rsidTr="00EA35AC" w14:paraId="25F26494" w14:textId="77777777">
        <w:trPr>
          <w:cantSplit/>
          <w:trHeight w:val="20"/>
        </w:trPr>
        <w:tc>
          <w:tcPr>
            <w:tcW w:w="5000" w:type="pct"/>
            <w:vAlign w:val="center"/>
          </w:tcPr>
          <w:p w:rsidRPr="00AD4F6B" w:rsidR="0017285A" w:rsidRDefault="0017285A" w14:paraId="656D1CAF" w14:textId="77777777">
            <w:pPr>
              <w:pStyle w:val="TableText0"/>
            </w:pPr>
            <w:r w:rsidRPr="00AD4F6B">
              <w:rPr>
                <w:b/>
              </w:rPr>
              <w:t>AND</w:t>
            </w:r>
          </w:p>
        </w:tc>
      </w:tr>
      <w:tr w:rsidRPr="00AD4F6B" w:rsidR="00AD4F6B" w:rsidTr="00EA35AC" w14:paraId="045CC2E0" w14:textId="77777777">
        <w:trPr>
          <w:cantSplit/>
          <w:trHeight w:val="20"/>
        </w:trPr>
        <w:tc>
          <w:tcPr>
            <w:tcW w:w="5000" w:type="pct"/>
            <w:vAlign w:val="center"/>
          </w:tcPr>
          <w:p w:rsidRPr="00AD4F6B" w:rsidR="0017285A" w:rsidRDefault="0017285A" w14:paraId="5F095708" w14:textId="77777777">
            <w:pPr>
              <w:pStyle w:val="TableText0"/>
            </w:pPr>
            <w:r w:rsidRPr="00AD4F6B">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Pr="00AD4F6B" w:rsidR="00AD4F6B" w:rsidTr="00EA35AC" w14:paraId="7C7F0141" w14:textId="77777777">
        <w:trPr>
          <w:cantSplit/>
          <w:trHeight w:val="20"/>
        </w:trPr>
        <w:tc>
          <w:tcPr>
            <w:tcW w:w="5000" w:type="pct"/>
            <w:vAlign w:val="center"/>
          </w:tcPr>
          <w:p w:rsidRPr="00AD4F6B" w:rsidR="0017285A" w:rsidRDefault="0017285A" w14:paraId="75ACAD3D" w14:textId="77777777">
            <w:pPr>
              <w:pStyle w:val="TableText0"/>
            </w:pPr>
            <w:r w:rsidRPr="00AD4F6B">
              <w:rPr>
                <w:b/>
              </w:rPr>
              <w:t>AND</w:t>
            </w:r>
          </w:p>
        </w:tc>
      </w:tr>
      <w:tr w:rsidRPr="00AD4F6B" w:rsidR="00AD4F6B" w:rsidTr="00EA35AC" w14:paraId="164A8628" w14:textId="77777777">
        <w:trPr>
          <w:cantSplit/>
          <w:trHeight w:val="20"/>
        </w:trPr>
        <w:tc>
          <w:tcPr>
            <w:tcW w:w="5000" w:type="pct"/>
            <w:vAlign w:val="center"/>
          </w:tcPr>
          <w:p w:rsidRPr="00AD4F6B" w:rsidR="0017285A" w:rsidRDefault="0017285A" w14:paraId="2F6023CF" w14:textId="77777777">
            <w:pPr>
              <w:pStyle w:val="TableText0"/>
            </w:pPr>
            <w:r w:rsidRPr="00AD4F6B">
              <w:t>Must be treated in a treatment centre that is each of: (i) recognised in the management of SMA, (ii) accredited in the use of this gene technology by the relevant authority, (iii) will(has) source(d) this product from an accredited supplier, as specified in the administrative notes to this listing</w:t>
            </w:r>
          </w:p>
        </w:tc>
      </w:tr>
      <w:tr w:rsidRPr="00AD4F6B" w:rsidR="00AD4F6B" w:rsidTr="00EA35AC" w14:paraId="38500BE8" w14:textId="77777777">
        <w:trPr>
          <w:cantSplit/>
          <w:trHeight w:val="20"/>
        </w:trPr>
        <w:tc>
          <w:tcPr>
            <w:tcW w:w="5000" w:type="pct"/>
            <w:vAlign w:val="center"/>
          </w:tcPr>
          <w:p w:rsidRPr="00AD4F6B" w:rsidR="0017285A" w:rsidRDefault="0017285A" w14:paraId="44096AB9" w14:textId="77777777">
            <w:pPr>
              <w:pStyle w:val="TableText0"/>
            </w:pPr>
            <w:r w:rsidRPr="00AD4F6B">
              <w:rPr>
                <w:b/>
              </w:rPr>
              <w:t>AND</w:t>
            </w:r>
          </w:p>
        </w:tc>
      </w:tr>
      <w:tr w:rsidRPr="00AD4F6B" w:rsidR="00AD4F6B" w:rsidTr="00EA35AC" w14:paraId="0EA478A3" w14:textId="77777777">
        <w:trPr>
          <w:cantSplit/>
          <w:trHeight w:val="20"/>
        </w:trPr>
        <w:tc>
          <w:tcPr>
            <w:tcW w:w="5000" w:type="pct"/>
            <w:vAlign w:val="center"/>
          </w:tcPr>
          <w:p w:rsidRPr="00AD4F6B" w:rsidR="0017285A" w:rsidRDefault="0017285A" w14:paraId="71E58ECE" w14:textId="77777777">
            <w:pPr>
              <w:pStyle w:val="TableText0"/>
            </w:pPr>
            <w:r w:rsidRPr="00AD4F6B">
              <w:t>Patient must be undergoing treatment with this pharmaceutical benefit once only in a lifetime</w:t>
            </w:r>
          </w:p>
        </w:tc>
      </w:tr>
      <w:tr w:rsidRPr="00AD4F6B" w:rsidR="00AD4F6B" w:rsidTr="00EA35AC" w14:paraId="71098E58" w14:textId="77777777">
        <w:trPr>
          <w:cantSplit/>
          <w:trHeight w:val="20"/>
        </w:trPr>
        <w:tc>
          <w:tcPr>
            <w:tcW w:w="5000" w:type="pct"/>
            <w:vAlign w:val="center"/>
          </w:tcPr>
          <w:p w:rsidRPr="00AD4F6B" w:rsidR="0017285A" w:rsidRDefault="0017285A" w14:paraId="56B4CC2C" w14:textId="77777777">
            <w:pPr>
              <w:pStyle w:val="TableText0"/>
            </w:pPr>
            <w:r w:rsidRPr="00AD4F6B">
              <w:rPr>
                <w:b/>
              </w:rPr>
              <w:t>AND</w:t>
            </w:r>
          </w:p>
        </w:tc>
      </w:tr>
      <w:tr w:rsidRPr="00AD4F6B" w:rsidR="00AD4F6B" w:rsidTr="00EA35AC" w14:paraId="176393DB" w14:textId="77777777">
        <w:trPr>
          <w:cantSplit/>
          <w:trHeight w:val="20"/>
        </w:trPr>
        <w:tc>
          <w:tcPr>
            <w:tcW w:w="5000" w:type="pct"/>
            <w:vAlign w:val="center"/>
          </w:tcPr>
          <w:p w:rsidRPr="00AD4F6B" w:rsidR="0017285A" w:rsidRDefault="0017285A" w14:paraId="16A6C86C" w14:textId="77777777">
            <w:pPr>
              <w:pStyle w:val="TableText0"/>
            </w:pPr>
            <w:r w:rsidRPr="00AD4F6B">
              <w:t>Patient must be undergoing treatment with this pharmaceutical benefit with the intent that treatment with the replaced disease modifying agent is/has ceased</w:t>
            </w:r>
          </w:p>
        </w:tc>
      </w:tr>
      <w:tr w:rsidRPr="00AD4F6B" w:rsidR="00AD4F6B" w:rsidTr="00EA35AC" w14:paraId="49BD4A6F" w14:textId="77777777">
        <w:trPr>
          <w:cantSplit/>
          <w:trHeight w:val="20"/>
        </w:trPr>
        <w:tc>
          <w:tcPr>
            <w:tcW w:w="5000" w:type="pct"/>
            <w:vAlign w:val="center"/>
          </w:tcPr>
          <w:p w:rsidRPr="00AD4F6B" w:rsidR="0017285A" w:rsidRDefault="0017285A" w14:paraId="622BEA02" w14:textId="77777777">
            <w:pPr>
              <w:pStyle w:val="TableText0"/>
            </w:pPr>
            <w:r w:rsidRPr="00AD4F6B">
              <w:rPr>
                <w:b/>
                <w:bCs w:val="0"/>
              </w:rPr>
              <w:t>Population criteria:</w:t>
            </w:r>
          </w:p>
        </w:tc>
      </w:tr>
      <w:tr w:rsidRPr="00AD4F6B" w:rsidR="00AD4F6B" w:rsidTr="00EA35AC" w14:paraId="2FCE6A4D" w14:textId="77777777">
        <w:trPr>
          <w:cantSplit/>
          <w:trHeight w:val="20"/>
        </w:trPr>
        <w:tc>
          <w:tcPr>
            <w:tcW w:w="5000" w:type="pct"/>
            <w:vAlign w:val="center"/>
          </w:tcPr>
          <w:p w:rsidRPr="00AD4F6B" w:rsidR="0017285A" w:rsidRDefault="0017285A" w14:paraId="7DDD59E4" w14:textId="77777777">
            <w:pPr>
              <w:pStyle w:val="TableText0"/>
            </w:pPr>
            <w:r w:rsidRPr="00AD4F6B">
              <w:t>Patient must weigh no heavier than 21kg</w:t>
            </w:r>
          </w:p>
        </w:tc>
      </w:tr>
      <w:tr w:rsidRPr="00AD4F6B" w:rsidR="00AD4F6B" w:rsidTr="00EA35AC" w14:paraId="15B3E6BD" w14:textId="77777777">
        <w:trPr>
          <w:cantSplit/>
          <w:trHeight w:val="20"/>
        </w:trPr>
        <w:tc>
          <w:tcPr>
            <w:tcW w:w="5000" w:type="pct"/>
          </w:tcPr>
          <w:p w:rsidRPr="00AD4F6B" w:rsidR="0017285A" w:rsidRDefault="0017285A" w14:paraId="1CD0EA29" w14:textId="77777777">
            <w:pPr>
              <w:rPr>
                <w:rFonts w:ascii="Arial Narrow" w:hAnsi="Arial Narrow"/>
                <w:sz w:val="20"/>
                <w:szCs w:val="20"/>
              </w:rPr>
            </w:pPr>
            <w:r w:rsidRPr="00AD4F6B">
              <w:rPr>
                <w:rFonts w:ascii="Arial Narrow" w:hAnsi="Arial Narrow" w:eastAsiaTheme="majorEastAsia" w:cstheme="majorBidi"/>
                <w:b/>
                <w:bCs/>
                <w:sz w:val="20"/>
              </w:rPr>
              <w:t>AND</w:t>
            </w:r>
          </w:p>
        </w:tc>
      </w:tr>
      <w:tr w:rsidRPr="00AD4F6B" w:rsidR="00AD4F6B" w:rsidTr="00EA35AC" w14:paraId="0386646D" w14:textId="77777777">
        <w:trPr>
          <w:cantSplit/>
          <w:trHeight w:val="20"/>
        </w:trPr>
        <w:tc>
          <w:tcPr>
            <w:tcW w:w="5000" w:type="pct"/>
          </w:tcPr>
          <w:p w:rsidRPr="00AD4F6B" w:rsidR="0017285A" w:rsidRDefault="0017285A" w14:paraId="31A78AD9" w14:textId="77777777">
            <w:pPr>
              <w:rPr>
                <w:rFonts w:ascii="Arial Narrow" w:hAnsi="Arial Narrow"/>
                <w:sz w:val="20"/>
                <w:szCs w:val="20"/>
              </w:rPr>
            </w:pPr>
            <w:r w:rsidRPr="00AD4F6B">
              <w:rPr>
                <w:rFonts w:ascii="Arial Narrow" w:hAnsi="Arial Narrow"/>
                <w:sz w:val="20"/>
                <w:szCs w:val="20"/>
              </w:rPr>
              <w:t>Patient must have symptomatic Type I SMA; OR</w:t>
            </w:r>
          </w:p>
        </w:tc>
      </w:tr>
      <w:tr w:rsidRPr="00AD4F6B" w:rsidR="00AD4F6B" w:rsidTr="00EA35AC" w14:paraId="5E109F24" w14:textId="77777777">
        <w:trPr>
          <w:cantSplit/>
          <w:trHeight w:val="20"/>
        </w:trPr>
        <w:tc>
          <w:tcPr>
            <w:tcW w:w="5000" w:type="pct"/>
            <w:tcBorders>
              <w:bottom w:val="single" w:color="auto" w:sz="4" w:space="0"/>
            </w:tcBorders>
            <w:vAlign w:val="center"/>
          </w:tcPr>
          <w:p w:rsidRPr="00AD4F6B" w:rsidR="0017285A" w:rsidRDefault="0017285A" w14:paraId="55C768E9" w14:textId="77777777">
            <w:pPr>
              <w:rPr>
                <w:rFonts w:ascii="Arial Narrow" w:hAnsi="Arial Narrow"/>
                <w:sz w:val="20"/>
                <w:szCs w:val="20"/>
              </w:rPr>
            </w:pPr>
            <w:r w:rsidRPr="00AD4F6B">
              <w:rPr>
                <w:rFonts w:ascii="Arial Narrow" w:hAnsi="Arial Narrow"/>
                <w:sz w:val="20"/>
                <w:szCs w:val="20"/>
              </w:rPr>
              <w:t xml:space="preserve">Patient must have pre-symptomatic SMA with 1-2 copies of the </w:t>
            </w:r>
            <w:r w:rsidRPr="00AD4F6B">
              <w:rPr>
                <w:rFonts w:ascii="Arial Narrow" w:hAnsi="Arial Narrow"/>
                <w:i/>
                <w:iCs/>
                <w:sz w:val="20"/>
                <w:szCs w:val="20"/>
              </w:rPr>
              <w:t>SMN2</w:t>
            </w:r>
            <w:r w:rsidRPr="00AD4F6B">
              <w:rPr>
                <w:rFonts w:ascii="Arial Narrow" w:hAnsi="Arial Narrow"/>
                <w:sz w:val="20"/>
                <w:szCs w:val="20"/>
              </w:rPr>
              <w:t xml:space="preserve"> gene</w:t>
            </w:r>
          </w:p>
        </w:tc>
      </w:tr>
    </w:tbl>
    <w:p w:rsidRPr="00AD4F6B" w:rsidR="00106106" w:rsidP="00106106" w:rsidRDefault="00106106" w14:paraId="62866C01" w14:textId="77777777">
      <w:pPr>
        <w:pStyle w:val="FooterTableFigure"/>
      </w:pPr>
      <w:r w:rsidRPr="00AD4F6B">
        <w:t>Source: Table 1.12, pp20-21 of the submission.</w:t>
      </w:r>
    </w:p>
    <w:p w:rsidRPr="00AD4F6B" w:rsidR="00106106" w:rsidP="00106106" w:rsidRDefault="00106106" w14:paraId="59EA5C7F" w14:textId="77777777">
      <w:pPr>
        <w:pStyle w:val="FooterTableFigure"/>
        <w:spacing w:after="0"/>
      </w:pPr>
      <w:r w:rsidRPr="00AD4F6B">
        <w:t>kg= kilogram; SMA= spinal muscular atrophy; SMN= survival of motor neurone; PBS= Pharmaceutical Benefits Scheme</w:t>
      </w:r>
    </w:p>
    <w:p w:rsidRPr="00AD4F6B" w:rsidR="0017285A" w:rsidRDefault="0017285A" w14:paraId="6711A987"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bottom w:w="15" w:type="dxa"/>
        </w:tblCellMar>
        <w:tblLook w:val="04A0" w:firstRow="1" w:lastRow="0" w:firstColumn="1" w:lastColumn="0" w:noHBand="0" w:noVBand="1"/>
        <w:tblCaption w:val="Requested listing"/>
      </w:tblPr>
      <w:tblGrid>
        <w:gridCol w:w="9017"/>
      </w:tblGrid>
      <w:tr w:rsidRPr="00AD4F6B" w:rsidR="00AD4F6B" w14:paraId="11EAC46C" w14:textId="77777777">
        <w:trPr>
          <w:cantSplit/>
          <w:trHeight w:val="20"/>
        </w:trPr>
        <w:tc>
          <w:tcPr>
            <w:tcW w:w="5000" w:type="pct"/>
          </w:tcPr>
          <w:p w:rsidRPr="00AD4F6B" w:rsidR="00106106" w:rsidRDefault="00106106" w14:paraId="5A9E9C9B" w14:textId="77777777">
            <w:pPr>
              <w:pStyle w:val="TableText0"/>
            </w:pPr>
            <w:r w:rsidRPr="00AD4F6B">
              <w:rPr>
                <w:b/>
              </w:rPr>
              <w:t xml:space="preserve">Category / Program: </w:t>
            </w:r>
            <w:r w:rsidRPr="00AD4F6B">
              <w:t>Section 100 – Highly Specialised Drugs Program</w:t>
            </w:r>
          </w:p>
        </w:tc>
      </w:tr>
      <w:tr w:rsidRPr="00AD4F6B" w:rsidR="00AD4F6B" w14:paraId="5F090C7A" w14:textId="77777777">
        <w:trPr>
          <w:cantSplit/>
          <w:trHeight w:val="20"/>
        </w:trPr>
        <w:tc>
          <w:tcPr>
            <w:tcW w:w="5000" w:type="pct"/>
          </w:tcPr>
          <w:p w:rsidRPr="00AD4F6B" w:rsidR="00106106" w:rsidRDefault="00106106" w14:paraId="767E1C1A" w14:textId="77777777">
            <w:pPr>
              <w:pStyle w:val="TableText0"/>
              <w:rPr>
                <w:b/>
              </w:rPr>
            </w:pPr>
            <w:r w:rsidRPr="00AD4F6B">
              <w:rPr>
                <w:b/>
              </w:rPr>
              <w:t xml:space="preserve">Prescriber type: </w:t>
            </w:r>
            <w:r w:rsidRPr="00AD4F6B">
              <w:fldChar w:fldCharType="begin">
                <w:ffData>
                  <w:name w:val=""/>
                  <w:enabled/>
                  <w:calcOnExit w:val="0"/>
                  <w:checkBox>
                    <w:sizeAuto/>
                    <w:default w:val="1"/>
                  </w:checkBox>
                </w:ffData>
              </w:fldChar>
            </w:r>
            <w:r w:rsidRPr="00AD4F6B">
              <w:instrText xml:space="preserve"> FORMCHECKBOX </w:instrText>
            </w:r>
            <w:r w:rsidRPr="00AD4F6B">
              <w:fldChar w:fldCharType="separate"/>
            </w:r>
            <w:r w:rsidRPr="00AD4F6B">
              <w:fldChar w:fldCharType="end"/>
            </w:r>
            <w:r w:rsidRPr="00AD4F6B">
              <w:t>Medical Practitioners</w:t>
            </w:r>
          </w:p>
        </w:tc>
      </w:tr>
      <w:tr w:rsidRPr="00AD4F6B" w:rsidR="00AD4F6B" w14:paraId="55E02B7F" w14:textId="77777777">
        <w:trPr>
          <w:cantSplit/>
          <w:trHeight w:val="20"/>
        </w:trPr>
        <w:tc>
          <w:tcPr>
            <w:tcW w:w="5000" w:type="pct"/>
          </w:tcPr>
          <w:p w:rsidRPr="00AD4F6B" w:rsidR="00106106" w:rsidRDefault="00106106" w14:paraId="7930880C" w14:textId="77777777">
            <w:pPr>
              <w:pStyle w:val="TableText0"/>
              <w:rPr>
                <w:rFonts w:eastAsia="Times New Roman"/>
              </w:rPr>
            </w:pPr>
            <w:r w:rsidRPr="00AD4F6B">
              <w:rPr>
                <w:b/>
              </w:rPr>
              <w:t xml:space="preserve">Restriction type: </w:t>
            </w:r>
            <w:r w:rsidRPr="00AD4F6B">
              <w:rPr>
                <w:rFonts w:eastAsia="Times New Roman"/>
              </w:rPr>
              <w:fldChar w:fldCharType="begin">
                <w:ffData>
                  <w:name w:val=""/>
                  <w:enabled/>
                  <w:calcOnExit w:val="0"/>
                  <w:checkBox>
                    <w:sizeAuto/>
                    <w:default w:val="1"/>
                  </w:checkBox>
                </w:ffData>
              </w:fldChar>
            </w:r>
            <w:r w:rsidRPr="00AD4F6B">
              <w:rPr>
                <w:rFonts w:eastAsia="Times New Roman"/>
              </w:rPr>
              <w:instrText xml:space="preserve"> FORMCHECKBOX </w:instrText>
            </w:r>
            <w:r w:rsidRPr="00AD4F6B">
              <w:rPr>
                <w:rFonts w:eastAsia="Times New Roman"/>
              </w:rPr>
            </w:r>
            <w:r w:rsidRPr="00AD4F6B">
              <w:rPr>
                <w:rFonts w:eastAsia="Times New Roman"/>
              </w:rPr>
              <w:fldChar w:fldCharType="separate"/>
            </w:r>
            <w:r w:rsidRPr="00AD4F6B">
              <w:rPr>
                <w:rFonts w:eastAsia="Times New Roman"/>
              </w:rPr>
              <w:fldChar w:fldCharType="end"/>
            </w:r>
            <w:r w:rsidRPr="00AD4F6B">
              <w:rPr>
                <w:rFonts w:eastAsia="Times New Roman"/>
              </w:rPr>
              <w:t xml:space="preserve">Authority Required (in writing only via post/HPOS upload)  </w:t>
            </w:r>
          </w:p>
        </w:tc>
      </w:tr>
      <w:tr w:rsidRPr="00AD4F6B" w:rsidR="00AD4F6B" w14:paraId="31D9D4E9" w14:textId="77777777">
        <w:trPr>
          <w:cantSplit/>
          <w:trHeight w:val="20"/>
        </w:trPr>
        <w:tc>
          <w:tcPr>
            <w:tcW w:w="5000" w:type="pct"/>
            <w:vAlign w:val="center"/>
            <w:hideMark/>
          </w:tcPr>
          <w:p w:rsidRPr="00AD4F6B" w:rsidR="00106106" w:rsidRDefault="00106106" w14:paraId="13F179C9" w14:textId="77777777">
            <w:pPr>
              <w:pStyle w:val="TableText0"/>
            </w:pPr>
            <w:r w:rsidRPr="00AD4F6B">
              <w:rPr>
                <w:b/>
              </w:rPr>
              <w:t>Indication:</w:t>
            </w:r>
            <w:r w:rsidRPr="00AD4F6B">
              <w:t xml:space="preserve"> Spinal Muscular Atrophy</w:t>
            </w:r>
          </w:p>
        </w:tc>
      </w:tr>
      <w:tr w:rsidRPr="00AD4F6B" w:rsidR="00AD4F6B" w14:paraId="3017FD05" w14:textId="77777777">
        <w:trPr>
          <w:cantSplit/>
          <w:trHeight w:val="20"/>
        </w:trPr>
        <w:tc>
          <w:tcPr>
            <w:tcW w:w="5000" w:type="pct"/>
          </w:tcPr>
          <w:p w:rsidRPr="00AD4F6B" w:rsidR="00106106" w:rsidRDefault="00106106" w14:paraId="0CC9ADAA" w14:textId="77777777">
            <w:pPr>
              <w:pStyle w:val="TableText0"/>
            </w:pPr>
            <w:r w:rsidRPr="00AD4F6B">
              <w:rPr>
                <w:rFonts w:ascii="Aptos Narrow" w:hAnsi="Aptos Narrow" w:eastAsia="Times New Roman" w:cs="Open Sans"/>
                <w:b/>
                <w:snapToGrid w:val="0"/>
                <w:kern w:val="2"/>
                <w:bdr w:val="none" w:color="auto" w:sz="0" w:space="0" w:frame="1"/>
                <w14:ligatures w14:val="standardContextual"/>
              </w:rPr>
              <w:t xml:space="preserve">Treatment Phase: </w:t>
            </w:r>
            <w:r w:rsidRPr="00AD4F6B">
              <w:rPr>
                <w:rFonts w:eastAsia="Times New Roman" w:cs="Open Sans"/>
                <w:snapToGrid w:val="0"/>
                <w:kern w:val="2"/>
                <w:bdr w:val="none" w:color="auto" w:sz="0" w:space="0" w:frame="1"/>
                <w14:ligatures w14:val="standardContextual"/>
              </w:rPr>
              <w:t>Use in a patient untreated with disease modifying therapies for this condition</w:t>
            </w:r>
          </w:p>
        </w:tc>
      </w:tr>
      <w:tr w:rsidRPr="00AD4F6B" w:rsidR="00AD4F6B" w14:paraId="2C3ADD6F" w14:textId="77777777">
        <w:trPr>
          <w:cantSplit/>
          <w:trHeight w:val="20"/>
        </w:trPr>
        <w:tc>
          <w:tcPr>
            <w:tcW w:w="5000" w:type="pct"/>
            <w:vAlign w:val="center"/>
          </w:tcPr>
          <w:p w:rsidRPr="00AD4F6B" w:rsidR="00106106" w:rsidRDefault="00106106" w14:paraId="23526D61" w14:textId="77777777">
            <w:pPr>
              <w:rPr>
                <w:rFonts w:ascii="Arial Narrow" w:hAnsi="Arial Narrow"/>
                <w:b/>
                <w:bCs/>
                <w:sz w:val="20"/>
                <w:szCs w:val="20"/>
              </w:rPr>
            </w:pPr>
            <w:r w:rsidRPr="00AD4F6B">
              <w:rPr>
                <w:rFonts w:ascii="Arial Narrow" w:hAnsi="Arial Narrow"/>
                <w:b/>
                <w:bCs/>
                <w:sz w:val="20"/>
                <w:szCs w:val="20"/>
              </w:rPr>
              <w:t xml:space="preserve">Clinical criteria: </w:t>
            </w:r>
          </w:p>
        </w:tc>
      </w:tr>
      <w:tr w:rsidRPr="00AD4F6B" w:rsidR="00AD4F6B" w14:paraId="64AC0F4B" w14:textId="77777777">
        <w:trPr>
          <w:cantSplit/>
          <w:trHeight w:val="20"/>
        </w:trPr>
        <w:tc>
          <w:tcPr>
            <w:tcW w:w="5000" w:type="pct"/>
            <w:vAlign w:val="center"/>
          </w:tcPr>
          <w:p w:rsidRPr="00AD4F6B" w:rsidR="00106106" w:rsidRDefault="00106106" w14:paraId="694DB1D4" w14:textId="77777777">
            <w:pPr>
              <w:rPr>
                <w:rFonts w:ascii="Arial Narrow" w:hAnsi="Arial Narrow"/>
                <w:sz w:val="20"/>
                <w:szCs w:val="20"/>
              </w:rPr>
            </w:pPr>
            <w:r w:rsidRPr="00AD4F6B">
              <w:rPr>
                <w:rFonts w:ascii="Arial Narrow" w:hAnsi="Arial Narrow"/>
                <w:sz w:val="20"/>
                <w:szCs w:val="20"/>
              </w:rPr>
              <w:t>The condition must have genetic confirmation of 5q homozygous deletion of the survival motor neuron 1 (SMN1) gene; OR</w:t>
            </w:r>
          </w:p>
        </w:tc>
      </w:tr>
      <w:tr w:rsidRPr="00AD4F6B" w:rsidR="00AD4F6B" w14:paraId="4D70111B" w14:textId="77777777">
        <w:trPr>
          <w:cantSplit/>
          <w:trHeight w:val="20"/>
        </w:trPr>
        <w:tc>
          <w:tcPr>
            <w:tcW w:w="5000" w:type="pct"/>
            <w:vAlign w:val="center"/>
          </w:tcPr>
          <w:p w:rsidRPr="00AD4F6B" w:rsidR="00106106" w:rsidRDefault="00106106" w14:paraId="37D3A50F" w14:textId="77777777">
            <w:pPr>
              <w:rPr>
                <w:rFonts w:ascii="Arial Narrow" w:hAnsi="Arial Narrow"/>
                <w:sz w:val="20"/>
                <w:szCs w:val="20"/>
              </w:rPr>
            </w:pPr>
            <w:r w:rsidRPr="00AD4F6B">
              <w:rPr>
                <w:rFonts w:ascii="Arial Narrow" w:hAnsi="Arial Narrow"/>
                <w:sz w:val="20"/>
                <w:szCs w:val="20"/>
              </w:rPr>
              <w:t>The condition must have genetic confirmation of deletion of one copy of the SMN1 gene in addition to a pathogenic/likely pathogenic variant in the remaining single copy of the SMN1 gene</w:t>
            </w:r>
          </w:p>
        </w:tc>
      </w:tr>
      <w:tr w:rsidRPr="00AD4F6B" w:rsidR="00AD4F6B" w14:paraId="2CA2E707" w14:textId="77777777">
        <w:trPr>
          <w:cantSplit/>
          <w:trHeight w:val="20"/>
        </w:trPr>
        <w:tc>
          <w:tcPr>
            <w:tcW w:w="5000" w:type="pct"/>
            <w:vAlign w:val="center"/>
          </w:tcPr>
          <w:p w:rsidRPr="00AD4F6B" w:rsidR="00106106" w:rsidRDefault="00106106" w14:paraId="5F4D1EC9"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265D09B1" w14:textId="77777777">
        <w:trPr>
          <w:cantSplit/>
          <w:trHeight w:val="20"/>
        </w:trPr>
        <w:tc>
          <w:tcPr>
            <w:tcW w:w="5000" w:type="pct"/>
            <w:vAlign w:val="center"/>
          </w:tcPr>
          <w:p w:rsidRPr="00AD4F6B" w:rsidR="00106106" w:rsidRDefault="00106106" w14:paraId="0085C180" w14:textId="77777777">
            <w:pPr>
              <w:rPr>
                <w:rFonts w:ascii="Arial Narrow" w:hAnsi="Arial Narrow"/>
                <w:sz w:val="20"/>
                <w:szCs w:val="20"/>
              </w:rPr>
            </w:pPr>
            <w:r w:rsidRPr="00AD4F6B">
              <w:rPr>
                <w:rFonts w:ascii="Arial Narrow" w:hAnsi="Arial Narrow"/>
                <w:sz w:val="20"/>
                <w:szCs w:val="20"/>
              </w:rPr>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tc>
      </w:tr>
      <w:tr w:rsidRPr="00AD4F6B" w:rsidR="00AD4F6B" w14:paraId="54F28307" w14:textId="77777777">
        <w:trPr>
          <w:cantSplit/>
          <w:trHeight w:val="20"/>
        </w:trPr>
        <w:tc>
          <w:tcPr>
            <w:tcW w:w="5000" w:type="pct"/>
            <w:vAlign w:val="center"/>
          </w:tcPr>
          <w:p w:rsidRPr="00AD4F6B" w:rsidR="00106106" w:rsidRDefault="00106106" w14:paraId="5A499C00"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7C266AD8" w14:textId="77777777">
        <w:trPr>
          <w:cantSplit/>
          <w:trHeight w:val="20"/>
        </w:trPr>
        <w:tc>
          <w:tcPr>
            <w:tcW w:w="5000" w:type="pct"/>
            <w:vAlign w:val="center"/>
          </w:tcPr>
          <w:p w:rsidRPr="00AD4F6B" w:rsidR="00106106" w:rsidRDefault="00106106" w14:paraId="76998F96" w14:textId="77777777">
            <w:pPr>
              <w:rPr>
                <w:rFonts w:ascii="Arial Narrow" w:hAnsi="Arial Narrow"/>
                <w:sz w:val="20"/>
                <w:szCs w:val="20"/>
              </w:rPr>
            </w:pPr>
            <w:r w:rsidRPr="00AD4F6B">
              <w:rPr>
                <w:rFonts w:ascii="Arial Narrow" w:hAnsi="Arial Narrow"/>
                <w:sz w:val="20"/>
                <w:szCs w:val="20"/>
              </w:rPr>
              <w:t>The treatment must be given concomitantly with best supportive care for this condition</w:t>
            </w:r>
          </w:p>
        </w:tc>
      </w:tr>
      <w:tr w:rsidRPr="00AD4F6B" w:rsidR="00AD4F6B" w14:paraId="225A3FBC" w14:textId="77777777">
        <w:trPr>
          <w:cantSplit/>
          <w:trHeight w:val="20"/>
        </w:trPr>
        <w:tc>
          <w:tcPr>
            <w:tcW w:w="5000" w:type="pct"/>
            <w:vAlign w:val="center"/>
          </w:tcPr>
          <w:p w:rsidRPr="00AD4F6B" w:rsidR="00106106" w:rsidRDefault="00106106" w14:paraId="68DDDC53"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AD4F6B" w14:paraId="26C93D17" w14:textId="77777777">
        <w:trPr>
          <w:cantSplit/>
          <w:trHeight w:val="20"/>
        </w:trPr>
        <w:tc>
          <w:tcPr>
            <w:tcW w:w="5000" w:type="pct"/>
            <w:vAlign w:val="center"/>
          </w:tcPr>
          <w:p w:rsidRPr="00AD4F6B" w:rsidR="00106106" w:rsidRDefault="00106106" w14:paraId="7B4BD221" w14:textId="77777777">
            <w:pPr>
              <w:rPr>
                <w:rFonts w:ascii="Arial Narrow" w:hAnsi="Arial Narrow"/>
                <w:sz w:val="20"/>
                <w:szCs w:val="20"/>
              </w:rPr>
            </w:pPr>
            <w:r w:rsidRPr="00AD4F6B">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Pr="00AD4F6B" w:rsidR="00AD4F6B" w14:paraId="6423D2E7" w14:textId="77777777">
        <w:trPr>
          <w:cantSplit/>
          <w:trHeight w:val="20"/>
        </w:trPr>
        <w:tc>
          <w:tcPr>
            <w:tcW w:w="5000" w:type="pct"/>
            <w:vAlign w:val="center"/>
          </w:tcPr>
          <w:p w:rsidRPr="00AD4F6B" w:rsidR="00106106" w:rsidRDefault="00106106" w14:paraId="11397400"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4B4C9255" w14:textId="77777777">
        <w:trPr>
          <w:cantSplit/>
          <w:trHeight w:val="20"/>
        </w:trPr>
        <w:tc>
          <w:tcPr>
            <w:tcW w:w="5000" w:type="pct"/>
            <w:vAlign w:val="center"/>
          </w:tcPr>
          <w:p w:rsidRPr="00AD4F6B" w:rsidR="00106106" w:rsidRDefault="00106106" w14:paraId="4D5EDCE1" w14:textId="77777777">
            <w:pPr>
              <w:rPr>
                <w:rFonts w:ascii="Arial Narrow" w:hAnsi="Arial Narrow"/>
                <w:sz w:val="20"/>
                <w:szCs w:val="20"/>
              </w:rPr>
            </w:pPr>
            <w:r w:rsidRPr="00AD4F6B">
              <w:rPr>
                <w:rFonts w:ascii="Arial Narrow" w:hAnsi="Arial Narrow"/>
                <w:sz w:val="20"/>
                <w:szCs w:val="20"/>
              </w:rPr>
              <w:t>Must be treated in a treatment centre that is each of: (i) recognised in the management of SMA, (ii) accredited in the use of this gene technology by the relevant authority, (iii) will(has) source(d) this product from an accredited supplier, as specified in the administrative notes to this listing</w:t>
            </w:r>
          </w:p>
        </w:tc>
      </w:tr>
      <w:tr w:rsidRPr="00AD4F6B" w:rsidR="00AD4F6B" w14:paraId="5535FDCA" w14:textId="77777777">
        <w:trPr>
          <w:cantSplit/>
          <w:trHeight w:val="20"/>
        </w:trPr>
        <w:tc>
          <w:tcPr>
            <w:tcW w:w="5000" w:type="pct"/>
            <w:vAlign w:val="center"/>
          </w:tcPr>
          <w:p w:rsidRPr="00AD4F6B" w:rsidR="00106106" w:rsidRDefault="00106106" w14:paraId="5396A49D"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68D669BC" w14:textId="77777777">
        <w:trPr>
          <w:cantSplit/>
          <w:trHeight w:val="20"/>
        </w:trPr>
        <w:tc>
          <w:tcPr>
            <w:tcW w:w="5000" w:type="pct"/>
            <w:vAlign w:val="center"/>
          </w:tcPr>
          <w:p w:rsidRPr="00AD4F6B" w:rsidR="00106106" w:rsidRDefault="00106106" w14:paraId="135617A9"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once only in a lifetime</w:t>
            </w:r>
          </w:p>
        </w:tc>
      </w:tr>
      <w:tr w:rsidRPr="00AD4F6B" w:rsidR="00AD4F6B" w14:paraId="07AB767D" w14:textId="77777777">
        <w:trPr>
          <w:cantSplit/>
          <w:trHeight w:val="20"/>
        </w:trPr>
        <w:tc>
          <w:tcPr>
            <w:tcW w:w="5000" w:type="pct"/>
            <w:vAlign w:val="center"/>
          </w:tcPr>
          <w:p w:rsidRPr="00AD4F6B" w:rsidR="00106106" w:rsidRDefault="00106106" w14:paraId="04A34C1C"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44134480" w14:textId="77777777">
        <w:trPr>
          <w:cantSplit/>
          <w:trHeight w:val="20"/>
        </w:trPr>
        <w:tc>
          <w:tcPr>
            <w:tcW w:w="5000" w:type="pct"/>
            <w:vAlign w:val="center"/>
          </w:tcPr>
          <w:p w:rsidRPr="00AD4F6B" w:rsidR="00106106" w:rsidRDefault="00106106" w14:paraId="57ED423F" w14:textId="77777777">
            <w:pPr>
              <w:rPr>
                <w:rFonts w:ascii="Arial Narrow" w:hAnsi="Arial Narrow"/>
                <w:sz w:val="20"/>
                <w:szCs w:val="20"/>
              </w:rPr>
            </w:pPr>
            <w:r w:rsidRPr="00AD4F6B">
              <w:rPr>
                <w:rFonts w:ascii="Arial Narrow" w:hAnsi="Arial Narrow"/>
                <w:sz w:val="20"/>
                <w:szCs w:val="20"/>
              </w:rPr>
              <w:t xml:space="preserve">Patient must not be undergoing treatment with this pharmaceutical benefit through this listing where prior treatment has occurred with any of: (i) nusinersen, (ii) </w:t>
            </w:r>
            <w:proofErr w:type="spellStart"/>
            <w:r w:rsidRPr="00AD4F6B">
              <w:rPr>
                <w:rFonts w:ascii="Arial Narrow" w:hAnsi="Arial Narrow"/>
                <w:sz w:val="20"/>
                <w:szCs w:val="20"/>
              </w:rPr>
              <w:t>risdiplam</w:t>
            </w:r>
            <w:proofErr w:type="spellEnd"/>
          </w:p>
        </w:tc>
      </w:tr>
      <w:tr w:rsidRPr="00AD4F6B" w:rsidR="00AD4F6B" w14:paraId="20A5973E" w14:textId="77777777">
        <w:trPr>
          <w:cantSplit/>
          <w:trHeight w:val="20"/>
        </w:trPr>
        <w:tc>
          <w:tcPr>
            <w:tcW w:w="5000" w:type="pct"/>
            <w:vAlign w:val="center"/>
          </w:tcPr>
          <w:p w:rsidRPr="00AD4F6B" w:rsidR="00106106" w:rsidRDefault="00106106" w14:paraId="3237C5A2" w14:textId="77777777">
            <w:pPr>
              <w:rPr>
                <w:rFonts w:ascii="Arial Narrow" w:hAnsi="Arial Narrow"/>
                <w:sz w:val="20"/>
                <w:szCs w:val="20"/>
              </w:rPr>
            </w:pPr>
            <w:r w:rsidRPr="00AD4F6B">
              <w:rPr>
                <w:rFonts w:ascii="Arial Narrow" w:hAnsi="Arial Narrow"/>
                <w:b/>
                <w:bCs/>
                <w:sz w:val="20"/>
                <w:szCs w:val="20"/>
              </w:rPr>
              <w:t>Population criteria:</w:t>
            </w:r>
            <w:r w:rsidRPr="00AD4F6B">
              <w:rPr>
                <w:rFonts w:ascii="Arial Narrow" w:hAnsi="Arial Narrow"/>
                <w:sz w:val="20"/>
                <w:szCs w:val="20"/>
              </w:rPr>
              <w:t xml:space="preserve"> </w:t>
            </w:r>
          </w:p>
        </w:tc>
      </w:tr>
      <w:tr w:rsidRPr="00AD4F6B" w:rsidR="00AD4F6B" w14:paraId="4513BA71" w14:textId="77777777">
        <w:trPr>
          <w:cantSplit/>
          <w:trHeight w:val="20"/>
        </w:trPr>
        <w:tc>
          <w:tcPr>
            <w:tcW w:w="5000" w:type="pct"/>
            <w:vAlign w:val="center"/>
          </w:tcPr>
          <w:p w:rsidRPr="00AD4F6B" w:rsidR="00106106" w:rsidRDefault="00106106" w14:paraId="0BA7F2A1" w14:textId="77777777">
            <w:pPr>
              <w:rPr>
                <w:rFonts w:ascii="Arial Narrow" w:hAnsi="Arial Narrow"/>
                <w:sz w:val="20"/>
                <w:szCs w:val="20"/>
              </w:rPr>
            </w:pPr>
            <w:r w:rsidRPr="00AD4F6B">
              <w:rPr>
                <w:rFonts w:ascii="Arial Narrow" w:hAnsi="Arial Narrow"/>
                <w:sz w:val="20"/>
                <w:szCs w:val="20"/>
              </w:rPr>
              <w:t>Patient must weigh no heavier than 21kg</w:t>
            </w:r>
          </w:p>
        </w:tc>
      </w:tr>
      <w:tr w:rsidRPr="00AD4F6B" w:rsidR="00AD4F6B" w14:paraId="74EF9DF1" w14:textId="77777777">
        <w:trPr>
          <w:cantSplit/>
          <w:trHeight w:val="20"/>
        </w:trPr>
        <w:tc>
          <w:tcPr>
            <w:tcW w:w="5000" w:type="pct"/>
          </w:tcPr>
          <w:p w:rsidRPr="00AD4F6B" w:rsidR="00106106" w:rsidRDefault="00106106" w14:paraId="20E4647C"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21B93C16" w14:textId="77777777">
        <w:trPr>
          <w:cantSplit/>
          <w:trHeight w:val="20"/>
        </w:trPr>
        <w:tc>
          <w:tcPr>
            <w:tcW w:w="5000" w:type="pct"/>
            <w:vAlign w:val="center"/>
          </w:tcPr>
          <w:p w:rsidRPr="00AD4F6B" w:rsidR="00106106" w:rsidRDefault="00106106" w14:paraId="278B2FE5" w14:textId="77777777">
            <w:pPr>
              <w:rPr>
                <w:rFonts w:ascii="Arial Narrow" w:hAnsi="Arial Narrow"/>
                <w:sz w:val="20"/>
                <w:szCs w:val="20"/>
              </w:rPr>
            </w:pPr>
            <w:r w:rsidRPr="00AD4F6B">
              <w:rPr>
                <w:rFonts w:ascii="Arial Narrow" w:hAnsi="Arial Narrow"/>
                <w:sz w:val="20"/>
                <w:szCs w:val="20"/>
              </w:rPr>
              <w:t xml:space="preserve">Patient must have pre-symptomatic SMA with 3 copies of the </w:t>
            </w:r>
            <w:r w:rsidRPr="00AD4F6B">
              <w:rPr>
                <w:rFonts w:ascii="Arial Narrow" w:hAnsi="Arial Narrow"/>
                <w:i/>
                <w:iCs/>
                <w:sz w:val="20"/>
                <w:szCs w:val="20"/>
              </w:rPr>
              <w:t>SMN2</w:t>
            </w:r>
            <w:r w:rsidRPr="00AD4F6B">
              <w:rPr>
                <w:rFonts w:ascii="Arial Narrow" w:hAnsi="Arial Narrow"/>
                <w:sz w:val="20"/>
                <w:szCs w:val="20"/>
              </w:rPr>
              <w:t xml:space="preserve"> gene</w:t>
            </w:r>
          </w:p>
        </w:tc>
      </w:tr>
      <w:tr w:rsidRPr="00AD4F6B" w:rsidR="00AD4F6B" w14:paraId="4FE367FF" w14:textId="77777777">
        <w:trPr>
          <w:cantSplit/>
          <w:trHeight w:val="20"/>
        </w:trPr>
        <w:tc>
          <w:tcPr>
            <w:tcW w:w="5000" w:type="pct"/>
            <w:tcBorders>
              <w:top w:val="single" w:color="auto" w:sz="12" w:space="0"/>
            </w:tcBorders>
            <w:vAlign w:val="center"/>
          </w:tcPr>
          <w:p w:rsidRPr="00AD4F6B" w:rsidR="00106106" w:rsidRDefault="00106106" w14:paraId="5A42CDF0" w14:textId="77777777">
            <w:pPr>
              <w:rPr>
                <w:rFonts w:ascii="Arial Narrow" w:hAnsi="Arial Narrow"/>
                <w:sz w:val="20"/>
                <w:szCs w:val="20"/>
              </w:rPr>
            </w:pPr>
            <w:r w:rsidRPr="00AD4F6B">
              <w:rPr>
                <w:rFonts w:ascii="Arial Narrow" w:hAnsi="Arial Narrow"/>
                <w:b/>
                <w:bCs/>
                <w:sz w:val="20"/>
                <w:szCs w:val="20"/>
              </w:rPr>
              <w:t>Treatment Phase:</w:t>
            </w:r>
            <w:r w:rsidRPr="00AD4F6B">
              <w:rPr>
                <w:rFonts w:ascii="Arial Narrow" w:hAnsi="Arial Narrow"/>
                <w:sz w:val="20"/>
                <w:szCs w:val="20"/>
              </w:rPr>
              <w:t xml:space="preserve"> Use occurring after treatment with at least one disease modifying therapy for this condition (i.e. switching from nusinersen/</w:t>
            </w:r>
            <w:proofErr w:type="spellStart"/>
            <w:r w:rsidRPr="00AD4F6B">
              <w:rPr>
                <w:rFonts w:ascii="Arial Narrow" w:hAnsi="Arial Narrow"/>
                <w:sz w:val="20"/>
                <w:szCs w:val="20"/>
              </w:rPr>
              <w:t>risdiplam</w:t>
            </w:r>
            <w:proofErr w:type="spellEnd"/>
            <w:r w:rsidRPr="00AD4F6B">
              <w:rPr>
                <w:rFonts w:ascii="Arial Narrow" w:hAnsi="Arial Narrow"/>
                <w:sz w:val="20"/>
                <w:szCs w:val="20"/>
              </w:rPr>
              <w:t xml:space="preserve"> to onasemnogene abeparvovec)</w:t>
            </w:r>
          </w:p>
        </w:tc>
      </w:tr>
      <w:tr w:rsidRPr="00AD4F6B" w:rsidR="00AD4F6B" w14:paraId="092F4BA4" w14:textId="77777777">
        <w:trPr>
          <w:cantSplit/>
          <w:trHeight w:val="20"/>
        </w:trPr>
        <w:tc>
          <w:tcPr>
            <w:tcW w:w="5000" w:type="pct"/>
            <w:vAlign w:val="center"/>
          </w:tcPr>
          <w:p w:rsidRPr="00AD4F6B" w:rsidR="00106106" w:rsidRDefault="00106106" w14:paraId="62198C7C" w14:textId="77777777">
            <w:pPr>
              <w:rPr>
                <w:rFonts w:ascii="Arial Narrow" w:hAnsi="Arial Narrow"/>
                <w:sz w:val="20"/>
                <w:szCs w:val="20"/>
              </w:rPr>
            </w:pPr>
            <w:r w:rsidRPr="00AD4F6B">
              <w:rPr>
                <w:rFonts w:ascii="Arial Narrow" w:hAnsi="Arial Narrow"/>
                <w:b/>
                <w:bCs/>
                <w:sz w:val="20"/>
                <w:szCs w:val="20"/>
              </w:rPr>
              <w:t>Clinical criteria:</w:t>
            </w:r>
            <w:r w:rsidRPr="00AD4F6B">
              <w:rPr>
                <w:rFonts w:ascii="Arial Narrow" w:hAnsi="Arial Narrow"/>
                <w:sz w:val="20"/>
                <w:szCs w:val="20"/>
              </w:rPr>
              <w:t xml:space="preserve"> </w:t>
            </w:r>
          </w:p>
        </w:tc>
      </w:tr>
      <w:tr w:rsidRPr="00AD4F6B" w:rsidR="00AD4F6B" w14:paraId="135D1304" w14:textId="77777777">
        <w:trPr>
          <w:cantSplit/>
          <w:trHeight w:val="20"/>
        </w:trPr>
        <w:tc>
          <w:tcPr>
            <w:tcW w:w="5000" w:type="pct"/>
            <w:vAlign w:val="center"/>
          </w:tcPr>
          <w:p w:rsidRPr="00AD4F6B" w:rsidR="00106106" w:rsidRDefault="00106106" w14:paraId="767576D7" w14:textId="77777777">
            <w:pPr>
              <w:rPr>
                <w:rFonts w:ascii="Arial Narrow" w:hAnsi="Arial Narrow"/>
                <w:sz w:val="20"/>
                <w:szCs w:val="20"/>
              </w:rPr>
            </w:pPr>
            <w:r w:rsidRPr="00AD4F6B">
              <w:rPr>
                <w:rFonts w:ascii="Arial Narrow" w:hAnsi="Arial Narrow"/>
                <w:sz w:val="20"/>
                <w:szCs w:val="20"/>
              </w:rPr>
              <w:t>The treatment must be given concomitantly with best supportive care for this condition</w:t>
            </w:r>
          </w:p>
        </w:tc>
      </w:tr>
      <w:tr w:rsidRPr="00AD4F6B" w:rsidR="00AD4F6B" w14:paraId="7F3D1094" w14:textId="77777777">
        <w:trPr>
          <w:cantSplit/>
          <w:trHeight w:val="20"/>
        </w:trPr>
        <w:tc>
          <w:tcPr>
            <w:tcW w:w="5000" w:type="pct"/>
          </w:tcPr>
          <w:p w:rsidRPr="00AD4F6B" w:rsidR="00106106" w:rsidRDefault="00106106" w14:paraId="74AF2C22"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1C5A59FB" w14:textId="77777777">
        <w:trPr>
          <w:cantSplit/>
          <w:trHeight w:val="20"/>
        </w:trPr>
        <w:tc>
          <w:tcPr>
            <w:tcW w:w="5000" w:type="pct"/>
          </w:tcPr>
          <w:p w:rsidRPr="00AD4F6B" w:rsidR="00106106" w:rsidRDefault="00106106" w14:paraId="64B20443" w14:textId="77777777">
            <w:pPr>
              <w:rPr>
                <w:rFonts w:ascii="Arial Narrow" w:hAnsi="Arial Narrow"/>
                <w:sz w:val="20"/>
                <w:szCs w:val="20"/>
              </w:rPr>
            </w:pPr>
            <w:r w:rsidRPr="00AD4F6B">
              <w:rPr>
                <w:rFonts w:ascii="Arial Narrow" w:hAnsi="Arial Narrow"/>
                <w:sz w:val="20"/>
                <w:szCs w:val="20"/>
              </w:rPr>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tc>
      </w:tr>
      <w:tr w:rsidRPr="00AD4F6B" w:rsidR="00AD4F6B" w14:paraId="52C9AC5E" w14:textId="77777777">
        <w:trPr>
          <w:cantSplit/>
          <w:trHeight w:val="20"/>
        </w:trPr>
        <w:tc>
          <w:tcPr>
            <w:tcW w:w="5000" w:type="pct"/>
          </w:tcPr>
          <w:p w:rsidRPr="00AD4F6B" w:rsidR="00106106" w:rsidRDefault="00106106" w14:paraId="513AAB47" w14:textId="77777777">
            <w:pPr>
              <w:rPr>
                <w:rFonts w:ascii="Arial Narrow" w:hAnsi="Arial Narrow"/>
                <w:sz w:val="20"/>
                <w:szCs w:val="20"/>
              </w:rPr>
            </w:pPr>
            <w:r w:rsidRPr="00AD4F6B">
              <w:rPr>
                <w:rFonts w:ascii="Arial Narrow" w:hAnsi="Arial Narrow"/>
                <w:b/>
                <w:bCs/>
                <w:sz w:val="20"/>
                <w:szCs w:val="20"/>
              </w:rPr>
              <w:t>Treatment criteria:</w:t>
            </w:r>
            <w:r w:rsidRPr="00AD4F6B">
              <w:rPr>
                <w:rFonts w:ascii="Arial Narrow" w:hAnsi="Arial Narrow"/>
                <w:sz w:val="20"/>
                <w:szCs w:val="20"/>
              </w:rPr>
              <w:t xml:space="preserve"> </w:t>
            </w:r>
          </w:p>
        </w:tc>
      </w:tr>
      <w:tr w:rsidRPr="00AD4F6B" w:rsidR="00AD4F6B" w14:paraId="2B64FF1C" w14:textId="77777777">
        <w:trPr>
          <w:cantSplit/>
          <w:trHeight w:val="20"/>
        </w:trPr>
        <w:tc>
          <w:tcPr>
            <w:tcW w:w="5000" w:type="pct"/>
          </w:tcPr>
          <w:p w:rsidRPr="00AD4F6B" w:rsidR="00106106" w:rsidRDefault="00106106" w14:paraId="1DE6695E"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following prior PBS-subsidised treatment with at least one other disease modifying therapy for this condition</w:t>
            </w:r>
          </w:p>
        </w:tc>
      </w:tr>
      <w:tr w:rsidRPr="00AD4F6B" w:rsidR="00AD4F6B" w14:paraId="5A230872" w14:textId="77777777">
        <w:trPr>
          <w:cantSplit/>
          <w:trHeight w:val="20"/>
        </w:trPr>
        <w:tc>
          <w:tcPr>
            <w:tcW w:w="5000" w:type="pct"/>
          </w:tcPr>
          <w:p w:rsidRPr="00AD4F6B" w:rsidR="00106106" w:rsidRDefault="00106106" w14:paraId="5C9BA558"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7FF69480" w14:textId="77777777">
        <w:trPr>
          <w:cantSplit/>
          <w:trHeight w:val="20"/>
        </w:trPr>
        <w:tc>
          <w:tcPr>
            <w:tcW w:w="5000" w:type="pct"/>
          </w:tcPr>
          <w:p w:rsidRPr="00AD4F6B" w:rsidR="00106106" w:rsidRDefault="00106106" w14:paraId="0D07D156" w14:textId="77777777">
            <w:pPr>
              <w:rPr>
                <w:rFonts w:ascii="Arial Narrow" w:hAnsi="Arial Narrow"/>
                <w:sz w:val="20"/>
                <w:szCs w:val="20"/>
              </w:rPr>
            </w:pPr>
            <w:r w:rsidRPr="00AD4F6B">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Pr="00AD4F6B" w:rsidR="00AD4F6B" w14:paraId="29857801" w14:textId="77777777">
        <w:trPr>
          <w:cantSplit/>
          <w:trHeight w:val="20"/>
        </w:trPr>
        <w:tc>
          <w:tcPr>
            <w:tcW w:w="5000" w:type="pct"/>
          </w:tcPr>
          <w:p w:rsidRPr="00AD4F6B" w:rsidR="00106106" w:rsidRDefault="00106106" w14:paraId="31ABDE8C"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03DE265B" w14:textId="77777777">
        <w:trPr>
          <w:cantSplit/>
          <w:trHeight w:val="20"/>
        </w:trPr>
        <w:tc>
          <w:tcPr>
            <w:tcW w:w="5000" w:type="pct"/>
          </w:tcPr>
          <w:p w:rsidRPr="00AD4F6B" w:rsidR="00106106" w:rsidRDefault="00106106" w14:paraId="00597B5C" w14:textId="77777777">
            <w:pPr>
              <w:rPr>
                <w:rFonts w:ascii="Arial Narrow" w:hAnsi="Arial Narrow"/>
                <w:sz w:val="20"/>
                <w:szCs w:val="20"/>
              </w:rPr>
            </w:pPr>
            <w:r w:rsidRPr="00AD4F6B">
              <w:rPr>
                <w:rFonts w:ascii="Arial Narrow" w:hAnsi="Arial Narrow"/>
                <w:sz w:val="20"/>
                <w:szCs w:val="20"/>
              </w:rPr>
              <w:t>Must be treated in a treatment centre that is each of: (i) recognised in the management of SMA, (ii) accredited in the use of this gene technology by the relevant authority, (iii) will(has) source(d) this product from an accredited supplier, as specified in the administrative notes to this listing</w:t>
            </w:r>
          </w:p>
        </w:tc>
      </w:tr>
      <w:tr w:rsidRPr="00AD4F6B" w:rsidR="00AD4F6B" w14:paraId="43ED44EC" w14:textId="77777777">
        <w:trPr>
          <w:cantSplit/>
          <w:trHeight w:val="20"/>
        </w:trPr>
        <w:tc>
          <w:tcPr>
            <w:tcW w:w="5000" w:type="pct"/>
          </w:tcPr>
          <w:p w:rsidRPr="00AD4F6B" w:rsidR="00106106" w:rsidRDefault="00106106" w14:paraId="7C7231CB"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61C4E743" w14:textId="77777777">
        <w:trPr>
          <w:cantSplit/>
          <w:trHeight w:val="20"/>
        </w:trPr>
        <w:tc>
          <w:tcPr>
            <w:tcW w:w="5000" w:type="pct"/>
          </w:tcPr>
          <w:p w:rsidRPr="00AD4F6B" w:rsidR="00106106" w:rsidRDefault="00106106" w14:paraId="0079F551"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once only in a lifetime</w:t>
            </w:r>
          </w:p>
        </w:tc>
      </w:tr>
      <w:tr w:rsidRPr="00AD4F6B" w:rsidR="00AD4F6B" w14:paraId="5383734B" w14:textId="77777777">
        <w:trPr>
          <w:cantSplit/>
          <w:trHeight w:val="20"/>
        </w:trPr>
        <w:tc>
          <w:tcPr>
            <w:tcW w:w="5000" w:type="pct"/>
          </w:tcPr>
          <w:p w:rsidRPr="00AD4F6B" w:rsidR="00106106" w:rsidRDefault="00106106" w14:paraId="59E8D014"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74284333" w14:textId="77777777">
        <w:trPr>
          <w:cantSplit/>
          <w:trHeight w:val="20"/>
        </w:trPr>
        <w:tc>
          <w:tcPr>
            <w:tcW w:w="5000" w:type="pct"/>
          </w:tcPr>
          <w:p w:rsidRPr="00AD4F6B" w:rsidR="00106106" w:rsidRDefault="00106106" w14:paraId="74EAF0E4"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with the intent that treatment with the replaced disease modifying agent is/has ceased</w:t>
            </w:r>
          </w:p>
        </w:tc>
      </w:tr>
      <w:tr w:rsidRPr="00AD4F6B" w:rsidR="00AD4F6B" w14:paraId="6C3C44DE" w14:textId="77777777">
        <w:trPr>
          <w:cantSplit/>
          <w:trHeight w:val="20"/>
        </w:trPr>
        <w:tc>
          <w:tcPr>
            <w:tcW w:w="5000" w:type="pct"/>
            <w:vAlign w:val="center"/>
          </w:tcPr>
          <w:p w:rsidRPr="00AD4F6B" w:rsidR="00106106" w:rsidRDefault="00106106" w14:paraId="47A6FCC7" w14:textId="77777777">
            <w:pPr>
              <w:rPr>
                <w:rFonts w:ascii="Arial Narrow" w:hAnsi="Arial Narrow"/>
                <w:sz w:val="20"/>
                <w:szCs w:val="20"/>
              </w:rPr>
            </w:pPr>
            <w:r w:rsidRPr="00AD4F6B">
              <w:rPr>
                <w:rFonts w:ascii="Arial Narrow" w:hAnsi="Arial Narrow"/>
                <w:b/>
                <w:bCs/>
                <w:sz w:val="20"/>
                <w:szCs w:val="20"/>
              </w:rPr>
              <w:t>Population criteria:</w:t>
            </w:r>
            <w:r w:rsidRPr="00AD4F6B">
              <w:rPr>
                <w:rFonts w:ascii="Arial Narrow" w:hAnsi="Arial Narrow"/>
                <w:sz w:val="20"/>
                <w:szCs w:val="20"/>
              </w:rPr>
              <w:t xml:space="preserve"> </w:t>
            </w:r>
          </w:p>
        </w:tc>
      </w:tr>
      <w:tr w:rsidRPr="00AD4F6B" w:rsidR="00AD4F6B" w14:paraId="0CAE0AFC" w14:textId="77777777">
        <w:trPr>
          <w:cantSplit/>
          <w:trHeight w:val="20"/>
        </w:trPr>
        <w:tc>
          <w:tcPr>
            <w:tcW w:w="5000" w:type="pct"/>
            <w:vAlign w:val="center"/>
          </w:tcPr>
          <w:p w:rsidRPr="00AD4F6B" w:rsidR="00106106" w:rsidRDefault="00106106" w14:paraId="5F2AEC09" w14:textId="77777777">
            <w:pPr>
              <w:rPr>
                <w:rFonts w:ascii="Arial Narrow" w:hAnsi="Arial Narrow"/>
                <w:sz w:val="20"/>
                <w:szCs w:val="20"/>
              </w:rPr>
            </w:pPr>
            <w:r w:rsidRPr="00AD4F6B">
              <w:rPr>
                <w:rFonts w:ascii="Arial Narrow" w:hAnsi="Arial Narrow"/>
                <w:sz w:val="20"/>
                <w:szCs w:val="20"/>
              </w:rPr>
              <w:t>Patient must weigh no heavier than 21kg</w:t>
            </w:r>
          </w:p>
        </w:tc>
      </w:tr>
      <w:tr w:rsidRPr="00AD4F6B" w:rsidR="00AD4F6B" w14:paraId="6422D52F" w14:textId="77777777">
        <w:trPr>
          <w:cantSplit/>
          <w:trHeight w:val="20"/>
        </w:trPr>
        <w:tc>
          <w:tcPr>
            <w:tcW w:w="5000" w:type="pct"/>
          </w:tcPr>
          <w:p w:rsidRPr="00AD4F6B" w:rsidR="00106106" w:rsidRDefault="00106106" w14:paraId="0BE826BD" w14:textId="77777777">
            <w:pPr>
              <w:rPr>
                <w:rFonts w:ascii="Arial Narrow" w:hAnsi="Arial Narrow"/>
                <w:sz w:val="20"/>
                <w:szCs w:val="20"/>
              </w:rPr>
            </w:pPr>
            <w:r w:rsidRPr="00AD4F6B">
              <w:rPr>
                <w:rFonts w:ascii="Arial Narrow" w:hAnsi="Arial Narrow"/>
                <w:b/>
                <w:bCs/>
                <w:sz w:val="20"/>
                <w:szCs w:val="20"/>
              </w:rPr>
              <w:t>AND</w:t>
            </w:r>
          </w:p>
        </w:tc>
      </w:tr>
      <w:tr w:rsidRPr="00AD4F6B" w:rsidR="00AD4F6B" w14:paraId="28C1BDD3" w14:textId="77777777">
        <w:trPr>
          <w:cantSplit/>
          <w:trHeight w:val="20"/>
        </w:trPr>
        <w:tc>
          <w:tcPr>
            <w:tcW w:w="5000" w:type="pct"/>
            <w:tcBorders>
              <w:bottom w:val="single" w:color="auto" w:sz="4" w:space="0"/>
            </w:tcBorders>
            <w:vAlign w:val="center"/>
          </w:tcPr>
          <w:p w:rsidRPr="00AD4F6B" w:rsidR="00106106" w:rsidRDefault="00106106" w14:paraId="27595294" w14:textId="77777777">
            <w:pPr>
              <w:rPr>
                <w:rFonts w:ascii="Arial Narrow" w:hAnsi="Arial Narrow"/>
                <w:sz w:val="20"/>
                <w:szCs w:val="20"/>
              </w:rPr>
            </w:pPr>
            <w:r w:rsidRPr="00AD4F6B">
              <w:rPr>
                <w:rFonts w:ascii="Arial Narrow" w:hAnsi="Arial Narrow"/>
                <w:sz w:val="20"/>
                <w:szCs w:val="20"/>
              </w:rPr>
              <w:t xml:space="preserve">Patient must have pre-symptomatic SMA with 3 copies of the </w:t>
            </w:r>
            <w:r w:rsidRPr="00AD4F6B">
              <w:rPr>
                <w:rFonts w:ascii="Arial Narrow" w:hAnsi="Arial Narrow"/>
                <w:i/>
                <w:iCs/>
                <w:sz w:val="20"/>
                <w:szCs w:val="20"/>
              </w:rPr>
              <w:t>SMN2</w:t>
            </w:r>
            <w:r w:rsidRPr="00AD4F6B">
              <w:rPr>
                <w:rFonts w:ascii="Arial Narrow" w:hAnsi="Arial Narrow"/>
                <w:sz w:val="20"/>
                <w:szCs w:val="20"/>
              </w:rPr>
              <w:t xml:space="preserve"> gene</w:t>
            </w:r>
          </w:p>
        </w:tc>
      </w:tr>
    </w:tbl>
    <w:p w:rsidRPr="00AD4F6B" w:rsidR="00106106" w:rsidP="00106106" w:rsidRDefault="00106106" w14:paraId="2DC5B619" w14:textId="77777777">
      <w:pPr>
        <w:pStyle w:val="FooterTableFigure"/>
      </w:pPr>
      <w:r w:rsidRPr="00AD4F6B">
        <w:t xml:space="preserve">Source: Table 1.13, pp21-22 of the submission. </w:t>
      </w:r>
    </w:p>
    <w:p w:rsidRPr="00AD4F6B" w:rsidR="0017285A" w:rsidP="00106106" w:rsidRDefault="00106106" w14:paraId="7EBFB826" w14:textId="48CBB137">
      <w:pPr>
        <w:pStyle w:val="FooterTableFigure"/>
        <w:spacing w:after="0"/>
      </w:pPr>
      <w:r w:rsidRPr="00AD4F6B">
        <w:t>kg= kilogram; SMA=spinal muscular atrophy; SMN= survival of motor neurone; PBS= Pharmaceutical Benefits Scheme</w:t>
      </w:r>
    </w:p>
    <w:bookmarkEnd w:id="12"/>
    <w:p w:rsidRPr="00AD4F6B" w:rsidR="0032705F" w:rsidP="0032705F" w:rsidRDefault="008642EC" w14:paraId="0F4B6294" w14:textId="11601C53">
      <w:pPr>
        <w:pStyle w:val="3-BodyText"/>
        <w:numPr>
          <w:ilvl w:val="1"/>
          <w:numId w:val="1"/>
        </w:numPr>
        <w:rPr>
          <w:i/>
          <w:iCs/>
        </w:rPr>
      </w:pPr>
      <w:r w:rsidRPr="00AD4F6B">
        <w:t>R</w:t>
      </w:r>
      <w:r w:rsidRPr="00AD4F6B" w:rsidR="0032705F">
        <w:t xml:space="preserve">estriction wording was proposed for paediatric patients weighing up to 21kg with (i) Type I SMA or pre-symptomatic SMA with 1-2 copies of the </w:t>
      </w:r>
      <w:r w:rsidRPr="00AD4F6B" w:rsidR="0032705F">
        <w:rPr>
          <w:i/>
          <w:iCs/>
        </w:rPr>
        <w:t>SMN2</w:t>
      </w:r>
      <w:r w:rsidRPr="00AD4F6B" w:rsidR="0032705F">
        <w:t xml:space="preserve"> gene and (ii) pre-symptomatic SMA with three copies of the </w:t>
      </w:r>
      <w:r w:rsidRPr="00AD4F6B" w:rsidR="0032705F">
        <w:rPr>
          <w:i/>
          <w:iCs/>
        </w:rPr>
        <w:t>SMN2</w:t>
      </w:r>
      <w:r w:rsidRPr="00AD4F6B" w:rsidR="0032705F">
        <w:t xml:space="preserve"> gene. Appropriately</w:t>
      </w:r>
      <w:r w:rsidRPr="00AD4F6B" w:rsidR="0032705F">
        <w:rPr>
          <w:i/>
          <w:iCs/>
        </w:rPr>
        <w:t xml:space="preserve">, </w:t>
      </w:r>
      <w:r w:rsidRPr="00AD4F6B" w:rsidR="0032705F">
        <w:t xml:space="preserve">no continuation criteria or grandfathering criteria were requested. </w:t>
      </w:r>
    </w:p>
    <w:p w:rsidRPr="00AD4F6B" w:rsidR="0032705F" w:rsidP="0032705F" w:rsidRDefault="0032705F" w14:paraId="5A1171A6" w14:textId="77777777">
      <w:pPr>
        <w:pStyle w:val="3-BodyText"/>
        <w:numPr>
          <w:ilvl w:val="1"/>
          <w:numId w:val="1"/>
        </w:numPr>
      </w:pPr>
      <w:r w:rsidRPr="00AD4F6B">
        <w:t xml:space="preserve">The requested restriction was based on the current Section 100 PBS listing for ONA, with the following key modifications: </w:t>
      </w:r>
    </w:p>
    <w:p w:rsidRPr="00AD4F6B" w:rsidR="0032705F" w:rsidP="00DF6232" w:rsidRDefault="0032705F" w14:paraId="6A41DBBF" w14:textId="77777777">
      <w:pPr>
        <w:pStyle w:val="3-BodyText"/>
        <w:numPr>
          <w:ilvl w:val="0"/>
          <w:numId w:val="6"/>
        </w:numPr>
        <w:spacing w:before="0" w:after="120"/>
        <w:ind w:left="993" w:hanging="284"/>
      </w:pPr>
      <w:r w:rsidRPr="00AD4F6B">
        <w:t>The removal of the condition that the “patient must be no older than 9 months of age”; and</w:t>
      </w:r>
    </w:p>
    <w:p w:rsidRPr="00AD4F6B" w:rsidR="0032705F" w:rsidP="00DF6232" w:rsidRDefault="0032705F" w14:paraId="7B98248C" w14:textId="77777777">
      <w:pPr>
        <w:pStyle w:val="3-BodyText"/>
        <w:numPr>
          <w:ilvl w:val="0"/>
          <w:numId w:val="6"/>
        </w:numPr>
        <w:spacing w:before="0" w:after="120"/>
        <w:ind w:left="993" w:hanging="284"/>
      </w:pPr>
      <w:r w:rsidRPr="00AD4F6B">
        <w:t xml:space="preserve">The addition of the condition that the “patient must weigh no heavier than 21kg”. </w:t>
      </w:r>
    </w:p>
    <w:p w:rsidRPr="00AD4F6B" w:rsidR="001D002A" w:rsidRDefault="00A74DC7" w14:paraId="76E23E6C" w14:textId="510A841C">
      <w:pPr>
        <w:pStyle w:val="3-BodyText"/>
        <w:numPr>
          <w:ilvl w:val="1"/>
          <w:numId w:val="1"/>
        </w:numPr>
      </w:pPr>
      <w:bookmarkStart w:name="_Ref208234269" w:id="13"/>
      <w:r w:rsidRPr="00AD4F6B">
        <w:t xml:space="preserve">Currently, eligibility for </w:t>
      </w:r>
      <w:r w:rsidRPr="00AD4F6B" w:rsidR="002931D2">
        <w:t xml:space="preserve">DMTs in </w:t>
      </w:r>
      <w:r w:rsidRPr="00AD4F6B" w:rsidR="007D112D">
        <w:t>symptomatic</w:t>
      </w:r>
      <w:r w:rsidRPr="00AD4F6B" w:rsidR="00550046">
        <w:t xml:space="preserve"> SMA </w:t>
      </w:r>
      <w:r w:rsidRPr="00AD4F6B" w:rsidR="007D112D">
        <w:t>(</w:t>
      </w:r>
      <w:r w:rsidRPr="00AD4F6B" w:rsidR="00FC01A0">
        <w:t xml:space="preserve">with the SMA type being determined by age of symptom onset – see </w:t>
      </w:r>
      <w:r w:rsidRPr="00AD4F6B" w:rsidR="00FC01A0">
        <w:fldChar w:fldCharType="begin"/>
      </w:r>
      <w:r w:rsidRPr="00AD4F6B" w:rsidR="00FC01A0">
        <w:instrText xml:space="preserve"> REF _Ref207894221 \h  \* MERGEFORMAT </w:instrText>
      </w:r>
      <w:r w:rsidRPr="00AD4F6B" w:rsidR="00FC01A0">
        <w:fldChar w:fldCharType="separate"/>
      </w:r>
      <w:r w:rsidRPr="00AD4F6B" w:rsidR="00F0459B">
        <w:rPr>
          <w:szCs w:val="20"/>
        </w:rPr>
        <w:t xml:space="preserve">Table </w:t>
      </w:r>
      <w:r w:rsidR="00F0459B">
        <w:rPr>
          <w:noProof/>
          <w:szCs w:val="20"/>
        </w:rPr>
        <w:t>3</w:t>
      </w:r>
      <w:r w:rsidRPr="00AD4F6B" w:rsidR="00FC01A0">
        <w:fldChar w:fldCharType="end"/>
      </w:r>
      <w:r w:rsidRPr="00AD4F6B" w:rsidR="00FC01A0">
        <w:t xml:space="preserve">) </w:t>
      </w:r>
      <w:r w:rsidRPr="00AD4F6B" w:rsidR="00550046">
        <w:t xml:space="preserve">and </w:t>
      </w:r>
      <w:r w:rsidRPr="00AD4F6B" w:rsidR="00BB2AA4">
        <w:t xml:space="preserve">pre-symptomatic </w:t>
      </w:r>
      <w:r w:rsidRPr="00AD4F6B" w:rsidR="002931D2">
        <w:t xml:space="preserve">SMA </w:t>
      </w:r>
      <w:r w:rsidRPr="00AD4F6B" w:rsidR="0051306C">
        <w:t>with 1</w:t>
      </w:r>
      <w:r w:rsidRPr="00AD4F6B" w:rsidR="005C042D">
        <w:noBreakHyphen/>
      </w:r>
      <w:r w:rsidRPr="00AD4F6B" w:rsidR="0051306C">
        <w:t xml:space="preserve">3 SMN2 copies </w:t>
      </w:r>
      <w:r w:rsidRPr="00AD4F6B" w:rsidR="002931D2">
        <w:t>are determined by age and not weight</w:t>
      </w:r>
      <w:r w:rsidRPr="00AD4F6B" w:rsidR="00176AD5">
        <w:t xml:space="preserve"> (see </w:t>
      </w:r>
      <w:r w:rsidRPr="00AD4F6B" w:rsidR="00176AD5">
        <w:fldChar w:fldCharType="begin"/>
      </w:r>
      <w:r w:rsidRPr="00AD4F6B" w:rsidR="00176AD5">
        <w:instrText xml:space="preserve"> REF _Ref207896766 \h  \* MERGEFORMAT </w:instrText>
      </w:r>
      <w:r w:rsidRPr="00AD4F6B" w:rsidR="00176AD5">
        <w:fldChar w:fldCharType="separate"/>
      </w:r>
      <w:r w:rsidRPr="00AD4F6B" w:rsidR="00F0459B">
        <w:rPr>
          <w:szCs w:val="20"/>
        </w:rPr>
        <w:t xml:space="preserve">Figure </w:t>
      </w:r>
      <w:r w:rsidR="00F0459B">
        <w:rPr>
          <w:noProof/>
          <w:szCs w:val="20"/>
        </w:rPr>
        <w:t>1</w:t>
      </w:r>
      <w:r w:rsidRPr="00AD4F6B" w:rsidR="00176AD5">
        <w:fldChar w:fldCharType="end"/>
      </w:r>
      <w:r w:rsidRPr="00AD4F6B" w:rsidR="00176AD5">
        <w:t>)</w:t>
      </w:r>
      <w:r w:rsidRPr="00AD4F6B" w:rsidR="002931D2">
        <w:t>. Th</w:t>
      </w:r>
      <w:r w:rsidRPr="00AD4F6B" w:rsidR="00064A82">
        <w:t>e ESC agreed with the evaluation</w:t>
      </w:r>
      <w:r w:rsidRPr="00AD4F6B" w:rsidR="00064A82">
        <w:rPr>
          <w:i/>
          <w:iCs/>
        </w:rPr>
        <w:t xml:space="preserve"> </w:t>
      </w:r>
      <w:r w:rsidRPr="00AD4F6B" w:rsidR="00064A82">
        <w:t>that the</w:t>
      </w:r>
      <w:r w:rsidRPr="00AD4F6B" w:rsidR="002931D2">
        <w:t xml:space="preserve"> proposed change from age to weight for ONA could cause confusion. </w:t>
      </w:r>
      <w:bookmarkEnd w:id="13"/>
      <w:r w:rsidRPr="00AD4F6B" w:rsidR="00064A82">
        <w:t xml:space="preserve">The PSCR </w:t>
      </w:r>
      <w:r w:rsidRPr="00AD4F6B" w:rsidR="000A381C">
        <w:t>and pre-PBAC response</w:t>
      </w:r>
      <w:r w:rsidRPr="00AD4F6B" w:rsidR="00F277CB">
        <w:t xml:space="preserve"> stated</w:t>
      </w:r>
      <w:r w:rsidRPr="00AD4F6B" w:rsidR="00064A82">
        <w:t xml:space="preserve"> that </w:t>
      </w:r>
      <w:r w:rsidRPr="00AD4F6B" w:rsidR="00F277CB">
        <w:t>an age-based restriction would be acceptable to the sponsor.</w:t>
      </w:r>
      <w:r w:rsidRPr="00AD4F6B" w:rsidR="00064A82">
        <w:t xml:space="preserve"> </w:t>
      </w:r>
    </w:p>
    <w:p w:rsidRPr="00AD4F6B" w:rsidR="001D002A" w:rsidRDefault="00F277CB" w14:paraId="4B5A848C" w14:textId="00016461">
      <w:pPr>
        <w:pStyle w:val="3-BodyText"/>
        <w:numPr>
          <w:ilvl w:val="1"/>
          <w:numId w:val="1"/>
        </w:numPr>
      </w:pPr>
      <w:r w:rsidRPr="00AD4F6B">
        <w:t>The ESC agreed with the evaluation that</w:t>
      </w:r>
      <w:r w:rsidRPr="00AD4F6B" w:rsidR="001D002A">
        <w:t xml:space="preserve"> consideration should be given to using an upper limit based on age for initiation </w:t>
      </w:r>
      <w:r w:rsidRPr="00AD4F6B" w:rsidR="00D177ED">
        <w:t>of</w:t>
      </w:r>
      <w:r w:rsidRPr="00AD4F6B" w:rsidR="001D002A">
        <w:t xml:space="preserve"> ONA (for example, 36 months as with the pre-symptomatic listings for </w:t>
      </w:r>
      <w:r w:rsidRPr="00AD4F6B" w:rsidR="00FC5711">
        <w:t>NUSI</w:t>
      </w:r>
      <w:r w:rsidRPr="00AD4F6B" w:rsidR="001D002A">
        <w:t xml:space="preserve"> and </w:t>
      </w:r>
      <w:r w:rsidRPr="00AD4F6B" w:rsidR="00FC5711">
        <w:t>RIS</w:t>
      </w:r>
      <w:r w:rsidRPr="00AD4F6B" w:rsidR="001D002A">
        <w:t xml:space="preserve">) rather than weight. This approach would ensure consistency between different DMTs listed on the PBS </w:t>
      </w:r>
      <w:proofErr w:type="gramStart"/>
      <w:r w:rsidRPr="00AD4F6B" w:rsidR="001D002A">
        <w:t>and also</w:t>
      </w:r>
      <w:proofErr w:type="gramEnd"/>
      <w:r w:rsidRPr="00AD4F6B" w:rsidR="001D002A">
        <w:t xml:space="preserve"> addresses the issue of the </w:t>
      </w:r>
      <w:r w:rsidRPr="00AD4F6B" w:rsidR="00173D64">
        <w:t xml:space="preserve">uncertain </w:t>
      </w:r>
      <w:r w:rsidRPr="00AD4F6B" w:rsidR="001D002A">
        <w:t>cost-effectiveness of pre-symptomatic treatment in patients aged 36 months and older but weighing less than 21kg who are DMT naïve (</w:t>
      </w:r>
      <w:r w:rsidRPr="00AD4F6B" w:rsidR="00801EC6">
        <w:t xml:space="preserve">which was </w:t>
      </w:r>
      <w:r w:rsidRPr="00AD4F6B" w:rsidR="001D002A">
        <w:t>not addressed in the submission).</w:t>
      </w:r>
      <w:r w:rsidRPr="00AD4F6B" w:rsidR="00173D64">
        <w:t xml:space="preserve"> </w:t>
      </w:r>
      <w:r w:rsidRPr="00AD4F6B" w:rsidR="000B7E10">
        <w:t xml:space="preserve">The pre-PBAC </w:t>
      </w:r>
      <w:r w:rsidRPr="00AD4F6B" w:rsidR="00486FF0">
        <w:t xml:space="preserve">response </w:t>
      </w:r>
      <w:r w:rsidRPr="00AD4F6B" w:rsidR="000B7E10">
        <w:t xml:space="preserve">confirmed that </w:t>
      </w:r>
      <w:r w:rsidRPr="00AD4F6B" w:rsidR="00B24455">
        <w:t xml:space="preserve">inclusion of an upper limit of 36 months would be acceptable to the sponsor, </w:t>
      </w:r>
      <w:r w:rsidRPr="00AD4F6B" w:rsidR="00401B3E">
        <w:t xml:space="preserve">noting that it is </w:t>
      </w:r>
      <w:r w:rsidRPr="00AD4F6B" w:rsidR="000C39E0">
        <w:t xml:space="preserve">within </w:t>
      </w:r>
      <w:r w:rsidRPr="00AD4F6B" w:rsidR="00401B3E">
        <w:t xml:space="preserve">the ACM recommended indication and aligns with age restrictions in the current listings for </w:t>
      </w:r>
      <w:r w:rsidRPr="00AD4F6B" w:rsidR="0028189B">
        <w:t>other disease-modifying treatments</w:t>
      </w:r>
      <w:r w:rsidRPr="00AD4F6B" w:rsidR="006E799B">
        <w:t xml:space="preserve"> </w:t>
      </w:r>
      <w:r w:rsidRPr="00AD4F6B" w:rsidR="00FB078E">
        <w:t>for which cost-effectiveness has been accepted.</w:t>
      </w:r>
      <w:r w:rsidRPr="00AD4F6B" w:rsidR="000307EE">
        <w:t xml:space="preserve"> </w:t>
      </w:r>
    </w:p>
    <w:p w:rsidRPr="00AD4F6B" w:rsidR="000D6434" w:rsidP="0032705F" w:rsidRDefault="0032705F" w14:paraId="11D7655F" w14:textId="1AE4712E">
      <w:pPr>
        <w:pStyle w:val="3-BodyText"/>
        <w:numPr>
          <w:ilvl w:val="1"/>
          <w:numId w:val="1"/>
        </w:numPr>
      </w:pPr>
      <w:bookmarkStart w:name="_Ref213935330" w:id="14"/>
      <w:r w:rsidRPr="00AD4F6B">
        <w:t xml:space="preserve">Patients in </w:t>
      </w:r>
      <w:r w:rsidRPr="00AD4F6B" w:rsidR="00C2267E">
        <w:t>the pivotal clinical trial (</w:t>
      </w:r>
      <w:r w:rsidRPr="00AD4F6B">
        <w:t>SMART</w:t>
      </w:r>
      <w:r w:rsidRPr="00AD4F6B" w:rsidR="00C2267E">
        <w:t>)</w:t>
      </w:r>
      <w:r w:rsidRPr="00AD4F6B">
        <w:t xml:space="preserve"> were required to have a symptomatic SMA diagnosis (including SMA Type II and Type III), which was broader than the requested restriction in which only patients with symptomatic SMA Type I would be eligible for ONA. </w:t>
      </w:r>
      <w:r w:rsidRPr="00AD4F6B" w:rsidR="007C2624">
        <w:t>I</w:t>
      </w:r>
      <w:r w:rsidRPr="00AD4F6B" w:rsidR="00DA4A32">
        <w:t xml:space="preserve">nput from clinical experts </w:t>
      </w:r>
      <w:r w:rsidRPr="00AD4F6B" w:rsidR="00D85955">
        <w:t>indicated</w:t>
      </w:r>
      <w:r w:rsidRPr="00AD4F6B" w:rsidR="00DA4A32">
        <w:t xml:space="preserve"> that it would be </w:t>
      </w:r>
      <w:r w:rsidRPr="00AD4F6B" w:rsidR="005D3943">
        <w:t>preferable</w:t>
      </w:r>
      <w:r w:rsidRPr="00AD4F6B" w:rsidR="00DA4A32">
        <w:t xml:space="preserve"> for the listing </w:t>
      </w:r>
      <w:r w:rsidRPr="00AD4F6B" w:rsidR="00AF7DA3">
        <w:t xml:space="preserve">for patients with symptomatic SMA to not be limited to </w:t>
      </w:r>
      <w:r w:rsidRPr="00AD4F6B" w:rsidR="007660EA">
        <w:t>T</w:t>
      </w:r>
      <w:r w:rsidRPr="00AD4F6B" w:rsidR="00AF7DA3">
        <w:t>ype I</w:t>
      </w:r>
      <w:r w:rsidRPr="00AD4F6B" w:rsidR="007660EA">
        <w:t xml:space="preserve">, </w:t>
      </w:r>
      <w:r w:rsidRPr="00AD4F6B" w:rsidR="0056254E">
        <w:t>so as not to</w:t>
      </w:r>
      <w:r w:rsidRPr="00AD4F6B" w:rsidR="007660EA">
        <w:t xml:space="preserve"> </w:t>
      </w:r>
      <w:r w:rsidRPr="00AD4F6B" w:rsidR="007D7389">
        <w:t>exclude</w:t>
      </w:r>
      <w:r w:rsidRPr="00AD4F6B" w:rsidR="007660EA">
        <w:t xml:space="preserve"> patients with </w:t>
      </w:r>
      <w:r w:rsidRPr="00AD4F6B" w:rsidR="0053359E">
        <w:t xml:space="preserve">onset of </w:t>
      </w:r>
      <w:r w:rsidRPr="00AD4F6B" w:rsidR="007660EA">
        <w:t>symptom</w:t>
      </w:r>
      <w:r w:rsidRPr="00AD4F6B" w:rsidR="0053359E">
        <w:t>s at</w:t>
      </w:r>
      <w:r w:rsidRPr="00AD4F6B" w:rsidR="002B6DF5">
        <w:t xml:space="preserve"> </w:t>
      </w:r>
      <w:r w:rsidRPr="00AD4F6B" w:rsidR="000F091D">
        <w:t>&gt;</w:t>
      </w:r>
      <w:r w:rsidRPr="00AD4F6B" w:rsidR="009E39CB">
        <w:t>6 months of age</w:t>
      </w:r>
      <w:r w:rsidRPr="00AD4F6B" w:rsidR="00100D51">
        <w:t xml:space="preserve"> (see also paragraph </w:t>
      </w:r>
      <w:r w:rsidRPr="00AD4F6B" w:rsidR="00CF781A">
        <w:fldChar w:fldCharType="begin"/>
      </w:r>
      <w:r w:rsidRPr="00AD4F6B" w:rsidR="00CF781A">
        <w:instrText xml:space="preserve"> REF _Ref214013581 \r \h </w:instrText>
      </w:r>
      <w:r w:rsidRPr="00AD4F6B" w:rsidR="00CF781A">
        <w:fldChar w:fldCharType="separate"/>
      </w:r>
      <w:r w:rsidR="00F0459B">
        <w:t>6.3</w:t>
      </w:r>
      <w:r w:rsidRPr="00AD4F6B" w:rsidR="00CF781A">
        <w:fldChar w:fldCharType="end"/>
      </w:r>
      <w:r w:rsidRPr="00AD4F6B" w:rsidR="00CF781A">
        <w:t>)</w:t>
      </w:r>
      <w:r w:rsidRPr="00AD4F6B" w:rsidR="0056254E">
        <w:t xml:space="preserve">. The </w:t>
      </w:r>
      <w:r w:rsidRPr="00AD4F6B" w:rsidR="00074673">
        <w:t xml:space="preserve">current </w:t>
      </w:r>
      <w:r w:rsidRPr="00AD4F6B" w:rsidR="0056254E">
        <w:t xml:space="preserve">listings for </w:t>
      </w:r>
      <w:r w:rsidRPr="00AD4F6B" w:rsidR="00174B77">
        <w:t xml:space="preserve">nusinersen and risdiplam include symptomatic patients with Type I-IIIa SMA and </w:t>
      </w:r>
      <w:r w:rsidRPr="00AD4F6B" w:rsidR="00A117CE">
        <w:t xml:space="preserve">the </w:t>
      </w:r>
      <w:r w:rsidRPr="00AD4F6B" w:rsidR="00C0359F">
        <w:t xml:space="preserve">cost-effectiveness </w:t>
      </w:r>
      <w:r w:rsidRPr="00AD4F6B" w:rsidR="004314DF">
        <w:t>of DMTs has been established in these patients</w:t>
      </w:r>
      <w:bookmarkEnd w:id="14"/>
      <w:r w:rsidRPr="00AD4F6B" w:rsidR="001C46EA">
        <w:t>.</w:t>
      </w:r>
    </w:p>
    <w:p w:rsidR="0032705F" w:rsidP="0032705F" w:rsidRDefault="00F40C42" w14:paraId="749BF8BA" w14:textId="1390A2F9">
      <w:pPr>
        <w:pStyle w:val="3-BodyText"/>
        <w:numPr>
          <w:ilvl w:val="1"/>
          <w:numId w:val="1"/>
        </w:numPr>
      </w:pPr>
      <w:r w:rsidRPr="00AD4F6B">
        <w:t>P</w:t>
      </w:r>
      <w:r w:rsidRPr="00AD4F6B" w:rsidR="0032705F">
        <w:t>atients with</w:t>
      </w:r>
      <w:r w:rsidRPr="00AD4F6B" w:rsidR="00415E24">
        <w:t xml:space="preserve"> a</w:t>
      </w:r>
      <w:r w:rsidRPr="00AD4F6B" w:rsidR="0032705F">
        <w:t xml:space="preserve"> pre-symptomatic SMA diagnosis were excluded </w:t>
      </w:r>
      <w:r w:rsidRPr="00AD4F6B" w:rsidR="00EE327D">
        <w:t>from</w:t>
      </w:r>
      <w:r w:rsidRPr="00AD4F6B" w:rsidR="0032705F">
        <w:t xml:space="preserve"> SMART but not excluded from the requested PBS population. Therefore, the safety and effectiveness of ONA in pre-symptomatic patients older than nine months who weigh less than 21 kg has not been investigated.</w:t>
      </w:r>
    </w:p>
    <w:p w:rsidRPr="00AD4F6B" w:rsidR="00E70F90" w:rsidP="00E70F90" w:rsidRDefault="00E70F90" w14:paraId="5F3BB02B" w14:textId="77777777">
      <w:pPr>
        <w:pStyle w:val="3-BodyText"/>
        <w:numPr>
          <w:ilvl w:val="0"/>
          <w:numId w:val="0"/>
        </w:numPr>
      </w:pPr>
    </w:p>
    <w:p w:rsidRPr="00AD4F6B" w:rsidR="002B71CD" w:rsidP="002B71CD" w:rsidRDefault="002B71CD" w14:paraId="152CF56D" w14:textId="77777777">
      <w:pPr>
        <w:ind w:firstLine="720"/>
        <w:rPr>
          <w:i/>
          <w:iCs/>
        </w:rPr>
      </w:pPr>
      <w:bookmarkStart w:name="_Toc209002905" w:id="15"/>
      <w:r w:rsidRPr="00AD4F6B">
        <w:rPr>
          <w:i/>
          <w:iCs/>
        </w:rPr>
        <w:t>For more detail on PBAC’s view, see section 7 PBAC outcome.</w:t>
      </w:r>
    </w:p>
    <w:p w:rsidRPr="00AD4F6B" w:rsidR="0032705F" w:rsidDel="00195452" w:rsidP="0032705F" w:rsidRDefault="0032705F" w14:paraId="5281B1F5" w14:textId="3DA1F4F8">
      <w:pPr>
        <w:pStyle w:val="2-SectionHeading"/>
        <w:numPr>
          <w:ilvl w:val="0"/>
          <w:numId w:val="1"/>
        </w:numPr>
      </w:pPr>
      <w:r w:rsidRPr="00AD4F6B" w:rsidDel="00195452">
        <w:t>Population and disease</w:t>
      </w:r>
      <w:bookmarkEnd w:id="15"/>
    </w:p>
    <w:p w:rsidRPr="00AD4F6B" w:rsidR="0032705F" w:rsidP="0032705F" w:rsidRDefault="0032705F" w14:paraId="5494F405" w14:textId="6FE3064A">
      <w:pPr>
        <w:pStyle w:val="3-BodyText"/>
        <w:numPr>
          <w:ilvl w:val="1"/>
          <w:numId w:val="1"/>
        </w:numPr>
      </w:pPr>
      <w:r w:rsidRPr="00AD4F6B">
        <w:t xml:space="preserve">SMA is a rare autosomal recessive progressive neuromuscular disease caused by mutations or deletions in the </w:t>
      </w:r>
      <w:r w:rsidRPr="00AD4F6B">
        <w:rPr>
          <w:i/>
        </w:rPr>
        <w:t>SMN1</w:t>
      </w:r>
      <w:r w:rsidRPr="00AD4F6B">
        <w:t xml:space="preserve"> gene on chromosome 5q. Alterations to this gene result in deficiency of SMN protein, which in turn, results in loss of motor function and respiratory failure. SMA is classified into types (0, I, II, III and IV) and subtypes (a, b, c) based on age of onset and maximal motor function achieved. There is also a clinical spectrum of disease associated with the number of copies of </w:t>
      </w:r>
      <w:r w:rsidRPr="00AD4F6B">
        <w:rPr>
          <w:i/>
        </w:rPr>
        <w:t>SMN2</w:t>
      </w:r>
      <w:r w:rsidRPr="00AD4F6B">
        <w:t xml:space="preserve"> gene with earlier age of onset associated with lower numbers of </w:t>
      </w:r>
      <w:r w:rsidRPr="00AD4F6B">
        <w:rPr>
          <w:i/>
        </w:rPr>
        <w:t>SMN2</w:t>
      </w:r>
      <w:r w:rsidRPr="00AD4F6B">
        <w:t xml:space="preserve"> gene copies and increased severity of </w:t>
      </w:r>
      <w:r w:rsidRPr="00AD4F6B">
        <w:rPr>
          <w:rFonts w:cstheme="minorHAnsi"/>
          <w:szCs w:val="24"/>
        </w:rPr>
        <w:t xml:space="preserve">symptoms (see </w:t>
      </w:r>
      <w:r w:rsidRPr="00AD4F6B" w:rsidR="00983FC9">
        <w:rPr>
          <w:rFonts w:cstheme="minorHAnsi"/>
          <w:szCs w:val="24"/>
        </w:rPr>
        <w:fldChar w:fldCharType="begin"/>
      </w:r>
      <w:r w:rsidRPr="00AD4F6B" w:rsidR="00983FC9">
        <w:rPr>
          <w:rFonts w:cstheme="minorHAnsi"/>
          <w:szCs w:val="24"/>
        </w:rPr>
        <w:instrText xml:space="preserve"> REF _Ref207894221 \h  \* MERGEFORMAT </w:instrText>
      </w:r>
      <w:r w:rsidRPr="00AD4F6B" w:rsidR="00983FC9">
        <w:rPr>
          <w:rFonts w:cstheme="minorHAnsi"/>
          <w:szCs w:val="24"/>
        </w:rPr>
      </w:r>
      <w:r w:rsidRPr="00AD4F6B" w:rsidR="00983FC9">
        <w:rPr>
          <w:rFonts w:cstheme="minorHAnsi"/>
          <w:szCs w:val="24"/>
        </w:rPr>
        <w:fldChar w:fldCharType="separate"/>
      </w:r>
      <w:r w:rsidRPr="00F0459B" w:rsidR="00F0459B">
        <w:rPr>
          <w:rFonts w:cstheme="minorHAnsi"/>
          <w:szCs w:val="24"/>
        </w:rPr>
        <w:t>Table 3</w:t>
      </w:r>
      <w:r w:rsidRPr="00AD4F6B" w:rsidR="00983FC9">
        <w:rPr>
          <w:rFonts w:cstheme="minorHAnsi"/>
          <w:szCs w:val="24"/>
        </w:rPr>
        <w:fldChar w:fldCharType="end"/>
      </w:r>
      <w:r w:rsidRPr="00AD4F6B">
        <w:rPr>
          <w:rFonts w:cstheme="minorHAnsi"/>
          <w:szCs w:val="24"/>
        </w:rPr>
        <w:t>). Patients</w:t>
      </w:r>
      <w:r w:rsidRPr="00AD4F6B">
        <w:t xml:space="preserve"> with SMA typically develop weak muscles and may have trouble walking and breathing (paragraph 4.1, onasemnogene abeparvovec PSD, November 2022 PBAC meeting). While patients with a later age of onset have better functional ability initially, their condition deteriorates over time and often results in disability, regardless of SMA type (paragraph 4.2, onasemnogene abeparvovec PSD, November 2022 PBAC meeting). Treatment for patients with SMA is most effective when initiated early, ideally before symptoms present. Early identification of patients with SMA through NBS can facilitate diagnosis and treatment initiation in those with clinically silent or pre-symptomatic SMA, which prevents the irreversible loss of motor neurons (Woodcock 2025).</w:t>
      </w:r>
      <w:r w:rsidRPr="00AD4F6B" w:rsidDel="00195452">
        <w:t xml:space="preserve"> </w:t>
      </w:r>
    </w:p>
    <w:p w:rsidRPr="00AD4F6B" w:rsidR="0032705F" w:rsidP="00983FC9" w:rsidRDefault="0032705F" w14:paraId="716252DC" w14:textId="72106320">
      <w:pPr>
        <w:pStyle w:val="Caption"/>
        <w:rPr>
          <w:b w:val="0"/>
          <w:szCs w:val="20"/>
        </w:rPr>
      </w:pPr>
      <w:bookmarkStart w:name="_Ref207894221" w:id="16"/>
      <w:r w:rsidRPr="00AD4F6B">
        <w:rPr>
          <w:szCs w:val="20"/>
        </w:rPr>
        <w:t xml:space="preserve">Table </w:t>
      </w:r>
      <w:r w:rsidRPr="00AD4F6B" w:rsidR="00983FC9">
        <w:rPr>
          <w:szCs w:val="20"/>
        </w:rPr>
        <w:fldChar w:fldCharType="begin"/>
      </w:r>
      <w:r w:rsidRPr="00AD4F6B" w:rsidR="00983FC9">
        <w:rPr>
          <w:szCs w:val="20"/>
        </w:rPr>
        <w:instrText xml:space="preserve"> SEQ Table \* ARABIC </w:instrText>
      </w:r>
      <w:r w:rsidRPr="00AD4F6B" w:rsidR="00983FC9">
        <w:rPr>
          <w:szCs w:val="20"/>
        </w:rPr>
        <w:fldChar w:fldCharType="separate"/>
      </w:r>
      <w:r w:rsidR="00F0459B">
        <w:rPr>
          <w:noProof/>
          <w:szCs w:val="20"/>
        </w:rPr>
        <w:t>3</w:t>
      </w:r>
      <w:r w:rsidRPr="00AD4F6B" w:rsidR="00983FC9">
        <w:rPr>
          <w:szCs w:val="20"/>
        </w:rPr>
        <w:fldChar w:fldCharType="end"/>
      </w:r>
      <w:bookmarkEnd w:id="16"/>
      <w:r w:rsidRPr="00AD4F6B">
        <w:rPr>
          <w:szCs w:val="20"/>
        </w:rPr>
        <w:t>: Classification of SMA based on age of symptom onset, motor function and life expectancy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4A0" w:firstRow="1" w:lastRow="0" w:firstColumn="1" w:lastColumn="0" w:noHBand="0" w:noVBand="1"/>
        <w:tblCaption w:val="Table 3: Classification of SMA based on age of symptom onset, motor function and life expectancy"/>
      </w:tblPr>
      <w:tblGrid>
        <w:gridCol w:w="444"/>
        <w:gridCol w:w="3118"/>
        <w:gridCol w:w="1787"/>
        <w:gridCol w:w="1717"/>
        <w:gridCol w:w="1951"/>
      </w:tblGrid>
      <w:tr w:rsidRPr="00AD4F6B" w:rsidR="00AD4F6B" w:rsidTr="00EA35AC" w14:paraId="0F5CD0BC" w14:textId="77777777">
        <w:tc>
          <w:tcPr>
            <w:tcW w:w="246" w:type="pct"/>
            <w:vAlign w:val="center"/>
          </w:tcPr>
          <w:p w:rsidRPr="00AD4F6B" w:rsidR="0032705F" w:rsidRDefault="0032705F" w14:paraId="6411A31A" w14:textId="77777777">
            <w:pPr>
              <w:keepNext/>
              <w:keepLines/>
              <w:rPr>
                <w:rFonts w:ascii="Arial Narrow" w:hAnsi="Arial Narrow"/>
                <w:b/>
                <w:sz w:val="20"/>
                <w:szCs w:val="20"/>
              </w:rPr>
            </w:pPr>
            <w:r w:rsidRPr="00AD4F6B">
              <w:rPr>
                <w:rFonts w:ascii="Arial Narrow" w:hAnsi="Arial Narrow"/>
                <w:b/>
                <w:sz w:val="20"/>
                <w:szCs w:val="20"/>
              </w:rPr>
              <w:t>Type</w:t>
            </w:r>
          </w:p>
        </w:tc>
        <w:tc>
          <w:tcPr>
            <w:tcW w:w="1729" w:type="pct"/>
            <w:vAlign w:val="center"/>
          </w:tcPr>
          <w:p w:rsidRPr="00AD4F6B" w:rsidR="0032705F" w:rsidRDefault="0032705F" w14:paraId="13AB0CEA" w14:textId="77777777">
            <w:pPr>
              <w:keepNext/>
              <w:keepLines/>
              <w:jc w:val="center"/>
              <w:rPr>
                <w:rFonts w:ascii="Arial Narrow" w:hAnsi="Arial Narrow"/>
                <w:b/>
                <w:sz w:val="20"/>
                <w:szCs w:val="20"/>
              </w:rPr>
            </w:pPr>
            <w:r w:rsidRPr="00AD4F6B">
              <w:rPr>
                <w:rFonts w:ascii="Arial Narrow" w:hAnsi="Arial Narrow"/>
                <w:b/>
                <w:sz w:val="20"/>
                <w:szCs w:val="20"/>
              </w:rPr>
              <w:t>Age at symptom onset</w:t>
            </w:r>
          </w:p>
        </w:tc>
        <w:tc>
          <w:tcPr>
            <w:tcW w:w="991" w:type="pct"/>
            <w:vAlign w:val="center"/>
          </w:tcPr>
          <w:p w:rsidRPr="00AD4F6B" w:rsidR="0032705F" w:rsidRDefault="0032705F" w14:paraId="241B3923" w14:textId="77777777">
            <w:pPr>
              <w:keepNext/>
              <w:keepLines/>
              <w:jc w:val="center"/>
              <w:rPr>
                <w:rFonts w:ascii="Arial Narrow" w:hAnsi="Arial Narrow"/>
                <w:b/>
                <w:sz w:val="20"/>
                <w:szCs w:val="20"/>
              </w:rPr>
            </w:pPr>
            <w:r w:rsidRPr="00AD4F6B">
              <w:rPr>
                <w:rFonts w:ascii="Arial Narrow" w:hAnsi="Arial Narrow"/>
                <w:b/>
                <w:sz w:val="20"/>
                <w:szCs w:val="20"/>
              </w:rPr>
              <w:t>Maximum motor function</w:t>
            </w:r>
          </w:p>
        </w:tc>
        <w:tc>
          <w:tcPr>
            <w:tcW w:w="952" w:type="pct"/>
            <w:vAlign w:val="center"/>
          </w:tcPr>
          <w:p w:rsidRPr="00AD4F6B" w:rsidR="0032705F" w:rsidRDefault="0032705F" w14:paraId="436BBC2C" w14:textId="77777777">
            <w:pPr>
              <w:keepNext/>
              <w:keepLines/>
              <w:jc w:val="center"/>
              <w:rPr>
                <w:rFonts w:ascii="Arial Narrow" w:hAnsi="Arial Narrow"/>
                <w:b/>
                <w:sz w:val="20"/>
                <w:szCs w:val="20"/>
              </w:rPr>
            </w:pPr>
            <w:r w:rsidRPr="00AD4F6B">
              <w:rPr>
                <w:rFonts w:ascii="Arial Narrow" w:hAnsi="Arial Narrow"/>
                <w:b/>
                <w:sz w:val="20"/>
                <w:szCs w:val="20"/>
              </w:rPr>
              <w:t>Life expectancy</w:t>
            </w:r>
          </w:p>
        </w:tc>
        <w:tc>
          <w:tcPr>
            <w:tcW w:w="1082" w:type="pct"/>
            <w:vAlign w:val="center"/>
          </w:tcPr>
          <w:p w:rsidRPr="00AD4F6B" w:rsidR="0032705F" w:rsidRDefault="0032705F" w14:paraId="171EB044" w14:textId="77777777">
            <w:pPr>
              <w:keepNext/>
              <w:keepLines/>
              <w:jc w:val="center"/>
              <w:rPr>
                <w:rFonts w:ascii="Arial Narrow" w:hAnsi="Arial Narrow"/>
                <w:b/>
                <w:sz w:val="20"/>
                <w:szCs w:val="20"/>
              </w:rPr>
            </w:pPr>
            <w:r w:rsidRPr="00AD4F6B">
              <w:rPr>
                <w:rFonts w:ascii="Arial Narrow" w:hAnsi="Arial Narrow"/>
                <w:b/>
                <w:sz w:val="20"/>
                <w:szCs w:val="20"/>
              </w:rPr>
              <w:t xml:space="preserve">Likely </w:t>
            </w:r>
            <w:r w:rsidRPr="00AD4F6B">
              <w:rPr>
                <w:rFonts w:ascii="Arial Narrow" w:hAnsi="Arial Narrow"/>
                <w:b/>
                <w:i/>
                <w:sz w:val="20"/>
                <w:szCs w:val="20"/>
              </w:rPr>
              <w:t>SMN2</w:t>
            </w:r>
            <w:r w:rsidRPr="00AD4F6B">
              <w:rPr>
                <w:rFonts w:ascii="Arial Narrow" w:hAnsi="Arial Narrow"/>
                <w:b/>
                <w:sz w:val="20"/>
                <w:szCs w:val="20"/>
              </w:rPr>
              <w:t xml:space="preserve"> copy number</w:t>
            </w:r>
          </w:p>
        </w:tc>
      </w:tr>
      <w:tr w:rsidRPr="00AD4F6B" w:rsidR="00AD4F6B" w:rsidTr="00EA35AC" w14:paraId="61C0E9D5" w14:textId="77777777">
        <w:trPr>
          <w:trHeight w:val="60"/>
        </w:trPr>
        <w:tc>
          <w:tcPr>
            <w:tcW w:w="246" w:type="pct"/>
            <w:vAlign w:val="center"/>
          </w:tcPr>
          <w:p w:rsidRPr="00AD4F6B" w:rsidR="0032705F" w:rsidRDefault="0032705F" w14:paraId="76C08054" w14:textId="77777777">
            <w:pPr>
              <w:keepNext/>
              <w:keepLines/>
              <w:jc w:val="center"/>
              <w:rPr>
                <w:rFonts w:ascii="Arial Narrow" w:hAnsi="Arial Narrow"/>
                <w:sz w:val="20"/>
                <w:szCs w:val="20"/>
              </w:rPr>
            </w:pPr>
            <w:r w:rsidRPr="00AD4F6B">
              <w:rPr>
                <w:rFonts w:ascii="Arial Narrow" w:hAnsi="Arial Narrow"/>
                <w:sz w:val="20"/>
                <w:szCs w:val="20"/>
              </w:rPr>
              <w:t>0</w:t>
            </w:r>
          </w:p>
        </w:tc>
        <w:tc>
          <w:tcPr>
            <w:tcW w:w="1729" w:type="pct"/>
            <w:vAlign w:val="center"/>
          </w:tcPr>
          <w:p w:rsidRPr="00AD4F6B" w:rsidR="0032705F" w:rsidRDefault="0032705F" w14:paraId="52081405" w14:textId="77777777">
            <w:pPr>
              <w:keepNext/>
              <w:keepLines/>
              <w:jc w:val="center"/>
              <w:rPr>
                <w:rFonts w:ascii="Arial Narrow" w:hAnsi="Arial Narrow"/>
                <w:sz w:val="20"/>
                <w:szCs w:val="20"/>
              </w:rPr>
            </w:pPr>
            <w:r w:rsidRPr="00AD4F6B">
              <w:rPr>
                <w:rFonts w:ascii="Arial Narrow" w:hAnsi="Arial Narrow"/>
                <w:sz w:val="20"/>
                <w:szCs w:val="20"/>
              </w:rPr>
              <w:t>Foetal</w:t>
            </w:r>
          </w:p>
        </w:tc>
        <w:tc>
          <w:tcPr>
            <w:tcW w:w="991" w:type="pct"/>
            <w:vAlign w:val="center"/>
          </w:tcPr>
          <w:p w:rsidRPr="00AD4F6B" w:rsidR="0032705F" w:rsidRDefault="0032705F" w14:paraId="1AF4E740" w14:textId="77777777">
            <w:pPr>
              <w:keepNext/>
              <w:keepLines/>
              <w:jc w:val="center"/>
              <w:rPr>
                <w:rFonts w:ascii="Arial Narrow" w:hAnsi="Arial Narrow"/>
                <w:sz w:val="20"/>
                <w:szCs w:val="20"/>
              </w:rPr>
            </w:pPr>
            <w:r w:rsidRPr="00AD4F6B">
              <w:rPr>
                <w:rFonts w:ascii="Arial Narrow" w:hAnsi="Arial Narrow"/>
                <w:sz w:val="20"/>
                <w:szCs w:val="20"/>
              </w:rPr>
              <w:t>Nil</w:t>
            </w:r>
          </w:p>
        </w:tc>
        <w:tc>
          <w:tcPr>
            <w:tcW w:w="952" w:type="pct"/>
          </w:tcPr>
          <w:p w:rsidRPr="00AD4F6B" w:rsidR="0032705F" w:rsidRDefault="0032705F" w14:paraId="40583726" w14:textId="77777777">
            <w:pPr>
              <w:keepNext/>
              <w:keepLines/>
              <w:jc w:val="center"/>
              <w:rPr>
                <w:rFonts w:ascii="Arial Narrow" w:hAnsi="Arial Narrow"/>
                <w:sz w:val="20"/>
                <w:szCs w:val="20"/>
              </w:rPr>
            </w:pPr>
            <w:r w:rsidRPr="00AD4F6B">
              <w:rPr>
                <w:rFonts w:ascii="Arial Narrow" w:hAnsi="Arial Narrow"/>
                <w:sz w:val="20"/>
                <w:szCs w:val="20"/>
              </w:rPr>
              <w:t>Days-weeks</w:t>
            </w:r>
          </w:p>
        </w:tc>
        <w:tc>
          <w:tcPr>
            <w:tcW w:w="1082" w:type="pct"/>
            <w:vAlign w:val="center"/>
          </w:tcPr>
          <w:p w:rsidRPr="00AD4F6B" w:rsidR="0032705F" w:rsidRDefault="0032705F" w14:paraId="13488FCA" w14:textId="77777777">
            <w:pPr>
              <w:keepNext/>
              <w:keepLines/>
              <w:jc w:val="center"/>
              <w:rPr>
                <w:rFonts w:ascii="Arial Narrow" w:hAnsi="Arial Narrow"/>
                <w:sz w:val="20"/>
                <w:szCs w:val="20"/>
              </w:rPr>
            </w:pPr>
            <w:r w:rsidRPr="00AD4F6B">
              <w:rPr>
                <w:rFonts w:ascii="Arial Narrow" w:hAnsi="Arial Narrow"/>
                <w:sz w:val="20"/>
                <w:szCs w:val="20"/>
              </w:rPr>
              <w:t>1</w:t>
            </w:r>
          </w:p>
        </w:tc>
      </w:tr>
      <w:tr w:rsidRPr="00AD4F6B" w:rsidR="00AD4F6B" w:rsidTr="00EA35AC" w14:paraId="55688C8F" w14:textId="77777777">
        <w:tc>
          <w:tcPr>
            <w:tcW w:w="246" w:type="pct"/>
            <w:vAlign w:val="center"/>
          </w:tcPr>
          <w:p w:rsidRPr="00AD4F6B" w:rsidR="0032705F" w:rsidRDefault="0032705F" w14:paraId="40D78C16" w14:textId="77777777">
            <w:pPr>
              <w:keepNext/>
              <w:keepLines/>
              <w:jc w:val="center"/>
              <w:rPr>
                <w:rFonts w:ascii="Arial Narrow" w:hAnsi="Arial Narrow"/>
                <w:sz w:val="20"/>
                <w:szCs w:val="20"/>
              </w:rPr>
            </w:pPr>
            <w:r w:rsidRPr="00AD4F6B">
              <w:rPr>
                <w:rFonts w:ascii="Arial Narrow" w:hAnsi="Arial Narrow"/>
                <w:sz w:val="20"/>
                <w:szCs w:val="20"/>
              </w:rPr>
              <w:t>1</w:t>
            </w:r>
          </w:p>
        </w:tc>
        <w:tc>
          <w:tcPr>
            <w:tcW w:w="1729" w:type="pct"/>
            <w:vAlign w:val="center"/>
          </w:tcPr>
          <w:p w:rsidRPr="00AD4F6B" w:rsidR="0032705F" w:rsidRDefault="0032705F" w14:paraId="2825FD90" w14:textId="77777777">
            <w:pPr>
              <w:keepNext/>
              <w:keepLines/>
              <w:jc w:val="center"/>
              <w:rPr>
                <w:rFonts w:ascii="Arial Narrow" w:hAnsi="Arial Narrow"/>
                <w:sz w:val="20"/>
                <w:szCs w:val="20"/>
              </w:rPr>
            </w:pPr>
            <w:r w:rsidRPr="00AD4F6B">
              <w:rPr>
                <w:rFonts w:ascii="Arial Narrow" w:hAnsi="Arial Narrow"/>
                <w:sz w:val="20"/>
                <w:szCs w:val="20"/>
              </w:rPr>
              <w:t>&lt;6 months</w:t>
            </w:r>
          </w:p>
        </w:tc>
        <w:tc>
          <w:tcPr>
            <w:tcW w:w="991" w:type="pct"/>
            <w:vAlign w:val="center"/>
          </w:tcPr>
          <w:p w:rsidRPr="00AD4F6B" w:rsidR="0032705F" w:rsidRDefault="0032705F" w14:paraId="547D416C" w14:textId="77777777">
            <w:pPr>
              <w:keepNext/>
              <w:keepLines/>
              <w:jc w:val="center"/>
              <w:rPr>
                <w:rFonts w:ascii="Arial Narrow" w:hAnsi="Arial Narrow"/>
                <w:sz w:val="20"/>
                <w:szCs w:val="20"/>
              </w:rPr>
            </w:pPr>
            <w:r w:rsidRPr="00AD4F6B">
              <w:rPr>
                <w:rFonts w:ascii="Arial Narrow" w:hAnsi="Arial Narrow"/>
                <w:sz w:val="20"/>
                <w:szCs w:val="20"/>
              </w:rPr>
              <w:t>Never sits</w:t>
            </w:r>
          </w:p>
        </w:tc>
        <w:tc>
          <w:tcPr>
            <w:tcW w:w="952" w:type="pct"/>
          </w:tcPr>
          <w:p w:rsidRPr="00AD4F6B" w:rsidR="0032705F" w:rsidRDefault="0032705F" w14:paraId="6443AA58" w14:textId="77777777">
            <w:pPr>
              <w:keepNext/>
              <w:keepLines/>
              <w:jc w:val="center"/>
              <w:rPr>
                <w:rFonts w:ascii="Arial Narrow" w:hAnsi="Arial Narrow"/>
                <w:sz w:val="20"/>
                <w:szCs w:val="20"/>
              </w:rPr>
            </w:pPr>
            <w:r w:rsidRPr="00AD4F6B">
              <w:rPr>
                <w:rFonts w:ascii="Arial Narrow" w:hAnsi="Arial Narrow"/>
                <w:sz w:val="20"/>
                <w:szCs w:val="20"/>
              </w:rPr>
              <w:t>&lt; 2 years</w:t>
            </w:r>
          </w:p>
        </w:tc>
        <w:tc>
          <w:tcPr>
            <w:tcW w:w="1082" w:type="pct"/>
            <w:vAlign w:val="center"/>
          </w:tcPr>
          <w:p w:rsidRPr="00AD4F6B" w:rsidR="0032705F" w:rsidRDefault="0032705F" w14:paraId="12EAD135" w14:textId="77777777">
            <w:pPr>
              <w:keepNext/>
              <w:keepLines/>
              <w:jc w:val="center"/>
              <w:rPr>
                <w:rFonts w:ascii="Arial Narrow" w:hAnsi="Arial Narrow"/>
                <w:sz w:val="20"/>
                <w:szCs w:val="20"/>
              </w:rPr>
            </w:pPr>
            <w:r w:rsidRPr="00AD4F6B">
              <w:rPr>
                <w:rFonts w:ascii="Arial Narrow" w:hAnsi="Arial Narrow"/>
                <w:sz w:val="20"/>
                <w:szCs w:val="20"/>
              </w:rPr>
              <w:t xml:space="preserve">1, </w:t>
            </w:r>
            <w:r w:rsidRPr="00AD4F6B">
              <w:rPr>
                <w:rFonts w:ascii="Arial Narrow" w:hAnsi="Arial Narrow"/>
                <w:b/>
                <w:sz w:val="20"/>
                <w:szCs w:val="20"/>
              </w:rPr>
              <w:t>2</w:t>
            </w:r>
            <w:r w:rsidRPr="00AD4F6B">
              <w:rPr>
                <w:rFonts w:ascii="Arial Narrow" w:hAnsi="Arial Narrow"/>
                <w:sz w:val="20"/>
                <w:szCs w:val="20"/>
              </w:rPr>
              <w:t>, 3</w:t>
            </w:r>
          </w:p>
        </w:tc>
      </w:tr>
      <w:tr w:rsidRPr="00AD4F6B" w:rsidR="00AD4F6B" w:rsidTr="00EA35AC" w14:paraId="070068DB" w14:textId="77777777">
        <w:tc>
          <w:tcPr>
            <w:tcW w:w="246" w:type="pct"/>
            <w:vAlign w:val="center"/>
          </w:tcPr>
          <w:p w:rsidRPr="00AD4F6B" w:rsidR="0032705F" w:rsidRDefault="0032705F" w14:paraId="26E52D88" w14:textId="77777777">
            <w:pPr>
              <w:keepNext/>
              <w:keepLines/>
              <w:jc w:val="center"/>
              <w:rPr>
                <w:rFonts w:ascii="Arial Narrow" w:hAnsi="Arial Narrow"/>
                <w:sz w:val="20"/>
                <w:szCs w:val="20"/>
              </w:rPr>
            </w:pPr>
            <w:r w:rsidRPr="00AD4F6B">
              <w:rPr>
                <w:rFonts w:ascii="Arial Narrow" w:hAnsi="Arial Narrow"/>
                <w:sz w:val="20"/>
                <w:szCs w:val="20"/>
              </w:rPr>
              <w:t>2</w:t>
            </w:r>
          </w:p>
        </w:tc>
        <w:tc>
          <w:tcPr>
            <w:tcW w:w="1729" w:type="pct"/>
            <w:vAlign w:val="center"/>
          </w:tcPr>
          <w:p w:rsidRPr="00AD4F6B" w:rsidR="0032705F" w:rsidRDefault="0032705F" w14:paraId="41107D3E" w14:textId="77777777">
            <w:pPr>
              <w:keepNext/>
              <w:keepLines/>
              <w:jc w:val="center"/>
              <w:rPr>
                <w:rFonts w:ascii="Arial Narrow" w:hAnsi="Arial Narrow"/>
                <w:sz w:val="20"/>
                <w:szCs w:val="20"/>
              </w:rPr>
            </w:pPr>
            <w:r w:rsidRPr="00AD4F6B">
              <w:rPr>
                <w:rFonts w:ascii="Arial Narrow" w:hAnsi="Arial Narrow"/>
                <w:sz w:val="20"/>
                <w:szCs w:val="20"/>
              </w:rPr>
              <w:t>6-18 months</w:t>
            </w:r>
          </w:p>
        </w:tc>
        <w:tc>
          <w:tcPr>
            <w:tcW w:w="991" w:type="pct"/>
            <w:vAlign w:val="center"/>
          </w:tcPr>
          <w:p w:rsidRPr="00AD4F6B" w:rsidR="0032705F" w:rsidRDefault="0032705F" w14:paraId="30A18E43" w14:textId="77777777">
            <w:pPr>
              <w:keepNext/>
              <w:keepLines/>
              <w:jc w:val="center"/>
              <w:rPr>
                <w:rFonts w:ascii="Arial Narrow" w:hAnsi="Arial Narrow"/>
                <w:sz w:val="20"/>
                <w:szCs w:val="20"/>
              </w:rPr>
            </w:pPr>
            <w:r w:rsidRPr="00AD4F6B">
              <w:rPr>
                <w:rFonts w:ascii="Arial Narrow" w:hAnsi="Arial Narrow"/>
                <w:sz w:val="20"/>
                <w:szCs w:val="20"/>
              </w:rPr>
              <w:t>Never walks</w:t>
            </w:r>
          </w:p>
        </w:tc>
        <w:tc>
          <w:tcPr>
            <w:tcW w:w="952" w:type="pct"/>
          </w:tcPr>
          <w:p w:rsidRPr="00AD4F6B" w:rsidR="0032705F" w:rsidRDefault="0032705F" w14:paraId="40DB78E8" w14:textId="77777777">
            <w:pPr>
              <w:keepNext/>
              <w:keepLines/>
              <w:jc w:val="center"/>
              <w:rPr>
                <w:rFonts w:ascii="Arial Narrow" w:hAnsi="Arial Narrow"/>
                <w:sz w:val="20"/>
                <w:szCs w:val="20"/>
              </w:rPr>
            </w:pPr>
            <w:r w:rsidRPr="00AD4F6B">
              <w:rPr>
                <w:rFonts w:ascii="Arial Narrow" w:hAnsi="Arial Narrow"/>
                <w:sz w:val="20"/>
                <w:szCs w:val="20"/>
              </w:rPr>
              <w:t>20-40 years</w:t>
            </w:r>
          </w:p>
        </w:tc>
        <w:tc>
          <w:tcPr>
            <w:tcW w:w="1082" w:type="pct"/>
            <w:vAlign w:val="center"/>
          </w:tcPr>
          <w:p w:rsidRPr="00AD4F6B" w:rsidR="0032705F" w:rsidRDefault="0032705F" w14:paraId="3EBA2A95" w14:textId="77777777">
            <w:pPr>
              <w:keepNext/>
              <w:keepLines/>
              <w:jc w:val="center"/>
              <w:rPr>
                <w:rFonts w:ascii="Arial Narrow" w:hAnsi="Arial Narrow"/>
                <w:sz w:val="20"/>
                <w:szCs w:val="20"/>
              </w:rPr>
            </w:pPr>
            <w:r w:rsidRPr="00AD4F6B">
              <w:rPr>
                <w:rFonts w:ascii="Arial Narrow" w:hAnsi="Arial Narrow"/>
                <w:sz w:val="20"/>
                <w:szCs w:val="20"/>
              </w:rPr>
              <w:t xml:space="preserve">2, </w:t>
            </w:r>
            <w:r w:rsidRPr="00AD4F6B">
              <w:rPr>
                <w:rFonts w:ascii="Arial Narrow" w:hAnsi="Arial Narrow"/>
                <w:b/>
                <w:sz w:val="20"/>
                <w:szCs w:val="20"/>
              </w:rPr>
              <w:t>3,</w:t>
            </w:r>
            <w:r w:rsidRPr="00AD4F6B">
              <w:rPr>
                <w:rFonts w:ascii="Arial Narrow" w:hAnsi="Arial Narrow"/>
                <w:sz w:val="20"/>
                <w:szCs w:val="20"/>
              </w:rPr>
              <w:t xml:space="preserve"> 4</w:t>
            </w:r>
          </w:p>
        </w:tc>
      </w:tr>
      <w:tr w:rsidRPr="00AD4F6B" w:rsidR="00AD4F6B" w:rsidTr="00EA35AC" w14:paraId="54FC3441" w14:textId="77777777">
        <w:tc>
          <w:tcPr>
            <w:tcW w:w="246" w:type="pct"/>
            <w:vAlign w:val="center"/>
          </w:tcPr>
          <w:p w:rsidRPr="00AD4F6B" w:rsidR="0032705F" w:rsidRDefault="0032705F" w14:paraId="35C33B0D" w14:textId="77777777">
            <w:pPr>
              <w:keepNext/>
              <w:keepLines/>
              <w:jc w:val="center"/>
              <w:rPr>
                <w:rFonts w:ascii="Arial Narrow" w:hAnsi="Arial Narrow"/>
                <w:sz w:val="20"/>
                <w:szCs w:val="20"/>
              </w:rPr>
            </w:pPr>
            <w:r w:rsidRPr="00AD4F6B">
              <w:rPr>
                <w:rFonts w:ascii="Arial Narrow" w:hAnsi="Arial Narrow"/>
                <w:sz w:val="20"/>
                <w:szCs w:val="20"/>
              </w:rPr>
              <w:t>3</w:t>
            </w:r>
          </w:p>
        </w:tc>
        <w:tc>
          <w:tcPr>
            <w:tcW w:w="1729" w:type="pct"/>
            <w:vAlign w:val="center"/>
          </w:tcPr>
          <w:p w:rsidRPr="00AD4F6B" w:rsidR="0032705F" w:rsidRDefault="0032705F" w14:paraId="1DBD42FB" w14:textId="77777777">
            <w:pPr>
              <w:keepNext/>
              <w:keepLines/>
              <w:jc w:val="center"/>
              <w:rPr>
                <w:rFonts w:ascii="Arial Narrow" w:hAnsi="Arial Narrow"/>
                <w:sz w:val="20"/>
                <w:szCs w:val="20"/>
              </w:rPr>
            </w:pPr>
            <w:r w:rsidRPr="00AD4F6B">
              <w:rPr>
                <w:rFonts w:ascii="Arial Narrow" w:hAnsi="Arial Narrow"/>
                <w:sz w:val="20"/>
                <w:szCs w:val="20"/>
              </w:rPr>
              <w:t>1.5-10 years</w:t>
            </w:r>
          </w:p>
        </w:tc>
        <w:tc>
          <w:tcPr>
            <w:tcW w:w="991" w:type="pct"/>
            <w:vAlign w:val="center"/>
          </w:tcPr>
          <w:p w:rsidRPr="00AD4F6B" w:rsidR="0032705F" w:rsidRDefault="0032705F" w14:paraId="00BF682F" w14:textId="77777777">
            <w:pPr>
              <w:keepNext/>
              <w:keepLines/>
              <w:jc w:val="center"/>
              <w:rPr>
                <w:rFonts w:ascii="Arial Narrow" w:hAnsi="Arial Narrow"/>
                <w:sz w:val="20"/>
                <w:szCs w:val="20"/>
              </w:rPr>
            </w:pPr>
            <w:r w:rsidRPr="00AD4F6B">
              <w:rPr>
                <w:rFonts w:ascii="Arial Narrow" w:hAnsi="Arial Narrow"/>
                <w:sz w:val="20"/>
                <w:szCs w:val="20"/>
              </w:rPr>
              <w:t>Walks, regression</w:t>
            </w:r>
          </w:p>
        </w:tc>
        <w:tc>
          <w:tcPr>
            <w:tcW w:w="952" w:type="pct"/>
          </w:tcPr>
          <w:p w:rsidRPr="00AD4F6B" w:rsidR="0032705F" w:rsidRDefault="0032705F" w14:paraId="4A0C941D" w14:textId="77777777">
            <w:pPr>
              <w:keepNext/>
              <w:keepLines/>
              <w:jc w:val="center"/>
              <w:rPr>
                <w:rFonts w:ascii="Arial Narrow" w:hAnsi="Arial Narrow"/>
                <w:sz w:val="20"/>
                <w:szCs w:val="20"/>
              </w:rPr>
            </w:pPr>
            <w:r w:rsidRPr="00AD4F6B">
              <w:rPr>
                <w:rFonts w:ascii="Arial Narrow" w:hAnsi="Arial Narrow"/>
                <w:sz w:val="20"/>
                <w:szCs w:val="20"/>
              </w:rPr>
              <w:t>Normal</w:t>
            </w:r>
          </w:p>
        </w:tc>
        <w:tc>
          <w:tcPr>
            <w:tcW w:w="1082" w:type="pct"/>
            <w:vAlign w:val="center"/>
          </w:tcPr>
          <w:p w:rsidRPr="00AD4F6B" w:rsidR="0032705F" w:rsidRDefault="0032705F" w14:paraId="5F9AE97C" w14:textId="77777777">
            <w:pPr>
              <w:keepNext/>
              <w:keepLines/>
              <w:jc w:val="center"/>
              <w:rPr>
                <w:rFonts w:ascii="Arial Narrow" w:hAnsi="Arial Narrow"/>
                <w:sz w:val="20"/>
                <w:szCs w:val="20"/>
              </w:rPr>
            </w:pPr>
            <w:r w:rsidRPr="00AD4F6B">
              <w:rPr>
                <w:rFonts w:ascii="Arial Narrow" w:hAnsi="Arial Narrow"/>
                <w:b/>
                <w:sz w:val="20"/>
                <w:szCs w:val="20"/>
              </w:rPr>
              <w:t>3, 4,</w:t>
            </w:r>
            <w:r w:rsidRPr="00AD4F6B">
              <w:rPr>
                <w:rFonts w:ascii="Arial Narrow" w:hAnsi="Arial Narrow"/>
                <w:sz w:val="20"/>
                <w:szCs w:val="20"/>
              </w:rPr>
              <w:t xml:space="preserve"> 5</w:t>
            </w:r>
          </w:p>
        </w:tc>
      </w:tr>
      <w:tr w:rsidRPr="00AD4F6B" w:rsidR="00AD4F6B" w:rsidTr="00EA35AC" w14:paraId="348CAC24" w14:textId="77777777">
        <w:tc>
          <w:tcPr>
            <w:tcW w:w="246" w:type="pct"/>
            <w:vAlign w:val="center"/>
          </w:tcPr>
          <w:p w:rsidRPr="00AD4F6B" w:rsidR="0032705F" w:rsidRDefault="0032705F" w14:paraId="6A6D8544" w14:textId="77777777">
            <w:pPr>
              <w:keepNext/>
              <w:keepLines/>
              <w:jc w:val="center"/>
              <w:rPr>
                <w:rFonts w:ascii="Arial Narrow" w:hAnsi="Arial Narrow"/>
                <w:sz w:val="20"/>
                <w:szCs w:val="20"/>
              </w:rPr>
            </w:pPr>
            <w:r w:rsidRPr="00AD4F6B">
              <w:rPr>
                <w:rFonts w:ascii="Arial Narrow" w:hAnsi="Arial Narrow"/>
                <w:sz w:val="20"/>
                <w:szCs w:val="20"/>
              </w:rPr>
              <w:t>4</w:t>
            </w:r>
          </w:p>
        </w:tc>
        <w:tc>
          <w:tcPr>
            <w:tcW w:w="1729" w:type="pct"/>
            <w:vAlign w:val="center"/>
          </w:tcPr>
          <w:p w:rsidRPr="00AD4F6B" w:rsidR="0032705F" w:rsidRDefault="0032705F" w14:paraId="069E71E0" w14:textId="77777777">
            <w:pPr>
              <w:keepNext/>
              <w:keepLines/>
              <w:jc w:val="center"/>
              <w:rPr>
                <w:rFonts w:ascii="Arial Narrow" w:hAnsi="Arial Narrow"/>
                <w:sz w:val="20"/>
                <w:szCs w:val="20"/>
              </w:rPr>
            </w:pPr>
            <w:r w:rsidRPr="00AD4F6B">
              <w:rPr>
                <w:rFonts w:ascii="Arial Narrow" w:hAnsi="Arial Narrow"/>
                <w:sz w:val="20"/>
                <w:szCs w:val="20"/>
              </w:rPr>
              <w:t>&gt;35 years</w:t>
            </w:r>
          </w:p>
        </w:tc>
        <w:tc>
          <w:tcPr>
            <w:tcW w:w="991" w:type="pct"/>
            <w:vAlign w:val="center"/>
          </w:tcPr>
          <w:p w:rsidRPr="00AD4F6B" w:rsidR="0032705F" w:rsidRDefault="0032705F" w14:paraId="07834EA2" w14:textId="77777777">
            <w:pPr>
              <w:keepNext/>
              <w:keepLines/>
              <w:jc w:val="center"/>
              <w:rPr>
                <w:rFonts w:ascii="Arial Narrow" w:hAnsi="Arial Narrow"/>
                <w:sz w:val="20"/>
                <w:szCs w:val="20"/>
              </w:rPr>
            </w:pPr>
            <w:r w:rsidRPr="00AD4F6B">
              <w:rPr>
                <w:rFonts w:ascii="Arial Narrow" w:hAnsi="Arial Narrow"/>
                <w:sz w:val="20"/>
                <w:szCs w:val="20"/>
              </w:rPr>
              <w:t>Slow decline</w:t>
            </w:r>
          </w:p>
        </w:tc>
        <w:tc>
          <w:tcPr>
            <w:tcW w:w="952" w:type="pct"/>
          </w:tcPr>
          <w:p w:rsidRPr="00AD4F6B" w:rsidR="0032705F" w:rsidRDefault="0032705F" w14:paraId="536C4F6D" w14:textId="77777777">
            <w:pPr>
              <w:keepNext/>
              <w:keepLines/>
              <w:jc w:val="center"/>
              <w:rPr>
                <w:rFonts w:ascii="Arial Narrow" w:hAnsi="Arial Narrow"/>
                <w:sz w:val="20"/>
                <w:szCs w:val="20"/>
              </w:rPr>
            </w:pPr>
            <w:r w:rsidRPr="00AD4F6B">
              <w:rPr>
                <w:rFonts w:ascii="Arial Narrow" w:hAnsi="Arial Narrow"/>
                <w:sz w:val="20"/>
                <w:szCs w:val="20"/>
              </w:rPr>
              <w:t>Normal</w:t>
            </w:r>
          </w:p>
        </w:tc>
        <w:tc>
          <w:tcPr>
            <w:tcW w:w="1082" w:type="pct"/>
            <w:vAlign w:val="center"/>
          </w:tcPr>
          <w:p w:rsidRPr="00AD4F6B" w:rsidR="0032705F" w:rsidRDefault="0032705F" w14:paraId="7D2FF9BC" w14:textId="77777777">
            <w:pPr>
              <w:keepNext/>
              <w:keepLines/>
              <w:jc w:val="center"/>
              <w:rPr>
                <w:rFonts w:ascii="Arial Narrow" w:hAnsi="Arial Narrow"/>
                <w:b/>
                <w:sz w:val="20"/>
                <w:szCs w:val="20"/>
              </w:rPr>
            </w:pPr>
            <w:r w:rsidRPr="00AD4F6B">
              <w:rPr>
                <w:rFonts w:ascii="Arial Narrow" w:hAnsi="Arial Narrow"/>
                <w:b/>
                <w:sz w:val="20"/>
                <w:szCs w:val="20"/>
              </w:rPr>
              <w:t>4, 5</w:t>
            </w:r>
          </w:p>
        </w:tc>
      </w:tr>
    </w:tbl>
    <w:p w:rsidRPr="00AD4F6B" w:rsidR="0032705F" w:rsidRDefault="0032705F" w14:paraId="13B4AAE3" w14:textId="77777777">
      <w:pPr>
        <w:keepNext/>
        <w:keepLines/>
        <w:rPr>
          <w:rFonts w:ascii="Arial Narrow" w:hAnsi="Arial Narrow"/>
          <w:sz w:val="18"/>
          <w:szCs w:val="18"/>
        </w:rPr>
      </w:pPr>
      <w:r w:rsidRPr="00AD4F6B">
        <w:rPr>
          <w:rFonts w:ascii="Arial Narrow" w:hAnsi="Arial Narrow"/>
          <w:sz w:val="18"/>
          <w:szCs w:val="18"/>
        </w:rPr>
        <w:t xml:space="preserve">Source: Table 1.2, p4 of the submission. </w:t>
      </w:r>
    </w:p>
    <w:p w:rsidRPr="00AD4F6B" w:rsidR="0032705F" w:rsidRDefault="0032705F" w14:paraId="150C76B9" w14:textId="77777777">
      <w:pPr>
        <w:keepNext/>
        <w:keepLines/>
        <w:rPr>
          <w:rFonts w:ascii="Arial Narrow" w:hAnsi="Arial Narrow"/>
          <w:sz w:val="18"/>
          <w:szCs w:val="18"/>
        </w:rPr>
      </w:pPr>
      <w:r w:rsidRPr="00AD4F6B">
        <w:rPr>
          <w:rFonts w:ascii="Arial Narrow" w:hAnsi="Arial Narrow"/>
          <w:sz w:val="18"/>
          <w:szCs w:val="18"/>
        </w:rPr>
        <w:t xml:space="preserve">SMA= spinal muscular atrophy; </w:t>
      </w:r>
      <w:r w:rsidRPr="00AD4F6B">
        <w:rPr>
          <w:rFonts w:ascii="Arial Narrow" w:hAnsi="Arial Narrow"/>
          <w:i/>
          <w:sz w:val="18"/>
          <w:szCs w:val="18"/>
        </w:rPr>
        <w:t>SMN2</w:t>
      </w:r>
      <w:r w:rsidRPr="00AD4F6B">
        <w:rPr>
          <w:rFonts w:ascii="Arial Narrow" w:hAnsi="Arial Narrow"/>
          <w:sz w:val="18"/>
          <w:szCs w:val="18"/>
        </w:rPr>
        <w:t>= survival motor neuron 2 gene</w:t>
      </w:r>
    </w:p>
    <w:p w:rsidRPr="00AD4F6B" w:rsidR="0032705F" w:rsidRDefault="0032705F" w14:paraId="1A3349C9" w14:textId="120067C8">
      <w:pPr>
        <w:keepNext/>
        <w:keepLines/>
        <w:rPr>
          <w:rFonts w:ascii="Arial Narrow" w:hAnsi="Arial Narrow"/>
          <w:sz w:val="18"/>
          <w:szCs w:val="18"/>
        </w:rPr>
      </w:pPr>
      <w:r w:rsidRPr="00AD4F6B">
        <w:rPr>
          <w:rFonts w:ascii="Arial Narrow" w:hAnsi="Arial Narrow"/>
          <w:sz w:val="18"/>
          <w:szCs w:val="18"/>
        </w:rPr>
        <w:t>Note: This was also most recently presented in the</w:t>
      </w:r>
      <w:r w:rsidRPr="00AD4F6B">
        <w:t xml:space="preserve"> </w:t>
      </w:r>
      <w:r w:rsidRPr="00AD4F6B">
        <w:rPr>
          <w:rFonts w:ascii="Arial Narrow" w:hAnsi="Arial Narrow"/>
          <w:sz w:val="18"/>
          <w:szCs w:val="18"/>
        </w:rPr>
        <w:t>onasemnogene abeparvovec PSD, July 2023 PBAC meeting</w:t>
      </w:r>
      <w:r w:rsidRPr="00AD4F6B" w:rsidR="00D84765">
        <w:rPr>
          <w:rFonts w:ascii="Arial Narrow" w:hAnsi="Arial Narrow"/>
          <w:sz w:val="18"/>
          <w:szCs w:val="18"/>
        </w:rPr>
        <w:t xml:space="preserve">, </w:t>
      </w:r>
    </w:p>
    <w:p w:rsidRPr="00AD4F6B" w:rsidR="0032705F" w:rsidRDefault="0032705F" w14:paraId="3CA26ECC" w14:textId="77777777">
      <w:pPr>
        <w:keepNext/>
        <w:keepLines/>
        <w:rPr>
          <w:rFonts w:ascii="Arial Narrow" w:hAnsi="Arial Narrow"/>
          <w:sz w:val="18"/>
          <w:szCs w:val="18"/>
        </w:rPr>
      </w:pPr>
      <w:r w:rsidRPr="00AD4F6B">
        <w:rPr>
          <w:rFonts w:ascii="Arial Narrow" w:hAnsi="Arial Narrow"/>
          <w:bCs/>
          <w:sz w:val="18"/>
          <w:szCs w:val="18"/>
        </w:rPr>
        <w:t xml:space="preserve">Bold </w:t>
      </w:r>
      <w:r w:rsidRPr="00AD4F6B">
        <w:rPr>
          <w:rFonts w:ascii="Arial Narrow" w:hAnsi="Arial Narrow"/>
          <w:sz w:val="18"/>
          <w:szCs w:val="18"/>
        </w:rPr>
        <w:t xml:space="preserve">indicates predominant </w:t>
      </w:r>
      <w:r w:rsidRPr="00AD4F6B">
        <w:rPr>
          <w:rFonts w:ascii="Arial Narrow" w:hAnsi="Arial Narrow"/>
          <w:i/>
          <w:sz w:val="18"/>
          <w:szCs w:val="18"/>
        </w:rPr>
        <w:t>SMN2</w:t>
      </w:r>
      <w:r w:rsidRPr="00AD4F6B">
        <w:rPr>
          <w:rFonts w:ascii="Arial Narrow" w:hAnsi="Arial Narrow"/>
          <w:sz w:val="18"/>
          <w:szCs w:val="18"/>
        </w:rPr>
        <w:t xml:space="preserve"> copy number that defines the SMA type, the other copy numbers represent a small percentage of the designated SMA type.</w:t>
      </w:r>
    </w:p>
    <w:p w:rsidRPr="00AD4F6B" w:rsidR="00D43B72" w:rsidP="0032705F" w:rsidRDefault="002213E0" w14:paraId="53F3241F" w14:textId="2726B86B">
      <w:pPr>
        <w:pStyle w:val="3-BodyText"/>
        <w:numPr>
          <w:ilvl w:val="1"/>
          <w:numId w:val="1"/>
        </w:numPr>
      </w:pPr>
      <w:r w:rsidRPr="00AD4F6B">
        <w:t xml:space="preserve">There were inconsistencies between classifications of SMA in recent submissions considered by the PBAC with regards to the age of symptom onset and likely </w:t>
      </w:r>
      <w:r w:rsidRPr="00AD4F6B">
        <w:rPr>
          <w:i/>
          <w:iCs/>
        </w:rPr>
        <w:t>SMN2</w:t>
      </w:r>
      <w:r w:rsidRPr="00AD4F6B">
        <w:t xml:space="preserve"> copy numbers in each SMA type. An alternate classification of SMA was previously presented in the </w:t>
      </w:r>
      <w:r w:rsidRPr="00AD4F6B" w:rsidR="00FC5711">
        <w:t>NUSI</w:t>
      </w:r>
      <w:r w:rsidRPr="00AD4F6B">
        <w:t xml:space="preserve"> submission at the July 2023 PBAC meeting (Table 3, </w:t>
      </w:r>
      <w:r w:rsidRPr="00AD4F6B" w:rsidR="008E223C">
        <w:t xml:space="preserve">nusinersen PSD, July 2023 PBAC meeting) </w:t>
      </w:r>
      <w:r w:rsidRPr="00AD4F6B" w:rsidR="00A739FA">
        <w:t xml:space="preserve">where the age of symptom onset for SMA Type III and IV were 1.5-18 years and &gt;18 years respectively, and range of </w:t>
      </w:r>
      <w:r w:rsidRPr="00AD4F6B" w:rsidR="00A739FA">
        <w:rPr>
          <w:i/>
          <w:iCs/>
        </w:rPr>
        <w:t>SMN2</w:t>
      </w:r>
      <w:r w:rsidRPr="00AD4F6B" w:rsidR="00A739FA">
        <w:t xml:space="preserve"> copy numbers for SMA Type III was 2-4 copies, </w:t>
      </w:r>
      <w:r w:rsidRPr="00AD4F6B">
        <w:t xml:space="preserve">and the </w:t>
      </w:r>
      <w:r w:rsidRPr="00AD4F6B" w:rsidR="00FC5711">
        <w:t>RIS</w:t>
      </w:r>
      <w:r w:rsidRPr="00AD4F6B">
        <w:t xml:space="preserve"> submission at the July 2024 PBAC meeting</w:t>
      </w:r>
      <w:r w:rsidRPr="00AD4F6B" w:rsidR="008E223C">
        <w:t xml:space="preserve"> (Table 2, risdiplam PSD, July 2024 PBAC meeting)</w:t>
      </w:r>
      <w:r w:rsidRPr="00AD4F6B" w:rsidR="00A739FA">
        <w:t xml:space="preserve"> where it was considered that patients with SMA Type II typically have an </w:t>
      </w:r>
      <w:r w:rsidRPr="00AD4F6B" w:rsidR="00A739FA">
        <w:rPr>
          <w:i/>
          <w:iCs/>
        </w:rPr>
        <w:t>SMN2</w:t>
      </w:r>
      <w:r w:rsidRPr="00AD4F6B" w:rsidR="00A739FA">
        <w:t xml:space="preserve"> copy number of three whereas previous descriptions stated that patients with an </w:t>
      </w:r>
      <w:r w:rsidRPr="00AD4F6B" w:rsidR="00A739FA">
        <w:rPr>
          <w:i/>
          <w:iCs/>
        </w:rPr>
        <w:t>SMN2</w:t>
      </w:r>
      <w:r w:rsidRPr="00AD4F6B" w:rsidR="00A739FA">
        <w:t xml:space="preserve"> copy number of three were commonly classified as having either SMA Type II or III (IIIa or </w:t>
      </w:r>
      <w:proofErr w:type="spellStart"/>
      <w:r w:rsidRPr="00AD4F6B" w:rsidR="00A739FA">
        <w:t>IIIb</w:t>
      </w:r>
      <w:proofErr w:type="spellEnd"/>
      <w:r w:rsidRPr="00AD4F6B" w:rsidR="00A739FA">
        <w:t>)</w:t>
      </w:r>
      <w:r w:rsidRPr="00AD4F6B">
        <w:t xml:space="preserve">. </w:t>
      </w:r>
    </w:p>
    <w:p w:rsidRPr="00AD4F6B" w:rsidR="0032705F" w:rsidP="0032705F" w:rsidRDefault="0032705F" w14:paraId="3E816C97" w14:textId="038B483E">
      <w:pPr>
        <w:pStyle w:val="3-BodyText"/>
        <w:numPr>
          <w:ilvl w:val="1"/>
          <w:numId w:val="1"/>
        </w:numPr>
      </w:pPr>
      <w:r w:rsidRPr="00AD4F6B">
        <w:t xml:space="preserve">ONA is a once per life-time gene replacement therapy consisting of a non-replicating recombinant AAV9 vector containing the human SMN gene under control of the chicken beta-actin promoter. It is designed to deliver a copy of the gene encoding the </w:t>
      </w:r>
      <w:r w:rsidRPr="00AD4F6B">
        <w:t xml:space="preserve">human SMN protein. </w:t>
      </w:r>
      <w:r w:rsidRPr="00AD4F6B" w:rsidR="00143CDC">
        <w:t>All patients should receive oral prednisolone (1mg/kg) to manage possible liver function abnormalities, started one day prior to treatment, and for at least 30 days post-treatment.</w:t>
      </w:r>
      <w:r w:rsidRPr="00AD4F6B" w:rsidR="002C2E48">
        <w:t xml:space="preserve"> The ESC considered that further information regarding Australian treatment protocols for monitoring and discontinuation of corticosteroids for patients treated with ONA and the costs of these treatments, would be informative.</w:t>
      </w:r>
      <w:r w:rsidRPr="00AD4F6B" w:rsidR="00CD1FD1">
        <w:t xml:space="preserve"> The PBAC noted that information provided by clinical experts </w:t>
      </w:r>
      <w:r w:rsidRPr="00AD4F6B" w:rsidR="005915F2">
        <w:t xml:space="preserve">suggested that </w:t>
      </w:r>
      <w:r w:rsidRPr="00AD4F6B" w:rsidR="008C3200">
        <w:t xml:space="preserve">for </w:t>
      </w:r>
      <w:r w:rsidRPr="00AD4F6B" w:rsidR="00504A49">
        <w:t xml:space="preserve">patients </w:t>
      </w:r>
      <w:r w:rsidRPr="00AD4F6B" w:rsidR="008C3200">
        <w:t xml:space="preserve">in Australia liver function is monitored closely and patients </w:t>
      </w:r>
      <w:r w:rsidRPr="00AD4F6B" w:rsidR="00504A49">
        <w:t xml:space="preserve">do not continue </w:t>
      </w:r>
      <w:r w:rsidRPr="00AD4F6B" w:rsidR="008C3200">
        <w:t>corticosteroids for as long as patients in the SMART trial.</w:t>
      </w:r>
    </w:p>
    <w:p w:rsidRPr="00AD4F6B" w:rsidR="0032705F" w:rsidP="0032705F" w:rsidRDefault="0032705F" w14:paraId="062FA697" w14:textId="77777777">
      <w:pPr>
        <w:pStyle w:val="3-BodyText"/>
        <w:numPr>
          <w:ilvl w:val="1"/>
          <w:numId w:val="1"/>
        </w:numPr>
        <w:rPr>
          <w:iCs/>
        </w:rPr>
      </w:pPr>
      <w:r w:rsidRPr="00AD4F6B">
        <w:rPr>
          <w:iCs/>
        </w:rPr>
        <w:t>ONA is currently PBS listed for the treatment of SMA in patients aged no older than 9 months who were diagnosed with:</w:t>
      </w:r>
    </w:p>
    <w:p w:rsidRPr="00AD4F6B" w:rsidR="001B27E9" w:rsidP="00DF6232" w:rsidRDefault="0007168D" w14:paraId="72E4EF19" w14:textId="137DB551">
      <w:pPr>
        <w:pStyle w:val="3-BodyText"/>
        <w:numPr>
          <w:ilvl w:val="0"/>
          <w:numId w:val="6"/>
        </w:numPr>
        <w:spacing w:before="0" w:after="120"/>
        <w:ind w:left="1080"/>
        <w:rPr>
          <w:iCs/>
        </w:rPr>
      </w:pPr>
      <w:r w:rsidRPr="00AD4F6B">
        <w:rPr>
          <w:iCs/>
        </w:rPr>
        <w:t xml:space="preserve">Type 1 SMA or pre-symptomatic SMA with 1-2 copies of the </w:t>
      </w:r>
      <w:r w:rsidRPr="00AD4F6B">
        <w:rPr>
          <w:i/>
        </w:rPr>
        <w:t>SMN2</w:t>
      </w:r>
      <w:r w:rsidRPr="00AD4F6B">
        <w:rPr>
          <w:iCs/>
        </w:rPr>
        <w:t xml:space="preserve"> gene. This was recommended on a cost-minimisation basis to the least costly disease-modifying therapy for this condition, which was </w:t>
      </w:r>
      <w:r w:rsidRPr="00AD4F6B" w:rsidR="00FC5711">
        <w:rPr>
          <w:iCs/>
        </w:rPr>
        <w:t>RIS</w:t>
      </w:r>
      <w:r w:rsidRPr="00AD4F6B">
        <w:rPr>
          <w:iCs/>
        </w:rPr>
        <w:t>, and in the context of an outcomes-based risk sharing arrangement (RSA) (paragraph 9.1, onasemnogene abeparvovec PSD, November 2020 PBAC meeting with May 2021 Addendum and September 2021 Addendum); and</w:t>
      </w:r>
    </w:p>
    <w:p w:rsidRPr="00AD4F6B" w:rsidR="0007168D" w:rsidP="00DF6232" w:rsidRDefault="0007168D" w14:paraId="724350D0" w14:textId="2BD88D4D">
      <w:pPr>
        <w:pStyle w:val="3-BodyText"/>
        <w:numPr>
          <w:ilvl w:val="0"/>
          <w:numId w:val="6"/>
        </w:numPr>
        <w:spacing w:before="0" w:after="120"/>
        <w:ind w:left="1080"/>
        <w:rPr>
          <w:iCs/>
        </w:rPr>
      </w:pPr>
      <w:r w:rsidRPr="00AD4F6B">
        <w:rPr>
          <w:iCs/>
        </w:rPr>
        <w:t xml:space="preserve">pre-symptomatic SMA with three copies of the </w:t>
      </w:r>
      <w:r w:rsidRPr="00AD4F6B">
        <w:rPr>
          <w:i/>
        </w:rPr>
        <w:t>SMN2</w:t>
      </w:r>
      <w:r w:rsidRPr="00AD4F6B">
        <w:rPr>
          <w:iCs/>
        </w:rPr>
        <w:t xml:space="preserve"> gene. This was recommended as “the PBAC considered that pre-symptomatic treatment with ONA in patients with 3 copies of </w:t>
      </w:r>
      <w:r w:rsidRPr="00AD4F6B">
        <w:rPr>
          <w:i/>
        </w:rPr>
        <w:t>SMN2</w:t>
      </w:r>
      <w:r w:rsidRPr="00AD4F6B">
        <w:rPr>
          <w:iCs/>
        </w:rPr>
        <w:t xml:space="preserve"> would provide an additional benefit for some patients compared with initiation of treatment upon development of symptoms” (paragraph 7.1, onasemnogene abeparvovec PSD, July 2023 PBAC meeting)</w:t>
      </w:r>
      <w:r w:rsidRPr="00AD4F6B" w:rsidR="00CA6924">
        <w:rPr>
          <w:iCs/>
        </w:rPr>
        <w:t xml:space="preserve">. </w:t>
      </w:r>
    </w:p>
    <w:p w:rsidRPr="00AD4F6B" w:rsidR="00262434" w:rsidP="00EA7EBC" w:rsidRDefault="00262434" w14:paraId="0C19E716" w14:textId="22DBB980">
      <w:pPr>
        <w:pStyle w:val="3-BodyText"/>
        <w:spacing w:after="120"/>
        <w:rPr>
          <w:iCs/>
        </w:rPr>
      </w:pPr>
      <w:r w:rsidRPr="00AD4F6B">
        <w:rPr>
          <w:iCs/>
        </w:rPr>
        <w:t xml:space="preserve">The submission </w:t>
      </w:r>
      <w:r w:rsidRPr="00AD4F6B" w:rsidR="00B07EEC">
        <w:rPr>
          <w:iCs/>
        </w:rPr>
        <w:t xml:space="preserve">inappropriately </w:t>
      </w:r>
      <w:r w:rsidRPr="00AD4F6B">
        <w:rPr>
          <w:iCs/>
        </w:rPr>
        <w:t xml:space="preserve">did not present a </w:t>
      </w:r>
      <w:r w:rsidRPr="00AD4F6B" w:rsidR="00E075AD">
        <w:rPr>
          <w:iCs/>
        </w:rPr>
        <w:t xml:space="preserve">clinical management </w:t>
      </w:r>
      <w:r w:rsidRPr="00AD4F6B">
        <w:rPr>
          <w:iCs/>
        </w:rPr>
        <w:t xml:space="preserve">algorithm for </w:t>
      </w:r>
      <w:r w:rsidRPr="00AD4F6B" w:rsidR="00D50315">
        <w:rPr>
          <w:iCs/>
        </w:rPr>
        <w:t>the intended use of ONA</w:t>
      </w:r>
      <w:r w:rsidRPr="00AD4F6B" w:rsidR="00AE0319">
        <w:rPr>
          <w:iCs/>
        </w:rPr>
        <w:t xml:space="preserve">. This was </w:t>
      </w:r>
      <w:r w:rsidRPr="00AD4F6B" w:rsidR="00912F9A">
        <w:rPr>
          <w:rFonts w:cstheme="minorHAnsi"/>
          <w:iCs/>
          <w:szCs w:val="24"/>
        </w:rPr>
        <w:t>constructed</w:t>
      </w:r>
      <w:r w:rsidRPr="00AD4F6B" w:rsidR="00AE0319">
        <w:rPr>
          <w:rFonts w:cstheme="minorHAnsi"/>
          <w:iCs/>
          <w:szCs w:val="24"/>
        </w:rPr>
        <w:t xml:space="preserve"> during the evaluation (see </w:t>
      </w:r>
      <w:r w:rsidRPr="00AD4F6B" w:rsidR="00EC6651">
        <w:rPr>
          <w:rFonts w:cstheme="minorHAnsi"/>
          <w:iCs/>
          <w:szCs w:val="24"/>
        </w:rPr>
        <w:fldChar w:fldCharType="begin"/>
      </w:r>
      <w:r w:rsidRPr="00AD4F6B" w:rsidR="00EC6651">
        <w:rPr>
          <w:rFonts w:cstheme="minorHAnsi"/>
          <w:iCs/>
          <w:szCs w:val="24"/>
        </w:rPr>
        <w:instrText xml:space="preserve"> REF _Ref207896766 \h </w:instrText>
      </w:r>
      <w:r w:rsidRPr="00AD4F6B" w:rsidR="00D25D8D">
        <w:rPr>
          <w:rFonts w:cstheme="minorHAnsi"/>
          <w:iCs/>
          <w:szCs w:val="24"/>
        </w:rPr>
        <w:instrText xml:space="preserve"> \* MERGEFORMAT </w:instrText>
      </w:r>
      <w:r w:rsidRPr="00AD4F6B" w:rsidR="00EC6651">
        <w:rPr>
          <w:rFonts w:cstheme="minorHAnsi"/>
          <w:iCs/>
          <w:szCs w:val="24"/>
        </w:rPr>
      </w:r>
      <w:r w:rsidRPr="00AD4F6B" w:rsidR="00EC6651">
        <w:rPr>
          <w:rFonts w:cstheme="minorHAnsi"/>
          <w:iCs/>
          <w:szCs w:val="24"/>
        </w:rPr>
        <w:fldChar w:fldCharType="separate"/>
      </w:r>
      <w:r w:rsidRPr="00F0459B" w:rsidR="00F0459B">
        <w:rPr>
          <w:rFonts w:cstheme="minorHAnsi"/>
          <w:iCs/>
          <w:szCs w:val="24"/>
        </w:rPr>
        <w:t xml:space="preserve">Figure </w:t>
      </w:r>
      <w:r w:rsidRPr="00F0459B" w:rsidR="00F0459B">
        <w:rPr>
          <w:rFonts w:cstheme="minorHAnsi"/>
          <w:iCs/>
          <w:noProof/>
          <w:szCs w:val="24"/>
        </w:rPr>
        <w:t>1</w:t>
      </w:r>
      <w:r w:rsidRPr="00AD4F6B" w:rsidR="00EC6651">
        <w:rPr>
          <w:rFonts w:cstheme="minorHAnsi"/>
          <w:iCs/>
          <w:szCs w:val="24"/>
        </w:rPr>
        <w:fldChar w:fldCharType="end"/>
      </w:r>
      <w:r w:rsidRPr="00AD4F6B" w:rsidR="00AE0319">
        <w:rPr>
          <w:rFonts w:cstheme="minorHAnsi"/>
          <w:iCs/>
          <w:szCs w:val="24"/>
        </w:rPr>
        <w:t xml:space="preserve">). </w:t>
      </w:r>
      <w:r w:rsidRPr="00AD4F6B" w:rsidR="00705E70">
        <w:rPr>
          <w:rFonts w:cstheme="minorHAnsi"/>
          <w:iCs/>
          <w:szCs w:val="24"/>
        </w:rPr>
        <w:t>T</w:t>
      </w:r>
      <w:r w:rsidRPr="00AD4F6B" w:rsidR="00912F9A">
        <w:rPr>
          <w:rFonts w:cstheme="minorHAnsi"/>
          <w:iCs/>
          <w:szCs w:val="24"/>
        </w:rPr>
        <w:t>he</w:t>
      </w:r>
      <w:r w:rsidRPr="00AD4F6B" w:rsidR="00912F9A">
        <w:rPr>
          <w:iCs/>
        </w:rPr>
        <w:t xml:space="preserve"> severity of SMA and eligibility of treatment options for SMA are currently aligned by age</w:t>
      </w:r>
      <w:r w:rsidRPr="00AD4F6B" w:rsidR="00D6009A">
        <w:rPr>
          <w:iCs/>
        </w:rPr>
        <w:t>.</w:t>
      </w:r>
    </w:p>
    <w:p w:rsidRPr="00AD4F6B" w:rsidR="007855A3" w:rsidP="00747051" w:rsidRDefault="007855A3" w14:paraId="1F1C7F1B" w14:textId="2848EA76">
      <w:pPr>
        <w:pStyle w:val="Caption"/>
        <w:rPr>
          <w:b w:val="0"/>
          <w:szCs w:val="20"/>
        </w:rPr>
      </w:pPr>
      <w:bookmarkStart w:name="_Ref207896766" w:id="17"/>
      <w:r w:rsidRPr="00AD4F6B">
        <w:rPr>
          <w:szCs w:val="20"/>
        </w:rPr>
        <w:t xml:space="preserve">Figure </w:t>
      </w:r>
      <w:r w:rsidRPr="00AD4F6B" w:rsidR="00EC6651">
        <w:rPr>
          <w:szCs w:val="20"/>
        </w:rPr>
        <w:fldChar w:fldCharType="begin"/>
      </w:r>
      <w:r w:rsidRPr="00AD4F6B" w:rsidR="00EC6651">
        <w:rPr>
          <w:szCs w:val="20"/>
        </w:rPr>
        <w:instrText xml:space="preserve"> SEQ Figure \* ARABIC </w:instrText>
      </w:r>
      <w:r w:rsidRPr="00AD4F6B" w:rsidR="00EC6651">
        <w:rPr>
          <w:szCs w:val="20"/>
        </w:rPr>
        <w:fldChar w:fldCharType="separate"/>
      </w:r>
      <w:r w:rsidR="00F0459B">
        <w:rPr>
          <w:noProof/>
          <w:szCs w:val="20"/>
        </w:rPr>
        <w:t>1</w:t>
      </w:r>
      <w:r w:rsidRPr="00AD4F6B" w:rsidR="00EC6651">
        <w:rPr>
          <w:szCs w:val="20"/>
        </w:rPr>
        <w:fldChar w:fldCharType="end"/>
      </w:r>
      <w:bookmarkEnd w:id="17"/>
      <w:r w:rsidRPr="00AD4F6B">
        <w:rPr>
          <w:szCs w:val="20"/>
        </w:rPr>
        <w:t>: Proposed clinical management algorithm</w:t>
      </w:r>
    </w:p>
    <w:p w:rsidRPr="00AD4F6B" w:rsidR="007855A3" w:rsidP="00747051" w:rsidRDefault="007855A3" w14:paraId="23450401" w14:textId="77777777">
      <w:pPr>
        <w:keepNext/>
        <w:keepLines/>
        <w:rPr>
          <w:rFonts w:ascii="Arial Narrow" w:hAnsi="Arial Narrow"/>
          <w:b/>
          <w:sz w:val="20"/>
          <w:szCs w:val="20"/>
        </w:rPr>
      </w:pPr>
      <w:r w:rsidRPr="00AD4F6B">
        <w:rPr>
          <w:noProof/>
        </w:rPr>
        <w:drawing>
          <wp:inline distT="0" distB="0" distL="0" distR="0" wp14:anchorId="34B46A3A" wp14:editId="12075830">
            <wp:extent cx="5732145" cy="3670300"/>
            <wp:effectExtent l="0" t="0" r="1905" b="6350"/>
            <wp:docPr id="678414342" name="Picture 1" descr="Figure 1: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14342" name="Picture 1" descr="Figure 1: Proposed clinical management algorithm"/>
                    <pic:cNvPicPr/>
                  </pic:nvPicPr>
                  <pic:blipFill>
                    <a:blip r:embed="rId11"/>
                    <a:stretch>
                      <a:fillRect/>
                    </a:stretch>
                  </pic:blipFill>
                  <pic:spPr>
                    <a:xfrm>
                      <a:off x="0" y="0"/>
                      <a:ext cx="5732145" cy="3670300"/>
                    </a:xfrm>
                    <a:prstGeom prst="rect">
                      <a:avLst/>
                    </a:prstGeom>
                  </pic:spPr>
                </pic:pic>
              </a:graphicData>
            </a:graphic>
          </wp:inline>
        </w:drawing>
      </w:r>
    </w:p>
    <w:p w:rsidRPr="00AD4F6B" w:rsidR="007855A3" w:rsidP="00747051" w:rsidRDefault="007855A3" w14:paraId="29B761FF" w14:textId="77777777">
      <w:pPr>
        <w:pStyle w:val="TableFooter"/>
        <w:keepNext/>
      </w:pPr>
      <w:r w:rsidRPr="00AD4F6B">
        <w:t>Source: Constructed during the evaluation</w:t>
      </w:r>
    </w:p>
    <w:p w:rsidRPr="00AD4F6B" w:rsidR="007855A3" w:rsidP="00747051" w:rsidRDefault="007855A3" w14:paraId="7B373FFC" w14:textId="77777777">
      <w:pPr>
        <w:pStyle w:val="TableFooter"/>
        <w:keepNext/>
      </w:pPr>
      <w:r w:rsidRPr="00AD4F6B">
        <w:t xml:space="preserve">NUSI= nusinersen; ONA= onasemnogene abeparvovec; RIS= </w:t>
      </w:r>
      <w:proofErr w:type="spellStart"/>
      <w:r w:rsidRPr="00AD4F6B">
        <w:t>risdiplam</w:t>
      </w:r>
      <w:proofErr w:type="spellEnd"/>
      <w:r w:rsidRPr="00AD4F6B">
        <w:t xml:space="preserve">; SMA= spinal muscular atrophy; </w:t>
      </w:r>
      <w:r w:rsidRPr="00AD4F6B">
        <w:rPr>
          <w:i/>
          <w:iCs/>
        </w:rPr>
        <w:t>SMN2</w:t>
      </w:r>
      <w:r w:rsidRPr="00AD4F6B">
        <w:t xml:space="preserve">= survival motor neuron; WHO = World Health Organisation </w:t>
      </w:r>
    </w:p>
    <w:p w:rsidRPr="00AD4F6B" w:rsidR="007855A3" w:rsidP="007855A3" w:rsidRDefault="007855A3" w14:paraId="119EAA46" w14:textId="1EB9A0CE">
      <w:pPr>
        <w:pStyle w:val="TableFooter"/>
      </w:pPr>
      <w:r w:rsidRPr="00AD4F6B">
        <w:t xml:space="preserve">* For patients with SMA Type I: it is extremely unlikely to have a patient under 36 months of age who weighs more than 21 kg (see the WHO weight-for-age charts: </w:t>
      </w:r>
      <w:hyperlink w:history="1" r:id="rId12">
        <w:r w:rsidRPr="00AD4F6B">
          <w:rPr>
            <w:rStyle w:val="Hyperlink"/>
            <w:color w:val="auto"/>
          </w:rPr>
          <w:t>https://www.who.int/tools/child-growth-standards/standards/weight-for-age</w:t>
        </w:r>
      </w:hyperlink>
      <w:r w:rsidRPr="00AD4F6B">
        <w:t>).</w:t>
      </w:r>
    </w:p>
    <w:p w:rsidRPr="00AD4F6B" w:rsidR="001B27E9" w:rsidP="00D6009A" w:rsidRDefault="00117214" w14:paraId="38331758" w14:textId="023AC28D">
      <w:pPr>
        <w:pStyle w:val="TableFooter"/>
      </w:pPr>
      <w:r w:rsidRPr="00AD4F6B">
        <w:t xml:space="preserve">Orange shading depicts the addition of the weight restriction, </w:t>
      </w:r>
      <w:r w:rsidRPr="00AD4F6B" w:rsidR="00E47125">
        <w:t xml:space="preserve">as </w:t>
      </w:r>
      <w:r w:rsidRPr="00AD4F6B">
        <w:t xml:space="preserve">proposed by the submission. </w:t>
      </w:r>
    </w:p>
    <w:p w:rsidRPr="00AD4F6B" w:rsidR="002B71CD" w:rsidP="00D6009A" w:rsidRDefault="002B71CD" w14:paraId="627FCC03" w14:textId="77777777">
      <w:pPr>
        <w:pStyle w:val="TableFooter"/>
      </w:pPr>
    </w:p>
    <w:p w:rsidRPr="00AD4F6B" w:rsidR="002B71CD" w:rsidP="002B71CD" w:rsidRDefault="002B71CD" w14:paraId="7AD3243B" w14:textId="77777777">
      <w:pPr>
        <w:ind w:firstLine="720"/>
        <w:rPr>
          <w:i/>
          <w:iCs/>
        </w:rPr>
      </w:pPr>
      <w:r w:rsidRPr="00AD4F6B">
        <w:rPr>
          <w:i/>
          <w:iCs/>
        </w:rPr>
        <w:t>For more detail on PBAC’s view, see section 7 PBAC outcome.</w:t>
      </w:r>
    </w:p>
    <w:p w:rsidRPr="00AD4F6B" w:rsidR="002B71CD" w:rsidP="00D6009A" w:rsidRDefault="002B71CD" w14:paraId="0E476680" w14:textId="77777777">
      <w:pPr>
        <w:pStyle w:val="TableFooter"/>
      </w:pPr>
    </w:p>
    <w:p w:rsidRPr="00AD4F6B" w:rsidR="00B50DB8" w:rsidP="004E18E9" w:rsidRDefault="00B50DB8" w14:paraId="51E5AE96" w14:textId="136A63B1">
      <w:pPr>
        <w:pStyle w:val="2-SectionHeading"/>
      </w:pPr>
      <w:bookmarkStart w:name="_Toc209002906" w:id="18"/>
      <w:r w:rsidRPr="00AD4F6B">
        <w:t>Comparator</w:t>
      </w:r>
      <w:bookmarkEnd w:id="18"/>
    </w:p>
    <w:p w:rsidRPr="00AD4F6B" w:rsidR="002E04F4" w:rsidP="002E04F4" w:rsidRDefault="002E04F4" w14:paraId="6453008A" w14:textId="532A24B3">
      <w:pPr>
        <w:pStyle w:val="3-BodyText"/>
      </w:pPr>
      <w:r w:rsidRPr="00AD4F6B">
        <w:t xml:space="preserve">The submission nominated ONA when used in paediatric patients less than 9 months of age with (i) Type I SMA or with pre-symptomatic SMA with 1-2 copies of the </w:t>
      </w:r>
      <w:r w:rsidRPr="00AD4F6B">
        <w:rPr>
          <w:i/>
          <w:iCs/>
        </w:rPr>
        <w:t>SMN2</w:t>
      </w:r>
      <w:r w:rsidRPr="00AD4F6B">
        <w:t xml:space="preserve"> gene, or (ii) pre-symptomatic SMA with three copies of the </w:t>
      </w:r>
      <w:r w:rsidRPr="00AD4F6B">
        <w:rPr>
          <w:i/>
          <w:iCs/>
        </w:rPr>
        <w:t>SMN2</w:t>
      </w:r>
      <w:r w:rsidRPr="00AD4F6B">
        <w:t xml:space="preserve"> gene</w:t>
      </w:r>
      <w:r w:rsidRPr="00AD4F6B" w:rsidR="00F1772B">
        <w:t>,</w:t>
      </w:r>
      <w:r w:rsidRPr="00AD4F6B">
        <w:t xml:space="preserve"> as the main comparator</w:t>
      </w:r>
      <w:r w:rsidRPr="00AD4F6B" w:rsidR="00B97776">
        <w:t xml:space="preserve"> (i.e.</w:t>
      </w:r>
      <w:r w:rsidRPr="00AD4F6B">
        <w:t xml:space="preserve"> ONA under the current PBS listing</w:t>
      </w:r>
      <w:r w:rsidRPr="00AD4F6B" w:rsidR="00814838">
        <w:t>s</w:t>
      </w:r>
      <w:r w:rsidRPr="00AD4F6B" w:rsidR="00B97776">
        <w:t>)</w:t>
      </w:r>
      <w:r w:rsidRPr="00AD4F6B">
        <w:t xml:space="preserve">. </w:t>
      </w:r>
    </w:p>
    <w:p w:rsidRPr="00AD4F6B" w:rsidR="002E04F4" w:rsidP="00882E3C" w:rsidRDefault="00242743" w14:paraId="2FDB1685" w14:textId="2588F8C5">
      <w:pPr>
        <w:pStyle w:val="3-BodyText"/>
      </w:pPr>
      <w:r w:rsidRPr="00AD4F6B">
        <w:t xml:space="preserve">The submission </w:t>
      </w:r>
      <w:r w:rsidRPr="00AD4F6B" w:rsidR="00EA7346">
        <w:t xml:space="preserve">aimed to demonstrate that ONA, when used in paediatric </w:t>
      </w:r>
      <w:r w:rsidRPr="00AD4F6B" w:rsidR="00B50059">
        <w:t>patients</w:t>
      </w:r>
      <w:r w:rsidRPr="00AD4F6B" w:rsidR="00EA7346">
        <w:t xml:space="preserve"> weighing up to 21kg is </w:t>
      </w:r>
      <w:r w:rsidRPr="00AD4F6B" w:rsidR="00487AC7">
        <w:t xml:space="preserve">non-inferior in terms of effectiveness and safety, compared with ONA when used in patients less than 9 months of age. </w:t>
      </w:r>
      <w:r w:rsidRPr="00AD4F6B" w:rsidR="009A784E">
        <w:t>However, t</w:t>
      </w:r>
      <w:r w:rsidRPr="00AD4F6B" w:rsidR="00DB168C">
        <w:t>he nominated comparator may not be appropriate. Instead:</w:t>
      </w:r>
    </w:p>
    <w:p w:rsidRPr="00AD4F6B" w:rsidR="006458FF" w:rsidP="00DF6232" w:rsidRDefault="006458FF" w14:paraId="451CDC8C" w14:textId="6056BA4E">
      <w:pPr>
        <w:pStyle w:val="3-BodyText"/>
        <w:numPr>
          <w:ilvl w:val="0"/>
          <w:numId w:val="6"/>
        </w:numPr>
        <w:spacing w:before="0" w:after="120"/>
        <w:ind w:left="1080"/>
      </w:pPr>
      <w:r w:rsidRPr="00AD4F6B">
        <w:t xml:space="preserve">In patients older than 9 months but younger than 18 years with Type I SMA, </w:t>
      </w:r>
      <w:r w:rsidRPr="00AD4F6B" w:rsidR="00FC5711">
        <w:t>NUSI</w:t>
      </w:r>
      <w:r w:rsidRPr="00AD4F6B">
        <w:t xml:space="preserve"> or </w:t>
      </w:r>
      <w:r w:rsidRPr="00AD4F6B" w:rsidR="00FC5711">
        <w:t>RIS</w:t>
      </w:r>
      <w:r w:rsidRPr="00AD4F6B">
        <w:t xml:space="preserve"> are PBS listed DMTs which are used</w:t>
      </w:r>
      <w:r w:rsidRPr="00AD4F6B" w:rsidR="000F0C29">
        <w:t xml:space="preserve"> and as such would be the most appropriate comparator</w:t>
      </w:r>
      <w:r w:rsidRPr="00AD4F6B" w:rsidR="008E58F8">
        <w:t>.</w:t>
      </w:r>
    </w:p>
    <w:p w:rsidRPr="00AD4F6B" w:rsidR="006458FF" w:rsidP="00DF6232" w:rsidRDefault="006458FF" w14:paraId="285113F6" w14:textId="2622ED52">
      <w:pPr>
        <w:pStyle w:val="3-BodyText"/>
        <w:numPr>
          <w:ilvl w:val="0"/>
          <w:numId w:val="6"/>
        </w:numPr>
        <w:spacing w:before="0" w:after="120"/>
        <w:ind w:left="1080"/>
      </w:pPr>
      <w:r w:rsidRPr="00AD4F6B">
        <w:t xml:space="preserve">In patients older than 9 months but younger than 36 months with pre-symptomatic SMA with i) 1-2 copies or ii) three copies of the </w:t>
      </w:r>
      <w:r w:rsidRPr="00AD4F6B">
        <w:rPr>
          <w:i/>
          <w:iCs/>
        </w:rPr>
        <w:t>SMN2</w:t>
      </w:r>
      <w:r w:rsidRPr="00AD4F6B">
        <w:t xml:space="preserve"> gene, </w:t>
      </w:r>
      <w:r w:rsidRPr="00AD4F6B" w:rsidR="00FC5711">
        <w:t>NUSI</w:t>
      </w:r>
      <w:r w:rsidRPr="00AD4F6B">
        <w:t xml:space="preserve"> or </w:t>
      </w:r>
      <w:r w:rsidRPr="00AD4F6B" w:rsidR="00FC5711">
        <w:t>RIS</w:t>
      </w:r>
      <w:r w:rsidRPr="00AD4F6B">
        <w:t xml:space="preserve"> are PBS listed DMTs which are used</w:t>
      </w:r>
      <w:r w:rsidRPr="00AD4F6B" w:rsidR="00990CF2">
        <w:t xml:space="preserve"> and as such would be the most appropriate comparator</w:t>
      </w:r>
      <w:r w:rsidRPr="00AD4F6B">
        <w:t xml:space="preserve">. </w:t>
      </w:r>
    </w:p>
    <w:p w:rsidRPr="00AD4F6B" w:rsidR="006B4096" w:rsidP="00DF6232" w:rsidRDefault="006458FF" w14:paraId="1B8B85D1" w14:textId="5051C3CF">
      <w:pPr>
        <w:pStyle w:val="3-BodyText"/>
        <w:numPr>
          <w:ilvl w:val="0"/>
          <w:numId w:val="6"/>
        </w:numPr>
        <w:spacing w:before="0" w:after="120"/>
        <w:ind w:left="1080"/>
      </w:pPr>
      <w:r w:rsidRPr="00AD4F6B">
        <w:t xml:space="preserve">In pre-symptomatic SMA patients with 1-3 copies of the </w:t>
      </w:r>
      <w:r w:rsidRPr="00AD4F6B">
        <w:rPr>
          <w:i/>
          <w:iCs/>
        </w:rPr>
        <w:t>SMN2</w:t>
      </w:r>
      <w:r w:rsidRPr="00AD4F6B">
        <w:t xml:space="preserve"> gene weighing less than 21kg and aged 36 months or older at initiation of DMT, no PBS subsidised treatment is currently available (symptomatic patients would be eligible for </w:t>
      </w:r>
      <w:r w:rsidRPr="00AD4F6B" w:rsidR="00FC5711">
        <w:t>NUSI</w:t>
      </w:r>
      <w:r w:rsidRPr="00AD4F6B">
        <w:t xml:space="preserve"> or </w:t>
      </w:r>
      <w:r w:rsidRPr="00AD4F6B" w:rsidR="00FC5711">
        <w:t>RIS</w:t>
      </w:r>
      <w:r w:rsidRPr="00AD4F6B">
        <w:t xml:space="preserve">). Therefore, at the age of 36 months and beyond, the comparator for pre-symptomatic SMA patients with 1-3 copies of the SMN2 gene should be ‘watchful waiting and treat as symptoms appear’. </w:t>
      </w:r>
      <w:r w:rsidRPr="00AD4F6B" w:rsidR="00CF3DE6">
        <w:t xml:space="preserve">The pre-PBAC response confirmed that </w:t>
      </w:r>
      <w:r w:rsidRPr="00AD4F6B" w:rsidR="009A0768">
        <w:t xml:space="preserve">it was acceptable to the sponsor to exclude </w:t>
      </w:r>
      <w:r w:rsidRPr="00AD4F6B" w:rsidR="008F7059">
        <w:t xml:space="preserve">pre-symptomatic </w:t>
      </w:r>
      <w:r w:rsidRPr="00AD4F6B" w:rsidR="009A0768">
        <w:t>patient</w:t>
      </w:r>
      <w:r w:rsidRPr="00AD4F6B" w:rsidR="008F7059">
        <w:t>s</w:t>
      </w:r>
      <w:r w:rsidRPr="00AD4F6B" w:rsidR="009A0768">
        <w:t xml:space="preserve"> </w:t>
      </w:r>
      <w:r w:rsidRPr="00AD4F6B" w:rsidR="008F7059">
        <w:t xml:space="preserve">aged &gt;36 months </w:t>
      </w:r>
      <w:r w:rsidRPr="00AD4F6B" w:rsidR="009A0768">
        <w:t>from the proposed listing</w:t>
      </w:r>
      <w:r w:rsidRPr="00AD4F6B" w:rsidR="000544C6">
        <w:t>, in which case watchful waiting was no longer a relevant comparator</w:t>
      </w:r>
      <w:r w:rsidRPr="00AD4F6B" w:rsidR="009A0768">
        <w:t xml:space="preserve">. </w:t>
      </w:r>
    </w:p>
    <w:p w:rsidRPr="00AD4F6B" w:rsidR="002B71CD" w:rsidP="002B71CD" w:rsidRDefault="002B71CD" w14:paraId="62DBBBD6" w14:textId="77777777">
      <w:pPr>
        <w:pStyle w:val="ListParagraph"/>
        <w:numPr>
          <w:ilvl w:val="0"/>
          <w:numId w:val="0"/>
        </w:numPr>
        <w:ind w:left="360"/>
        <w:rPr>
          <w:i/>
          <w:iCs/>
        </w:rPr>
      </w:pPr>
      <w:r w:rsidRPr="00AD4F6B">
        <w:rPr>
          <w:i/>
          <w:iCs/>
        </w:rPr>
        <w:t>For more detail on PBAC’s view, see section 7 PBAC outcome.</w:t>
      </w:r>
    </w:p>
    <w:p w:rsidRPr="00AD4F6B" w:rsidR="002B71CD" w:rsidP="002B71CD" w:rsidRDefault="002B71CD" w14:paraId="7A0969B6" w14:textId="77777777">
      <w:pPr>
        <w:pStyle w:val="3-BodyText"/>
        <w:numPr>
          <w:ilvl w:val="0"/>
          <w:numId w:val="0"/>
        </w:numPr>
        <w:spacing w:before="0" w:after="120"/>
        <w:ind w:left="720" w:hanging="720"/>
      </w:pPr>
    </w:p>
    <w:p w:rsidRPr="00AD4F6B" w:rsidR="00223D5A" w:rsidP="00223D5A" w:rsidRDefault="00223D5A" w14:paraId="7F9C27C8" w14:textId="77777777">
      <w:pPr>
        <w:pStyle w:val="2-SectionHeading"/>
        <w:numPr>
          <w:ilvl w:val="0"/>
          <w:numId w:val="1"/>
        </w:numPr>
      </w:pPr>
      <w:bookmarkStart w:name="_Toc209002907" w:id="19"/>
      <w:bookmarkStart w:name="_Toc22897640" w:id="20"/>
      <w:r w:rsidRPr="00AD4F6B">
        <w:t>Consideration of the evidence</w:t>
      </w:r>
      <w:bookmarkEnd w:id="19"/>
    </w:p>
    <w:p w:rsidRPr="00AD4F6B" w:rsidR="00112109" w:rsidP="00112109" w:rsidRDefault="00112109" w14:paraId="6A25EBEB" w14:textId="77777777">
      <w:pPr>
        <w:pStyle w:val="4-SubsectionHeading"/>
        <w:rPr>
          <w:color w:val="auto"/>
        </w:rPr>
      </w:pPr>
      <w:bookmarkStart w:name="_Hlk76375935" w:id="21"/>
      <w:bookmarkStart w:name="_Toc209002908" w:id="22"/>
      <w:r w:rsidRPr="00AD4F6B">
        <w:rPr>
          <w:color w:val="auto"/>
        </w:rPr>
        <w:t>Sponsor hearing</w:t>
      </w:r>
    </w:p>
    <w:p w:rsidRPr="00AD4F6B" w:rsidR="00112109" w:rsidP="00112109" w:rsidRDefault="00112109" w14:paraId="4BDF3C10" w14:textId="5B7F67CE">
      <w:pPr>
        <w:widowControl w:val="0"/>
        <w:numPr>
          <w:ilvl w:val="1"/>
          <w:numId w:val="1"/>
        </w:numPr>
        <w:spacing w:after="120"/>
        <w:rPr>
          <w:rFonts w:cs="Calibri"/>
          <w:bCs/>
          <w:snapToGrid w:val="0"/>
        </w:rPr>
      </w:pPr>
      <w:r w:rsidRPr="00AD4F6B">
        <w:rPr>
          <w:rFonts w:cs="Calibri"/>
          <w:bCs/>
          <w:snapToGrid w:val="0"/>
        </w:rPr>
        <w:t>There was no hearing for this item.</w:t>
      </w:r>
    </w:p>
    <w:p w:rsidRPr="00AD4F6B" w:rsidR="00112109" w:rsidP="00112109" w:rsidRDefault="00112109" w14:paraId="56F26A7B" w14:textId="77777777">
      <w:pPr>
        <w:pStyle w:val="4-SubsectionHeading"/>
        <w:rPr>
          <w:color w:val="auto"/>
        </w:rPr>
      </w:pPr>
      <w:r w:rsidRPr="00AD4F6B">
        <w:rPr>
          <w:color w:val="auto"/>
        </w:rPr>
        <w:t>Consumer comments</w:t>
      </w:r>
    </w:p>
    <w:p w:rsidRPr="00AD4F6B" w:rsidR="00112109" w:rsidP="00112109" w:rsidRDefault="00112109" w14:paraId="2CEBC62E" w14:textId="26C2D5AD">
      <w:pPr>
        <w:widowControl w:val="0"/>
        <w:numPr>
          <w:ilvl w:val="1"/>
          <w:numId w:val="1"/>
        </w:numPr>
        <w:spacing w:after="120"/>
        <w:rPr>
          <w:rFonts w:asciiTheme="minorHAnsi" w:hAnsiTheme="minorHAnsi"/>
          <w:bCs/>
          <w:snapToGrid w:val="0"/>
        </w:rPr>
      </w:pPr>
      <w:bookmarkStart w:name="_Hlk76382618" w:id="23"/>
      <w:r w:rsidRPr="00AD4F6B">
        <w:rPr>
          <w:rFonts w:asciiTheme="minorHAnsi" w:hAnsiTheme="minorHAnsi"/>
          <w:bCs/>
          <w:snapToGrid w:val="0"/>
        </w:rPr>
        <w:t xml:space="preserve">The PBAC noted and welcomed the input from </w:t>
      </w:r>
      <w:r w:rsidRPr="00AD4F6B" w:rsidR="00843F53">
        <w:rPr>
          <w:rFonts w:asciiTheme="minorHAnsi" w:hAnsiTheme="minorHAnsi"/>
          <w:bCs/>
          <w:snapToGrid w:val="0"/>
        </w:rPr>
        <w:t xml:space="preserve">the National Paediatric Medicines Forum (NPMF) </w:t>
      </w:r>
      <w:r w:rsidRPr="00AD4F6B">
        <w:rPr>
          <w:rFonts w:asciiTheme="minorHAnsi" w:hAnsiTheme="minorHAnsi"/>
          <w:bCs/>
          <w:snapToGrid w:val="0"/>
        </w:rPr>
        <w:t xml:space="preserve">via the Consumer Comments facility on the PBS website. </w:t>
      </w:r>
      <w:r w:rsidRPr="00AD4F6B" w:rsidR="0067472F">
        <w:rPr>
          <w:rFonts w:asciiTheme="minorHAnsi" w:hAnsiTheme="minorHAnsi"/>
          <w:bCs/>
          <w:snapToGrid w:val="0"/>
        </w:rPr>
        <w:t xml:space="preserve">The NPMF </w:t>
      </w:r>
      <w:r w:rsidRPr="00AD4F6B" w:rsidR="005A36AA">
        <w:rPr>
          <w:rFonts w:asciiTheme="minorHAnsi" w:hAnsiTheme="minorHAnsi"/>
          <w:bCs/>
          <w:snapToGrid w:val="0"/>
        </w:rPr>
        <w:t xml:space="preserve">supported the extension of the ONA existing listing to include patients weighing up to 21 kg, </w:t>
      </w:r>
      <w:r w:rsidRPr="00AD4F6B" w:rsidR="00B84DA9">
        <w:rPr>
          <w:rFonts w:asciiTheme="minorHAnsi" w:hAnsiTheme="minorHAnsi"/>
          <w:bCs/>
          <w:snapToGrid w:val="0"/>
        </w:rPr>
        <w:t xml:space="preserve">on the basis that it would improve equitable access </w:t>
      </w:r>
      <w:r w:rsidRPr="00AD4F6B" w:rsidR="001A57D1">
        <w:rPr>
          <w:rFonts w:asciiTheme="minorHAnsi" w:hAnsiTheme="minorHAnsi"/>
          <w:bCs/>
          <w:snapToGrid w:val="0"/>
        </w:rPr>
        <w:t>and provide the best outcomes for patients with SMA</w:t>
      </w:r>
      <w:r w:rsidRPr="00AD4F6B" w:rsidR="005A36AA">
        <w:rPr>
          <w:rFonts w:asciiTheme="minorHAnsi" w:hAnsiTheme="minorHAnsi"/>
          <w:bCs/>
          <w:snapToGrid w:val="0"/>
        </w:rPr>
        <w:t xml:space="preserve">. </w:t>
      </w:r>
      <w:r w:rsidRPr="00AD4F6B" w:rsidR="000563D4">
        <w:rPr>
          <w:rFonts w:asciiTheme="minorHAnsi" w:hAnsiTheme="minorHAnsi"/>
          <w:bCs/>
          <w:snapToGrid w:val="0"/>
        </w:rPr>
        <w:t xml:space="preserve">The NPMF noted that </w:t>
      </w:r>
      <w:r w:rsidRPr="00AD4F6B" w:rsidR="00F53B18">
        <w:rPr>
          <w:rFonts w:asciiTheme="minorHAnsi" w:hAnsiTheme="minorHAnsi"/>
          <w:bCs/>
          <w:snapToGrid w:val="0"/>
        </w:rPr>
        <w:t xml:space="preserve">it is critical to </w:t>
      </w:r>
      <w:r w:rsidRPr="00AD4F6B" w:rsidR="00C456BB">
        <w:rPr>
          <w:rFonts w:asciiTheme="minorHAnsi" w:hAnsiTheme="minorHAnsi"/>
          <w:bCs/>
          <w:snapToGrid w:val="0"/>
        </w:rPr>
        <w:t xml:space="preserve">enable access to gene therapy for SMA patients so that it can be administered within the </w:t>
      </w:r>
      <w:r w:rsidRPr="00AD4F6B" w:rsidR="00A47C72">
        <w:rPr>
          <w:rFonts w:asciiTheme="minorHAnsi" w:hAnsiTheme="minorHAnsi"/>
          <w:bCs/>
          <w:snapToGrid w:val="0"/>
        </w:rPr>
        <w:t>pre-symptomatic therapeutic window, preventing irreversible motor neuron degeneration.</w:t>
      </w:r>
      <w:r w:rsidRPr="00AD4F6B">
        <w:rPr>
          <w:rFonts w:asciiTheme="minorHAnsi" w:hAnsiTheme="minorHAnsi"/>
          <w:bCs/>
          <w:snapToGrid w:val="0"/>
        </w:rPr>
        <w:t xml:space="preserve"> </w:t>
      </w:r>
    </w:p>
    <w:p w:rsidRPr="00AD4F6B" w:rsidR="00421729" w:rsidP="00112109" w:rsidRDefault="00421729" w14:paraId="1AA192EB" w14:textId="4E51C5F9">
      <w:pPr>
        <w:widowControl w:val="0"/>
        <w:numPr>
          <w:ilvl w:val="1"/>
          <w:numId w:val="1"/>
        </w:numPr>
        <w:spacing w:after="120"/>
        <w:rPr>
          <w:rFonts w:asciiTheme="minorHAnsi" w:hAnsiTheme="minorHAnsi"/>
          <w:bCs/>
          <w:snapToGrid w:val="0"/>
        </w:rPr>
      </w:pPr>
      <w:bookmarkStart w:name="_Ref214013581" w:id="24"/>
      <w:r w:rsidRPr="00AD4F6B">
        <w:rPr>
          <w:rFonts w:asciiTheme="minorHAnsi" w:hAnsiTheme="minorHAnsi"/>
          <w:bCs/>
          <w:snapToGrid w:val="0"/>
        </w:rPr>
        <w:t xml:space="preserve">The PBAC also noted that additional clinical input was received </w:t>
      </w:r>
      <w:r w:rsidRPr="00AD4F6B" w:rsidR="00FF1343">
        <w:rPr>
          <w:rFonts w:asciiTheme="minorHAnsi" w:hAnsiTheme="minorHAnsi"/>
          <w:bCs/>
          <w:snapToGrid w:val="0"/>
        </w:rPr>
        <w:t xml:space="preserve">prior to the PBAC meeting </w:t>
      </w:r>
      <w:r w:rsidRPr="00AD4F6B" w:rsidR="005C5CB0">
        <w:rPr>
          <w:rFonts w:asciiTheme="minorHAnsi" w:hAnsiTheme="minorHAnsi"/>
          <w:bCs/>
          <w:snapToGrid w:val="0"/>
        </w:rPr>
        <w:t xml:space="preserve">from three clinicians with extensive experience in treating patients with SMA. </w:t>
      </w:r>
      <w:r w:rsidRPr="00AD4F6B" w:rsidR="00CA6611">
        <w:rPr>
          <w:rFonts w:asciiTheme="minorHAnsi" w:hAnsiTheme="minorHAnsi"/>
          <w:bCs/>
          <w:snapToGrid w:val="0"/>
        </w:rPr>
        <w:t xml:space="preserve">Input from clinicians suggested that </w:t>
      </w:r>
      <w:r w:rsidRPr="00AD4F6B" w:rsidR="009F0E80">
        <w:rPr>
          <w:rFonts w:asciiTheme="minorHAnsi" w:hAnsiTheme="minorHAnsi"/>
          <w:bCs/>
          <w:snapToGrid w:val="0"/>
        </w:rPr>
        <w:t xml:space="preserve">access </w:t>
      </w:r>
      <w:r w:rsidRPr="00AD4F6B" w:rsidR="00E82355">
        <w:rPr>
          <w:rFonts w:asciiTheme="minorHAnsi" w:hAnsiTheme="minorHAnsi"/>
          <w:bCs/>
          <w:snapToGrid w:val="0"/>
        </w:rPr>
        <w:t xml:space="preserve">to ONA </w:t>
      </w:r>
      <w:r w:rsidRPr="00AD4F6B" w:rsidR="009F0E80">
        <w:rPr>
          <w:rFonts w:asciiTheme="minorHAnsi" w:hAnsiTheme="minorHAnsi"/>
          <w:bCs/>
          <w:snapToGrid w:val="0"/>
        </w:rPr>
        <w:t xml:space="preserve">for patients with symptomatic </w:t>
      </w:r>
      <w:r w:rsidRPr="00AD4F6B" w:rsidR="000D7436">
        <w:rPr>
          <w:rFonts w:asciiTheme="minorHAnsi" w:hAnsiTheme="minorHAnsi"/>
          <w:bCs/>
          <w:snapToGrid w:val="0"/>
        </w:rPr>
        <w:t>Type II and III SMA was important</w:t>
      </w:r>
      <w:r w:rsidRPr="00AD4F6B" w:rsidR="00E82355">
        <w:rPr>
          <w:rFonts w:asciiTheme="minorHAnsi" w:hAnsiTheme="minorHAnsi"/>
          <w:bCs/>
          <w:snapToGrid w:val="0"/>
        </w:rPr>
        <w:t xml:space="preserve"> and should be considered in the listing (see </w:t>
      </w:r>
      <w:r w:rsidRPr="00AD4F6B" w:rsidR="002C66F1">
        <w:rPr>
          <w:rFonts w:asciiTheme="minorHAnsi" w:hAnsiTheme="minorHAnsi"/>
          <w:bCs/>
          <w:snapToGrid w:val="0"/>
        </w:rPr>
        <w:t xml:space="preserve">also </w:t>
      </w:r>
      <w:r w:rsidRPr="00AD4F6B" w:rsidR="00E82355">
        <w:rPr>
          <w:rFonts w:asciiTheme="minorHAnsi" w:hAnsiTheme="minorHAnsi"/>
          <w:bCs/>
          <w:snapToGrid w:val="0"/>
        </w:rPr>
        <w:t xml:space="preserve">paragraph </w:t>
      </w:r>
      <w:r w:rsidRPr="00AD4F6B" w:rsidR="002C66F1">
        <w:rPr>
          <w:rFonts w:asciiTheme="minorHAnsi" w:hAnsiTheme="minorHAnsi"/>
          <w:bCs/>
          <w:snapToGrid w:val="0"/>
        </w:rPr>
        <w:fldChar w:fldCharType="begin"/>
      </w:r>
      <w:r w:rsidRPr="00AD4F6B" w:rsidR="002C66F1">
        <w:rPr>
          <w:rFonts w:asciiTheme="minorHAnsi" w:hAnsiTheme="minorHAnsi"/>
          <w:bCs/>
          <w:snapToGrid w:val="0"/>
        </w:rPr>
        <w:instrText xml:space="preserve"> REF _Ref213935330 \r \h </w:instrText>
      </w:r>
      <w:r w:rsidRPr="00AD4F6B" w:rsidR="002C66F1">
        <w:rPr>
          <w:rFonts w:asciiTheme="minorHAnsi" w:hAnsiTheme="minorHAnsi"/>
          <w:bCs/>
          <w:snapToGrid w:val="0"/>
        </w:rPr>
      </w:r>
      <w:r w:rsidRPr="00AD4F6B" w:rsidR="002C66F1">
        <w:rPr>
          <w:rFonts w:asciiTheme="minorHAnsi" w:hAnsiTheme="minorHAnsi"/>
          <w:bCs/>
          <w:snapToGrid w:val="0"/>
        </w:rPr>
        <w:fldChar w:fldCharType="separate"/>
      </w:r>
      <w:r w:rsidR="00F0459B">
        <w:rPr>
          <w:rFonts w:asciiTheme="minorHAnsi" w:hAnsiTheme="minorHAnsi"/>
          <w:bCs/>
          <w:snapToGrid w:val="0"/>
        </w:rPr>
        <w:t>3.5</w:t>
      </w:r>
      <w:r w:rsidRPr="00AD4F6B" w:rsidR="002C66F1">
        <w:rPr>
          <w:rFonts w:asciiTheme="minorHAnsi" w:hAnsiTheme="minorHAnsi"/>
          <w:bCs/>
          <w:snapToGrid w:val="0"/>
        </w:rPr>
        <w:fldChar w:fldCharType="end"/>
      </w:r>
      <w:r w:rsidRPr="00AD4F6B" w:rsidR="002C66F1">
        <w:rPr>
          <w:rFonts w:asciiTheme="minorHAnsi" w:hAnsiTheme="minorHAnsi"/>
          <w:bCs/>
          <w:snapToGrid w:val="0"/>
        </w:rPr>
        <w:t xml:space="preserve">). </w:t>
      </w:r>
      <w:r w:rsidRPr="00AD4F6B" w:rsidR="008D2D3C">
        <w:rPr>
          <w:rFonts w:asciiTheme="minorHAnsi" w:hAnsiTheme="minorHAnsi"/>
          <w:bCs/>
          <w:snapToGrid w:val="0"/>
        </w:rPr>
        <w:t>The</w:t>
      </w:r>
      <w:r w:rsidRPr="00AD4F6B" w:rsidR="00DB4B05">
        <w:rPr>
          <w:rFonts w:asciiTheme="minorHAnsi" w:hAnsiTheme="minorHAnsi"/>
          <w:bCs/>
          <w:snapToGrid w:val="0"/>
        </w:rPr>
        <w:t xml:space="preserve"> c</w:t>
      </w:r>
      <w:r w:rsidRPr="00AD4F6B" w:rsidR="00B53139">
        <w:rPr>
          <w:rFonts w:asciiTheme="minorHAnsi" w:hAnsiTheme="minorHAnsi"/>
          <w:bCs/>
          <w:snapToGrid w:val="0"/>
        </w:rPr>
        <w:t xml:space="preserve">linicians also </w:t>
      </w:r>
      <w:r w:rsidRPr="00AD4F6B" w:rsidR="00B319EE">
        <w:rPr>
          <w:rFonts w:asciiTheme="minorHAnsi" w:hAnsiTheme="minorHAnsi"/>
          <w:bCs/>
          <w:snapToGrid w:val="0"/>
        </w:rPr>
        <w:t>expressed</w:t>
      </w:r>
      <w:r w:rsidRPr="00AD4F6B" w:rsidR="00B53139">
        <w:rPr>
          <w:rFonts w:asciiTheme="minorHAnsi" w:hAnsiTheme="minorHAnsi"/>
          <w:bCs/>
          <w:snapToGrid w:val="0"/>
        </w:rPr>
        <w:t xml:space="preserve"> that it was </w:t>
      </w:r>
      <w:r w:rsidRPr="00AD4F6B" w:rsidR="00B46BB4">
        <w:rPr>
          <w:rFonts w:asciiTheme="minorHAnsi" w:hAnsiTheme="minorHAnsi"/>
          <w:bCs/>
          <w:snapToGrid w:val="0"/>
        </w:rPr>
        <w:t>critical</w:t>
      </w:r>
      <w:r w:rsidRPr="00AD4F6B" w:rsidR="00B53139">
        <w:rPr>
          <w:rFonts w:asciiTheme="minorHAnsi" w:hAnsiTheme="minorHAnsi"/>
          <w:bCs/>
          <w:snapToGrid w:val="0"/>
        </w:rPr>
        <w:t xml:space="preserve"> to review </w:t>
      </w:r>
      <w:r w:rsidRPr="00AD4F6B" w:rsidR="007A0DD2">
        <w:rPr>
          <w:rFonts w:asciiTheme="minorHAnsi" w:hAnsiTheme="minorHAnsi"/>
          <w:bCs/>
          <w:snapToGrid w:val="0"/>
        </w:rPr>
        <w:t xml:space="preserve">the current eligibility criteria for nusinersen and risdiplam treatment in children who have had previous ONA and have a suboptimal response. </w:t>
      </w:r>
      <w:r w:rsidRPr="00AD4F6B" w:rsidR="0069192E">
        <w:rPr>
          <w:rFonts w:asciiTheme="minorHAnsi" w:hAnsiTheme="minorHAnsi"/>
          <w:bCs/>
          <w:snapToGrid w:val="0"/>
        </w:rPr>
        <w:t xml:space="preserve">Clinicians noted </w:t>
      </w:r>
      <w:r w:rsidRPr="00AD4F6B" w:rsidR="009C0F60">
        <w:rPr>
          <w:rFonts w:asciiTheme="minorHAnsi" w:hAnsiTheme="minorHAnsi"/>
          <w:bCs/>
          <w:snapToGrid w:val="0"/>
        </w:rPr>
        <w:t>restrictions for subsequent treatment with nusinersen or risdiplam following ONA</w:t>
      </w:r>
      <w:r w:rsidRPr="00AD4F6B" w:rsidR="008B33A3">
        <w:rPr>
          <w:rFonts w:asciiTheme="minorHAnsi" w:hAnsiTheme="minorHAnsi"/>
          <w:bCs/>
          <w:snapToGrid w:val="0"/>
        </w:rPr>
        <w:t xml:space="preserve"> require</w:t>
      </w:r>
      <w:r w:rsidRPr="00AD4F6B" w:rsidR="009344EC">
        <w:rPr>
          <w:rFonts w:asciiTheme="minorHAnsi" w:hAnsiTheme="minorHAnsi"/>
          <w:bCs/>
          <w:snapToGrid w:val="0"/>
        </w:rPr>
        <w:t xml:space="preserve"> a regression in a developmental state</w:t>
      </w:r>
      <w:r w:rsidRPr="00AD4F6B" w:rsidR="004F0CDA">
        <w:rPr>
          <w:rFonts w:asciiTheme="minorHAnsi" w:hAnsiTheme="minorHAnsi"/>
          <w:bCs/>
          <w:snapToGrid w:val="0"/>
        </w:rPr>
        <w:t xml:space="preserve">, which can be a major and very late </w:t>
      </w:r>
      <w:r w:rsidRPr="00AD4F6B" w:rsidR="00F7328D">
        <w:rPr>
          <w:rFonts w:asciiTheme="minorHAnsi" w:hAnsiTheme="minorHAnsi"/>
          <w:bCs/>
          <w:snapToGrid w:val="0"/>
        </w:rPr>
        <w:t>and irreversible</w:t>
      </w:r>
      <w:r w:rsidRPr="00AD4F6B" w:rsidR="00897673">
        <w:rPr>
          <w:rFonts w:asciiTheme="minorHAnsi" w:hAnsiTheme="minorHAnsi"/>
          <w:bCs/>
          <w:snapToGrid w:val="0"/>
        </w:rPr>
        <w:t xml:space="preserve"> change. </w:t>
      </w:r>
      <w:r w:rsidRPr="00AD4F6B" w:rsidR="00506783">
        <w:rPr>
          <w:rFonts w:asciiTheme="minorHAnsi" w:hAnsiTheme="minorHAnsi"/>
          <w:bCs/>
          <w:snapToGrid w:val="0"/>
        </w:rPr>
        <w:t xml:space="preserve">Clinicians indicated that patients may have neurophysiological and molecular assessments in children that indicate disease </w:t>
      </w:r>
      <w:proofErr w:type="gramStart"/>
      <w:r w:rsidRPr="00AD4F6B" w:rsidR="00506783">
        <w:rPr>
          <w:rFonts w:asciiTheme="minorHAnsi" w:hAnsiTheme="minorHAnsi"/>
          <w:bCs/>
          <w:snapToGrid w:val="0"/>
        </w:rPr>
        <w:t>activity</w:t>
      </w:r>
      <w:proofErr w:type="gramEnd"/>
      <w:r w:rsidRPr="00AD4F6B" w:rsidR="00506783">
        <w:rPr>
          <w:rFonts w:asciiTheme="minorHAnsi" w:hAnsiTheme="minorHAnsi"/>
          <w:bCs/>
          <w:snapToGrid w:val="0"/>
        </w:rPr>
        <w:t xml:space="preserve"> but they are not </w:t>
      </w:r>
      <w:r w:rsidRPr="00AD4F6B" w:rsidR="00506783">
        <w:rPr>
          <w:rFonts w:asciiTheme="minorHAnsi" w:hAnsiTheme="minorHAnsi"/>
          <w:bCs/>
          <w:snapToGrid w:val="0"/>
        </w:rPr>
        <w:t xml:space="preserve">eligible </w:t>
      </w:r>
      <w:r w:rsidRPr="00AD4F6B" w:rsidR="00506783">
        <w:rPr>
          <w:rFonts w:asciiTheme="minorHAnsi" w:hAnsiTheme="minorHAnsi"/>
          <w:snapToGrid w:val="0"/>
          <w:lang w:val="en-GB"/>
        </w:rPr>
        <w:t xml:space="preserve">additional DMT which is likely to be of benefit to them. </w:t>
      </w:r>
      <w:r w:rsidRPr="00AD4F6B" w:rsidR="00897673">
        <w:rPr>
          <w:rFonts w:asciiTheme="minorHAnsi" w:hAnsiTheme="minorHAnsi"/>
          <w:bCs/>
          <w:snapToGrid w:val="0"/>
        </w:rPr>
        <w:t xml:space="preserve">In </w:t>
      </w:r>
      <w:proofErr w:type="gramStart"/>
      <w:r w:rsidRPr="00AD4F6B" w:rsidR="00897673">
        <w:rPr>
          <w:rFonts w:asciiTheme="minorHAnsi" w:hAnsiTheme="minorHAnsi"/>
          <w:bCs/>
          <w:snapToGrid w:val="0"/>
        </w:rPr>
        <w:t>addition</w:t>
      </w:r>
      <w:proofErr w:type="gramEnd"/>
      <w:r w:rsidRPr="00AD4F6B" w:rsidR="00E4522F">
        <w:rPr>
          <w:rFonts w:asciiTheme="minorHAnsi" w:hAnsiTheme="minorHAnsi"/>
          <w:bCs/>
          <w:snapToGrid w:val="0"/>
        </w:rPr>
        <w:t xml:space="preserve"> the criteria for subsequent treatment </w:t>
      </w:r>
      <w:r w:rsidRPr="00AD4F6B" w:rsidR="000B1CCB">
        <w:rPr>
          <w:rFonts w:asciiTheme="minorHAnsi" w:hAnsiTheme="minorHAnsi"/>
          <w:bCs/>
          <w:snapToGrid w:val="0"/>
        </w:rPr>
        <w:t>d</w:t>
      </w:r>
      <w:r w:rsidRPr="00AD4F6B" w:rsidR="003C240A">
        <w:rPr>
          <w:rFonts w:asciiTheme="minorHAnsi" w:hAnsiTheme="minorHAnsi"/>
          <w:bCs/>
          <w:snapToGrid w:val="0"/>
        </w:rPr>
        <w:t xml:space="preserve">o not include </w:t>
      </w:r>
      <w:r w:rsidRPr="00AD4F6B" w:rsidR="00E4522F">
        <w:rPr>
          <w:rFonts w:asciiTheme="minorHAnsi" w:hAnsiTheme="minorHAnsi"/>
          <w:bCs/>
          <w:snapToGrid w:val="0"/>
        </w:rPr>
        <w:t xml:space="preserve">regression in </w:t>
      </w:r>
      <w:r w:rsidRPr="00AD4F6B" w:rsidR="003C240A">
        <w:rPr>
          <w:rFonts w:asciiTheme="minorHAnsi" w:hAnsiTheme="minorHAnsi"/>
          <w:bCs/>
          <w:snapToGrid w:val="0"/>
        </w:rPr>
        <w:t>respiratory or bulbar function</w:t>
      </w:r>
      <w:r w:rsidRPr="00AD4F6B" w:rsidR="00B46BB4">
        <w:rPr>
          <w:rFonts w:asciiTheme="minorHAnsi" w:hAnsiTheme="minorHAnsi"/>
          <w:bCs/>
          <w:snapToGrid w:val="0"/>
        </w:rPr>
        <w:t>,</w:t>
      </w:r>
      <w:r w:rsidRPr="00AD4F6B" w:rsidR="003C240A">
        <w:rPr>
          <w:rFonts w:asciiTheme="minorHAnsi" w:hAnsiTheme="minorHAnsi"/>
          <w:bCs/>
          <w:snapToGrid w:val="0"/>
        </w:rPr>
        <w:t xml:space="preserve"> which can be a major source of morbidity</w:t>
      </w:r>
      <w:r w:rsidRPr="00AD4F6B" w:rsidR="00737203">
        <w:rPr>
          <w:rFonts w:asciiTheme="minorHAnsi" w:hAnsiTheme="minorHAnsi"/>
          <w:bCs/>
          <w:snapToGrid w:val="0"/>
        </w:rPr>
        <w:t xml:space="preserve">. Clinicians noted </w:t>
      </w:r>
      <w:r w:rsidRPr="00AD4F6B" w:rsidR="009344EC">
        <w:rPr>
          <w:rFonts w:asciiTheme="minorHAnsi" w:hAnsiTheme="minorHAnsi"/>
          <w:bCs/>
          <w:snapToGrid w:val="0"/>
        </w:rPr>
        <w:t xml:space="preserve">the following scenarios where patients treated with ONA experienced suboptimal treatment response </w:t>
      </w:r>
      <w:r w:rsidRPr="00AD4F6B" w:rsidR="00A84B81">
        <w:rPr>
          <w:rFonts w:asciiTheme="minorHAnsi" w:hAnsiTheme="minorHAnsi"/>
          <w:bCs/>
          <w:snapToGrid w:val="0"/>
        </w:rPr>
        <w:t xml:space="preserve">or treatment failure </w:t>
      </w:r>
      <w:r w:rsidRPr="00AD4F6B" w:rsidR="009344EC">
        <w:rPr>
          <w:rFonts w:asciiTheme="minorHAnsi" w:hAnsiTheme="minorHAnsi"/>
          <w:bCs/>
          <w:snapToGrid w:val="0"/>
        </w:rPr>
        <w:t>but were not eligible for treatment with risdiplam or nusinersen under the current restrictions</w:t>
      </w:r>
      <w:r w:rsidRPr="00AD4F6B" w:rsidR="004E7BD3">
        <w:rPr>
          <w:rFonts w:asciiTheme="minorHAnsi" w:hAnsiTheme="minorHAnsi"/>
          <w:bCs/>
          <w:snapToGrid w:val="0"/>
        </w:rPr>
        <w:t>:</w:t>
      </w:r>
      <w:bookmarkEnd w:id="24"/>
    </w:p>
    <w:p w:rsidRPr="00AD4F6B" w:rsidR="00A05095" w:rsidP="00A05095" w:rsidRDefault="0036187B" w14:paraId="6F8179E4" w14:textId="47A1BB7B">
      <w:pPr>
        <w:widowControl w:val="0"/>
        <w:numPr>
          <w:ilvl w:val="2"/>
          <w:numId w:val="1"/>
        </w:numPr>
        <w:spacing w:after="120"/>
        <w:ind w:left="1037" w:hanging="357"/>
        <w:rPr>
          <w:rFonts w:asciiTheme="minorHAnsi" w:hAnsiTheme="minorHAnsi"/>
          <w:bCs/>
          <w:snapToGrid w:val="0"/>
        </w:rPr>
      </w:pPr>
      <w:r w:rsidRPr="00AD4F6B">
        <w:rPr>
          <w:rFonts w:asciiTheme="minorHAnsi" w:hAnsiTheme="minorHAnsi"/>
          <w:bCs/>
          <w:snapToGrid w:val="0"/>
        </w:rPr>
        <w:t>Children who have developed and maintained the ability to walk independently, however their walking distance is limited due to weakness, falls and fatigue.</w:t>
      </w:r>
    </w:p>
    <w:p w:rsidRPr="00AD4F6B" w:rsidR="00ED6FEC" w:rsidP="00A05095" w:rsidRDefault="00CF7E01" w14:paraId="25F7D554" w14:textId="629609F7">
      <w:pPr>
        <w:widowControl w:val="0"/>
        <w:numPr>
          <w:ilvl w:val="2"/>
          <w:numId w:val="1"/>
        </w:numPr>
        <w:spacing w:after="120"/>
        <w:ind w:left="1037" w:hanging="357"/>
        <w:rPr>
          <w:rFonts w:asciiTheme="minorHAnsi" w:hAnsiTheme="minorHAnsi"/>
          <w:bCs/>
          <w:snapToGrid w:val="0"/>
        </w:rPr>
      </w:pPr>
      <w:r w:rsidRPr="00AD4F6B">
        <w:rPr>
          <w:rFonts w:asciiTheme="minorHAnsi" w:hAnsiTheme="minorHAnsi"/>
          <w:bCs/>
          <w:snapToGrid w:val="0"/>
        </w:rPr>
        <w:t xml:space="preserve">Children who make initial gains in a motor milestone but </w:t>
      </w:r>
      <w:r w:rsidRPr="00AD4F6B" w:rsidR="004B5615">
        <w:rPr>
          <w:rFonts w:asciiTheme="minorHAnsi" w:hAnsiTheme="minorHAnsi"/>
          <w:bCs/>
          <w:snapToGrid w:val="0"/>
        </w:rPr>
        <w:t xml:space="preserve">have a much slower than expected gain in function or do </w:t>
      </w:r>
      <w:r w:rsidRPr="00AD4F6B" w:rsidR="00914F22">
        <w:rPr>
          <w:rFonts w:asciiTheme="minorHAnsi" w:hAnsiTheme="minorHAnsi"/>
          <w:bCs/>
          <w:snapToGrid w:val="0"/>
        </w:rPr>
        <w:t xml:space="preserve">not </w:t>
      </w:r>
      <w:r w:rsidRPr="00AD4F6B" w:rsidR="004B5615">
        <w:rPr>
          <w:rFonts w:asciiTheme="minorHAnsi" w:hAnsiTheme="minorHAnsi"/>
          <w:bCs/>
          <w:snapToGrid w:val="0"/>
        </w:rPr>
        <w:t>continue to</w:t>
      </w:r>
      <w:r w:rsidRPr="00AD4F6B" w:rsidR="00914F22">
        <w:rPr>
          <w:rFonts w:asciiTheme="minorHAnsi" w:hAnsiTheme="minorHAnsi"/>
          <w:bCs/>
          <w:snapToGrid w:val="0"/>
        </w:rPr>
        <w:t xml:space="preserve"> gain</w:t>
      </w:r>
      <w:r w:rsidRPr="00AD4F6B" w:rsidR="004B5615">
        <w:rPr>
          <w:rFonts w:asciiTheme="minorHAnsi" w:hAnsiTheme="minorHAnsi"/>
          <w:bCs/>
          <w:snapToGrid w:val="0"/>
        </w:rPr>
        <w:t xml:space="preserve"> </w:t>
      </w:r>
      <w:r w:rsidRPr="00AD4F6B" w:rsidR="00983F48">
        <w:rPr>
          <w:rFonts w:asciiTheme="minorHAnsi" w:hAnsiTheme="minorHAnsi"/>
          <w:bCs/>
          <w:snapToGrid w:val="0"/>
        </w:rPr>
        <w:t>motor function (i.e. plateau).</w:t>
      </w:r>
    </w:p>
    <w:p w:rsidRPr="00AD4F6B" w:rsidR="0036187B" w:rsidP="00A05095" w:rsidRDefault="00806AB5" w14:paraId="0D00BE93" w14:textId="3B5C0657">
      <w:pPr>
        <w:widowControl w:val="0"/>
        <w:numPr>
          <w:ilvl w:val="2"/>
          <w:numId w:val="1"/>
        </w:numPr>
        <w:spacing w:after="120"/>
        <w:ind w:left="1037" w:hanging="357"/>
        <w:rPr>
          <w:rFonts w:asciiTheme="minorHAnsi" w:hAnsiTheme="minorHAnsi"/>
          <w:bCs/>
          <w:snapToGrid w:val="0"/>
        </w:rPr>
      </w:pPr>
      <w:r w:rsidRPr="00AD4F6B">
        <w:rPr>
          <w:rFonts w:asciiTheme="minorHAnsi" w:hAnsiTheme="minorHAnsi"/>
          <w:bCs/>
          <w:snapToGrid w:val="0"/>
        </w:rPr>
        <w:t>Children who have deterioration in the ability to swallow</w:t>
      </w:r>
      <w:r w:rsidRPr="00AD4F6B" w:rsidR="0015158D">
        <w:rPr>
          <w:rFonts w:asciiTheme="minorHAnsi" w:hAnsiTheme="minorHAnsi"/>
          <w:bCs/>
          <w:snapToGrid w:val="0"/>
        </w:rPr>
        <w:t xml:space="preserve"> (</w:t>
      </w:r>
      <w:r w:rsidRPr="00AD4F6B" w:rsidR="00E3592F">
        <w:rPr>
          <w:rFonts w:asciiTheme="minorHAnsi" w:hAnsiTheme="minorHAnsi"/>
          <w:bCs/>
          <w:snapToGrid w:val="0"/>
        </w:rPr>
        <w:t xml:space="preserve">i.e. </w:t>
      </w:r>
      <w:r w:rsidRPr="00AD4F6B" w:rsidR="0015158D">
        <w:rPr>
          <w:rFonts w:asciiTheme="minorHAnsi" w:hAnsiTheme="minorHAnsi"/>
          <w:bCs/>
          <w:snapToGrid w:val="0"/>
        </w:rPr>
        <w:t>are feeding independently and then subsequently required gastrostomy support)</w:t>
      </w:r>
      <w:r w:rsidRPr="00AD4F6B">
        <w:rPr>
          <w:rFonts w:asciiTheme="minorHAnsi" w:hAnsiTheme="minorHAnsi"/>
          <w:bCs/>
          <w:snapToGrid w:val="0"/>
        </w:rPr>
        <w:t>.</w:t>
      </w:r>
    </w:p>
    <w:p w:rsidRPr="00AD4F6B" w:rsidR="00806AB5" w:rsidP="00A05095" w:rsidRDefault="00DB7D82" w14:paraId="52726095" w14:textId="4D5A0B5D">
      <w:pPr>
        <w:widowControl w:val="0"/>
        <w:numPr>
          <w:ilvl w:val="2"/>
          <w:numId w:val="1"/>
        </w:numPr>
        <w:spacing w:after="120"/>
        <w:ind w:left="1037" w:hanging="357"/>
        <w:rPr>
          <w:rFonts w:asciiTheme="minorHAnsi" w:hAnsiTheme="minorHAnsi"/>
          <w:bCs/>
          <w:snapToGrid w:val="0"/>
        </w:rPr>
      </w:pPr>
      <w:r w:rsidRPr="00AD4F6B">
        <w:rPr>
          <w:rFonts w:asciiTheme="minorHAnsi" w:hAnsiTheme="minorHAnsi"/>
          <w:bCs/>
          <w:snapToGrid w:val="0"/>
        </w:rPr>
        <w:t>Children who require ongoing nocturnal non-invasive ventilation, despite being treated in the neonatal period.</w:t>
      </w:r>
    </w:p>
    <w:p w:rsidRPr="00AD4F6B" w:rsidR="00396B3D" w:rsidP="00A10005" w:rsidRDefault="00396B3D" w14:paraId="2B5E73A9" w14:textId="665843AD">
      <w:pPr>
        <w:widowControl w:val="0"/>
        <w:spacing w:after="120"/>
        <w:ind w:left="680"/>
        <w:rPr>
          <w:rFonts w:asciiTheme="minorHAnsi" w:hAnsiTheme="minorHAnsi"/>
          <w:bCs/>
          <w:snapToGrid w:val="0"/>
        </w:rPr>
      </w:pPr>
      <w:r w:rsidRPr="00AD4F6B">
        <w:rPr>
          <w:rFonts w:asciiTheme="minorHAnsi" w:hAnsiTheme="minorHAnsi"/>
          <w:bCs/>
          <w:snapToGrid w:val="0"/>
        </w:rPr>
        <w:t xml:space="preserve">In addition, clinicians noted that the current wording of the restrictions does not allow access to subsequent NUSI/RIS in patients previously treated with ONA </w:t>
      </w:r>
      <w:r w:rsidRPr="00AD4F6B" w:rsidR="0072017B">
        <w:rPr>
          <w:rFonts w:asciiTheme="minorHAnsi" w:hAnsiTheme="minorHAnsi"/>
          <w:bCs/>
          <w:snapToGrid w:val="0"/>
        </w:rPr>
        <w:t>outside the PBS (e.g. under special access programs or clinical trials)</w:t>
      </w:r>
      <w:r w:rsidRPr="00AD4F6B" w:rsidR="006C6BD4">
        <w:rPr>
          <w:rFonts w:asciiTheme="minorHAnsi" w:hAnsiTheme="minorHAnsi"/>
          <w:bCs/>
          <w:snapToGrid w:val="0"/>
        </w:rPr>
        <w:t>.</w:t>
      </w:r>
    </w:p>
    <w:p w:rsidRPr="00AD4F6B" w:rsidR="00A10005" w:rsidP="00A10005" w:rsidRDefault="00334F52" w14:paraId="4CF5E2AB" w14:textId="5BCB8FF4">
      <w:pPr>
        <w:widowControl w:val="0"/>
        <w:spacing w:after="120"/>
        <w:ind w:left="680"/>
        <w:rPr>
          <w:rFonts w:asciiTheme="minorHAnsi" w:hAnsiTheme="minorHAnsi"/>
          <w:bCs/>
          <w:snapToGrid w:val="0"/>
        </w:rPr>
      </w:pPr>
      <w:r w:rsidRPr="00AD4F6B">
        <w:rPr>
          <w:rFonts w:asciiTheme="minorHAnsi" w:hAnsiTheme="minorHAnsi"/>
          <w:bCs/>
          <w:snapToGrid w:val="0"/>
        </w:rPr>
        <w:t xml:space="preserve">Clinicians also noted concerns that </w:t>
      </w:r>
      <w:r w:rsidRPr="00AD4F6B" w:rsidR="00925698">
        <w:rPr>
          <w:rFonts w:asciiTheme="minorHAnsi" w:hAnsiTheme="minorHAnsi"/>
          <w:bCs/>
          <w:snapToGrid w:val="0"/>
        </w:rPr>
        <w:t xml:space="preserve">the PBS Highly Specialised Drugs Program number is only open during business hours (Monday to Friday 8am – 5pm) which </w:t>
      </w:r>
      <w:r w:rsidRPr="00AD4F6B" w:rsidR="003338B5">
        <w:rPr>
          <w:rFonts w:asciiTheme="minorHAnsi" w:hAnsiTheme="minorHAnsi"/>
          <w:bCs/>
          <w:snapToGrid w:val="0"/>
        </w:rPr>
        <w:t>causes unnecessary delays in getting approval to commence treatment</w:t>
      </w:r>
      <w:r w:rsidRPr="00AD4F6B" w:rsidR="007C4E21">
        <w:rPr>
          <w:rFonts w:asciiTheme="minorHAnsi" w:hAnsiTheme="minorHAnsi"/>
          <w:bCs/>
          <w:snapToGrid w:val="0"/>
        </w:rPr>
        <w:t xml:space="preserve">. In addition, </w:t>
      </w:r>
      <w:r w:rsidRPr="00AD4F6B" w:rsidR="004322CB">
        <w:rPr>
          <w:rFonts w:asciiTheme="minorHAnsi" w:hAnsiTheme="minorHAnsi"/>
          <w:bCs/>
          <w:snapToGrid w:val="0"/>
        </w:rPr>
        <w:t>it can take up to 6 days to receive supply from the US</w:t>
      </w:r>
      <w:r w:rsidRPr="00AD4F6B" w:rsidR="00B00AD7">
        <w:rPr>
          <w:rFonts w:asciiTheme="minorHAnsi" w:hAnsiTheme="minorHAnsi"/>
          <w:bCs/>
          <w:snapToGrid w:val="0"/>
        </w:rPr>
        <w:t>. Clinic</w:t>
      </w:r>
      <w:r w:rsidRPr="00AD4F6B" w:rsidR="004C1FE9">
        <w:rPr>
          <w:rFonts w:asciiTheme="minorHAnsi" w:hAnsiTheme="minorHAnsi"/>
          <w:bCs/>
          <w:snapToGrid w:val="0"/>
        </w:rPr>
        <w:t>i</w:t>
      </w:r>
      <w:r w:rsidRPr="00AD4F6B" w:rsidR="00B00AD7">
        <w:rPr>
          <w:rFonts w:asciiTheme="minorHAnsi" w:hAnsiTheme="minorHAnsi"/>
          <w:bCs/>
          <w:snapToGrid w:val="0"/>
        </w:rPr>
        <w:t>ans noted that these delays in treatment are</w:t>
      </w:r>
      <w:r w:rsidRPr="00AD4F6B" w:rsidR="008B0F42">
        <w:rPr>
          <w:rFonts w:asciiTheme="minorHAnsi" w:hAnsiTheme="minorHAnsi"/>
          <w:bCs/>
          <w:snapToGrid w:val="0"/>
        </w:rPr>
        <w:t xml:space="preserve"> significant </w:t>
      </w:r>
      <w:r w:rsidRPr="00AD4F6B" w:rsidR="00B00AD7">
        <w:rPr>
          <w:rFonts w:asciiTheme="minorHAnsi" w:hAnsiTheme="minorHAnsi"/>
          <w:bCs/>
          <w:snapToGrid w:val="0"/>
        </w:rPr>
        <w:t xml:space="preserve">as disease progression can be rapid and </w:t>
      </w:r>
      <w:r w:rsidRPr="00AD4F6B" w:rsidR="00464334">
        <w:rPr>
          <w:rFonts w:asciiTheme="minorHAnsi" w:hAnsiTheme="minorHAnsi"/>
          <w:bCs/>
          <w:snapToGrid w:val="0"/>
        </w:rPr>
        <w:t xml:space="preserve">delays can </w:t>
      </w:r>
      <w:r w:rsidRPr="00AD4F6B" w:rsidR="00244EA4">
        <w:rPr>
          <w:rFonts w:asciiTheme="minorHAnsi" w:hAnsiTheme="minorHAnsi"/>
          <w:bCs/>
          <w:snapToGrid w:val="0"/>
        </w:rPr>
        <w:t>ha</w:t>
      </w:r>
      <w:r w:rsidRPr="00AD4F6B" w:rsidR="00464334">
        <w:rPr>
          <w:rFonts w:asciiTheme="minorHAnsi" w:hAnsiTheme="minorHAnsi"/>
          <w:bCs/>
          <w:snapToGrid w:val="0"/>
        </w:rPr>
        <w:t>ve</w:t>
      </w:r>
      <w:r w:rsidRPr="00AD4F6B" w:rsidR="00244EA4">
        <w:rPr>
          <w:rFonts w:asciiTheme="minorHAnsi" w:hAnsiTheme="minorHAnsi"/>
          <w:bCs/>
          <w:snapToGrid w:val="0"/>
        </w:rPr>
        <w:t xml:space="preserve"> a long-term impact on </w:t>
      </w:r>
      <w:r w:rsidRPr="00AD4F6B" w:rsidR="00EA2AE7">
        <w:rPr>
          <w:rFonts w:asciiTheme="minorHAnsi" w:hAnsiTheme="minorHAnsi"/>
          <w:bCs/>
          <w:snapToGrid w:val="0"/>
        </w:rPr>
        <w:t>outcomes.</w:t>
      </w:r>
    </w:p>
    <w:bookmarkEnd w:id="21"/>
    <w:bookmarkEnd w:id="23"/>
    <w:p w:rsidRPr="00AD4F6B" w:rsidR="00B60939" w:rsidP="002E4F02" w:rsidRDefault="00B60939" w14:paraId="609C0765" w14:textId="498AAA61">
      <w:pPr>
        <w:pStyle w:val="4-SubsectionHeading"/>
        <w:rPr>
          <w:color w:val="auto"/>
        </w:rPr>
      </w:pPr>
      <w:r w:rsidRPr="00AD4F6B">
        <w:rPr>
          <w:color w:val="auto"/>
        </w:rPr>
        <w:t xml:space="preserve">Clinical </w:t>
      </w:r>
      <w:r w:rsidRPr="00AD4F6B" w:rsidR="00D5243B">
        <w:rPr>
          <w:color w:val="auto"/>
        </w:rPr>
        <w:t>studies</w:t>
      </w:r>
      <w:bookmarkEnd w:id="20"/>
      <w:bookmarkEnd w:id="22"/>
    </w:p>
    <w:p w:rsidRPr="00AD4F6B" w:rsidR="00ED1C24" w:rsidP="00D05F4A" w:rsidRDefault="004A4B0A" w14:paraId="2CD8383C" w14:textId="2FEAF3E1">
      <w:pPr>
        <w:pStyle w:val="3-BodyText"/>
        <w:spacing w:after="120"/>
      </w:pPr>
      <w:r w:rsidRPr="00AD4F6B">
        <w:fldChar w:fldCharType="begin"/>
      </w:r>
      <w:r w:rsidRPr="00AD4F6B">
        <w:instrText xml:space="preserve"> REF _Ref208268819 \h  \* MERGEFORMAT </w:instrText>
      </w:r>
      <w:r w:rsidRPr="00AD4F6B">
        <w:fldChar w:fldCharType="separate"/>
      </w:r>
      <w:r w:rsidRPr="00F0459B" w:rsidR="00F0459B">
        <w:t xml:space="preserve">Table </w:t>
      </w:r>
      <w:r w:rsidRPr="00F0459B" w:rsidR="00F0459B">
        <w:rPr>
          <w:noProof/>
        </w:rPr>
        <w:t>4</w:t>
      </w:r>
      <w:r w:rsidRPr="00AD4F6B">
        <w:fldChar w:fldCharType="end"/>
      </w:r>
      <w:r w:rsidRPr="00AD4F6B">
        <w:t xml:space="preserve"> </w:t>
      </w:r>
      <w:r w:rsidRPr="00AD4F6B" w:rsidR="00ED1C24">
        <w:t>summarises the submission’s proposed changes (using age and weight restrictions) and the evidence presented for each population. As outlined in</w:t>
      </w:r>
      <w:r w:rsidRPr="00AD4F6B">
        <w:t xml:space="preserve"> </w:t>
      </w:r>
      <w:r w:rsidRPr="00AD4F6B">
        <w:fldChar w:fldCharType="begin"/>
      </w:r>
      <w:r w:rsidRPr="00AD4F6B">
        <w:instrText xml:space="preserve"> REF _Ref208268819 \h  \* MERGEFORMAT </w:instrText>
      </w:r>
      <w:r w:rsidRPr="00AD4F6B">
        <w:fldChar w:fldCharType="separate"/>
      </w:r>
      <w:r w:rsidRPr="00F0459B" w:rsidR="00F0459B">
        <w:t xml:space="preserve">Table </w:t>
      </w:r>
      <w:r w:rsidRPr="00F0459B" w:rsidR="00F0459B">
        <w:rPr>
          <w:noProof/>
        </w:rPr>
        <w:t>4</w:t>
      </w:r>
      <w:r w:rsidRPr="00AD4F6B">
        <w:fldChar w:fldCharType="end"/>
      </w:r>
      <w:r w:rsidRPr="00AD4F6B" w:rsidR="00ED1C24">
        <w:t xml:space="preserve">, </w:t>
      </w:r>
      <w:r w:rsidRPr="00AD4F6B" w:rsidR="004353D5">
        <w:t xml:space="preserve">no </w:t>
      </w:r>
      <w:r w:rsidRPr="00AD4F6B" w:rsidR="00ED1C24">
        <w:t xml:space="preserve">clinical evidence for </w:t>
      </w:r>
      <w:r w:rsidRPr="00AD4F6B" w:rsidR="00A16718">
        <w:t xml:space="preserve">the </w:t>
      </w:r>
      <w:r w:rsidRPr="00AD4F6B" w:rsidR="00ED1C24">
        <w:t xml:space="preserve">pre-symptomatic SMA population was presented by the submission. Further, the </w:t>
      </w:r>
      <w:r w:rsidRPr="00AD4F6B" w:rsidR="005D063B">
        <w:t xml:space="preserve">commentary considered the </w:t>
      </w:r>
      <w:r w:rsidRPr="00AD4F6B" w:rsidR="000F0F1D">
        <w:t xml:space="preserve">clinical claim and </w:t>
      </w:r>
      <w:r w:rsidRPr="00AD4F6B" w:rsidR="00ED1C24">
        <w:t>economic evaluation presented by the submission may not be appropriate given the comparator used was not appropriate.</w:t>
      </w:r>
    </w:p>
    <w:p w:rsidRPr="00AD4F6B" w:rsidR="00ED1C24" w:rsidP="00B87CC5" w:rsidRDefault="00ED1C24" w14:paraId="7DF21303" w14:textId="11C15329">
      <w:pPr>
        <w:pStyle w:val="Caption"/>
        <w:rPr>
          <w:b w:val="0"/>
          <w:iCs/>
          <w:szCs w:val="20"/>
        </w:rPr>
      </w:pPr>
      <w:bookmarkStart w:name="_Ref208268819" w:id="25"/>
      <w:r w:rsidRPr="00AD4F6B">
        <w:rPr>
          <w:iCs/>
        </w:rPr>
        <w:t xml:space="preserve">Table </w:t>
      </w:r>
      <w:r w:rsidRPr="00AD4F6B">
        <w:rPr>
          <w:iCs/>
        </w:rPr>
        <w:fldChar w:fldCharType="begin"/>
      </w:r>
      <w:r w:rsidRPr="00AD4F6B">
        <w:rPr>
          <w:iCs/>
        </w:rPr>
        <w:instrText xml:space="preserve"> SEQ Table \* ARABIC </w:instrText>
      </w:r>
      <w:r w:rsidRPr="00AD4F6B">
        <w:rPr>
          <w:iCs/>
        </w:rPr>
        <w:fldChar w:fldCharType="separate"/>
      </w:r>
      <w:r w:rsidR="00F0459B">
        <w:rPr>
          <w:iCs/>
          <w:noProof/>
        </w:rPr>
        <w:t>4</w:t>
      </w:r>
      <w:r w:rsidRPr="00AD4F6B">
        <w:rPr>
          <w:iCs/>
        </w:rPr>
        <w:fldChar w:fldCharType="end"/>
      </w:r>
      <w:bookmarkEnd w:id="25"/>
      <w:r w:rsidRPr="00AD4F6B">
        <w:rPr>
          <w:iCs/>
          <w:szCs w:val="20"/>
        </w:rPr>
        <w:t>: Summary of proposed changes by the submission and evidence presented</w:t>
      </w:r>
    </w:p>
    <w:tbl>
      <w:tblPr>
        <w:tblStyle w:val="TableGrid"/>
        <w:tblW w:w="5000" w:type="pct"/>
        <w:tblCellMar>
          <w:left w:w="28" w:type="dxa"/>
          <w:right w:w="28" w:type="dxa"/>
        </w:tblCellMar>
        <w:tblLook w:val="04A0" w:firstRow="1" w:lastRow="0" w:firstColumn="1" w:lastColumn="0" w:noHBand="0" w:noVBand="1"/>
        <w:tblCaption w:val="Table 4: Summary of proposed changes by the submission and evidence presented"/>
      </w:tblPr>
      <w:tblGrid>
        <w:gridCol w:w="1130"/>
        <w:gridCol w:w="1135"/>
        <w:gridCol w:w="1134"/>
        <w:gridCol w:w="1134"/>
        <w:gridCol w:w="1134"/>
        <w:gridCol w:w="1134"/>
        <w:gridCol w:w="1134"/>
        <w:gridCol w:w="1082"/>
      </w:tblGrid>
      <w:tr w:rsidRPr="00AD4F6B" w:rsidR="00AD4F6B" w:rsidTr="00EA35AC" w14:paraId="7C98D453" w14:textId="77777777">
        <w:tc>
          <w:tcPr>
            <w:tcW w:w="626" w:type="pct"/>
            <w:vMerge w:val="restart"/>
            <w:vAlign w:val="center"/>
          </w:tcPr>
          <w:p w:rsidRPr="00AD4F6B" w:rsidR="00ED1C24" w:rsidP="00B87CC5" w:rsidRDefault="00ED1C24" w14:paraId="4AD0434A" w14:textId="77777777">
            <w:pPr>
              <w:keepNext/>
              <w:keepLines/>
              <w:jc w:val="left"/>
              <w:rPr>
                <w:rFonts w:ascii="Arial Narrow" w:hAnsi="Arial Narrow"/>
                <w:sz w:val="20"/>
                <w:szCs w:val="20"/>
              </w:rPr>
            </w:pPr>
          </w:p>
        </w:tc>
        <w:tc>
          <w:tcPr>
            <w:tcW w:w="4374" w:type="pct"/>
            <w:gridSpan w:val="7"/>
            <w:vAlign w:val="center"/>
          </w:tcPr>
          <w:p w:rsidRPr="00AD4F6B" w:rsidR="00ED1C24" w:rsidP="00B87CC5" w:rsidRDefault="00ED1C24" w14:paraId="32B2489F" w14:textId="77777777">
            <w:pPr>
              <w:keepNext/>
              <w:keepLines/>
              <w:jc w:val="center"/>
              <w:rPr>
                <w:rFonts w:ascii="Arial Narrow" w:hAnsi="Arial Narrow"/>
                <w:b/>
                <w:bCs/>
                <w:sz w:val="20"/>
                <w:szCs w:val="20"/>
              </w:rPr>
            </w:pPr>
            <w:r w:rsidRPr="00AD4F6B">
              <w:rPr>
                <w:rFonts w:ascii="Arial Narrow" w:hAnsi="Arial Narrow"/>
                <w:b/>
                <w:bCs/>
                <w:sz w:val="20"/>
                <w:szCs w:val="20"/>
              </w:rPr>
              <w:t>Patient populations</w:t>
            </w:r>
          </w:p>
        </w:tc>
      </w:tr>
      <w:tr w:rsidRPr="00AD4F6B" w:rsidR="00AD4F6B" w:rsidTr="00EA35AC" w14:paraId="70E4AB5E" w14:textId="77777777">
        <w:tc>
          <w:tcPr>
            <w:tcW w:w="626" w:type="pct"/>
            <w:vMerge/>
            <w:vAlign w:val="center"/>
          </w:tcPr>
          <w:p w:rsidRPr="00AD4F6B" w:rsidR="00AC6AA5" w:rsidP="00B87CC5" w:rsidRDefault="00AC6AA5" w14:paraId="0E1668D2" w14:textId="77777777">
            <w:pPr>
              <w:keepNext/>
              <w:keepLines/>
              <w:jc w:val="left"/>
              <w:rPr>
                <w:rFonts w:ascii="Arial Narrow" w:hAnsi="Arial Narrow"/>
                <w:sz w:val="20"/>
                <w:szCs w:val="20"/>
              </w:rPr>
            </w:pPr>
          </w:p>
        </w:tc>
        <w:tc>
          <w:tcPr>
            <w:tcW w:w="1258" w:type="pct"/>
            <w:gridSpan w:val="2"/>
            <w:vAlign w:val="center"/>
          </w:tcPr>
          <w:p w:rsidRPr="00AD4F6B" w:rsidR="00AC6AA5" w:rsidP="00B87CC5" w:rsidRDefault="00AC6AA5" w14:paraId="0CBFECBA" w14:textId="77777777">
            <w:pPr>
              <w:keepNext/>
              <w:keepLines/>
              <w:jc w:val="center"/>
              <w:rPr>
                <w:rFonts w:ascii="Arial Narrow" w:hAnsi="Arial Narrow"/>
                <w:b/>
                <w:bCs/>
                <w:sz w:val="20"/>
                <w:szCs w:val="20"/>
              </w:rPr>
            </w:pPr>
            <w:r w:rsidRPr="00AD4F6B">
              <w:rPr>
                <w:rFonts w:ascii="Arial Narrow" w:hAnsi="Arial Narrow"/>
                <w:b/>
                <w:bCs/>
                <w:sz w:val="20"/>
                <w:szCs w:val="20"/>
              </w:rPr>
              <w:t xml:space="preserve">9 months old or younger AND less than 21kg </w:t>
            </w:r>
            <w:r w:rsidRPr="00AD4F6B">
              <w:rPr>
                <w:rFonts w:ascii="Arial Narrow" w:hAnsi="Arial Narrow"/>
                <w:b/>
                <w:bCs/>
                <w:sz w:val="20"/>
                <w:szCs w:val="20"/>
                <w:vertAlign w:val="superscript"/>
              </w:rPr>
              <w:t>a</w:t>
            </w:r>
          </w:p>
        </w:tc>
        <w:tc>
          <w:tcPr>
            <w:tcW w:w="1258" w:type="pct"/>
            <w:gridSpan w:val="2"/>
            <w:vAlign w:val="center"/>
          </w:tcPr>
          <w:p w:rsidRPr="00AD4F6B" w:rsidR="00AC6AA5" w:rsidP="00B87CC5" w:rsidRDefault="00AC6AA5" w14:paraId="39E94408" w14:textId="77777777">
            <w:pPr>
              <w:keepNext/>
              <w:keepLines/>
              <w:jc w:val="center"/>
              <w:rPr>
                <w:rFonts w:ascii="Arial Narrow" w:hAnsi="Arial Narrow"/>
                <w:b/>
                <w:bCs/>
                <w:sz w:val="20"/>
                <w:szCs w:val="20"/>
              </w:rPr>
            </w:pPr>
            <w:r w:rsidRPr="00AD4F6B">
              <w:rPr>
                <w:rFonts w:ascii="Arial Narrow" w:hAnsi="Arial Narrow"/>
                <w:b/>
                <w:bCs/>
                <w:sz w:val="20"/>
                <w:szCs w:val="20"/>
              </w:rPr>
              <w:t xml:space="preserve">Older than 9 months but less than 36 months AND less than 21kg </w:t>
            </w:r>
            <w:r w:rsidRPr="00AD4F6B">
              <w:rPr>
                <w:rFonts w:ascii="Arial Narrow" w:hAnsi="Arial Narrow"/>
                <w:b/>
                <w:bCs/>
                <w:sz w:val="20"/>
                <w:szCs w:val="20"/>
                <w:vertAlign w:val="superscript"/>
              </w:rPr>
              <w:t>a</w:t>
            </w:r>
          </w:p>
        </w:tc>
        <w:tc>
          <w:tcPr>
            <w:tcW w:w="1258" w:type="pct"/>
            <w:gridSpan w:val="2"/>
            <w:vAlign w:val="center"/>
          </w:tcPr>
          <w:p w:rsidRPr="00AD4F6B" w:rsidR="00AC6AA5" w:rsidP="00B87CC5" w:rsidRDefault="00AC6AA5" w14:paraId="08361901" w14:textId="77777777">
            <w:pPr>
              <w:keepNext/>
              <w:keepLines/>
              <w:jc w:val="center"/>
              <w:rPr>
                <w:rFonts w:ascii="Arial Narrow" w:hAnsi="Arial Narrow"/>
                <w:b/>
                <w:bCs/>
                <w:sz w:val="20"/>
                <w:szCs w:val="20"/>
                <w:vertAlign w:val="superscript"/>
              </w:rPr>
            </w:pPr>
            <w:r w:rsidRPr="00AD4F6B">
              <w:rPr>
                <w:rFonts w:ascii="Arial Narrow" w:hAnsi="Arial Narrow"/>
                <w:b/>
                <w:bCs/>
                <w:sz w:val="20"/>
                <w:szCs w:val="20"/>
              </w:rPr>
              <w:t xml:space="preserve">36 months old or older AND less than 21kg </w:t>
            </w:r>
            <w:r w:rsidRPr="00AD4F6B">
              <w:rPr>
                <w:rFonts w:ascii="Arial Narrow" w:hAnsi="Arial Narrow"/>
                <w:b/>
                <w:bCs/>
                <w:sz w:val="20"/>
                <w:szCs w:val="20"/>
                <w:vertAlign w:val="superscript"/>
              </w:rPr>
              <w:t>b</w:t>
            </w:r>
          </w:p>
        </w:tc>
        <w:tc>
          <w:tcPr>
            <w:tcW w:w="601" w:type="pct"/>
            <w:vMerge w:val="restart"/>
            <w:vAlign w:val="center"/>
          </w:tcPr>
          <w:p w:rsidRPr="00AD4F6B" w:rsidR="00AC6AA5" w:rsidP="00B87CC5" w:rsidRDefault="00AC6AA5" w14:paraId="44E3C40B" w14:textId="4A0A1342">
            <w:pPr>
              <w:keepNext/>
              <w:keepLines/>
              <w:jc w:val="center"/>
              <w:rPr>
                <w:rFonts w:ascii="Arial Narrow" w:hAnsi="Arial Narrow"/>
                <w:b/>
                <w:bCs/>
                <w:sz w:val="20"/>
                <w:szCs w:val="20"/>
                <w:vertAlign w:val="superscript"/>
              </w:rPr>
            </w:pPr>
            <w:r w:rsidRPr="00AD4F6B">
              <w:rPr>
                <w:rFonts w:ascii="Arial Narrow" w:hAnsi="Arial Narrow"/>
                <w:b/>
                <w:bCs/>
                <w:sz w:val="19"/>
                <w:szCs w:val="19"/>
              </w:rPr>
              <w:t>Symptomatic</w:t>
            </w:r>
            <w:r w:rsidRPr="00AD4F6B">
              <w:rPr>
                <w:rFonts w:ascii="Arial Narrow" w:hAnsi="Arial Narrow"/>
                <w:b/>
                <w:bCs/>
                <w:sz w:val="20"/>
                <w:szCs w:val="20"/>
              </w:rPr>
              <w:t xml:space="preserve"> type II/III</w:t>
            </w:r>
          </w:p>
        </w:tc>
      </w:tr>
      <w:tr w:rsidRPr="00AD4F6B" w:rsidR="00AD4F6B" w:rsidTr="00EA35AC" w14:paraId="0F189EE2" w14:textId="77777777">
        <w:tc>
          <w:tcPr>
            <w:tcW w:w="626" w:type="pct"/>
            <w:vMerge/>
            <w:vAlign w:val="center"/>
          </w:tcPr>
          <w:p w:rsidRPr="00AD4F6B" w:rsidR="00AC6AA5" w:rsidP="00B87CC5" w:rsidRDefault="00AC6AA5" w14:paraId="0F8F1908" w14:textId="77777777">
            <w:pPr>
              <w:keepNext/>
              <w:keepLines/>
              <w:jc w:val="left"/>
              <w:rPr>
                <w:rFonts w:ascii="Arial Narrow" w:hAnsi="Arial Narrow"/>
                <w:sz w:val="20"/>
                <w:szCs w:val="20"/>
              </w:rPr>
            </w:pPr>
          </w:p>
        </w:tc>
        <w:tc>
          <w:tcPr>
            <w:tcW w:w="629" w:type="pct"/>
            <w:vAlign w:val="center"/>
          </w:tcPr>
          <w:p w:rsidRPr="00AD4F6B" w:rsidR="00AC6AA5" w:rsidP="00B87CC5" w:rsidRDefault="00AC6AA5" w14:paraId="7FC00053" w14:textId="77777777">
            <w:pPr>
              <w:keepNext/>
              <w:keepLines/>
              <w:jc w:val="center"/>
              <w:rPr>
                <w:rFonts w:ascii="Arial Narrow" w:hAnsi="Arial Narrow"/>
                <w:b/>
                <w:bCs/>
                <w:sz w:val="20"/>
                <w:szCs w:val="20"/>
              </w:rPr>
            </w:pPr>
            <w:r w:rsidRPr="00AD4F6B">
              <w:rPr>
                <w:rFonts w:ascii="Arial Narrow" w:hAnsi="Arial Narrow"/>
                <w:b/>
                <w:bCs/>
                <w:sz w:val="20"/>
                <w:szCs w:val="20"/>
              </w:rPr>
              <w:t>Symptomatic type I</w:t>
            </w:r>
          </w:p>
        </w:tc>
        <w:tc>
          <w:tcPr>
            <w:tcW w:w="629" w:type="pct"/>
            <w:vAlign w:val="center"/>
          </w:tcPr>
          <w:p w:rsidRPr="00AD4F6B" w:rsidR="00AC6AA5" w:rsidP="00B87CC5" w:rsidRDefault="00AC6AA5" w14:paraId="03D967BE" w14:textId="77777777">
            <w:pPr>
              <w:keepNext/>
              <w:keepLines/>
              <w:jc w:val="center"/>
              <w:rPr>
                <w:rFonts w:ascii="Arial Narrow" w:hAnsi="Arial Narrow"/>
                <w:b/>
                <w:bCs/>
                <w:sz w:val="20"/>
                <w:szCs w:val="20"/>
              </w:rPr>
            </w:pPr>
            <w:r w:rsidRPr="00AD4F6B">
              <w:rPr>
                <w:rFonts w:ascii="Arial Narrow" w:hAnsi="Arial Narrow"/>
                <w:b/>
                <w:bCs/>
                <w:sz w:val="20"/>
                <w:szCs w:val="20"/>
              </w:rPr>
              <w:t>Pre-symptomatic, 1-3 SMN2 copies</w:t>
            </w:r>
          </w:p>
        </w:tc>
        <w:tc>
          <w:tcPr>
            <w:tcW w:w="629" w:type="pct"/>
            <w:vAlign w:val="center"/>
          </w:tcPr>
          <w:p w:rsidRPr="00AD4F6B" w:rsidR="00AC6AA5" w:rsidP="00B87CC5" w:rsidRDefault="00AC6AA5" w14:paraId="466D939A" w14:textId="77777777">
            <w:pPr>
              <w:keepNext/>
              <w:keepLines/>
              <w:jc w:val="center"/>
              <w:rPr>
                <w:rFonts w:ascii="Arial Narrow" w:hAnsi="Arial Narrow"/>
                <w:b/>
                <w:bCs/>
                <w:sz w:val="20"/>
                <w:szCs w:val="20"/>
              </w:rPr>
            </w:pPr>
            <w:r w:rsidRPr="00AD4F6B">
              <w:rPr>
                <w:rFonts w:ascii="Arial Narrow" w:hAnsi="Arial Narrow"/>
                <w:b/>
                <w:bCs/>
                <w:sz w:val="20"/>
                <w:szCs w:val="20"/>
              </w:rPr>
              <w:t>Symptomatic type I</w:t>
            </w:r>
          </w:p>
        </w:tc>
        <w:tc>
          <w:tcPr>
            <w:tcW w:w="629" w:type="pct"/>
            <w:vAlign w:val="center"/>
          </w:tcPr>
          <w:p w:rsidRPr="00AD4F6B" w:rsidR="00AC6AA5" w:rsidP="00B87CC5" w:rsidRDefault="00AC6AA5" w14:paraId="74C461E5" w14:textId="77777777">
            <w:pPr>
              <w:keepNext/>
              <w:keepLines/>
              <w:jc w:val="center"/>
              <w:rPr>
                <w:rFonts w:ascii="Arial Narrow" w:hAnsi="Arial Narrow"/>
                <w:b/>
                <w:bCs/>
                <w:sz w:val="20"/>
                <w:szCs w:val="20"/>
              </w:rPr>
            </w:pPr>
            <w:r w:rsidRPr="00AD4F6B">
              <w:rPr>
                <w:rFonts w:ascii="Arial Narrow" w:hAnsi="Arial Narrow"/>
                <w:b/>
                <w:bCs/>
                <w:sz w:val="20"/>
                <w:szCs w:val="20"/>
              </w:rPr>
              <w:t>Pre-symptomatic, 1-3 SMN2 copies</w:t>
            </w:r>
          </w:p>
        </w:tc>
        <w:tc>
          <w:tcPr>
            <w:tcW w:w="629" w:type="pct"/>
            <w:vAlign w:val="center"/>
          </w:tcPr>
          <w:p w:rsidRPr="00AD4F6B" w:rsidR="00AC6AA5" w:rsidP="00B87CC5" w:rsidRDefault="00AC6AA5" w14:paraId="2CEC7E10" w14:textId="77777777">
            <w:pPr>
              <w:keepNext/>
              <w:keepLines/>
              <w:jc w:val="center"/>
              <w:rPr>
                <w:rFonts w:ascii="Arial Narrow" w:hAnsi="Arial Narrow"/>
                <w:b/>
                <w:bCs/>
                <w:sz w:val="20"/>
                <w:szCs w:val="20"/>
              </w:rPr>
            </w:pPr>
            <w:r w:rsidRPr="00AD4F6B">
              <w:rPr>
                <w:rFonts w:ascii="Arial Narrow" w:hAnsi="Arial Narrow"/>
                <w:b/>
                <w:bCs/>
                <w:sz w:val="20"/>
                <w:szCs w:val="20"/>
              </w:rPr>
              <w:t>Symptomatic type I</w:t>
            </w:r>
          </w:p>
        </w:tc>
        <w:tc>
          <w:tcPr>
            <w:tcW w:w="629" w:type="pct"/>
            <w:vAlign w:val="center"/>
          </w:tcPr>
          <w:p w:rsidRPr="00AD4F6B" w:rsidR="00AC6AA5" w:rsidP="00B87CC5" w:rsidRDefault="00AC6AA5" w14:paraId="245B3215" w14:textId="77777777">
            <w:pPr>
              <w:keepNext/>
              <w:keepLines/>
              <w:jc w:val="center"/>
              <w:rPr>
                <w:rFonts w:ascii="Arial Narrow" w:hAnsi="Arial Narrow"/>
                <w:b/>
                <w:bCs/>
                <w:sz w:val="20"/>
                <w:szCs w:val="20"/>
              </w:rPr>
            </w:pPr>
            <w:r w:rsidRPr="00AD4F6B">
              <w:rPr>
                <w:rFonts w:ascii="Arial Narrow" w:hAnsi="Arial Narrow"/>
                <w:b/>
                <w:bCs/>
                <w:sz w:val="20"/>
                <w:szCs w:val="20"/>
              </w:rPr>
              <w:t>Pre-symptomatic, 1-3 SMN2 copies</w:t>
            </w:r>
          </w:p>
        </w:tc>
        <w:tc>
          <w:tcPr>
            <w:tcW w:w="601" w:type="pct"/>
            <w:vMerge/>
            <w:vAlign w:val="center"/>
          </w:tcPr>
          <w:p w:rsidRPr="00AD4F6B" w:rsidR="00AC6AA5" w:rsidP="00B87CC5" w:rsidRDefault="00AC6AA5" w14:paraId="07ACE6A3" w14:textId="331DD5DD">
            <w:pPr>
              <w:keepNext/>
              <w:keepLines/>
              <w:jc w:val="center"/>
              <w:rPr>
                <w:rFonts w:ascii="Arial Narrow" w:hAnsi="Arial Narrow"/>
                <w:b/>
                <w:bCs/>
                <w:sz w:val="20"/>
                <w:szCs w:val="20"/>
              </w:rPr>
            </w:pPr>
          </w:p>
        </w:tc>
      </w:tr>
      <w:tr w:rsidRPr="00AD4F6B" w:rsidR="00AD4F6B" w:rsidTr="00EA35AC" w14:paraId="55F35224" w14:textId="77777777">
        <w:tc>
          <w:tcPr>
            <w:tcW w:w="626" w:type="pct"/>
            <w:vAlign w:val="center"/>
          </w:tcPr>
          <w:p w:rsidRPr="00AD4F6B" w:rsidR="00FB58CE" w:rsidP="00B87CC5" w:rsidRDefault="00FB58CE" w14:paraId="3E940943" w14:textId="77777777">
            <w:pPr>
              <w:keepNext/>
              <w:keepLines/>
              <w:jc w:val="left"/>
              <w:rPr>
                <w:rFonts w:ascii="Arial Narrow" w:hAnsi="Arial Narrow"/>
                <w:b/>
                <w:bCs/>
                <w:sz w:val="20"/>
                <w:szCs w:val="20"/>
              </w:rPr>
            </w:pPr>
            <w:r w:rsidRPr="00AD4F6B">
              <w:rPr>
                <w:rFonts w:ascii="Arial Narrow" w:hAnsi="Arial Narrow"/>
                <w:b/>
                <w:bCs/>
                <w:sz w:val="20"/>
                <w:szCs w:val="20"/>
              </w:rPr>
              <w:t>Current PBS listed DMT options</w:t>
            </w:r>
          </w:p>
        </w:tc>
        <w:tc>
          <w:tcPr>
            <w:tcW w:w="629" w:type="pct"/>
            <w:vAlign w:val="center"/>
          </w:tcPr>
          <w:p w:rsidRPr="00AD4F6B" w:rsidR="00FB58CE" w:rsidP="00B87CC5" w:rsidRDefault="00FB58CE" w14:paraId="50341BEA" w14:textId="77777777">
            <w:pPr>
              <w:keepNext/>
              <w:keepLines/>
              <w:jc w:val="center"/>
              <w:rPr>
                <w:rFonts w:ascii="Arial Narrow" w:hAnsi="Arial Narrow"/>
                <w:sz w:val="20"/>
                <w:szCs w:val="20"/>
              </w:rPr>
            </w:pPr>
            <w:r w:rsidRPr="00AD4F6B">
              <w:rPr>
                <w:rFonts w:ascii="Arial Narrow" w:hAnsi="Arial Narrow"/>
                <w:sz w:val="20"/>
                <w:szCs w:val="20"/>
              </w:rPr>
              <w:t>NUSI, ONA, RIS</w:t>
            </w:r>
          </w:p>
        </w:tc>
        <w:tc>
          <w:tcPr>
            <w:tcW w:w="629" w:type="pct"/>
            <w:vAlign w:val="center"/>
          </w:tcPr>
          <w:p w:rsidRPr="00AD4F6B" w:rsidR="00FB58CE" w:rsidP="00B87CC5" w:rsidRDefault="00FB58CE" w14:paraId="7A1FD245" w14:textId="77777777">
            <w:pPr>
              <w:keepNext/>
              <w:keepLines/>
              <w:jc w:val="center"/>
              <w:rPr>
                <w:rFonts w:ascii="Arial Narrow" w:hAnsi="Arial Narrow"/>
                <w:sz w:val="20"/>
                <w:szCs w:val="20"/>
              </w:rPr>
            </w:pPr>
            <w:r w:rsidRPr="00AD4F6B">
              <w:rPr>
                <w:rFonts w:ascii="Arial Narrow" w:hAnsi="Arial Narrow"/>
                <w:sz w:val="20"/>
                <w:szCs w:val="20"/>
              </w:rPr>
              <w:t>NUSI, ONA, RIS</w:t>
            </w:r>
          </w:p>
        </w:tc>
        <w:tc>
          <w:tcPr>
            <w:tcW w:w="629" w:type="pct"/>
            <w:vAlign w:val="center"/>
          </w:tcPr>
          <w:p w:rsidRPr="00AD4F6B" w:rsidR="00FB58CE" w:rsidP="00B87CC5" w:rsidRDefault="00FB58CE" w14:paraId="31D2A158" w14:textId="77777777">
            <w:pPr>
              <w:keepNext/>
              <w:keepLines/>
              <w:jc w:val="center"/>
              <w:rPr>
                <w:rFonts w:ascii="Arial Narrow" w:hAnsi="Arial Narrow"/>
                <w:sz w:val="20"/>
                <w:szCs w:val="20"/>
              </w:rPr>
            </w:pPr>
            <w:r w:rsidRPr="00AD4F6B">
              <w:rPr>
                <w:rFonts w:ascii="Arial Narrow" w:hAnsi="Arial Narrow"/>
                <w:sz w:val="20"/>
                <w:szCs w:val="20"/>
              </w:rPr>
              <w:t>NUSI, RIS</w:t>
            </w:r>
          </w:p>
        </w:tc>
        <w:tc>
          <w:tcPr>
            <w:tcW w:w="629" w:type="pct"/>
            <w:vAlign w:val="center"/>
          </w:tcPr>
          <w:p w:rsidRPr="00AD4F6B" w:rsidR="00FB58CE" w:rsidP="00B87CC5" w:rsidRDefault="00FB58CE" w14:paraId="7884859B" w14:textId="77777777">
            <w:pPr>
              <w:keepNext/>
              <w:keepLines/>
              <w:jc w:val="center"/>
              <w:rPr>
                <w:rFonts w:ascii="Arial Narrow" w:hAnsi="Arial Narrow"/>
                <w:sz w:val="20"/>
                <w:szCs w:val="20"/>
              </w:rPr>
            </w:pPr>
            <w:r w:rsidRPr="00AD4F6B">
              <w:rPr>
                <w:rFonts w:ascii="Arial Narrow" w:hAnsi="Arial Narrow"/>
                <w:sz w:val="20"/>
                <w:szCs w:val="20"/>
              </w:rPr>
              <w:t>NUSI, RIS</w:t>
            </w:r>
          </w:p>
        </w:tc>
        <w:tc>
          <w:tcPr>
            <w:tcW w:w="629" w:type="pct"/>
            <w:vAlign w:val="center"/>
          </w:tcPr>
          <w:p w:rsidRPr="00AD4F6B" w:rsidR="00FB58CE" w:rsidP="00B87CC5" w:rsidRDefault="00FB58CE" w14:paraId="0F0686F2" w14:textId="77777777">
            <w:pPr>
              <w:keepNext/>
              <w:keepLines/>
              <w:jc w:val="center"/>
              <w:rPr>
                <w:rFonts w:ascii="Arial Narrow" w:hAnsi="Arial Narrow"/>
                <w:sz w:val="20"/>
                <w:szCs w:val="20"/>
              </w:rPr>
            </w:pPr>
            <w:r w:rsidRPr="00AD4F6B">
              <w:rPr>
                <w:rFonts w:ascii="Arial Narrow" w:hAnsi="Arial Narrow"/>
                <w:sz w:val="20"/>
                <w:szCs w:val="20"/>
              </w:rPr>
              <w:t>NUSI, RIS</w:t>
            </w:r>
          </w:p>
        </w:tc>
        <w:tc>
          <w:tcPr>
            <w:tcW w:w="629" w:type="pct"/>
            <w:vAlign w:val="center"/>
          </w:tcPr>
          <w:p w:rsidRPr="00AD4F6B" w:rsidR="00FB58CE" w:rsidP="00B87CC5" w:rsidRDefault="00FB58CE" w14:paraId="1C75D564" w14:textId="77777777">
            <w:pPr>
              <w:keepNext/>
              <w:keepLines/>
              <w:jc w:val="center"/>
              <w:rPr>
                <w:rFonts w:ascii="Arial Narrow" w:hAnsi="Arial Narrow"/>
                <w:sz w:val="20"/>
                <w:szCs w:val="20"/>
              </w:rPr>
            </w:pPr>
            <w:r w:rsidRPr="00AD4F6B">
              <w:rPr>
                <w:rFonts w:ascii="Arial Narrow" w:hAnsi="Arial Narrow"/>
                <w:sz w:val="20"/>
                <w:szCs w:val="20"/>
              </w:rPr>
              <w:t>None (unless previously initiated when younger than 36 months)</w:t>
            </w:r>
          </w:p>
        </w:tc>
        <w:tc>
          <w:tcPr>
            <w:tcW w:w="601" w:type="pct"/>
            <w:vAlign w:val="center"/>
          </w:tcPr>
          <w:p w:rsidRPr="00AD4F6B" w:rsidR="00FB58CE" w:rsidP="00B87CC5" w:rsidRDefault="0071232E" w14:paraId="08739A4E" w14:textId="1ACB313B">
            <w:pPr>
              <w:keepNext/>
              <w:keepLines/>
              <w:jc w:val="center"/>
              <w:rPr>
                <w:rFonts w:ascii="Arial Narrow" w:hAnsi="Arial Narrow"/>
                <w:sz w:val="20"/>
                <w:szCs w:val="20"/>
              </w:rPr>
            </w:pPr>
            <w:r w:rsidRPr="00AD4F6B">
              <w:rPr>
                <w:rFonts w:ascii="Arial Narrow" w:hAnsi="Arial Narrow"/>
                <w:sz w:val="20"/>
                <w:szCs w:val="20"/>
              </w:rPr>
              <w:t>NUSI, RIS</w:t>
            </w:r>
          </w:p>
        </w:tc>
      </w:tr>
      <w:tr w:rsidRPr="00AD4F6B" w:rsidR="00AD4F6B" w:rsidTr="00EA35AC" w14:paraId="31F067CB" w14:textId="77777777">
        <w:tc>
          <w:tcPr>
            <w:tcW w:w="626" w:type="pct"/>
            <w:vAlign w:val="center"/>
          </w:tcPr>
          <w:p w:rsidRPr="00AD4F6B" w:rsidR="00FB58CE" w:rsidP="00B87CC5" w:rsidRDefault="00FB58CE" w14:paraId="72A30492" w14:textId="77777777">
            <w:pPr>
              <w:keepNext/>
              <w:keepLines/>
              <w:jc w:val="left"/>
              <w:rPr>
                <w:rFonts w:ascii="Arial Narrow" w:hAnsi="Arial Narrow"/>
                <w:b/>
                <w:bCs/>
                <w:sz w:val="20"/>
                <w:szCs w:val="20"/>
              </w:rPr>
            </w:pPr>
            <w:r w:rsidRPr="00AD4F6B">
              <w:rPr>
                <w:rFonts w:ascii="Arial Narrow" w:hAnsi="Arial Narrow"/>
                <w:b/>
                <w:bCs/>
                <w:sz w:val="20"/>
                <w:szCs w:val="20"/>
              </w:rPr>
              <w:t>DMT options under the proposed restriction</w:t>
            </w:r>
          </w:p>
        </w:tc>
        <w:tc>
          <w:tcPr>
            <w:tcW w:w="629" w:type="pct"/>
            <w:vAlign w:val="center"/>
          </w:tcPr>
          <w:p w:rsidRPr="00AD4F6B" w:rsidR="00FB58CE" w:rsidP="00B87CC5" w:rsidRDefault="00FB58CE" w14:paraId="72F3388B" w14:textId="77777777">
            <w:pPr>
              <w:keepNext/>
              <w:keepLines/>
              <w:jc w:val="center"/>
              <w:rPr>
                <w:rFonts w:ascii="Arial Narrow" w:hAnsi="Arial Narrow"/>
                <w:sz w:val="20"/>
                <w:szCs w:val="20"/>
              </w:rPr>
            </w:pPr>
            <w:r w:rsidRPr="00AD4F6B">
              <w:rPr>
                <w:rFonts w:ascii="Arial Narrow" w:hAnsi="Arial Narrow"/>
                <w:sz w:val="20"/>
                <w:szCs w:val="20"/>
              </w:rPr>
              <w:t>NUSI, RIS, ONA</w:t>
            </w:r>
          </w:p>
        </w:tc>
        <w:tc>
          <w:tcPr>
            <w:tcW w:w="629" w:type="pct"/>
            <w:vAlign w:val="center"/>
          </w:tcPr>
          <w:p w:rsidRPr="00AD4F6B" w:rsidR="00FB58CE" w:rsidP="00B87CC5" w:rsidRDefault="00FB58CE" w14:paraId="77CD0EB9" w14:textId="77777777">
            <w:pPr>
              <w:keepNext/>
              <w:keepLines/>
              <w:jc w:val="center"/>
              <w:rPr>
                <w:rFonts w:ascii="Arial Narrow" w:hAnsi="Arial Narrow"/>
                <w:sz w:val="20"/>
                <w:szCs w:val="20"/>
              </w:rPr>
            </w:pPr>
            <w:r w:rsidRPr="00AD4F6B">
              <w:rPr>
                <w:rFonts w:ascii="Arial Narrow" w:hAnsi="Arial Narrow"/>
                <w:sz w:val="20"/>
                <w:szCs w:val="20"/>
              </w:rPr>
              <w:t>NUSI, RIS, ONA</w:t>
            </w:r>
          </w:p>
        </w:tc>
        <w:tc>
          <w:tcPr>
            <w:tcW w:w="629" w:type="pct"/>
            <w:vAlign w:val="center"/>
          </w:tcPr>
          <w:p w:rsidRPr="00AD4F6B" w:rsidR="00FB58CE" w:rsidP="00B87CC5" w:rsidRDefault="00FB58CE" w14:paraId="10BAD482" w14:textId="77777777">
            <w:pPr>
              <w:keepNext/>
              <w:keepLines/>
              <w:jc w:val="center"/>
              <w:rPr>
                <w:rFonts w:ascii="Arial Narrow" w:hAnsi="Arial Narrow"/>
                <w:sz w:val="20"/>
                <w:szCs w:val="20"/>
              </w:rPr>
            </w:pPr>
            <w:r w:rsidRPr="00AD4F6B">
              <w:rPr>
                <w:rFonts w:ascii="Arial Narrow" w:hAnsi="Arial Narrow"/>
                <w:sz w:val="20"/>
                <w:szCs w:val="20"/>
              </w:rPr>
              <w:t xml:space="preserve">NUSI, RIS, </w:t>
            </w:r>
            <w:r w:rsidRPr="00AD4F6B">
              <w:rPr>
                <w:rFonts w:ascii="Arial Narrow" w:hAnsi="Arial Narrow"/>
                <w:sz w:val="20"/>
                <w:szCs w:val="20"/>
                <w:u w:val="single"/>
              </w:rPr>
              <w:t xml:space="preserve">ONA </w:t>
            </w:r>
            <w:r w:rsidRPr="00AD4F6B">
              <w:rPr>
                <w:rFonts w:ascii="Arial Narrow" w:hAnsi="Arial Narrow"/>
                <w:sz w:val="20"/>
                <w:szCs w:val="20"/>
                <w:u w:val="single"/>
                <w:vertAlign w:val="superscript"/>
              </w:rPr>
              <w:t>c</w:t>
            </w:r>
          </w:p>
        </w:tc>
        <w:tc>
          <w:tcPr>
            <w:tcW w:w="629" w:type="pct"/>
            <w:vAlign w:val="center"/>
          </w:tcPr>
          <w:p w:rsidRPr="00AD4F6B" w:rsidR="00FB58CE" w:rsidP="00B87CC5" w:rsidRDefault="00FB58CE" w14:paraId="6A773818" w14:textId="77777777">
            <w:pPr>
              <w:keepNext/>
              <w:keepLines/>
              <w:jc w:val="center"/>
              <w:rPr>
                <w:rFonts w:ascii="Arial Narrow" w:hAnsi="Arial Narrow"/>
                <w:sz w:val="20"/>
                <w:szCs w:val="20"/>
              </w:rPr>
            </w:pPr>
            <w:r w:rsidRPr="00AD4F6B">
              <w:rPr>
                <w:rFonts w:ascii="Arial Narrow" w:hAnsi="Arial Narrow"/>
                <w:sz w:val="20"/>
                <w:szCs w:val="20"/>
              </w:rPr>
              <w:t xml:space="preserve">NUSI, RIS, </w:t>
            </w:r>
            <w:r w:rsidRPr="00AD4F6B">
              <w:rPr>
                <w:rFonts w:ascii="Arial Narrow" w:hAnsi="Arial Narrow"/>
                <w:sz w:val="20"/>
                <w:szCs w:val="20"/>
                <w:u w:val="single"/>
              </w:rPr>
              <w:t xml:space="preserve">ONA </w:t>
            </w:r>
            <w:r w:rsidRPr="00AD4F6B">
              <w:rPr>
                <w:rFonts w:ascii="Arial Narrow" w:hAnsi="Arial Narrow"/>
                <w:sz w:val="20"/>
                <w:szCs w:val="20"/>
                <w:u w:val="single"/>
                <w:vertAlign w:val="superscript"/>
              </w:rPr>
              <w:t>c</w:t>
            </w:r>
          </w:p>
        </w:tc>
        <w:tc>
          <w:tcPr>
            <w:tcW w:w="629" w:type="pct"/>
            <w:vAlign w:val="center"/>
          </w:tcPr>
          <w:p w:rsidRPr="00AD4F6B" w:rsidR="00FB58CE" w:rsidP="00B87CC5" w:rsidRDefault="00FB58CE" w14:paraId="7AAFEBBF" w14:textId="77777777">
            <w:pPr>
              <w:keepNext/>
              <w:keepLines/>
              <w:jc w:val="center"/>
              <w:rPr>
                <w:rFonts w:ascii="Arial Narrow" w:hAnsi="Arial Narrow"/>
                <w:sz w:val="20"/>
                <w:szCs w:val="20"/>
              </w:rPr>
            </w:pPr>
            <w:r w:rsidRPr="00AD4F6B">
              <w:rPr>
                <w:rFonts w:ascii="Arial Narrow" w:hAnsi="Arial Narrow"/>
                <w:sz w:val="20"/>
                <w:szCs w:val="20"/>
              </w:rPr>
              <w:t xml:space="preserve">NUSI, RIS </w:t>
            </w:r>
            <w:r w:rsidRPr="00AD4F6B">
              <w:rPr>
                <w:rFonts w:ascii="Arial Narrow" w:hAnsi="Arial Narrow"/>
                <w:sz w:val="20"/>
                <w:szCs w:val="20"/>
                <w:u w:val="single"/>
              </w:rPr>
              <w:t xml:space="preserve">ONA </w:t>
            </w:r>
            <w:r w:rsidRPr="00AD4F6B">
              <w:rPr>
                <w:rFonts w:ascii="Arial Narrow" w:hAnsi="Arial Narrow"/>
                <w:sz w:val="20"/>
                <w:szCs w:val="20"/>
                <w:u w:val="single"/>
                <w:vertAlign w:val="superscript"/>
              </w:rPr>
              <w:t>c</w:t>
            </w:r>
          </w:p>
        </w:tc>
        <w:tc>
          <w:tcPr>
            <w:tcW w:w="629" w:type="pct"/>
            <w:shd w:val="clear" w:color="auto" w:fill="EAF1DD" w:themeFill="accent3" w:themeFillTint="33"/>
            <w:vAlign w:val="center"/>
          </w:tcPr>
          <w:p w:rsidRPr="00AD4F6B" w:rsidR="00FB58CE" w:rsidP="00B87CC5" w:rsidRDefault="000C3E0D" w14:paraId="383EDF6E" w14:textId="561B9C9D">
            <w:pPr>
              <w:keepNext/>
              <w:keepLines/>
              <w:jc w:val="center"/>
              <w:rPr>
                <w:rFonts w:ascii="Arial Narrow" w:hAnsi="Arial Narrow"/>
                <w:sz w:val="20"/>
                <w:szCs w:val="20"/>
                <w:u w:val="single"/>
              </w:rPr>
            </w:pPr>
            <w:r w:rsidRPr="00AD4F6B">
              <w:rPr>
                <w:rFonts w:ascii="Arial Narrow" w:hAnsi="Arial Narrow"/>
                <w:sz w:val="20"/>
                <w:szCs w:val="20"/>
              </w:rPr>
              <w:t>Excluded in PSCR/pre-PBAC response</w:t>
            </w:r>
          </w:p>
        </w:tc>
        <w:tc>
          <w:tcPr>
            <w:tcW w:w="601" w:type="pct"/>
            <w:vAlign w:val="center"/>
          </w:tcPr>
          <w:p w:rsidRPr="00AD4F6B" w:rsidR="00FB58CE" w:rsidP="00B87CC5" w:rsidRDefault="000D5DD8" w14:paraId="49F40854" w14:textId="7FA3B416">
            <w:pPr>
              <w:keepNext/>
              <w:keepLines/>
              <w:jc w:val="center"/>
              <w:rPr>
                <w:rFonts w:ascii="Arial Narrow" w:hAnsi="Arial Narrow"/>
                <w:sz w:val="20"/>
                <w:szCs w:val="20"/>
                <w:u w:val="single"/>
              </w:rPr>
            </w:pPr>
            <w:r w:rsidRPr="00AD4F6B">
              <w:rPr>
                <w:rFonts w:ascii="Arial Narrow" w:hAnsi="Arial Narrow"/>
                <w:sz w:val="20"/>
                <w:szCs w:val="20"/>
                <w:u w:val="single"/>
              </w:rPr>
              <w:t>NUSI, RIS</w:t>
            </w:r>
          </w:p>
        </w:tc>
      </w:tr>
      <w:tr w:rsidRPr="00AD4F6B" w:rsidR="00AD4F6B" w:rsidTr="00EA35AC" w14:paraId="472D0227" w14:textId="77777777">
        <w:tc>
          <w:tcPr>
            <w:tcW w:w="626" w:type="pct"/>
            <w:vAlign w:val="center"/>
          </w:tcPr>
          <w:p w:rsidRPr="00AD4F6B" w:rsidR="00FB58CE" w:rsidP="00B87CC5" w:rsidRDefault="00FB58CE" w14:paraId="6ECA9216" w14:textId="77777777">
            <w:pPr>
              <w:keepNext/>
              <w:keepLines/>
              <w:jc w:val="left"/>
              <w:rPr>
                <w:rFonts w:ascii="Arial Narrow" w:hAnsi="Arial Narrow"/>
                <w:b/>
                <w:bCs/>
                <w:sz w:val="20"/>
                <w:szCs w:val="20"/>
              </w:rPr>
            </w:pPr>
            <w:r w:rsidRPr="00AD4F6B">
              <w:rPr>
                <w:rFonts w:ascii="Arial Narrow" w:hAnsi="Arial Narrow"/>
                <w:b/>
                <w:bCs/>
                <w:sz w:val="20"/>
                <w:szCs w:val="20"/>
              </w:rPr>
              <w:t xml:space="preserve">Clinical evidence for ONA presented </w:t>
            </w:r>
          </w:p>
        </w:tc>
        <w:tc>
          <w:tcPr>
            <w:tcW w:w="629" w:type="pct"/>
            <w:vAlign w:val="center"/>
          </w:tcPr>
          <w:p w:rsidRPr="00AD4F6B" w:rsidR="00FB58CE" w:rsidP="00B87CC5" w:rsidRDefault="00FB58CE" w14:paraId="6C5350CC" w14:textId="77777777">
            <w:pPr>
              <w:keepNext/>
              <w:keepLines/>
              <w:jc w:val="center"/>
              <w:rPr>
                <w:rFonts w:ascii="Arial Narrow" w:hAnsi="Arial Narrow"/>
                <w:sz w:val="20"/>
                <w:szCs w:val="20"/>
              </w:rPr>
            </w:pPr>
            <w:r w:rsidRPr="00AD4F6B">
              <w:rPr>
                <w:rFonts w:ascii="Arial Narrow" w:hAnsi="Arial Narrow"/>
                <w:sz w:val="20"/>
                <w:szCs w:val="20"/>
              </w:rPr>
              <w:t>START, STR1VE-US, STR1VE-EU</w:t>
            </w:r>
          </w:p>
        </w:tc>
        <w:tc>
          <w:tcPr>
            <w:tcW w:w="629" w:type="pct"/>
            <w:vAlign w:val="center"/>
          </w:tcPr>
          <w:p w:rsidRPr="00AD4F6B" w:rsidR="00FB58CE" w:rsidP="00B87CC5" w:rsidRDefault="00FB58CE" w14:paraId="534F9739" w14:textId="77777777">
            <w:pPr>
              <w:keepNext/>
              <w:keepLines/>
              <w:jc w:val="center"/>
              <w:rPr>
                <w:rFonts w:ascii="Arial Narrow" w:hAnsi="Arial Narrow"/>
                <w:sz w:val="20"/>
                <w:szCs w:val="20"/>
              </w:rPr>
            </w:pPr>
            <w:r w:rsidRPr="00AD4F6B">
              <w:rPr>
                <w:rFonts w:ascii="Arial Narrow" w:hAnsi="Arial Narrow"/>
                <w:sz w:val="20"/>
                <w:szCs w:val="20"/>
              </w:rPr>
              <w:t>SPR1NT</w:t>
            </w:r>
          </w:p>
        </w:tc>
        <w:tc>
          <w:tcPr>
            <w:tcW w:w="629" w:type="pct"/>
            <w:vAlign w:val="center"/>
          </w:tcPr>
          <w:p w:rsidRPr="00AD4F6B" w:rsidR="00FB58CE" w:rsidP="00B87CC5" w:rsidRDefault="00FB58CE" w14:paraId="2F693BF3" w14:textId="77777777">
            <w:pPr>
              <w:keepNext/>
              <w:keepLines/>
              <w:jc w:val="center"/>
              <w:rPr>
                <w:rFonts w:ascii="Arial Narrow" w:hAnsi="Arial Narrow"/>
                <w:sz w:val="20"/>
                <w:szCs w:val="20"/>
                <w:vertAlign w:val="superscript"/>
              </w:rPr>
            </w:pPr>
            <w:r w:rsidRPr="00AD4F6B">
              <w:rPr>
                <w:rFonts w:ascii="Arial Narrow" w:hAnsi="Arial Narrow"/>
                <w:sz w:val="20"/>
                <w:szCs w:val="20"/>
              </w:rPr>
              <w:t xml:space="preserve">SMART </w:t>
            </w:r>
            <w:r w:rsidRPr="00AD4F6B">
              <w:rPr>
                <w:rFonts w:ascii="Arial Narrow" w:hAnsi="Arial Narrow"/>
                <w:sz w:val="20"/>
                <w:szCs w:val="20"/>
                <w:vertAlign w:val="superscript"/>
              </w:rPr>
              <w:t>d</w:t>
            </w:r>
          </w:p>
        </w:tc>
        <w:tc>
          <w:tcPr>
            <w:tcW w:w="629" w:type="pct"/>
            <w:vAlign w:val="center"/>
          </w:tcPr>
          <w:p w:rsidRPr="00AD4F6B" w:rsidR="00FB58CE" w:rsidP="00B87CC5" w:rsidRDefault="00FB58CE" w14:paraId="732DB5BC" w14:textId="77777777">
            <w:pPr>
              <w:keepNext/>
              <w:keepLines/>
              <w:jc w:val="center"/>
              <w:rPr>
                <w:rFonts w:ascii="Arial Narrow" w:hAnsi="Arial Narrow"/>
                <w:sz w:val="20"/>
                <w:szCs w:val="20"/>
              </w:rPr>
            </w:pPr>
            <w:r w:rsidRPr="00AD4F6B">
              <w:rPr>
                <w:rFonts w:ascii="Arial Narrow" w:hAnsi="Arial Narrow"/>
                <w:sz w:val="20"/>
                <w:szCs w:val="20"/>
              </w:rPr>
              <w:t>Nil</w:t>
            </w:r>
          </w:p>
        </w:tc>
        <w:tc>
          <w:tcPr>
            <w:tcW w:w="629" w:type="pct"/>
            <w:vAlign w:val="center"/>
          </w:tcPr>
          <w:p w:rsidRPr="00AD4F6B" w:rsidR="00FB58CE" w:rsidP="00B87CC5" w:rsidRDefault="00FB58CE" w14:paraId="3BA1F30B" w14:textId="77777777">
            <w:pPr>
              <w:keepNext/>
              <w:keepLines/>
              <w:jc w:val="center"/>
              <w:rPr>
                <w:rFonts w:ascii="Arial Narrow" w:hAnsi="Arial Narrow"/>
                <w:sz w:val="20"/>
                <w:szCs w:val="20"/>
                <w:vertAlign w:val="superscript"/>
              </w:rPr>
            </w:pPr>
            <w:r w:rsidRPr="00AD4F6B">
              <w:rPr>
                <w:rFonts w:ascii="Arial Narrow" w:hAnsi="Arial Narrow"/>
                <w:sz w:val="20"/>
                <w:szCs w:val="20"/>
              </w:rPr>
              <w:t xml:space="preserve">SMART </w:t>
            </w:r>
            <w:r w:rsidRPr="00AD4F6B">
              <w:rPr>
                <w:rFonts w:ascii="Arial Narrow" w:hAnsi="Arial Narrow"/>
                <w:sz w:val="20"/>
                <w:szCs w:val="20"/>
                <w:vertAlign w:val="superscript"/>
              </w:rPr>
              <w:t>d</w:t>
            </w:r>
          </w:p>
        </w:tc>
        <w:tc>
          <w:tcPr>
            <w:tcW w:w="629" w:type="pct"/>
            <w:vAlign w:val="center"/>
          </w:tcPr>
          <w:p w:rsidRPr="00AD4F6B" w:rsidR="00FB58CE" w:rsidP="00B87CC5" w:rsidRDefault="00FB58CE" w14:paraId="74D200F0" w14:textId="77777777">
            <w:pPr>
              <w:keepNext/>
              <w:keepLines/>
              <w:jc w:val="center"/>
              <w:rPr>
                <w:rFonts w:ascii="Arial Narrow" w:hAnsi="Arial Narrow"/>
                <w:sz w:val="20"/>
                <w:szCs w:val="20"/>
              </w:rPr>
            </w:pPr>
            <w:r w:rsidRPr="00AD4F6B">
              <w:rPr>
                <w:rFonts w:ascii="Arial Narrow" w:hAnsi="Arial Narrow"/>
                <w:sz w:val="20"/>
                <w:szCs w:val="20"/>
              </w:rPr>
              <w:t>Nil</w:t>
            </w:r>
          </w:p>
        </w:tc>
        <w:tc>
          <w:tcPr>
            <w:tcW w:w="601" w:type="pct"/>
            <w:vAlign w:val="center"/>
          </w:tcPr>
          <w:p w:rsidRPr="00AD4F6B" w:rsidR="00FB58CE" w:rsidP="00B87CC5" w:rsidRDefault="000D5DD8" w14:paraId="4EF5CFAD" w14:textId="6F89AD11">
            <w:pPr>
              <w:keepNext/>
              <w:keepLines/>
              <w:jc w:val="center"/>
              <w:rPr>
                <w:rFonts w:ascii="Arial Narrow" w:hAnsi="Arial Narrow"/>
                <w:sz w:val="20"/>
                <w:szCs w:val="20"/>
              </w:rPr>
            </w:pPr>
            <w:r w:rsidRPr="00AD4F6B">
              <w:rPr>
                <w:rFonts w:ascii="Arial Narrow" w:hAnsi="Arial Narrow"/>
                <w:sz w:val="20"/>
                <w:szCs w:val="20"/>
              </w:rPr>
              <w:t>SMART</w:t>
            </w:r>
            <w:r w:rsidRPr="00AD4F6B" w:rsidR="00445B7C">
              <w:rPr>
                <w:rFonts w:ascii="Arial Narrow" w:hAnsi="Arial Narrow"/>
                <w:sz w:val="20"/>
                <w:szCs w:val="20"/>
              </w:rPr>
              <w:t xml:space="preserve"> </w:t>
            </w:r>
            <w:r w:rsidRPr="00AD4F6B" w:rsidR="00445B7C">
              <w:rPr>
                <w:rFonts w:ascii="Arial Narrow" w:hAnsi="Arial Narrow"/>
                <w:sz w:val="20"/>
                <w:szCs w:val="20"/>
                <w:vertAlign w:val="superscript"/>
              </w:rPr>
              <w:t>d</w:t>
            </w:r>
          </w:p>
        </w:tc>
      </w:tr>
      <w:tr w:rsidRPr="00AD4F6B" w:rsidR="00AD4F6B" w:rsidTr="00EA35AC" w14:paraId="25ECE135" w14:textId="77777777">
        <w:tc>
          <w:tcPr>
            <w:tcW w:w="626" w:type="pct"/>
            <w:vAlign w:val="center"/>
          </w:tcPr>
          <w:p w:rsidRPr="00AD4F6B" w:rsidR="00FB58CE" w:rsidP="00B87CC5" w:rsidRDefault="00FB58CE" w14:paraId="24B877FF" w14:textId="77777777">
            <w:pPr>
              <w:keepNext/>
              <w:keepLines/>
              <w:jc w:val="left"/>
              <w:rPr>
                <w:rFonts w:ascii="Arial Narrow" w:hAnsi="Arial Narrow"/>
                <w:b/>
                <w:bCs/>
                <w:sz w:val="20"/>
                <w:szCs w:val="20"/>
              </w:rPr>
            </w:pPr>
            <w:r w:rsidRPr="00AD4F6B">
              <w:rPr>
                <w:rFonts w:ascii="Arial Narrow" w:hAnsi="Arial Narrow"/>
                <w:b/>
                <w:bCs/>
                <w:sz w:val="20"/>
                <w:szCs w:val="20"/>
              </w:rPr>
              <w:t>Economic evaluation for ONA presented</w:t>
            </w:r>
          </w:p>
        </w:tc>
        <w:tc>
          <w:tcPr>
            <w:tcW w:w="629" w:type="pct"/>
            <w:vAlign w:val="center"/>
          </w:tcPr>
          <w:p w:rsidRPr="00AD4F6B" w:rsidR="00FB58CE" w:rsidP="00B87CC5" w:rsidRDefault="00FB58CE" w14:paraId="53E045B5" w14:textId="77777777">
            <w:pPr>
              <w:keepNext/>
              <w:keepLines/>
              <w:jc w:val="center"/>
              <w:rPr>
                <w:rFonts w:ascii="Arial Narrow" w:hAnsi="Arial Narrow"/>
                <w:sz w:val="20"/>
                <w:szCs w:val="20"/>
              </w:rPr>
            </w:pPr>
            <w:r w:rsidRPr="00AD4F6B">
              <w:rPr>
                <w:rFonts w:ascii="Arial Narrow" w:hAnsi="Arial Narrow"/>
                <w:sz w:val="20"/>
                <w:szCs w:val="20"/>
              </w:rPr>
              <w:t xml:space="preserve">CUA ONA vs NUSI (base case) and BSC; then CMA ONA vs NUSI; then CMA ONA vs RIS </w:t>
            </w:r>
            <w:r w:rsidRPr="00AD4F6B">
              <w:rPr>
                <w:rFonts w:ascii="Arial Narrow" w:hAnsi="Arial Narrow"/>
                <w:sz w:val="20"/>
                <w:szCs w:val="20"/>
                <w:vertAlign w:val="superscript"/>
              </w:rPr>
              <w:t>e</w:t>
            </w:r>
          </w:p>
        </w:tc>
        <w:tc>
          <w:tcPr>
            <w:tcW w:w="629" w:type="pct"/>
            <w:vAlign w:val="center"/>
          </w:tcPr>
          <w:p w:rsidRPr="003E532E" w:rsidR="00FB58CE" w:rsidP="00B87CC5" w:rsidRDefault="00FB58CE" w14:paraId="5DDF02F3" w14:textId="77777777">
            <w:pPr>
              <w:keepNext/>
              <w:keepLines/>
              <w:jc w:val="center"/>
              <w:rPr>
                <w:rFonts w:ascii="Arial Narrow" w:hAnsi="Arial Narrow"/>
                <w:sz w:val="20"/>
                <w:szCs w:val="20"/>
                <w:lang w:val="pt-PT"/>
              </w:rPr>
            </w:pPr>
            <w:r w:rsidRPr="003E532E">
              <w:rPr>
                <w:rFonts w:ascii="Arial Narrow" w:hAnsi="Arial Narrow"/>
                <w:sz w:val="20"/>
                <w:szCs w:val="20"/>
                <w:lang w:val="pt-PT"/>
              </w:rPr>
              <w:t xml:space="preserve">1-2 copies: CMA ONA vs NUSI; then CMA ONA vs RIS </w:t>
            </w:r>
            <w:r w:rsidRPr="003E532E">
              <w:rPr>
                <w:rFonts w:ascii="Arial Narrow" w:hAnsi="Arial Narrow"/>
                <w:sz w:val="20"/>
                <w:szCs w:val="20"/>
                <w:vertAlign w:val="superscript"/>
                <w:lang w:val="pt-PT"/>
              </w:rPr>
              <w:t>e</w:t>
            </w:r>
          </w:p>
          <w:p w:rsidRPr="003E532E" w:rsidR="00FB58CE" w:rsidP="00B87CC5" w:rsidRDefault="00FB58CE" w14:paraId="4F810815" w14:textId="77777777">
            <w:pPr>
              <w:keepNext/>
              <w:keepLines/>
              <w:jc w:val="center"/>
              <w:rPr>
                <w:rFonts w:ascii="Arial Narrow" w:hAnsi="Arial Narrow"/>
                <w:sz w:val="20"/>
                <w:szCs w:val="20"/>
                <w:lang w:val="pt-PT"/>
              </w:rPr>
            </w:pPr>
            <w:r w:rsidRPr="003E532E">
              <w:rPr>
                <w:rFonts w:ascii="Arial Narrow" w:hAnsi="Arial Narrow"/>
                <w:sz w:val="20"/>
                <w:szCs w:val="20"/>
                <w:lang w:val="pt-PT"/>
              </w:rPr>
              <w:t xml:space="preserve">3 copies: CMA ONA vs NUSI; then CMA ONA vs ONA </w:t>
            </w:r>
            <w:r w:rsidRPr="003E532E">
              <w:rPr>
                <w:rFonts w:ascii="Arial Narrow" w:hAnsi="Arial Narrow"/>
                <w:sz w:val="20"/>
                <w:szCs w:val="20"/>
                <w:vertAlign w:val="superscript"/>
                <w:lang w:val="pt-PT"/>
              </w:rPr>
              <w:t>f</w:t>
            </w:r>
          </w:p>
        </w:tc>
        <w:tc>
          <w:tcPr>
            <w:tcW w:w="629" w:type="pct"/>
            <w:vAlign w:val="center"/>
          </w:tcPr>
          <w:p w:rsidRPr="003E532E" w:rsidR="00FB58CE" w:rsidP="00B87CC5" w:rsidRDefault="00FB58CE" w14:paraId="241FE55F" w14:textId="77777777">
            <w:pPr>
              <w:keepNext/>
              <w:keepLines/>
              <w:jc w:val="center"/>
              <w:rPr>
                <w:rFonts w:ascii="Arial Narrow" w:hAnsi="Arial Narrow"/>
                <w:sz w:val="20"/>
                <w:szCs w:val="20"/>
                <w:vertAlign w:val="superscript"/>
                <w:lang w:val="pt-PT"/>
              </w:rPr>
            </w:pPr>
            <w:r w:rsidRPr="003E532E">
              <w:rPr>
                <w:rFonts w:ascii="Arial Narrow" w:hAnsi="Arial Narrow"/>
                <w:sz w:val="20"/>
                <w:szCs w:val="20"/>
                <w:lang w:val="pt-PT"/>
              </w:rPr>
              <w:t xml:space="preserve">CMA ONA vs ONA </w:t>
            </w:r>
            <w:r w:rsidRPr="003E532E">
              <w:rPr>
                <w:rFonts w:ascii="Arial Narrow" w:hAnsi="Arial Narrow"/>
                <w:sz w:val="20"/>
                <w:szCs w:val="20"/>
                <w:vertAlign w:val="superscript"/>
                <w:lang w:val="pt-PT"/>
              </w:rPr>
              <w:t>g</w:t>
            </w:r>
          </w:p>
        </w:tc>
        <w:tc>
          <w:tcPr>
            <w:tcW w:w="629" w:type="pct"/>
            <w:vAlign w:val="center"/>
          </w:tcPr>
          <w:p w:rsidRPr="003E532E" w:rsidR="00FB58CE" w:rsidP="00B87CC5" w:rsidRDefault="00FB58CE" w14:paraId="76AF3BE2" w14:textId="77777777">
            <w:pPr>
              <w:keepNext/>
              <w:keepLines/>
              <w:jc w:val="center"/>
              <w:rPr>
                <w:rFonts w:ascii="Arial Narrow" w:hAnsi="Arial Narrow"/>
                <w:sz w:val="20"/>
                <w:szCs w:val="20"/>
                <w:vertAlign w:val="superscript"/>
                <w:lang w:val="pt-PT"/>
              </w:rPr>
            </w:pPr>
            <w:r w:rsidRPr="003E532E">
              <w:rPr>
                <w:rFonts w:ascii="Arial Narrow" w:hAnsi="Arial Narrow"/>
                <w:sz w:val="20"/>
                <w:szCs w:val="20"/>
                <w:lang w:val="pt-PT"/>
              </w:rPr>
              <w:t xml:space="preserve">CMA ONA vs ONA </w:t>
            </w:r>
            <w:r w:rsidRPr="003E532E">
              <w:rPr>
                <w:rFonts w:ascii="Arial Narrow" w:hAnsi="Arial Narrow"/>
                <w:sz w:val="20"/>
                <w:szCs w:val="20"/>
                <w:vertAlign w:val="superscript"/>
                <w:lang w:val="pt-PT"/>
              </w:rPr>
              <w:t>g</w:t>
            </w:r>
          </w:p>
        </w:tc>
        <w:tc>
          <w:tcPr>
            <w:tcW w:w="629" w:type="pct"/>
            <w:vAlign w:val="center"/>
          </w:tcPr>
          <w:p w:rsidRPr="003E532E" w:rsidR="00FB58CE" w:rsidP="00B87CC5" w:rsidRDefault="00FB58CE" w14:paraId="3B994D28" w14:textId="77777777">
            <w:pPr>
              <w:keepNext/>
              <w:keepLines/>
              <w:jc w:val="center"/>
              <w:rPr>
                <w:rFonts w:ascii="Arial Narrow" w:hAnsi="Arial Narrow"/>
                <w:sz w:val="20"/>
                <w:szCs w:val="20"/>
                <w:vertAlign w:val="superscript"/>
                <w:lang w:val="pt-PT"/>
              </w:rPr>
            </w:pPr>
            <w:r w:rsidRPr="003E532E">
              <w:rPr>
                <w:rFonts w:ascii="Arial Narrow" w:hAnsi="Arial Narrow"/>
                <w:sz w:val="20"/>
                <w:szCs w:val="20"/>
                <w:lang w:val="pt-PT"/>
              </w:rPr>
              <w:t xml:space="preserve">CMA ONA vs ONA </w:t>
            </w:r>
            <w:r w:rsidRPr="003E532E">
              <w:rPr>
                <w:rFonts w:ascii="Arial Narrow" w:hAnsi="Arial Narrow"/>
                <w:sz w:val="20"/>
                <w:szCs w:val="20"/>
                <w:vertAlign w:val="superscript"/>
                <w:lang w:val="pt-PT"/>
              </w:rPr>
              <w:t>g</w:t>
            </w:r>
          </w:p>
        </w:tc>
        <w:tc>
          <w:tcPr>
            <w:tcW w:w="629" w:type="pct"/>
            <w:shd w:val="clear" w:color="auto" w:fill="EAF1DD" w:themeFill="accent3" w:themeFillTint="33"/>
            <w:vAlign w:val="center"/>
          </w:tcPr>
          <w:p w:rsidRPr="00AD4F6B" w:rsidR="00FB58CE" w:rsidP="00B87CC5" w:rsidRDefault="00701CAC" w14:paraId="41B8870F" w14:textId="3EE38608">
            <w:pPr>
              <w:keepNext/>
              <w:keepLines/>
              <w:jc w:val="center"/>
              <w:rPr>
                <w:rFonts w:ascii="Arial Narrow" w:hAnsi="Arial Narrow"/>
                <w:sz w:val="20"/>
                <w:szCs w:val="20"/>
                <w:vertAlign w:val="superscript"/>
              </w:rPr>
            </w:pPr>
            <w:r w:rsidRPr="00AD4F6B">
              <w:rPr>
                <w:rFonts w:ascii="Arial Narrow" w:hAnsi="Arial Narrow"/>
                <w:sz w:val="20"/>
                <w:szCs w:val="20"/>
              </w:rPr>
              <w:t>Excluded in PSCR/pre-PBAC response</w:t>
            </w:r>
          </w:p>
        </w:tc>
        <w:tc>
          <w:tcPr>
            <w:tcW w:w="601" w:type="pct"/>
            <w:shd w:val="clear" w:color="auto" w:fill="E5DFEC" w:themeFill="accent4" w:themeFillTint="33"/>
            <w:vAlign w:val="center"/>
          </w:tcPr>
          <w:p w:rsidRPr="00AD4F6B" w:rsidR="00FB58CE" w:rsidP="00B87CC5" w:rsidRDefault="00222617" w14:paraId="0331BB58" w14:textId="183383A6">
            <w:pPr>
              <w:keepNext/>
              <w:keepLines/>
              <w:jc w:val="center"/>
              <w:rPr>
                <w:rFonts w:ascii="Arial Narrow" w:hAnsi="Arial Narrow"/>
                <w:sz w:val="20"/>
                <w:szCs w:val="20"/>
              </w:rPr>
            </w:pPr>
            <w:r w:rsidRPr="00AD4F6B">
              <w:rPr>
                <w:rFonts w:ascii="Arial Narrow" w:hAnsi="Arial Narrow"/>
                <w:sz w:val="20"/>
                <w:szCs w:val="20"/>
              </w:rPr>
              <w:t>N</w:t>
            </w:r>
            <w:r w:rsidRPr="00AD4F6B" w:rsidR="00EA1E26">
              <w:rPr>
                <w:rFonts w:ascii="Arial Narrow" w:hAnsi="Arial Narrow"/>
                <w:sz w:val="20"/>
                <w:szCs w:val="20"/>
              </w:rPr>
              <w:t>ot requested</w:t>
            </w:r>
          </w:p>
        </w:tc>
      </w:tr>
    </w:tbl>
    <w:p w:rsidRPr="00AD4F6B" w:rsidR="00ED1C24" w:rsidP="00B87CC5" w:rsidRDefault="00ED1C24" w14:paraId="0B88779D" w14:textId="77777777">
      <w:pPr>
        <w:pStyle w:val="TableFooter"/>
        <w:keepNext/>
        <w:keepLines/>
      </w:pPr>
      <w:r w:rsidRPr="00AD4F6B">
        <w:t>Source: Constructed during the evaluation.</w:t>
      </w:r>
    </w:p>
    <w:p w:rsidRPr="00AD4F6B" w:rsidR="00ED1C24" w:rsidP="00B87CC5" w:rsidRDefault="00264189" w14:paraId="0D6185D9" w14:textId="0F628C9E">
      <w:pPr>
        <w:pStyle w:val="TableFooter"/>
        <w:keepNext/>
        <w:keepLines/>
        <w:rPr>
          <w:iCs/>
          <w:szCs w:val="18"/>
        </w:rPr>
      </w:pPr>
      <w:r w:rsidRPr="00AD4F6B">
        <w:rPr>
          <w:iCs/>
          <w:szCs w:val="18"/>
        </w:rPr>
        <w:t xml:space="preserve">BSC = best supportive care; </w:t>
      </w:r>
      <w:r w:rsidRPr="00AD4F6B" w:rsidR="00ED1C24">
        <w:rPr>
          <w:iCs/>
          <w:szCs w:val="18"/>
        </w:rPr>
        <w:t xml:space="preserve">CMA = cost minimisation approach; CUA = cost utility analysis; DMT= disease modifying therapy; NUSI= nusinersen; ONA= onasemnogene abeparvovec; RIS= </w:t>
      </w:r>
      <w:proofErr w:type="spellStart"/>
      <w:r w:rsidRPr="00AD4F6B" w:rsidR="00ED1C24">
        <w:rPr>
          <w:iCs/>
          <w:szCs w:val="18"/>
        </w:rPr>
        <w:t>risdiplam</w:t>
      </w:r>
      <w:proofErr w:type="spellEnd"/>
      <w:r w:rsidRPr="00AD4F6B" w:rsidR="00ED1C24">
        <w:rPr>
          <w:iCs/>
          <w:szCs w:val="18"/>
        </w:rPr>
        <w:t xml:space="preserve">; SMA= spinal muscular atrophy; </w:t>
      </w:r>
      <w:r w:rsidRPr="00AD4F6B" w:rsidR="00ED1C24">
        <w:rPr>
          <w:i/>
          <w:szCs w:val="18"/>
        </w:rPr>
        <w:t>SMN2</w:t>
      </w:r>
      <w:r w:rsidRPr="00AD4F6B" w:rsidR="00ED1C24">
        <w:rPr>
          <w:iCs/>
          <w:szCs w:val="18"/>
        </w:rPr>
        <w:t>= survival motor neuron 2 gene</w:t>
      </w:r>
    </w:p>
    <w:p w:rsidRPr="00AD4F6B" w:rsidR="00ED1C24" w:rsidP="00B87CC5" w:rsidRDefault="00ED1C24" w14:paraId="71589811" w14:textId="77777777">
      <w:pPr>
        <w:pStyle w:val="TableFooter"/>
        <w:keepNext/>
        <w:keepLines/>
      </w:pPr>
      <w:proofErr w:type="spellStart"/>
      <w:r w:rsidRPr="00AD4F6B">
        <w:t>a</w:t>
      </w:r>
      <w:proofErr w:type="spellEnd"/>
      <w:r w:rsidRPr="00AD4F6B">
        <w:t xml:space="preserve"> It is extremely unlikely to have a patient under 36 months of age who weighs more than 21kg (see the WHO weight-for-age charts: https://www.who.int/tools/child-growth-standards/standards/weight-for-age).</w:t>
      </w:r>
    </w:p>
    <w:p w:rsidRPr="00AD4F6B" w:rsidR="00ED1C24" w:rsidP="00B87CC5" w:rsidRDefault="00ED1C24" w14:paraId="6ECEB3E4" w14:textId="77777777">
      <w:pPr>
        <w:pStyle w:val="TableFooter"/>
        <w:keepNext/>
        <w:keepLines/>
      </w:pPr>
      <w:r w:rsidRPr="00AD4F6B">
        <w:t>b In the SMART study and in the first TGA evaluator assessment, the upper limit of 21kg in SMA patients was correlated to an age of approximately nine years.</w:t>
      </w:r>
    </w:p>
    <w:p w:rsidRPr="00AD4F6B" w:rsidR="00ED1C24" w:rsidP="00B87CC5" w:rsidRDefault="00ED1C24" w14:paraId="0AD82B71" w14:textId="77777777">
      <w:pPr>
        <w:pStyle w:val="TableFooter"/>
        <w:keepNext/>
        <w:keepLines/>
      </w:pPr>
      <w:r w:rsidRPr="00AD4F6B">
        <w:t>c Includes provision for patients previously treated with NUSI and RIS to switch to ONA.</w:t>
      </w:r>
    </w:p>
    <w:p w:rsidRPr="00AD4F6B" w:rsidR="00ED1C24" w:rsidP="00B87CC5" w:rsidRDefault="00ED1C24" w14:paraId="22073A09" w14:textId="3F9B565E">
      <w:pPr>
        <w:pStyle w:val="TableFooter"/>
        <w:keepNext/>
        <w:keepLines/>
      </w:pPr>
      <w:r w:rsidRPr="00AD4F6B">
        <w:t>d Only a small subset of patients (</w:t>
      </w:r>
      <w:r w:rsidRPr="00AD4F6B" w:rsidR="00445B7C">
        <w:t xml:space="preserve">33%; </w:t>
      </w:r>
      <w:r w:rsidRPr="00AD4F6B">
        <w:t>8</w:t>
      </w:r>
      <w:r w:rsidRPr="00AD4F6B" w:rsidR="00445B7C">
        <w:t>/</w:t>
      </w:r>
      <w:r w:rsidRPr="00AD4F6B">
        <w:t>24) enrolled in SMART had SMA Type I</w:t>
      </w:r>
      <w:r w:rsidRPr="00AD4F6B" w:rsidR="007776AF">
        <w:t xml:space="preserve">, while </w:t>
      </w:r>
      <w:r w:rsidRPr="00AD4F6B" w:rsidR="00BD58BD">
        <w:t>46% (</w:t>
      </w:r>
      <w:r w:rsidRPr="00AD4F6B" w:rsidR="00054BE2">
        <w:t>11/</w:t>
      </w:r>
      <w:r w:rsidRPr="00AD4F6B" w:rsidR="00BD58BD">
        <w:t>24) had SMA Type II and 21% (5/24) had SMA Type III</w:t>
      </w:r>
      <w:r w:rsidRPr="00AD4F6B">
        <w:t xml:space="preserve">. No pre-symptomatic patients were enrolled in SMART. </w:t>
      </w:r>
      <w:proofErr w:type="gramStart"/>
      <w:r w:rsidRPr="00AD4F6B">
        <w:t>The majority of</w:t>
      </w:r>
      <w:proofErr w:type="gramEnd"/>
      <w:r w:rsidRPr="00AD4F6B">
        <w:t xml:space="preserve"> patients (21/24, 87.5%) in SMART had previously been treated with NUSI or RIS prior to initiating ONA. The age of enrolled patients ranged from 1.51-9.13 years.</w:t>
      </w:r>
    </w:p>
    <w:p w:rsidRPr="00AD4F6B" w:rsidR="00ED1C24" w:rsidP="00B87CC5" w:rsidRDefault="00ED1C24" w14:paraId="0A4A36A7" w14:textId="77777777">
      <w:pPr>
        <w:pStyle w:val="TableFooter"/>
        <w:keepNext/>
        <w:keepLines/>
      </w:pPr>
      <w:r w:rsidRPr="00AD4F6B">
        <w:t>e This was recommended on a cost-minimisation basis to the least costly DMT for this condition (RIS) (paragraph 9.1, onasemnogene abeparvovec PSD, November 2020 PBAC meeting with May 2021 Addendum and September 2021 Addendum)</w:t>
      </w:r>
    </w:p>
    <w:p w:rsidRPr="00AD4F6B" w:rsidR="00ED1C24" w:rsidP="00B87CC5" w:rsidRDefault="00ED1C24" w14:paraId="5C1F4DCD" w14:textId="77777777">
      <w:pPr>
        <w:pStyle w:val="TableFooter"/>
        <w:keepNext/>
        <w:keepLines/>
      </w:pPr>
      <w:proofErr w:type="spellStart"/>
      <w:r w:rsidRPr="00AD4F6B">
        <w:t>f</w:t>
      </w:r>
      <w:proofErr w:type="spellEnd"/>
      <w:r w:rsidRPr="00AD4F6B">
        <w:t xml:space="preserve"> This was recommended as “the PBAC considered that pre-symptomatic treatment with ONA in patients with 3 copies of SMN2 would provide an additional benefit for some patients compared with initiation of treatment upon development of symptoms” (paragraph 7.1, onasemnogene abeparvovec PSD, July 2023 PBAC meeting), even though ESC considered the cost minimisation approach presented may not be appropriate. </w:t>
      </w:r>
    </w:p>
    <w:p w:rsidRPr="00AD4F6B" w:rsidR="00ED1C24" w:rsidP="00B87CC5" w:rsidRDefault="00ED1C24" w14:paraId="37F8A6F6" w14:textId="77777777">
      <w:pPr>
        <w:pStyle w:val="TableFooter"/>
        <w:keepNext/>
        <w:keepLines/>
      </w:pPr>
      <w:r w:rsidRPr="00AD4F6B">
        <w:t xml:space="preserve">g Only CMA against ONA presented in submission, but ONA is not currently PBS listed in this patient population and instead, a comparison against NUSI or RIS should have been made (for SMA Type I patients under 21kg, and pre-symptomatic SMA patients with 1-3 </w:t>
      </w:r>
      <w:r w:rsidRPr="00AD4F6B">
        <w:rPr>
          <w:i/>
          <w:iCs/>
        </w:rPr>
        <w:t>SMN2</w:t>
      </w:r>
      <w:r w:rsidRPr="00AD4F6B">
        <w:t xml:space="preserve"> copies under the age of 36 months and under 21kg). </w:t>
      </w:r>
    </w:p>
    <w:p w:rsidRPr="00AD4F6B" w:rsidR="00ED1C24" w:rsidP="00B87CC5" w:rsidRDefault="00ED1C24" w14:paraId="5929FE03" w14:textId="77777777">
      <w:pPr>
        <w:pStyle w:val="TableFooter"/>
        <w:keepNext/>
        <w:keepLines/>
      </w:pPr>
      <w:r w:rsidRPr="00AD4F6B">
        <w:t xml:space="preserve">Text in underline indicate changes to DMT options, as proposed by the submission.  </w:t>
      </w:r>
    </w:p>
    <w:p w:rsidRPr="00AD4F6B" w:rsidR="001815C9" w:rsidRDefault="003249DE" w14:paraId="5E555356" w14:textId="74B169C6">
      <w:pPr>
        <w:pStyle w:val="3-BodyText"/>
      </w:pPr>
      <w:r w:rsidRPr="00AD4F6B">
        <w:t xml:space="preserve">The submission was based on one single-arm study: SMART. The SMART study was a phase 3, open-label study evaluating the efficacy and safety of ONA in patients with symptomatic SMA who weighed between 8.5 to 21 kg, with any </w:t>
      </w:r>
      <w:r w:rsidRPr="00AD4F6B">
        <w:rPr>
          <w:i/>
          <w:iCs/>
        </w:rPr>
        <w:t>SMN2</w:t>
      </w:r>
      <w:r w:rsidRPr="00AD4F6B" w:rsidR="00E23629">
        <w:rPr>
          <w:i/>
          <w:iCs/>
        </w:rPr>
        <w:t xml:space="preserve"> </w:t>
      </w:r>
      <w:r w:rsidRPr="00AD4F6B" w:rsidR="00E23629">
        <w:t>copy number</w:t>
      </w:r>
      <w:r w:rsidRPr="00AD4F6B">
        <w:t>.</w:t>
      </w:r>
      <w:r w:rsidRPr="00AD4F6B" w:rsidR="004D16B6">
        <w:t xml:space="preserve"> </w:t>
      </w:r>
      <w:r w:rsidRPr="00AD4F6B">
        <w:t xml:space="preserve">The submission noted that patients enrolled in SMART were older (at least 9 months </w:t>
      </w:r>
      <w:r w:rsidRPr="00AD4F6B">
        <w:t>of age) and heavier than those enrolled in studies previously considered by the PBAC (SPR1NT, START, STR1VE-US, STR1VE-EU, and LT-002); these studies were used by the submission as side-by-side comparisons. Patients enrolled in SPR1NT, START, STR1VE-US, and STR1VE-EU were aged 6 months or under</w:t>
      </w:r>
      <w:r w:rsidRPr="00AD4F6B" w:rsidR="00E952E4">
        <w:rPr>
          <w:rStyle w:val="FootnoteReference"/>
        </w:rPr>
        <w:footnoteReference w:id="3"/>
      </w:r>
      <w:r w:rsidRPr="00AD4F6B">
        <w:t xml:space="preserve"> at dosing and had varying disease types (pre-symptomatic disease with 2-3 SMN2 copies (SPR1NT) and SMA Type I (START, STRIVE-US, STR1VE-EU)). The LT-002 study is an on-going extension study which includes patients from SPR1NT and STR1VE (US and EU); latest data cut: 23 May 2022.</w:t>
      </w:r>
    </w:p>
    <w:p w:rsidRPr="00AD4F6B" w:rsidR="00862502" w:rsidP="002E4F02" w:rsidRDefault="00A73134" w14:paraId="2B59ABAC" w14:textId="16C60C87">
      <w:pPr>
        <w:pStyle w:val="3-BodyText"/>
      </w:pPr>
      <w:r w:rsidRPr="00AD4F6B">
        <w:t xml:space="preserve">Details of the </w:t>
      </w:r>
      <w:r w:rsidRPr="00AD4F6B" w:rsidR="00D5243B">
        <w:t>studies</w:t>
      </w:r>
      <w:r w:rsidRPr="00AD4F6B">
        <w:t xml:space="preserve"> presented in the submission are provided in </w:t>
      </w:r>
      <w:r w:rsidRPr="00AD4F6B" w:rsidR="00696EF9">
        <w:fldChar w:fldCharType="begin"/>
      </w:r>
      <w:r w:rsidRPr="00AD4F6B" w:rsidR="00696EF9">
        <w:instrText xml:space="preserve"> REF _Ref104803956 \h </w:instrText>
      </w:r>
      <w:r w:rsidRPr="00AD4F6B" w:rsidR="00696EF9">
        <w:fldChar w:fldCharType="separate"/>
      </w:r>
      <w:r w:rsidRPr="00AD4F6B" w:rsidR="00F0459B">
        <w:t xml:space="preserve">Table </w:t>
      </w:r>
      <w:r w:rsidR="00F0459B">
        <w:rPr>
          <w:noProof/>
        </w:rPr>
        <w:t>5</w:t>
      </w:r>
      <w:r w:rsidRPr="00AD4F6B" w:rsidR="00696EF9">
        <w:fldChar w:fldCharType="end"/>
      </w:r>
      <w:r w:rsidRPr="00AD4F6B">
        <w:t>.</w:t>
      </w:r>
      <w:r w:rsidRPr="00AD4F6B" w:rsidR="00BC591F">
        <w:t xml:space="preserve"> </w:t>
      </w:r>
    </w:p>
    <w:p w:rsidRPr="00AD4F6B" w:rsidR="008E0D3C" w:rsidP="002E4F02" w:rsidRDefault="00696EF9" w14:paraId="7DE3A286" w14:textId="25F32D66">
      <w:pPr>
        <w:pStyle w:val="TableFigureHeading"/>
        <w:rPr>
          <w:rStyle w:val="CommentReference"/>
          <w:b/>
          <w:szCs w:val="24"/>
        </w:rPr>
      </w:pPr>
      <w:bookmarkStart w:name="_Ref104803956" w:id="26"/>
      <w:r w:rsidRPr="00AD4F6B">
        <w:t xml:space="preserve">Table </w:t>
      </w:r>
      <w:r w:rsidRPr="00AD4F6B" w:rsidR="004A4B0A">
        <w:fldChar w:fldCharType="begin"/>
      </w:r>
      <w:r w:rsidRPr="00AD4F6B" w:rsidR="004A4B0A">
        <w:instrText xml:space="preserve"> SEQ Table \* ARABIC </w:instrText>
      </w:r>
      <w:r w:rsidRPr="00AD4F6B" w:rsidR="004A4B0A">
        <w:fldChar w:fldCharType="separate"/>
      </w:r>
      <w:r w:rsidR="00F0459B">
        <w:rPr>
          <w:noProof/>
        </w:rPr>
        <w:t>5</w:t>
      </w:r>
      <w:r w:rsidRPr="00AD4F6B" w:rsidR="004A4B0A">
        <w:rPr>
          <w:noProof/>
        </w:rPr>
        <w:fldChar w:fldCharType="end"/>
      </w:r>
      <w:bookmarkEnd w:id="26"/>
      <w:r w:rsidRPr="00AD4F6B">
        <w:t>:</w:t>
      </w:r>
      <w:r w:rsidRPr="00AD4F6B" w:rsidR="00BC591F">
        <w:rPr>
          <w:rStyle w:val="CommentReference"/>
          <w:b/>
          <w:szCs w:val="24"/>
        </w:rPr>
        <w:t xml:space="preserve"> </w:t>
      </w:r>
      <w:r w:rsidRPr="00AD4F6B" w:rsidR="00A9143E">
        <w:rPr>
          <w:rStyle w:val="CommentReference"/>
          <w:b/>
          <w:szCs w:val="24"/>
        </w:rPr>
        <w:t>S</w:t>
      </w:r>
      <w:r w:rsidRPr="00AD4F6B" w:rsidR="00D5243B">
        <w:rPr>
          <w:rStyle w:val="CommentReference"/>
          <w:b/>
          <w:szCs w:val="24"/>
        </w:rPr>
        <w:t>tudies</w:t>
      </w:r>
      <w:r w:rsidRPr="00AD4F6B" w:rsidR="008E0D3C">
        <w:rPr>
          <w:rStyle w:val="CommentReference"/>
          <w:b/>
          <w:szCs w:val="24"/>
        </w:rPr>
        <w:t xml:space="preserve"> and associated reports presented in the submission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1E0" w:firstRow="1" w:lastRow="1" w:firstColumn="1" w:lastColumn="1" w:noHBand="0" w:noVBand="0"/>
        <w:tblCaption w:val="Table 5: Studies and associated reports presented in the submission"/>
      </w:tblPr>
      <w:tblGrid>
        <w:gridCol w:w="1272"/>
        <w:gridCol w:w="5527"/>
        <w:gridCol w:w="2218"/>
      </w:tblGrid>
      <w:tr w:rsidRPr="00AD4F6B" w:rsidR="00AD4F6B" w:rsidTr="00EA35AC" w14:paraId="094BB88A" w14:textId="77777777">
        <w:trPr>
          <w:tblHeader/>
        </w:trPr>
        <w:tc>
          <w:tcPr>
            <w:tcW w:w="705" w:type="pct"/>
            <w:vAlign w:val="center"/>
          </w:tcPr>
          <w:p w:rsidRPr="00AD4F6B" w:rsidR="000B7954" w:rsidRDefault="000B7954" w14:paraId="37A0A79F" w14:textId="77777777">
            <w:pPr>
              <w:pStyle w:val="In-tableHeading"/>
              <w:rPr>
                <w:lang w:val="en-AU"/>
              </w:rPr>
            </w:pPr>
            <w:r w:rsidRPr="00AD4F6B">
              <w:rPr>
                <w:lang w:val="en-AU"/>
              </w:rPr>
              <w:t>Study</w:t>
            </w:r>
          </w:p>
        </w:tc>
        <w:tc>
          <w:tcPr>
            <w:tcW w:w="3065" w:type="pct"/>
            <w:vAlign w:val="center"/>
          </w:tcPr>
          <w:p w:rsidRPr="00AD4F6B" w:rsidR="000B7954" w:rsidRDefault="000B7954" w14:paraId="294B529C" w14:textId="77777777">
            <w:pPr>
              <w:pStyle w:val="In-tableHeading"/>
              <w:rPr>
                <w:lang w:val="en-AU"/>
              </w:rPr>
            </w:pPr>
            <w:r w:rsidRPr="00AD4F6B">
              <w:rPr>
                <w:lang w:val="en-AU"/>
              </w:rPr>
              <w:t>Protocol title/ Publication title</w:t>
            </w:r>
          </w:p>
        </w:tc>
        <w:tc>
          <w:tcPr>
            <w:tcW w:w="1230" w:type="pct"/>
            <w:vAlign w:val="center"/>
          </w:tcPr>
          <w:p w:rsidRPr="00AD4F6B" w:rsidR="000B7954" w:rsidRDefault="000B7954" w14:paraId="49ACE7F7" w14:textId="77777777">
            <w:pPr>
              <w:pStyle w:val="In-tableHeading"/>
              <w:rPr>
                <w:lang w:val="en-AU"/>
              </w:rPr>
            </w:pPr>
            <w:r w:rsidRPr="00AD4F6B">
              <w:rPr>
                <w:lang w:val="en-AU"/>
              </w:rPr>
              <w:t>Publication citation</w:t>
            </w:r>
          </w:p>
        </w:tc>
      </w:tr>
      <w:tr w:rsidRPr="00AD4F6B" w:rsidR="00AD4F6B" w:rsidTr="00EA35AC" w14:paraId="35B1C2EE" w14:textId="77777777">
        <w:tc>
          <w:tcPr>
            <w:tcW w:w="705" w:type="pct"/>
            <w:vMerge w:val="restart"/>
            <w:vAlign w:val="center"/>
          </w:tcPr>
          <w:p w:rsidRPr="00AD4F6B" w:rsidR="000B7954" w:rsidRDefault="000B7954" w14:paraId="38F33663" w14:textId="77777777">
            <w:pPr>
              <w:pStyle w:val="TableText0"/>
            </w:pPr>
            <w:r w:rsidRPr="00AD4F6B">
              <w:t>SMART (NCT04851873)</w:t>
            </w:r>
          </w:p>
        </w:tc>
        <w:tc>
          <w:tcPr>
            <w:tcW w:w="3065" w:type="pct"/>
            <w:tcBorders>
              <w:bottom w:val="nil"/>
            </w:tcBorders>
            <w:vAlign w:val="center"/>
          </w:tcPr>
          <w:p w:rsidRPr="00AD4F6B" w:rsidR="000B7954" w:rsidRDefault="000B7954" w14:paraId="657A4CE7" w14:textId="77777777">
            <w:pPr>
              <w:pStyle w:val="TableText0"/>
            </w:pPr>
            <w:r w:rsidRPr="00AD4F6B">
              <w:t xml:space="preserve">COAV101A12306. A Phase </w:t>
            </w:r>
            <w:proofErr w:type="spellStart"/>
            <w:r w:rsidRPr="00AD4F6B">
              <w:t>IIIb</w:t>
            </w:r>
            <w:proofErr w:type="spellEnd"/>
            <w:r w:rsidRPr="00AD4F6B">
              <w:t xml:space="preserve">, open-label, single-arm, single-dose, </w:t>
            </w:r>
            <w:proofErr w:type="spellStart"/>
            <w:r w:rsidRPr="00AD4F6B">
              <w:t>multicenter</w:t>
            </w:r>
            <w:proofErr w:type="spellEnd"/>
            <w:r w:rsidRPr="00AD4F6B">
              <w:t xml:space="preserve"> study to evaluate the safety, tolerability and efficacy of gene replacement therapy with intravenous OAV101 (AVXS-101) in </w:t>
            </w:r>
            <w:proofErr w:type="spellStart"/>
            <w:r w:rsidRPr="00AD4F6B">
              <w:t>pediatric</w:t>
            </w:r>
            <w:proofErr w:type="spellEnd"/>
            <w:r w:rsidRPr="00AD4F6B">
              <w:t xml:space="preserve"> patients with spinal muscular atrophy (SMA)</w:t>
            </w:r>
          </w:p>
        </w:tc>
        <w:tc>
          <w:tcPr>
            <w:tcW w:w="1230" w:type="pct"/>
            <w:tcBorders>
              <w:bottom w:val="nil"/>
            </w:tcBorders>
            <w:vAlign w:val="center"/>
          </w:tcPr>
          <w:p w:rsidRPr="00AD4F6B" w:rsidR="000B7954" w:rsidRDefault="000B7954" w14:paraId="1FE52B10" w14:textId="77777777">
            <w:pPr>
              <w:pStyle w:val="TableText0"/>
            </w:pPr>
            <w:r w:rsidRPr="00AD4F6B">
              <w:t>November 2023</w:t>
            </w:r>
          </w:p>
        </w:tc>
      </w:tr>
      <w:tr w:rsidRPr="00AD4F6B" w:rsidR="00AD4F6B" w:rsidTr="00EA35AC" w14:paraId="430BDF61" w14:textId="77777777">
        <w:tc>
          <w:tcPr>
            <w:tcW w:w="705" w:type="pct"/>
            <w:vMerge/>
            <w:vAlign w:val="center"/>
          </w:tcPr>
          <w:p w:rsidRPr="00AD4F6B" w:rsidR="000B7954" w:rsidRDefault="000B7954" w14:paraId="7F8FEE30" w14:textId="77777777">
            <w:pPr>
              <w:pStyle w:val="TableText0"/>
            </w:pPr>
          </w:p>
        </w:tc>
        <w:tc>
          <w:tcPr>
            <w:tcW w:w="3065" w:type="pct"/>
            <w:tcBorders>
              <w:bottom w:val="nil"/>
            </w:tcBorders>
            <w:vAlign w:val="center"/>
          </w:tcPr>
          <w:p w:rsidRPr="00AD4F6B" w:rsidR="000B7954" w:rsidRDefault="000B7954" w14:paraId="4FB19D73" w14:textId="77777777">
            <w:pPr>
              <w:pStyle w:val="TableText0"/>
            </w:pPr>
            <w:r w:rsidRPr="00AD4F6B">
              <w:t xml:space="preserve">McMillan, H. J., et al. Safety and Efficacy of IV Onasemnogene Abeparvovec for </w:t>
            </w:r>
            <w:proofErr w:type="spellStart"/>
            <w:r w:rsidRPr="00AD4F6B">
              <w:t>Pediatric</w:t>
            </w:r>
            <w:proofErr w:type="spellEnd"/>
            <w:r w:rsidRPr="00AD4F6B">
              <w:t xml:space="preserve"> Patients </w:t>
            </w:r>
            <w:proofErr w:type="gramStart"/>
            <w:r w:rsidRPr="00AD4F6B">
              <w:t>With</w:t>
            </w:r>
            <w:proofErr w:type="gramEnd"/>
            <w:r w:rsidRPr="00AD4F6B">
              <w:t xml:space="preserve"> Spinal Muscular Atrophy: The Phase 3b SMART Study. https://doi.org/10.1212/WNL.0000000000210268</w:t>
            </w:r>
          </w:p>
        </w:tc>
        <w:tc>
          <w:tcPr>
            <w:tcW w:w="1230" w:type="pct"/>
            <w:tcBorders>
              <w:bottom w:val="nil"/>
            </w:tcBorders>
            <w:vAlign w:val="center"/>
          </w:tcPr>
          <w:p w:rsidRPr="00AD4F6B" w:rsidR="000B7954" w:rsidRDefault="000B7954" w14:paraId="6BF221E9" w14:textId="77777777">
            <w:pPr>
              <w:pStyle w:val="TableText0"/>
            </w:pPr>
            <w:r w:rsidRPr="00AD4F6B">
              <w:rPr>
                <w:i/>
                <w:iCs/>
              </w:rPr>
              <w:t>Neurology</w:t>
            </w:r>
            <w:r w:rsidRPr="00AD4F6B">
              <w:t xml:space="preserve"> 2025; 104(2):</w:t>
            </w:r>
            <w:r w:rsidRPr="00AD4F6B">
              <w:rPr>
                <w:szCs w:val="18"/>
              </w:rPr>
              <w:t xml:space="preserve"> e210268</w:t>
            </w:r>
          </w:p>
        </w:tc>
      </w:tr>
      <w:tr w:rsidRPr="00AD4F6B" w:rsidR="00AD4F6B" w:rsidTr="00EA35AC" w14:paraId="008E7592" w14:textId="77777777">
        <w:tc>
          <w:tcPr>
            <w:tcW w:w="705" w:type="pct"/>
            <w:vMerge/>
            <w:tcBorders>
              <w:bottom w:val="single" w:color="auto" w:sz="4" w:space="0"/>
            </w:tcBorders>
            <w:vAlign w:val="center"/>
          </w:tcPr>
          <w:p w:rsidRPr="00AD4F6B" w:rsidR="000B7954" w:rsidRDefault="000B7954" w14:paraId="39857045" w14:textId="77777777">
            <w:pPr>
              <w:pStyle w:val="TableText0"/>
            </w:pPr>
          </w:p>
        </w:tc>
        <w:tc>
          <w:tcPr>
            <w:tcW w:w="3065" w:type="pct"/>
            <w:tcBorders>
              <w:top w:val="nil"/>
              <w:bottom w:val="single" w:color="auto" w:sz="4" w:space="0"/>
            </w:tcBorders>
            <w:vAlign w:val="center"/>
          </w:tcPr>
          <w:p w:rsidRPr="00AD4F6B" w:rsidR="000B7954" w:rsidRDefault="000B7954" w14:paraId="4F30CD59" w14:textId="34C42219">
            <w:pPr>
              <w:pStyle w:val="TableText0"/>
            </w:pPr>
            <w:r w:rsidRPr="00AD4F6B">
              <w:t xml:space="preserve">Lavrov, A., et al. Design and Rationale of SMART, a Phase </w:t>
            </w:r>
            <w:proofErr w:type="spellStart"/>
            <w:r w:rsidRPr="00AD4F6B">
              <w:t>IIIb</w:t>
            </w:r>
            <w:proofErr w:type="spellEnd"/>
            <w:r w:rsidRPr="00AD4F6B">
              <w:t xml:space="preserve"> Study Evaluating Intravenous Onasemnogene Abeparvovec</w:t>
            </w:r>
            <w:r w:rsidRPr="00AD4F6B" w:rsidR="00503DCA">
              <w:t xml:space="preserve"> </w:t>
            </w:r>
            <w:r w:rsidRPr="00AD4F6B">
              <w:t xml:space="preserve">in Spinal Muscular Atrophy. </w:t>
            </w:r>
          </w:p>
        </w:tc>
        <w:tc>
          <w:tcPr>
            <w:tcW w:w="1230" w:type="pct"/>
            <w:tcBorders>
              <w:top w:val="nil"/>
              <w:bottom w:val="single" w:color="auto" w:sz="4" w:space="0"/>
            </w:tcBorders>
            <w:vAlign w:val="center"/>
          </w:tcPr>
          <w:p w:rsidRPr="00AD4F6B" w:rsidR="000B7954" w:rsidRDefault="000B7954" w14:paraId="1E42B7B6" w14:textId="77777777">
            <w:pPr>
              <w:pStyle w:val="TableText0"/>
            </w:pPr>
            <w:r w:rsidRPr="00AD4F6B">
              <w:rPr>
                <w:i/>
                <w:iCs/>
              </w:rPr>
              <w:t>Neurology</w:t>
            </w:r>
            <w:r w:rsidRPr="00AD4F6B">
              <w:t xml:space="preserve"> 2022; 98(18 SUPPL)</w:t>
            </w:r>
          </w:p>
        </w:tc>
      </w:tr>
      <w:tr w:rsidRPr="00AD4F6B" w:rsidR="00AD4F6B" w:rsidTr="00EA35AC" w14:paraId="5C7042AC" w14:textId="77777777">
        <w:tc>
          <w:tcPr>
            <w:tcW w:w="705" w:type="pct"/>
            <w:vMerge w:val="restart"/>
            <w:shd w:val="clear" w:color="auto" w:fill="C6D9F1" w:themeFill="text2" w:themeFillTint="33"/>
            <w:vAlign w:val="center"/>
          </w:tcPr>
          <w:p w:rsidRPr="00AD4F6B" w:rsidR="000B7954" w:rsidRDefault="000B7954" w14:paraId="74411B35" w14:textId="77777777">
            <w:pPr>
              <w:pStyle w:val="TableText0"/>
            </w:pPr>
            <w:r w:rsidRPr="00AD4F6B">
              <w:t>SPR1NT (NCT03505099)</w:t>
            </w:r>
          </w:p>
        </w:tc>
        <w:tc>
          <w:tcPr>
            <w:tcW w:w="3065" w:type="pct"/>
            <w:tcBorders>
              <w:top w:val="single" w:color="auto" w:sz="4" w:space="0"/>
              <w:bottom w:val="nil"/>
            </w:tcBorders>
            <w:shd w:val="clear" w:color="auto" w:fill="C6D9F1" w:themeFill="text2" w:themeFillTint="33"/>
            <w:vAlign w:val="center"/>
          </w:tcPr>
          <w:p w:rsidRPr="00AD4F6B" w:rsidR="000B7954" w:rsidRDefault="000B7954" w14:paraId="00BDB0CD" w14:textId="77777777">
            <w:pPr>
              <w:pStyle w:val="TableText0"/>
            </w:pPr>
            <w:r w:rsidRPr="00AD4F6B">
              <w:t>Strauss, K.A., et al. Onasemnogene abeparvovec for presymptomatic infants with two copies of SMN2 at risk for spinal muscular atrophy Type I: the Phase III SPR1NT trial. DOI: 10.1038/s41591-022-01866-4</w:t>
            </w:r>
          </w:p>
        </w:tc>
        <w:tc>
          <w:tcPr>
            <w:tcW w:w="1230" w:type="pct"/>
            <w:tcBorders>
              <w:top w:val="single" w:color="auto" w:sz="4" w:space="0"/>
              <w:bottom w:val="nil"/>
            </w:tcBorders>
            <w:shd w:val="clear" w:color="auto" w:fill="C6D9F1" w:themeFill="text2" w:themeFillTint="33"/>
            <w:vAlign w:val="center"/>
          </w:tcPr>
          <w:p w:rsidRPr="00AD4F6B" w:rsidR="000B7954" w:rsidRDefault="000B7954" w14:paraId="083460BF" w14:textId="77777777">
            <w:pPr>
              <w:pStyle w:val="TableText0"/>
              <w:rPr>
                <w:i/>
                <w:iCs/>
              </w:rPr>
            </w:pPr>
            <w:r w:rsidRPr="00AD4F6B">
              <w:rPr>
                <w:i/>
              </w:rPr>
              <w:t>Nature Medicine</w:t>
            </w:r>
            <w:r w:rsidRPr="00AD4F6B">
              <w:t xml:space="preserve"> 2022; 28(7):1381-1389</w:t>
            </w:r>
          </w:p>
        </w:tc>
      </w:tr>
      <w:tr w:rsidRPr="00AD4F6B" w:rsidR="00AD4F6B" w:rsidTr="00EA35AC" w14:paraId="267B8F0E" w14:textId="77777777">
        <w:tc>
          <w:tcPr>
            <w:tcW w:w="705" w:type="pct"/>
            <w:vMerge/>
            <w:tcBorders>
              <w:bottom w:val="single" w:color="auto" w:sz="4" w:space="0"/>
            </w:tcBorders>
            <w:shd w:val="clear" w:color="auto" w:fill="C6D9F1" w:themeFill="text2" w:themeFillTint="33"/>
            <w:vAlign w:val="center"/>
          </w:tcPr>
          <w:p w:rsidRPr="00AD4F6B" w:rsidR="000B7954" w:rsidRDefault="000B7954" w14:paraId="59BAAA2B" w14:textId="77777777">
            <w:pPr>
              <w:pStyle w:val="TableText0"/>
            </w:pPr>
          </w:p>
        </w:tc>
        <w:tc>
          <w:tcPr>
            <w:tcW w:w="3065" w:type="pct"/>
            <w:tcBorders>
              <w:top w:val="nil"/>
              <w:bottom w:val="single" w:color="auto" w:sz="4" w:space="0"/>
            </w:tcBorders>
            <w:shd w:val="clear" w:color="auto" w:fill="C6D9F1" w:themeFill="text2" w:themeFillTint="33"/>
            <w:vAlign w:val="center"/>
          </w:tcPr>
          <w:p w:rsidRPr="00AD4F6B" w:rsidR="000B7954" w:rsidRDefault="000B7954" w14:paraId="691F2882" w14:textId="77777777">
            <w:pPr>
              <w:pStyle w:val="TableText0"/>
            </w:pPr>
            <w:r w:rsidRPr="00AD4F6B">
              <w:t>Strauss, K.A., et al. Onasemnogene abeparvovec for presymptomatic infants with three copies of SMN2 at risk for spinal muscular atrophy: the Phase III SPR1NT trial. DOI: 10.1038/s41591-022-01867-3</w:t>
            </w:r>
          </w:p>
        </w:tc>
        <w:tc>
          <w:tcPr>
            <w:tcW w:w="1230" w:type="pct"/>
            <w:tcBorders>
              <w:top w:val="nil"/>
              <w:bottom w:val="single" w:color="auto" w:sz="4" w:space="0"/>
            </w:tcBorders>
            <w:shd w:val="clear" w:color="auto" w:fill="C6D9F1" w:themeFill="text2" w:themeFillTint="33"/>
            <w:vAlign w:val="center"/>
          </w:tcPr>
          <w:p w:rsidRPr="00AD4F6B" w:rsidR="000B7954" w:rsidRDefault="000B7954" w14:paraId="6B61EADA" w14:textId="77777777">
            <w:pPr>
              <w:pStyle w:val="TableText0"/>
              <w:rPr>
                <w:i/>
                <w:iCs/>
              </w:rPr>
            </w:pPr>
            <w:r w:rsidRPr="00AD4F6B">
              <w:rPr>
                <w:i/>
              </w:rPr>
              <w:t>Nature Medicine</w:t>
            </w:r>
            <w:r w:rsidRPr="00AD4F6B">
              <w:t xml:space="preserve"> 2022; 28(7):1390-1397</w:t>
            </w:r>
          </w:p>
        </w:tc>
      </w:tr>
      <w:tr w:rsidRPr="00AD4F6B" w:rsidR="00AD4F6B" w:rsidTr="00EA35AC" w14:paraId="47FA90AD" w14:textId="77777777">
        <w:tc>
          <w:tcPr>
            <w:tcW w:w="705" w:type="pct"/>
            <w:tcBorders>
              <w:bottom w:val="single" w:color="auto" w:sz="4" w:space="0"/>
            </w:tcBorders>
            <w:shd w:val="clear" w:color="auto" w:fill="C6D9F1" w:themeFill="text2" w:themeFillTint="33"/>
            <w:vAlign w:val="center"/>
          </w:tcPr>
          <w:p w:rsidRPr="00AD4F6B" w:rsidR="000B7954" w:rsidRDefault="000B7954" w14:paraId="6D2BC840" w14:textId="77777777">
            <w:pPr>
              <w:pStyle w:val="TableText0"/>
            </w:pPr>
            <w:r w:rsidRPr="00AD4F6B">
              <w:t>START (NCT02122952)</w:t>
            </w:r>
          </w:p>
        </w:tc>
        <w:tc>
          <w:tcPr>
            <w:tcW w:w="3065" w:type="pct"/>
            <w:tcBorders>
              <w:bottom w:val="single" w:color="auto" w:sz="4" w:space="0"/>
            </w:tcBorders>
            <w:shd w:val="clear" w:color="auto" w:fill="C6D9F1" w:themeFill="text2" w:themeFillTint="33"/>
            <w:vAlign w:val="center"/>
          </w:tcPr>
          <w:p w:rsidRPr="00AD4F6B" w:rsidR="000B7954" w:rsidRDefault="000B7954" w14:paraId="43AE39FC" w14:textId="77777777">
            <w:pPr>
              <w:pStyle w:val="TableText0"/>
            </w:pPr>
            <w:r w:rsidRPr="00AD4F6B">
              <w:t>Mendell, J.R., et al. Five-Year Extension Results of the Phase 1 START Trial of Onasemnogene Abeparvovec in Spinal Muscular Atrophy. DOI:10.1001/jamaneurol.2021.1272</w:t>
            </w:r>
          </w:p>
        </w:tc>
        <w:tc>
          <w:tcPr>
            <w:tcW w:w="1230" w:type="pct"/>
            <w:tcBorders>
              <w:bottom w:val="single" w:color="auto" w:sz="4" w:space="0"/>
            </w:tcBorders>
            <w:shd w:val="clear" w:color="auto" w:fill="C6D9F1" w:themeFill="text2" w:themeFillTint="33"/>
            <w:vAlign w:val="center"/>
          </w:tcPr>
          <w:p w:rsidRPr="00AD4F6B" w:rsidR="000B7954" w:rsidRDefault="000B7954" w14:paraId="0DF34068" w14:textId="77777777">
            <w:pPr>
              <w:pStyle w:val="TableText0"/>
            </w:pPr>
            <w:r w:rsidRPr="00AD4F6B">
              <w:rPr>
                <w:i/>
                <w:iCs/>
              </w:rPr>
              <w:t>JAMA Neurology</w:t>
            </w:r>
            <w:r w:rsidRPr="00AD4F6B">
              <w:t xml:space="preserve"> 2021; 78(7): 834-841</w:t>
            </w:r>
          </w:p>
        </w:tc>
      </w:tr>
      <w:tr w:rsidRPr="00AD4F6B" w:rsidR="00AD4F6B" w:rsidTr="00EA35AC" w14:paraId="09815EFF" w14:textId="77777777">
        <w:tc>
          <w:tcPr>
            <w:tcW w:w="705" w:type="pct"/>
            <w:tcBorders>
              <w:top w:val="single" w:color="auto" w:sz="4" w:space="0"/>
              <w:bottom w:val="single" w:color="auto" w:sz="4" w:space="0"/>
            </w:tcBorders>
            <w:shd w:val="clear" w:color="auto" w:fill="C6D9F1" w:themeFill="text2" w:themeFillTint="33"/>
            <w:vAlign w:val="center"/>
          </w:tcPr>
          <w:p w:rsidRPr="00AD4F6B" w:rsidR="000B7954" w:rsidRDefault="000B7954" w14:paraId="728D0DD8" w14:textId="77777777">
            <w:pPr>
              <w:pStyle w:val="TableText0"/>
            </w:pPr>
            <w:r w:rsidRPr="00AD4F6B">
              <w:t>STRIVE US</w:t>
            </w:r>
          </w:p>
          <w:p w:rsidRPr="00AD4F6B" w:rsidR="000B7954" w:rsidRDefault="000B7954" w14:paraId="2858FEDF" w14:textId="77777777">
            <w:pPr>
              <w:pStyle w:val="TableText0"/>
            </w:pPr>
            <w:r w:rsidRPr="00AD4F6B">
              <w:t>(NCT03306277)</w:t>
            </w:r>
          </w:p>
        </w:tc>
        <w:tc>
          <w:tcPr>
            <w:tcW w:w="3065" w:type="pct"/>
            <w:tcBorders>
              <w:top w:val="single" w:color="auto" w:sz="4" w:space="0"/>
              <w:bottom w:val="single" w:color="auto" w:sz="4" w:space="0"/>
            </w:tcBorders>
            <w:shd w:val="clear" w:color="auto" w:fill="C6D9F1" w:themeFill="text2" w:themeFillTint="33"/>
            <w:vAlign w:val="center"/>
          </w:tcPr>
          <w:p w:rsidRPr="00AD4F6B" w:rsidR="000B7954" w:rsidRDefault="000B7954" w14:paraId="79367DF6" w14:textId="77777777">
            <w:pPr>
              <w:pStyle w:val="TableText0"/>
            </w:pPr>
            <w:r w:rsidRPr="00AD4F6B">
              <w:t>Day, J.W., et al. Onasemnogene abeparvovec gene therapy for symptomatic infantile-onset spinal muscular atrophy in patients with two copies of SMN2 (STR1VE): an open-label, single-arm, multicentre, phase 3 trial. https://doi.org/10.1016/S1474-4422(21)00001-6</w:t>
            </w:r>
          </w:p>
        </w:tc>
        <w:tc>
          <w:tcPr>
            <w:tcW w:w="1230" w:type="pct"/>
            <w:tcBorders>
              <w:top w:val="single" w:color="auto" w:sz="4" w:space="0"/>
              <w:bottom w:val="single" w:color="auto" w:sz="4" w:space="0"/>
            </w:tcBorders>
            <w:shd w:val="clear" w:color="auto" w:fill="C6D9F1" w:themeFill="text2" w:themeFillTint="33"/>
            <w:vAlign w:val="center"/>
          </w:tcPr>
          <w:p w:rsidRPr="00AD4F6B" w:rsidR="000B7954" w:rsidRDefault="000B7954" w14:paraId="3A8B351D" w14:textId="77777777">
            <w:pPr>
              <w:pStyle w:val="TableText0"/>
            </w:pPr>
            <w:r w:rsidRPr="00AD4F6B">
              <w:rPr>
                <w:i/>
                <w:iCs/>
              </w:rPr>
              <w:t>The Lancet Neurology</w:t>
            </w:r>
            <w:r w:rsidRPr="00AD4F6B">
              <w:t xml:space="preserve"> </w:t>
            </w:r>
            <w:r w:rsidRPr="00AD4F6B">
              <w:rPr>
                <w:iCs/>
              </w:rPr>
              <w:t>2021; 20(4): 284-293</w:t>
            </w:r>
          </w:p>
        </w:tc>
      </w:tr>
      <w:tr w:rsidRPr="00AD4F6B" w:rsidR="00AD4F6B" w:rsidTr="00EA35AC" w14:paraId="7209229B" w14:textId="77777777">
        <w:tc>
          <w:tcPr>
            <w:tcW w:w="705" w:type="pct"/>
            <w:tcBorders>
              <w:top w:val="single" w:color="auto" w:sz="4" w:space="0"/>
              <w:bottom w:val="single" w:color="auto" w:sz="4" w:space="0"/>
            </w:tcBorders>
            <w:shd w:val="clear" w:color="auto" w:fill="C6D9F1" w:themeFill="text2" w:themeFillTint="33"/>
            <w:vAlign w:val="center"/>
          </w:tcPr>
          <w:p w:rsidRPr="00AD4F6B" w:rsidR="000B7954" w:rsidRDefault="000B7954" w14:paraId="43261EB9" w14:textId="77777777">
            <w:pPr>
              <w:pStyle w:val="TableText0"/>
            </w:pPr>
            <w:r w:rsidRPr="00AD4F6B">
              <w:t>STRIVE EU</w:t>
            </w:r>
          </w:p>
          <w:p w:rsidRPr="00AD4F6B" w:rsidR="000B7954" w:rsidRDefault="000B7954" w14:paraId="287580FD" w14:textId="77777777">
            <w:pPr>
              <w:pStyle w:val="TableText0"/>
            </w:pPr>
            <w:r w:rsidRPr="00AD4F6B">
              <w:t>(NCT03461289)</w:t>
            </w:r>
          </w:p>
        </w:tc>
        <w:tc>
          <w:tcPr>
            <w:tcW w:w="3065" w:type="pct"/>
            <w:tcBorders>
              <w:top w:val="single" w:color="auto" w:sz="4" w:space="0"/>
              <w:bottom w:val="single" w:color="auto" w:sz="4" w:space="0"/>
            </w:tcBorders>
            <w:shd w:val="clear" w:color="auto" w:fill="C6D9F1" w:themeFill="text2" w:themeFillTint="33"/>
            <w:vAlign w:val="center"/>
          </w:tcPr>
          <w:p w:rsidRPr="00AD4F6B" w:rsidR="000B7954" w:rsidRDefault="000B7954" w14:paraId="3EE24553" w14:textId="77777777">
            <w:pPr>
              <w:pStyle w:val="TableText0"/>
            </w:pPr>
            <w:r w:rsidRPr="00AD4F6B">
              <w:t xml:space="preserve">Mercuri, E., et al. Onasemnogene abeparvovec gene therapy for symptomatic infantile-onset spinal muscular atrophy Type I (STR1VE-EU): an open-label, single-arm, multicentre, phase 3 trial </w:t>
            </w:r>
          </w:p>
          <w:p w:rsidRPr="00AD4F6B" w:rsidR="000B7954" w:rsidRDefault="000B7954" w14:paraId="098A4BB6" w14:textId="77777777">
            <w:pPr>
              <w:pStyle w:val="TableText0"/>
            </w:pPr>
            <w:r w:rsidRPr="00AD4F6B">
              <w:t>DOI: 10.1016/S1474-4422(21)00251-9</w:t>
            </w:r>
          </w:p>
        </w:tc>
        <w:tc>
          <w:tcPr>
            <w:tcW w:w="1230" w:type="pct"/>
            <w:tcBorders>
              <w:top w:val="single" w:color="auto" w:sz="4" w:space="0"/>
              <w:bottom w:val="single" w:color="auto" w:sz="4" w:space="0"/>
            </w:tcBorders>
            <w:shd w:val="clear" w:color="auto" w:fill="C6D9F1" w:themeFill="text2" w:themeFillTint="33"/>
            <w:vAlign w:val="center"/>
          </w:tcPr>
          <w:p w:rsidRPr="00AD4F6B" w:rsidR="000B7954" w:rsidRDefault="000B7954" w14:paraId="19872E55" w14:textId="77777777">
            <w:pPr>
              <w:pStyle w:val="TableText0"/>
            </w:pPr>
            <w:r w:rsidRPr="00AD4F6B">
              <w:rPr>
                <w:i/>
                <w:iCs/>
              </w:rPr>
              <w:t>The Lancet Neurology</w:t>
            </w:r>
            <w:r w:rsidRPr="00AD4F6B">
              <w:t xml:space="preserve"> 2021; 20(10): 832-841</w:t>
            </w:r>
          </w:p>
        </w:tc>
      </w:tr>
      <w:tr w:rsidRPr="00AD4F6B" w:rsidR="00AD4F6B" w:rsidTr="00EA35AC" w14:paraId="1DB12BB1" w14:textId="77777777">
        <w:tc>
          <w:tcPr>
            <w:tcW w:w="705" w:type="pct"/>
            <w:tcBorders>
              <w:top w:val="single" w:color="auto" w:sz="4" w:space="0"/>
              <w:bottom w:val="single" w:color="auto" w:sz="4" w:space="0"/>
            </w:tcBorders>
            <w:shd w:val="clear" w:color="auto" w:fill="C6D9F1" w:themeFill="text2" w:themeFillTint="33"/>
            <w:vAlign w:val="center"/>
          </w:tcPr>
          <w:p w:rsidRPr="00AD4F6B" w:rsidR="000B7954" w:rsidRDefault="000B7954" w14:paraId="63818932" w14:textId="77777777">
            <w:pPr>
              <w:pStyle w:val="TableText0"/>
            </w:pPr>
            <w:r w:rsidRPr="00AD4F6B">
              <w:t>LT-002 (NCT04042025)</w:t>
            </w:r>
          </w:p>
        </w:tc>
        <w:tc>
          <w:tcPr>
            <w:tcW w:w="3065" w:type="pct"/>
            <w:tcBorders>
              <w:top w:val="single" w:color="auto" w:sz="4" w:space="0"/>
              <w:bottom w:val="single" w:color="auto" w:sz="4" w:space="0"/>
            </w:tcBorders>
            <w:shd w:val="clear" w:color="auto" w:fill="C6D9F1" w:themeFill="text2" w:themeFillTint="33"/>
            <w:vAlign w:val="center"/>
          </w:tcPr>
          <w:p w:rsidRPr="00AD4F6B" w:rsidR="000B7954" w:rsidRDefault="000B7954" w14:paraId="7B792AC9" w14:textId="77777777">
            <w:pPr>
              <w:pStyle w:val="TableText0"/>
            </w:pPr>
            <w:r w:rsidRPr="00AD4F6B">
              <w:t>Stevens, M. K., et al. Onasemnogene Abeparvovec-</w:t>
            </w:r>
            <w:proofErr w:type="spellStart"/>
            <w:r w:rsidRPr="00AD4F6B">
              <w:t>xioi</w:t>
            </w:r>
            <w:proofErr w:type="spellEnd"/>
            <w:r w:rsidRPr="00AD4F6B">
              <w:t>: Gene Therapy for Spinal Muscular Atrophy. DOI: 10.1177/1060028020914274</w:t>
            </w:r>
          </w:p>
        </w:tc>
        <w:tc>
          <w:tcPr>
            <w:tcW w:w="1230" w:type="pct"/>
            <w:tcBorders>
              <w:top w:val="single" w:color="auto" w:sz="4" w:space="0"/>
              <w:bottom w:val="single" w:color="auto" w:sz="4" w:space="0"/>
            </w:tcBorders>
            <w:shd w:val="clear" w:color="auto" w:fill="C6D9F1" w:themeFill="text2" w:themeFillTint="33"/>
            <w:vAlign w:val="center"/>
          </w:tcPr>
          <w:p w:rsidRPr="00AD4F6B" w:rsidR="000B7954" w:rsidRDefault="000B7954" w14:paraId="726B693D" w14:textId="77777777">
            <w:pPr>
              <w:pStyle w:val="TableText0"/>
              <w:rPr>
                <w:iCs/>
              </w:rPr>
            </w:pPr>
            <w:r w:rsidRPr="00AD4F6B">
              <w:rPr>
                <w:i/>
                <w:iCs/>
              </w:rPr>
              <w:t>Annals of Pharmacotherapy</w:t>
            </w:r>
            <w:r w:rsidRPr="00AD4F6B">
              <w:t xml:space="preserve"> </w:t>
            </w:r>
            <w:r w:rsidRPr="00AD4F6B">
              <w:rPr>
                <w:iCs/>
              </w:rPr>
              <w:t>2020; 54(10):1001-1009</w:t>
            </w:r>
          </w:p>
        </w:tc>
      </w:tr>
    </w:tbl>
    <w:p w:rsidR="00C554FC" w:rsidP="000B7954" w:rsidRDefault="00C554FC" w14:paraId="1124C286" w14:textId="77777777">
      <w:pPr>
        <w:pStyle w:val="FooterTableFigure"/>
      </w:pPr>
    </w:p>
    <w:p w:rsidRPr="00AD4F6B" w:rsidR="000B7954" w:rsidP="000B7954" w:rsidRDefault="000B7954" w14:paraId="30E5F9BF" w14:textId="464CF376">
      <w:pPr>
        <w:pStyle w:val="FooterTableFigure"/>
      </w:pPr>
      <w:r w:rsidRPr="00AD4F6B">
        <w:t>Source: Table 2.3, p27 of the submission.</w:t>
      </w:r>
    </w:p>
    <w:p w:rsidRPr="00AD4F6B" w:rsidR="00FA33F8" w:rsidP="000B7954" w:rsidRDefault="00FA33F8" w14:paraId="12A10AC5" w14:textId="4726DABE">
      <w:pPr>
        <w:pStyle w:val="FooterTableFigure"/>
        <w:rPr>
          <w:sz w:val="20"/>
        </w:rPr>
      </w:pPr>
      <w:r w:rsidRPr="00AD4F6B">
        <w:rPr>
          <w:szCs w:val="18"/>
        </w:rPr>
        <w:t xml:space="preserve">Blue shading represents studies previously presented and considered at the PBAC.  </w:t>
      </w:r>
    </w:p>
    <w:p w:rsidRPr="00AD4F6B" w:rsidR="007F1017" w:rsidP="00EC5836" w:rsidRDefault="008F120A" w14:paraId="1DD06D7D" w14:textId="09F3BB01">
      <w:pPr>
        <w:pStyle w:val="3-BodyText"/>
      </w:pPr>
      <w:r w:rsidRPr="00AD4F6B">
        <w:t xml:space="preserve">The key features of the </w:t>
      </w:r>
      <w:r w:rsidRPr="00AD4F6B" w:rsidR="007170DA">
        <w:t>studies</w:t>
      </w:r>
      <w:r w:rsidRPr="00AD4F6B" w:rsidR="004C0A00">
        <w:t xml:space="preserve"> </w:t>
      </w:r>
      <w:r w:rsidRPr="00AD4F6B">
        <w:t>are summarised in</w:t>
      </w:r>
      <w:r w:rsidRPr="00AD4F6B" w:rsidR="00D6076E">
        <w:t xml:space="preserve"> </w:t>
      </w:r>
      <w:r w:rsidRPr="00AD4F6B" w:rsidR="00D6076E">
        <w:fldChar w:fldCharType="begin"/>
      </w:r>
      <w:r w:rsidRPr="00AD4F6B" w:rsidR="00D6076E">
        <w:instrText xml:space="preserve"> REF _Ref104804098 \h  \* MERGEFORMAT </w:instrText>
      </w:r>
      <w:r w:rsidRPr="00AD4F6B" w:rsidR="00D6076E">
        <w:fldChar w:fldCharType="separate"/>
      </w:r>
      <w:r w:rsidRPr="00F0459B" w:rsidR="00F0459B">
        <w:t>Table 6</w:t>
      </w:r>
      <w:r w:rsidRPr="00AD4F6B" w:rsidR="00D6076E">
        <w:fldChar w:fldCharType="end"/>
      </w:r>
      <w:r w:rsidRPr="00AD4F6B">
        <w:t>.</w:t>
      </w:r>
      <w:r w:rsidRPr="00AD4F6B" w:rsidR="00BC591F">
        <w:t xml:space="preserve"> </w:t>
      </w:r>
    </w:p>
    <w:p w:rsidRPr="00AD4F6B" w:rsidR="00CB59C7" w:rsidP="00264189" w:rsidRDefault="00696EF9" w14:paraId="0A0443ED" w14:textId="40A52BE6">
      <w:pPr>
        <w:pStyle w:val="Caption"/>
        <w:rPr>
          <w:b w:val="0"/>
        </w:rPr>
      </w:pPr>
      <w:bookmarkStart w:name="_Ref104804098" w:id="27"/>
      <w:r w:rsidRPr="00AD4F6B">
        <w:rPr>
          <w:rStyle w:val="CommentReference"/>
          <w:rFonts w:eastAsiaTheme="majorEastAsia" w:cstheme="majorBidi"/>
          <w:b/>
          <w:szCs w:val="24"/>
        </w:rPr>
        <w:t xml:space="preserve">Table </w:t>
      </w:r>
      <w:r w:rsidRPr="00AD4F6B">
        <w:rPr>
          <w:rStyle w:val="CommentReference"/>
          <w:rFonts w:eastAsiaTheme="majorEastAsia" w:cstheme="majorBidi"/>
          <w:b/>
          <w:szCs w:val="24"/>
        </w:rPr>
        <w:fldChar w:fldCharType="begin"/>
      </w:r>
      <w:r w:rsidRPr="00AD4F6B">
        <w:rPr>
          <w:rStyle w:val="CommentReference"/>
          <w:rFonts w:eastAsiaTheme="majorEastAsia" w:cstheme="majorBidi"/>
          <w:b/>
          <w:szCs w:val="24"/>
        </w:rPr>
        <w:instrText xml:space="preserve"> SEQ Table \* ARABIC </w:instrText>
      </w:r>
      <w:r w:rsidRPr="00AD4F6B">
        <w:rPr>
          <w:rStyle w:val="CommentReference"/>
          <w:rFonts w:eastAsiaTheme="majorEastAsia" w:cstheme="majorBidi"/>
          <w:b/>
          <w:szCs w:val="24"/>
        </w:rPr>
        <w:fldChar w:fldCharType="separate"/>
      </w:r>
      <w:r w:rsidR="00F0459B">
        <w:rPr>
          <w:rStyle w:val="CommentReference"/>
          <w:rFonts w:eastAsiaTheme="majorEastAsia" w:cstheme="majorBidi"/>
          <w:b/>
          <w:noProof/>
          <w:szCs w:val="24"/>
        </w:rPr>
        <w:t>6</w:t>
      </w:r>
      <w:r w:rsidRPr="00AD4F6B">
        <w:rPr>
          <w:rStyle w:val="CommentReference"/>
          <w:rFonts w:eastAsiaTheme="majorEastAsia" w:cstheme="majorBidi"/>
          <w:b/>
          <w:szCs w:val="24"/>
        </w:rPr>
        <w:fldChar w:fldCharType="end"/>
      </w:r>
      <w:bookmarkEnd w:id="27"/>
      <w:r w:rsidRPr="00AD4F6B" w:rsidR="00D6076E">
        <w:rPr>
          <w:rStyle w:val="CommentReference"/>
          <w:rFonts w:eastAsiaTheme="majorEastAsia" w:cstheme="majorBidi"/>
          <w:b/>
          <w:szCs w:val="24"/>
        </w:rPr>
        <w:t xml:space="preserve">: </w:t>
      </w:r>
      <w:r w:rsidRPr="00AD4F6B" w:rsidR="007F1017">
        <w:rPr>
          <w:rStyle w:val="CommentReference"/>
          <w:rFonts w:eastAsiaTheme="majorEastAsia" w:cstheme="majorBidi"/>
          <w:b/>
          <w:szCs w:val="24"/>
        </w:rPr>
        <w:t>Key features of</w:t>
      </w:r>
      <w:r w:rsidRPr="00AD4F6B" w:rsidR="00CB59C7">
        <w:t xml:space="preserve"> the included studies</w:t>
      </w:r>
    </w:p>
    <w:tbl>
      <w:tblPr>
        <w:tblStyle w:val="TableGrid"/>
        <w:tblW w:w="5000" w:type="pct"/>
        <w:tblLook w:val="04A0" w:firstRow="1" w:lastRow="0" w:firstColumn="1" w:lastColumn="0" w:noHBand="0" w:noVBand="1"/>
        <w:tblCaption w:val="Table 6: Key features of the included studies"/>
      </w:tblPr>
      <w:tblGrid>
        <w:gridCol w:w="1370"/>
        <w:gridCol w:w="2105"/>
        <w:gridCol w:w="601"/>
        <w:gridCol w:w="1199"/>
        <w:gridCol w:w="1800"/>
        <w:gridCol w:w="1942"/>
      </w:tblGrid>
      <w:tr w:rsidRPr="00AD4F6B" w:rsidR="00AD4F6B" w:rsidTr="00EA35AC" w14:paraId="188AAD19" w14:textId="77777777">
        <w:trPr>
          <w:tblHeader/>
        </w:trPr>
        <w:tc>
          <w:tcPr>
            <w:tcW w:w="760" w:type="pct"/>
            <w:tcMar>
              <w:left w:w="20" w:type="dxa"/>
              <w:right w:w="20" w:type="dxa"/>
            </w:tcMar>
            <w:vAlign w:val="center"/>
          </w:tcPr>
          <w:p w:rsidRPr="00AD4F6B" w:rsidR="00CB59C7" w:rsidP="00264189" w:rsidRDefault="00CB59C7" w14:paraId="60AE92B1" w14:textId="77777777">
            <w:pPr>
              <w:keepNext/>
              <w:keepLines/>
              <w:jc w:val="center"/>
              <w:rPr>
                <w:rFonts w:ascii="Arial Narrow" w:hAnsi="Arial Narrow"/>
                <w:b/>
                <w:sz w:val="20"/>
                <w:szCs w:val="20"/>
              </w:rPr>
            </w:pPr>
            <w:r w:rsidRPr="00AD4F6B">
              <w:rPr>
                <w:rFonts w:ascii="Arial Narrow" w:hAnsi="Arial Narrow"/>
                <w:b/>
                <w:sz w:val="20"/>
                <w:szCs w:val="20"/>
              </w:rPr>
              <w:t>Study, n (SMN2 copy number)</w:t>
            </w:r>
          </w:p>
        </w:tc>
        <w:tc>
          <w:tcPr>
            <w:tcW w:w="1167" w:type="pct"/>
            <w:tcMar>
              <w:left w:w="20" w:type="dxa"/>
              <w:right w:w="20" w:type="dxa"/>
            </w:tcMar>
            <w:vAlign w:val="center"/>
          </w:tcPr>
          <w:p w:rsidRPr="00AD4F6B" w:rsidR="00CB59C7" w:rsidP="00264189" w:rsidRDefault="00CB59C7" w14:paraId="243E87F7" w14:textId="77777777">
            <w:pPr>
              <w:keepNext/>
              <w:keepLines/>
              <w:jc w:val="center"/>
              <w:rPr>
                <w:rFonts w:ascii="Arial Narrow" w:hAnsi="Arial Narrow"/>
                <w:b/>
                <w:sz w:val="20"/>
                <w:szCs w:val="20"/>
              </w:rPr>
            </w:pPr>
            <w:r w:rsidRPr="00AD4F6B">
              <w:rPr>
                <w:rFonts w:ascii="Arial Narrow" w:hAnsi="Arial Narrow"/>
                <w:b/>
                <w:sz w:val="20"/>
                <w:szCs w:val="20"/>
              </w:rPr>
              <w:t>Design/duration</w:t>
            </w:r>
          </w:p>
        </w:tc>
        <w:tc>
          <w:tcPr>
            <w:tcW w:w="333" w:type="pct"/>
            <w:tcMar>
              <w:left w:w="20" w:type="dxa"/>
              <w:right w:w="20" w:type="dxa"/>
            </w:tcMar>
            <w:vAlign w:val="center"/>
          </w:tcPr>
          <w:p w:rsidRPr="00AD4F6B" w:rsidR="00CB59C7" w:rsidP="00264189" w:rsidRDefault="00CB59C7" w14:paraId="0DF2C548" w14:textId="77777777">
            <w:pPr>
              <w:keepNext/>
              <w:keepLines/>
              <w:jc w:val="center"/>
              <w:rPr>
                <w:rFonts w:ascii="Arial Narrow" w:hAnsi="Arial Narrow"/>
                <w:b/>
                <w:sz w:val="20"/>
                <w:szCs w:val="20"/>
              </w:rPr>
            </w:pPr>
            <w:r w:rsidRPr="00AD4F6B">
              <w:rPr>
                <w:rFonts w:ascii="Arial Narrow" w:hAnsi="Arial Narrow"/>
                <w:b/>
                <w:sz w:val="20"/>
                <w:szCs w:val="20"/>
              </w:rPr>
              <w:t>Bias</w:t>
            </w:r>
          </w:p>
        </w:tc>
        <w:tc>
          <w:tcPr>
            <w:tcW w:w="665" w:type="pct"/>
            <w:tcMar>
              <w:left w:w="20" w:type="dxa"/>
              <w:right w:w="20" w:type="dxa"/>
            </w:tcMar>
            <w:vAlign w:val="center"/>
          </w:tcPr>
          <w:p w:rsidRPr="00AD4F6B" w:rsidR="00CB59C7" w:rsidP="00264189" w:rsidRDefault="00CB59C7" w14:paraId="358717A0" w14:textId="77777777">
            <w:pPr>
              <w:keepNext/>
              <w:keepLines/>
              <w:jc w:val="center"/>
              <w:rPr>
                <w:rFonts w:ascii="Arial Narrow" w:hAnsi="Arial Narrow"/>
                <w:b/>
                <w:sz w:val="20"/>
                <w:szCs w:val="20"/>
              </w:rPr>
            </w:pPr>
            <w:r w:rsidRPr="00AD4F6B">
              <w:rPr>
                <w:rFonts w:ascii="Arial Narrow" w:hAnsi="Arial Narrow"/>
                <w:b/>
                <w:sz w:val="20"/>
                <w:szCs w:val="20"/>
              </w:rPr>
              <w:t>Treatment</w:t>
            </w:r>
          </w:p>
        </w:tc>
        <w:tc>
          <w:tcPr>
            <w:tcW w:w="998" w:type="pct"/>
            <w:tcMar>
              <w:left w:w="20" w:type="dxa"/>
              <w:right w:w="20" w:type="dxa"/>
            </w:tcMar>
            <w:vAlign w:val="center"/>
          </w:tcPr>
          <w:p w:rsidRPr="00AD4F6B" w:rsidR="00CB59C7" w:rsidP="00264189" w:rsidRDefault="00CB59C7" w14:paraId="1AA21F02" w14:textId="77777777">
            <w:pPr>
              <w:keepNext/>
              <w:keepLines/>
              <w:jc w:val="center"/>
              <w:rPr>
                <w:rFonts w:ascii="Arial Narrow" w:hAnsi="Arial Narrow"/>
                <w:b/>
                <w:sz w:val="20"/>
                <w:szCs w:val="20"/>
              </w:rPr>
            </w:pPr>
            <w:r w:rsidRPr="00AD4F6B">
              <w:rPr>
                <w:rFonts w:ascii="Arial Narrow" w:hAnsi="Arial Narrow"/>
                <w:b/>
                <w:sz w:val="20"/>
                <w:szCs w:val="20"/>
              </w:rPr>
              <w:t>Population</w:t>
            </w:r>
          </w:p>
        </w:tc>
        <w:tc>
          <w:tcPr>
            <w:tcW w:w="1077" w:type="pct"/>
            <w:tcMar>
              <w:left w:w="20" w:type="dxa"/>
              <w:right w:w="20" w:type="dxa"/>
            </w:tcMar>
            <w:vAlign w:val="center"/>
          </w:tcPr>
          <w:p w:rsidRPr="00AD4F6B" w:rsidR="00CB59C7" w:rsidP="00264189" w:rsidRDefault="00CB59C7" w14:paraId="588C46F3" w14:textId="77777777">
            <w:pPr>
              <w:keepNext/>
              <w:keepLines/>
              <w:jc w:val="center"/>
              <w:rPr>
                <w:rFonts w:ascii="Arial Narrow" w:hAnsi="Arial Narrow"/>
                <w:b/>
                <w:sz w:val="20"/>
                <w:szCs w:val="20"/>
              </w:rPr>
            </w:pPr>
            <w:r w:rsidRPr="00AD4F6B">
              <w:rPr>
                <w:rFonts w:ascii="Arial Narrow" w:hAnsi="Arial Narrow"/>
                <w:b/>
                <w:sz w:val="20"/>
                <w:szCs w:val="20"/>
              </w:rPr>
              <w:t>Outcome(s)</w:t>
            </w:r>
          </w:p>
        </w:tc>
      </w:tr>
      <w:tr w:rsidRPr="00AD4F6B" w:rsidR="00AD4F6B" w:rsidTr="00EA35AC" w14:paraId="0CDF7959" w14:textId="77777777">
        <w:tc>
          <w:tcPr>
            <w:tcW w:w="760" w:type="pct"/>
            <w:tcMar>
              <w:left w:w="20" w:type="dxa"/>
              <w:right w:w="20" w:type="dxa"/>
            </w:tcMar>
            <w:vAlign w:val="center"/>
          </w:tcPr>
          <w:p w:rsidRPr="00AD4F6B" w:rsidR="00CB59C7" w:rsidP="00264189" w:rsidRDefault="00CB59C7" w14:paraId="1B1F633D" w14:textId="77777777">
            <w:pPr>
              <w:keepNext/>
              <w:keepLines/>
              <w:rPr>
                <w:rFonts w:ascii="Arial Narrow" w:hAnsi="Arial Narrow"/>
                <w:sz w:val="20"/>
                <w:szCs w:val="20"/>
              </w:rPr>
            </w:pPr>
            <w:r w:rsidRPr="00AD4F6B">
              <w:rPr>
                <w:rFonts w:ascii="Arial Narrow" w:hAnsi="Arial Narrow"/>
                <w:sz w:val="20"/>
                <w:szCs w:val="20"/>
              </w:rPr>
              <w:t>SMART</w:t>
            </w:r>
          </w:p>
          <w:p w:rsidRPr="00AD4F6B" w:rsidR="00CB59C7" w:rsidP="00264189" w:rsidRDefault="00CB59C7" w14:paraId="1E2ED5C2" w14:textId="77777777">
            <w:pPr>
              <w:keepNext/>
              <w:keepLines/>
              <w:rPr>
                <w:rFonts w:ascii="Arial Narrow" w:hAnsi="Arial Narrow"/>
                <w:sz w:val="20"/>
                <w:szCs w:val="20"/>
              </w:rPr>
            </w:pPr>
            <w:r w:rsidRPr="00AD4F6B">
              <w:rPr>
                <w:rFonts w:ascii="Arial Narrow" w:hAnsi="Arial Narrow"/>
                <w:sz w:val="20"/>
                <w:szCs w:val="20"/>
              </w:rPr>
              <w:t>n=5 (2 copies); 18 (3 copies); 1 (</w:t>
            </w:r>
            <w:r w:rsidRPr="00AD4F6B">
              <w:rPr>
                <w:rFonts w:ascii="Arial Narrow" w:hAnsi="Arial Narrow" w:cs="Calibri"/>
                <w:sz w:val="20"/>
                <w:szCs w:val="20"/>
              </w:rPr>
              <w:t>≥</w:t>
            </w:r>
            <w:r w:rsidRPr="00AD4F6B">
              <w:rPr>
                <w:rFonts w:ascii="Arial Narrow" w:hAnsi="Arial Narrow"/>
                <w:sz w:val="20"/>
                <w:szCs w:val="20"/>
              </w:rPr>
              <w:t>4 copies)</w:t>
            </w:r>
          </w:p>
        </w:tc>
        <w:tc>
          <w:tcPr>
            <w:tcW w:w="1167" w:type="pct"/>
            <w:tcMar>
              <w:left w:w="20" w:type="dxa"/>
              <w:right w:w="20" w:type="dxa"/>
            </w:tcMar>
            <w:vAlign w:val="center"/>
          </w:tcPr>
          <w:p w:rsidRPr="00AD4F6B" w:rsidR="00CB59C7" w:rsidP="00264189" w:rsidRDefault="00CB59C7" w14:paraId="05CB289B" w14:textId="77777777">
            <w:pPr>
              <w:keepNext/>
              <w:keepLines/>
              <w:jc w:val="left"/>
              <w:rPr>
                <w:rFonts w:ascii="Arial Narrow" w:hAnsi="Arial Narrow"/>
                <w:sz w:val="20"/>
                <w:szCs w:val="20"/>
              </w:rPr>
            </w:pPr>
            <w:r w:rsidRPr="00AD4F6B">
              <w:rPr>
                <w:rFonts w:ascii="Arial Narrow" w:hAnsi="Arial Narrow"/>
                <w:sz w:val="20"/>
                <w:szCs w:val="20"/>
              </w:rPr>
              <w:t>MC, NC, SA, OL 12mths</w:t>
            </w:r>
          </w:p>
        </w:tc>
        <w:tc>
          <w:tcPr>
            <w:tcW w:w="333" w:type="pct"/>
            <w:tcMar>
              <w:left w:w="20" w:type="dxa"/>
              <w:right w:w="20" w:type="dxa"/>
            </w:tcMar>
            <w:vAlign w:val="center"/>
          </w:tcPr>
          <w:p w:rsidRPr="00AD4F6B" w:rsidR="00CB59C7" w:rsidP="00264189" w:rsidRDefault="00CB59C7" w14:paraId="5DE16D77" w14:textId="77777777">
            <w:pPr>
              <w:keepNext/>
              <w:keepLines/>
              <w:jc w:val="left"/>
              <w:rPr>
                <w:rFonts w:ascii="Arial Narrow" w:hAnsi="Arial Narrow"/>
                <w:sz w:val="20"/>
                <w:szCs w:val="20"/>
              </w:rPr>
            </w:pPr>
            <w:r w:rsidRPr="00AD4F6B">
              <w:rPr>
                <w:rFonts w:ascii="Arial Narrow" w:hAnsi="Arial Narrow"/>
                <w:sz w:val="20"/>
                <w:szCs w:val="20"/>
              </w:rPr>
              <w:t>High</w:t>
            </w:r>
          </w:p>
        </w:tc>
        <w:tc>
          <w:tcPr>
            <w:tcW w:w="665" w:type="pct"/>
            <w:tcMar>
              <w:left w:w="20" w:type="dxa"/>
              <w:right w:w="20" w:type="dxa"/>
            </w:tcMar>
            <w:vAlign w:val="center"/>
          </w:tcPr>
          <w:p w:rsidRPr="003E532E" w:rsidR="00CB59C7" w:rsidP="00264189" w:rsidRDefault="00CB59C7" w14:paraId="2C31600C" w14:textId="77777777">
            <w:pPr>
              <w:keepNext/>
              <w:keepLines/>
              <w:jc w:val="left"/>
              <w:rPr>
                <w:rFonts w:ascii="Arial Narrow" w:hAnsi="Arial Narrow"/>
                <w:sz w:val="20"/>
                <w:szCs w:val="20"/>
                <w:lang w:val="pt-PT"/>
              </w:rPr>
            </w:pPr>
            <w:r w:rsidRPr="003E532E">
              <w:rPr>
                <w:rFonts w:ascii="Arial Narrow" w:hAnsi="Arial Narrow"/>
                <w:sz w:val="20"/>
                <w:szCs w:val="20"/>
                <w:lang w:val="pt-PT"/>
              </w:rPr>
              <w:t>ONA IV 1.1 x 10</w:t>
            </w:r>
            <w:r w:rsidRPr="003E532E">
              <w:rPr>
                <w:rFonts w:ascii="Arial Narrow" w:hAnsi="Arial Narrow"/>
                <w:sz w:val="20"/>
                <w:szCs w:val="20"/>
                <w:vertAlign w:val="superscript"/>
                <w:lang w:val="pt-PT"/>
              </w:rPr>
              <w:t>14</w:t>
            </w:r>
            <w:r w:rsidRPr="003E532E">
              <w:rPr>
                <w:rFonts w:ascii="Arial Narrow" w:hAnsi="Arial Narrow"/>
                <w:sz w:val="20"/>
                <w:szCs w:val="20"/>
                <w:lang w:val="pt-PT"/>
              </w:rPr>
              <w:t xml:space="preserve"> vg/kg</w:t>
            </w:r>
          </w:p>
        </w:tc>
        <w:tc>
          <w:tcPr>
            <w:tcW w:w="998" w:type="pct"/>
            <w:tcMar>
              <w:left w:w="20" w:type="dxa"/>
              <w:right w:w="20" w:type="dxa"/>
            </w:tcMar>
            <w:vAlign w:val="center"/>
          </w:tcPr>
          <w:p w:rsidRPr="00AD4F6B" w:rsidR="00CB59C7" w:rsidP="00264189" w:rsidRDefault="00CB59C7" w14:paraId="7D3E82D3" w14:textId="0B4E436F">
            <w:pPr>
              <w:keepNext/>
              <w:keepLines/>
              <w:jc w:val="left"/>
              <w:rPr>
                <w:rFonts w:ascii="Arial Narrow" w:hAnsi="Arial Narrow"/>
                <w:sz w:val="20"/>
                <w:szCs w:val="20"/>
              </w:rPr>
            </w:pPr>
            <w:r w:rsidRPr="00AD4F6B">
              <w:rPr>
                <w:rFonts w:ascii="Arial Narrow" w:hAnsi="Arial Narrow"/>
                <w:sz w:val="20"/>
                <w:szCs w:val="20"/>
              </w:rPr>
              <w:t xml:space="preserve">Patients weighing ≥8.5 kg and ≤21 kg, </w:t>
            </w:r>
            <w:r w:rsidRPr="00AD4F6B" w:rsidR="002079D5">
              <w:rPr>
                <w:rFonts w:ascii="Arial Narrow" w:hAnsi="Arial Narrow"/>
                <w:sz w:val="20"/>
                <w:szCs w:val="20"/>
              </w:rPr>
              <w:t xml:space="preserve">Symptomatic patients – SMA Type I-III </w:t>
            </w:r>
            <w:r w:rsidRPr="00AD4F6B">
              <w:rPr>
                <w:rFonts w:ascii="Arial Narrow" w:hAnsi="Arial Narrow"/>
                <w:sz w:val="20"/>
                <w:szCs w:val="20"/>
              </w:rPr>
              <w:t>with any copy of SMN2.</w:t>
            </w:r>
          </w:p>
        </w:tc>
        <w:tc>
          <w:tcPr>
            <w:tcW w:w="1077" w:type="pct"/>
            <w:tcMar>
              <w:left w:w="20" w:type="dxa"/>
              <w:right w:w="20" w:type="dxa"/>
            </w:tcMar>
            <w:vAlign w:val="center"/>
          </w:tcPr>
          <w:p w:rsidRPr="00AD4F6B" w:rsidR="00CB59C7" w:rsidP="00264189" w:rsidRDefault="00CB59C7" w14:paraId="622DCA04" w14:textId="77777777">
            <w:pPr>
              <w:keepNext/>
              <w:keepLines/>
              <w:jc w:val="left"/>
              <w:rPr>
                <w:rFonts w:ascii="Arial Narrow" w:hAnsi="Arial Narrow"/>
                <w:sz w:val="20"/>
                <w:szCs w:val="20"/>
              </w:rPr>
            </w:pPr>
            <w:r w:rsidRPr="00AD4F6B">
              <w:rPr>
                <w:rFonts w:ascii="Arial Narrow" w:hAnsi="Arial Narrow"/>
                <w:sz w:val="20"/>
                <w:szCs w:val="20"/>
              </w:rPr>
              <w:t>1°: safety</w:t>
            </w:r>
          </w:p>
          <w:p w:rsidRPr="00AD4F6B" w:rsidR="00CB59C7" w:rsidP="00264189" w:rsidRDefault="00CB59C7" w14:paraId="11ABF4EA" w14:textId="77777777">
            <w:pPr>
              <w:keepNext/>
              <w:keepLines/>
              <w:jc w:val="left"/>
              <w:rPr>
                <w:rFonts w:ascii="Arial Narrow" w:hAnsi="Arial Narrow"/>
                <w:sz w:val="20"/>
                <w:szCs w:val="20"/>
              </w:rPr>
            </w:pPr>
            <w:r w:rsidRPr="00AD4F6B">
              <w:rPr>
                <w:rFonts w:ascii="Arial Narrow" w:hAnsi="Arial Narrow"/>
                <w:sz w:val="20"/>
                <w:szCs w:val="20"/>
              </w:rPr>
              <w:t>2°: motor milestones</w:t>
            </w:r>
          </w:p>
        </w:tc>
      </w:tr>
      <w:tr w:rsidRPr="00AD4F6B" w:rsidR="00AD4F6B" w:rsidTr="00EA35AC" w14:paraId="1B2BDF3D" w14:textId="77777777">
        <w:tc>
          <w:tcPr>
            <w:tcW w:w="760" w:type="pct"/>
            <w:shd w:val="clear" w:color="auto" w:fill="C6D9F1" w:themeFill="text2" w:themeFillTint="33"/>
            <w:tcMar>
              <w:left w:w="20" w:type="dxa"/>
              <w:right w:w="20" w:type="dxa"/>
            </w:tcMar>
            <w:vAlign w:val="center"/>
          </w:tcPr>
          <w:p w:rsidRPr="00AD4F6B" w:rsidR="00CB59C7" w:rsidP="002E408F" w:rsidRDefault="00CB59C7" w14:paraId="743EF19E" w14:textId="77777777">
            <w:pPr>
              <w:keepNext/>
              <w:keepLines/>
              <w:jc w:val="left"/>
              <w:rPr>
                <w:rFonts w:ascii="Arial Narrow" w:hAnsi="Arial Narrow"/>
                <w:sz w:val="20"/>
                <w:szCs w:val="20"/>
              </w:rPr>
            </w:pPr>
            <w:r w:rsidRPr="00AD4F6B">
              <w:rPr>
                <w:rFonts w:ascii="Arial Narrow" w:hAnsi="Arial Narrow"/>
                <w:sz w:val="20"/>
                <w:szCs w:val="20"/>
              </w:rPr>
              <w:t>SPR1NT</w:t>
            </w:r>
          </w:p>
          <w:p w:rsidRPr="00AD4F6B" w:rsidR="00CB59C7" w:rsidP="002E408F" w:rsidRDefault="00CB59C7" w14:paraId="2DC833A2" w14:textId="77777777">
            <w:pPr>
              <w:keepNext/>
              <w:keepLines/>
              <w:jc w:val="left"/>
              <w:rPr>
                <w:rFonts w:ascii="Arial Narrow" w:hAnsi="Arial Narrow"/>
                <w:sz w:val="20"/>
                <w:szCs w:val="20"/>
              </w:rPr>
            </w:pPr>
            <w:r w:rsidRPr="00AD4F6B">
              <w:rPr>
                <w:rFonts w:ascii="Arial Narrow" w:hAnsi="Arial Narrow"/>
                <w:sz w:val="20"/>
                <w:szCs w:val="20"/>
              </w:rPr>
              <w:t>n=14 (2 copies); 15 (3 copies)</w:t>
            </w:r>
          </w:p>
        </w:tc>
        <w:tc>
          <w:tcPr>
            <w:tcW w:w="1167" w:type="pct"/>
            <w:shd w:val="clear" w:color="auto" w:fill="C6D9F1" w:themeFill="text2" w:themeFillTint="33"/>
            <w:tcMar>
              <w:left w:w="20" w:type="dxa"/>
              <w:right w:w="20" w:type="dxa"/>
            </w:tcMar>
            <w:vAlign w:val="center"/>
          </w:tcPr>
          <w:p w:rsidRPr="00AD4F6B" w:rsidR="00CB59C7" w:rsidP="00264189" w:rsidRDefault="00CB59C7" w14:paraId="7471A3CB" w14:textId="77777777">
            <w:pPr>
              <w:keepNext/>
              <w:keepLines/>
              <w:jc w:val="left"/>
              <w:rPr>
                <w:rFonts w:ascii="Arial Narrow" w:hAnsi="Arial Narrow"/>
                <w:sz w:val="20"/>
                <w:szCs w:val="20"/>
              </w:rPr>
            </w:pPr>
            <w:r w:rsidRPr="00AD4F6B">
              <w:rPr>
                <w:rFonts w:ascii="Arial Narrow" w:hAnsi="Arial Narrow"/>
                <w:sz w:val="20"/>
                <w:szCs w:val="20"/>
              </w:rPr>
              <w:t xml:space="preserve">MC, NC, SA, OL up to 24mths of age </w:t>
            </w:r>
          </w:p>
        </w:tc>
        <w:tc>
          <w:tcPr>
            <w:tcW w:w="333" w:type="pct"/>
            <w:shd w:val="clear" w:color="auto" w:fill="C6D9F1" w:themeFill="text2" w:themeFillTint="33"/>
            <w:tcMar>
              <w:left w:w="20" w:type="dxa"/>
              <w:right w:w="20" w:type="dxa"/>
            </w:tcMar>
            <w:vAlign w:val="center"/>
          </w:tcPr>
          <w:p w:rsidRPr="00AD4F6B" w:rsidR="00CB59C7" w:rsidP="00264189" w:rsidRDefault="00CB59C7" w14:paraId="46A589B3" w14:textId="77777777">
            <w:pPr>
              <w:keepNext/>
              <w:keepLines/>
              <w:jc w:val="left"/>
              <w:rPr>
                <w:rFonts w:ascii="Arial Narrow" w:hAnsi="Arial Narrow"/>
                <w:sz w:val="20"/>
                <w:szCs w:val="20"/>
              </w:rPr>
            </w:pPr>
            <w:r w:rsidRPr="00AD4F6B">
              <w:rPr>
                <w:rFonts w:ascii="Arial Narrow" w:hAnsi="Arial Narrow"/>
                <w:sz w:val="20"/>
                <w:szCs w:val="20"/>
              </w:rPr>
              <w:t>High</w:t>
            </w:r>
          </w:p>
        </w:tc>
        <w:tc>
          <w:tcPr>
            <w:tcW w:w="665" w:type="pct"/>
            <w:shd w:val="clear" w:color="auto" w:fill="C6D9F1" w:themeFill="text2" w:themeFillTint="33"/>
            <w:tcMar>
              <w:left w:w="20" w:type="dxa"/>
              <w:right w:w="20" w:type="dxa"/>
            </w:tcMar>
            <w:vAlign w:val="center"/>
          </w:tcPr>
          <w:p w:rsidRPr="003E532E" w:rsidR="00CB59C7" w:rsidP="00264189" w:rsidRDefault="00CB59C7" w14:paraId="57A061AE" w14:textId="77777777">
            <w:pPr>
              <w:keepNext/>
              <w:keepLines/>
              <w:jc w:val="left"/>
              <w:rPr>
                <w:rFonts w:ascii="Arial Narrow" w:hAnsi="Arial Narrow"/>
                <w:sz w:val="20"/>
                <w:szCs w:val="20"/>
                <w:lang w:val="pt-PT"/>
              </w:rPr>
            </w:pPr>
            <w:r w:rsidRPr="003E532E">
              <w:rPr>
                <w:rFonts w:ascii="Arial Narrow" w:hAnsi="Arial Narrow"/>
                <w:sz w:val="20"/>
                <w:szCs w:val="20"/>
                <w:lang w:val="pt-PT"/>
              </w:rPr>
              <w:t>ONA IV 1.1 x 10</w:t>
            </w:r>
            <w:r w:rsidRPr="003E532E">
              <w:rPr>
                <w:rFonts w:ascii="Arial Narrow" w:hAnsi="Arial Narrow"/>
                <w:sz w:val="20"/>
                <w:szCs w:val="20"/>
                <w:vertAlign w:val="superscript"/>
                <w:lang w:val="pt-PT"/>
              </w:rPr>
              <w:t>14</w:t>
            </w:r>
            <w:r w:rsidRPr="003E532E">
              <w:rPr>
                <w:rFonts w:ascii="Arial Narrow" w:hAnsi="Arial Narrow"/>
                <w:sz w:val="20"/>
                <w:szCs w:val="20"/>
                <w:lang w:val="pt-PT"/>
              </w:rPr>
              <w:t xml:space="preserve"> vg/kg</w:t>
            </w:r>
          </w:p>
        </w:tc>
        <w:tc>
          <w:tcPr>
            <w:tcW w:w="998" w:type="pct"/>
            <w:shd w:val="clear" w:color="auto" w:fill="C6D9F1" w:themeFill="text2" w:themeFillTint="33"/>
            <w:tcMar>
              <w:left w:w="20" w:type="dxa"/>
              <w:right w:w="20" w:type="dxa"/>
            </w:tcMar>
            <w:vAlign w:val="center"/>
          </w:tcPr>
          <w:p w:rsidRPr="00AD4F6B" w:rsidR="00CB59C7" w:rsidP="00264189" w:rsidRDefault="00CB59C7" w14:paraId="3ED03F41" w14:textId="77777777">
            <w:pPr>
              <w:keepNext/>
              <w:keepLines/>
              <w:jc w:val="left"/>
              <w:rPr>
                <w:rFonts w:ascii="Arial Narrow" w:hAnsi="Arial Narrow"/>
                <w:sz w:val="20"/>
                <w:szCs w:val="20"/>
              </w:rPr>
            </w:pPr>
            <w:r w:rsidRPr="00AD4F6B">
              <w:rPr>
                <w:rFonts w:ascii="Arial Narrow" w:hAnsi="Arial Narrow"/>
                <w:sz w:val="20"/>
                <w:szCs w:val="20"/>
              </w:rPr>
              <w:t>Pre-symptomatic patients – 2 and 3 copy SMN2; aged ≤6wks</w:t>
            </w:r>
          </w:p>
        </w:tc>
        <w:tc>
          <w:tcPr>
            <w:tcW w:w="1077" w:type="pct"/>
            <w:shd w:val="clear" w:color="auto" w:fill="C6D9F1" w:themeFill="text2" w:themeFillTint="33"/>
            <w:tcMar>
              <w:left w:w="20" w:type="dxa"/>
              <w:right w:w="20" w:type="dxa"/>
            </w:tcMar>
            <w:vAlign w:val="center"/>
          </w:tcPr>
          <w:p w:rsidRPr="00AD4F6B" w:rsidR="00CB59C7" w:rsidP="00264189" w:rsidRDefault="00CB59C7" w14:paraId="561781CB" w14:textId="77777777">
            <w:pPr>
              <w:keepNext/>
              <w:keepLines/>
              <w:jc w:val="left"/>
              <w:rPr>
                <w:rFonts w:ascii="Arial Narrow" w:hAnsi="Arial Narrow"/>
                <w:sz w:val="20"/>
                <w:szCs w:val="20"/>
              </w:rPr>
            </w:pPr>
            <w:r w:rsidRPr="00AD4F6B">
              <w:rPr>
                <w:rFonts w:ascii="Arial Narrow" w:hAnsi="Arial Narrow"/>
                <w:sz w:val="20"/>
                <w:szCs w:val="20"/>
              </w:rPr>
              <w:t xml:space="preserve">1°: motor milestone – sitting (for 2 copies, 18 </w:t>
            </w:r>
            <w:proofErr w:type="spellStart"/>
            <w:r w:rsidRPr="00AD4F6B">
              <w:rPr>
                <w:rFonts w:ascii="Arial Narrow" w:hAnsi="Arial Narrow"/>
                <w:sz w:val="20"/>
                <w:szCs w:val="20"/>
              </w:rPr>
              <w:t>mths</w:t>
            </w:r>
            <w:proofErr w:type="spellEnd"/>
            <w:r w:rsidRPr="00AD4F6B">
              <w:rPr>
                <w:rFonts w:ascii="Arial Narrow" w:hAnsi="Arial Narrow"/>
                <w:sz w:val="20"/>
                <w:szCs w:val="20"/>
              </w:rPr>
              <w:t xml:space="preserve">); standing (for 3 copies, 24 </w:t>
            </w:r>
            <w:proofErr w:type="spellStart"/>
            <w:r w:rsidRPr="00AD4F6B">
              <w:rPr>
                <w:rFonts w:ascii="Arial Narrow" w:hAnsi="Arial Narrow"/>
                <w:sz w:val="20"/>
                <w:szCs w:val="20"/>
              </w:rPr>
              <w:t>mths</w:t>
            </w:r>
            <w:proofErr w:type="spellEnd"/>
            <w:r w:rsidRPr="00AD4F6B">
              <w:rPr>
                <w:rFonts w:ascii="Arial Narrow" w:hAnsi="Arial Narrow"/>
                <w:sz w:val="20"/>
                <w:szCs w:val="20"/>
              </w:rPr>
              <w:t>)</w:t>
            </w:r>
          </w:p>
          <w:p w:rsidRPr="00AD4F6B" w:rsidR="00CB59C7" w:rsidP="00264189" w:rsidRDefault="00CB59C7" w14:paraId="5EDB3923" w14:textId="77777777">
            <w:pPr>
              <w:keepNext/>
              <w:keepLines/>
              <w:jc w:val="left"/>
              <w:rPr>
                <w:rFonts w:ascii="Arial Narrow" w:hAnsi="Arial Narrow"/>
                <w:sz w:val="20"/>
                <w:szCs w:val="20"/>
              </w:rPr>
            </w:pPr>
            <w:r w:rsidRPr="00AD4F6B">
              <w:rPr>
                <w:rFonts w:ascii="Arial Narrow" w:hAnsi="Arial Narrow"/>
                <w:sz w:val="20"/>
                <w:szCs w:val="20"/>
              </w:rPr>
              <w:t>2°: motor milestones, EFS</w:t>
            </w:r>
          </w:p>
        </w:tc>
      </w:tr>
      <w:tr w:rsidRPr="00AD4F6B" w:rsidR="00AD4F6B" w:rsidTr="00EA35AC" w14:paraId="1BDD435E" w14:textId="77777777">
        <w:tc>
          <w:tcPr>
            <w:tcW w:w="760" w:type="pct"/>
            <w:shd w:val="clear" w:color="auto" w:fill="C6D9F1" w:themeFill="text2" w:themeFillTint="33"/>
            <w:tcMar>
              <w:left w:w="20" w:type="dxa"/>
              <w:right w:w="20" w:type="dxa"/>
            </w:tcMar>
            <w:vAlign w:val="center"/>
          </w:tcPr>
          <w:p w:rsidRPr="00AD4F6B" w:rsidR="00CB59C7" w:rsidP="00264189" w:rsidRDefault="00CB59C7" w14:paraId="7D1FF3BC" w14:textId="77777777">
            <w:pPr>
              <w:keepNext/>
              <w:keepLines/>
              <w:rPr>
                <w:rFonts w:ascii="Arial Narrow" w:hAnsi="Arial Narrow"/>
                <w:sz w:val="20"/>
                <w:szCs w:val="20"/>
              </w:rPr>
            </w:pPr>
            <w:r w:rsidRPr="00AD4F6B">
              <w:rPr>
                <w:rFonts w:ascii="Arial Narrow" w:hAnsi="Arial Narrow"/>
                <w:sz w:val="20"/>
                <w:szCs w:val="20"/>
              </w:rPr>
              <w:t xml:space="preserve">START </w:t>
            </w:r>
            <w:r w:rsidRPr="00AD4F6B">
              <w:rPr>
                <w:rFonts w:ascii="Arial Narrow" w:hAnsi="Arial Narrow"/>
                <w:sz w:val="20"/>
                <w:szCs w:val="20"/>
                <w:vertAlign w:val="superscript"/>
              </w:rPr>
              <w:t>a</w:t>
            </w:r>
          </w:p>
          <w:p w:rsidRPr="00AD4F6B" w:rsidR="00CB59C7" w:rsidP="00264189" w:rsidRDefault="00CB59C7" w14:paraId="4DD66590" w14:textId="77777777">
            <w:pPr>
              <w:keepNext/>
              <w:keepLines/>
              <w:rPr>
                <w:rFonts w:ascii="Arial Narrow" w:hAnsi="Arial Narrow"/>
                <w:sz w:val="20"/>
                <w:szCs w:val="20"/>
              </w:rPr>
            </w:pPr>
            <w:r w:rsidRPr="00AD4F6B">
              <w:rPr>
                <w:rFonts w:ascii="Arial Narrow" w:hAnsi="Arial Narrow"/>
                <w:sz w:val="20"/>
                <w:szCs w:val="20"/>
              </w:rPr>
              <w:t>N=15 (2 copies)</w:t>
            </w:r>
          </w:p>
        </w:tc>
        <w:tc>
          <w:tcPr>
            <w:tcW w:w="1167" w:type="pct"/>
            <w:shd w:val="clear" w:color="auto" w:fill="C6D9F1" w:themeFill="text2" w:themeFillTint="33"/>
            <w:tcMar>
              <w:left w:w="20" w:type="dxa"/>
              <w:right w:w="20" w:type="dxa"/>
            </w:tcMar>
            <w:vAlign w:val="center"/>
          </w:tcPr>
          <w:p w:rsidRPr="00AD4F6B" w:rsidR="00CB59C7" w:rsidP="00264189" w:rsidRDefault="00CB59C7" w14:paraId="35031F4D" w14:textId="77777777">
            <w:pPr>
              <w:keepNext/>
              <w:keepLines/>
              <w:jc w:val="left"/>
              <w:rPr>
                <w:rFonts w:ascii="Arial Narrow" w:hAnsi="Arial Narrow"/>
                <w:sz w:val="20"/>
                <w:szCs w:val="20"/>
              </w:rPr>
            </w:pPr>
            <w:r w:rsidRPr="00AD4F6B">
              <w:rPr>
                <w:rFonts w:ascii="Arial Narrow" w:hAnsi="Arial Narrow"/>
                <w:sz w:val="20"/>
                <w:szCs w:val="20"/>
              </w:rPr>
              <w:t>NC, OL 2 yrs</w:t>
            </w:r>
          </w:p>
        </w:tc>
        <w:tc>
          <w:tcPr>
            <w:tcW w:w="333" w:type="pct"/>
            <w:shd w:val="clear" w:color="auto" w:fill="C6D9F1" w:themeFill="text2" w:themeFillTint="33"/>
            <w:tcMar>
              <w:left w:w="20" w:type="dxa"/>
              <w:right w:w="20" w:type="dxa"/>
            </w:tcMar>
            <w:vAlign w:val="center"/>
          </w:tcPr>
          <w:p w:rsidRPr="00AD4F6B" w:rsidR="00CB59C7" w:rsidP="00264189" w:rsidRDefault="00CB59C7" w14:paraId="53D4AC95" w14:textId="77777777">
            <w:pPr>
              <w:keepNext/>
              <w:keepLines/>
              <w:jc w:val="left"/>
              <w:rPr>
                <w:rFonts w:ascii="Arial Narrow" w:hAnsi="Arial Narrow"/>
                <w:sz w:val="20"/>
                <w:szCs w:val="20"/>
              </w:rPr>
            </w:pPr>
            <w:r w:rsidRPr="00AD4F6B">
              <w:rPr>
                <w:rFonts w:ascii="Arial Narrow" w:hAnsi="Arial Narrow"/>
                <w:sz w:val="20"/>
                <w:szCs w:val="20"/>
              </w:rPr>
              <w:t>High</w:t>
            </w:r>
          </w:p>
        </w:tc>
        <w:tc>
          <w:tcPr>
            <w:tcW w:w="665" w:type="pct"/>
            <w:shd w:val="clear" w:color="auto" w:fill="C6D9F1" w:themeFill="text2" w:themeFillTint="33"/>
            <w:tcMar>
              <w:left w:w="20" w:type="dxa"/>
              <w:right w:w="20" w:type="dxa"/>
            </w:tcMar>
            <w:vAlign w:val="center"/>
          </w:tcPr>
          <w:p w:rsidRPr="00AD4F6B" w:rsidR="00CB59C7" w:rsidP="00264189" w:rsidRDefault="00CB59C7" w14:paraId="20EDA147" w14:textId="77777777">
            <w:pPr>
              <w:keepNext/>
              <w:keepLines/>
              <w:jc w:val="left"/>
              <w:rPr>
                <w:rFonts w:ascii="Arial Narrow" w:hAnsi="Arial Narrow"/>
                <w:sz w:val="20"/>
                <w:szCs w:val="20"/>
              </w:rPr>
            </w:pPr>
            <w:r w:rsidRPr="00AD4F6B">
              <w:rPr>
                <w:rFonts w:ascii="Arial Narrow" w:hAnsi="Arial Narrow"/>
                <w:sz w:val="20"/>
                <w:szCs w:val="20"/>
              </w:rPr>
              <w:t>ONA IV 6.7 × 10</w:t>
            </w:r>
            <w:r w:rsidRPr="00AD4F6B">
              <w:rPr>
                <w:rFonts w:ascii="Arial Narrow" w:hAnsi="Arial Narrow"/>
                <w:sz w:val="20"/>
                <w:szCs w:val="20"/>
                <w:vertAlign w:val="superscript"/>
              </w:rPr>
              <w:t xml:space="preserve">13 </w:t>
            </w:r>
            <w:r w:rsidRPr="00AD4F6B">
              <w:rPr>
                <w:rFonts w:ascii="Arial Narrow" w:hAnsi="Arial Narrow"/>
                <w:sz w:val="20"/>
                <w:szCs w:val="20"/>
              </w:rPr>
              <w:t>vg/kg or 1.1 × 10</w:t>
            </w:r>
            <w:r w:rsidRPr="00AD4F6B">
              <w:rPr>
                <w:rFonts w:ascii="Arial Narrow" w:hAnsi="Arial Narrow"/>
                <w:sz w:val="20"/>
                <w:szCs w:val="20"/>
                <w:vertAlign w:val="superscript"/>
              </w:rPr>
              <w:t>14</w:t>
            </w:r>
            <w:r w:rsidRPr="00AD4F6B">
              <w:rPr>
                <w:rFonts w:ascii="Arial Narrow" w:hAnsi="Arial Narrow"/>
                <w:sz w:val="20"/>
                <w:szCs w:val="20"/>
              </w:rPr>
              <w:t xml:space="preserve"> vg/kg</w:t>
            </w:r>
          </w:p>
        </w:tc>
        <w:tc>
          <w:tcPr>
            <w:tcW w:w="998" w:type="pct"/>
            <w:shd w:val="clear" w:color="auto" w:fill="C6D9F1" w:themeFill="text2" w:themeFillTint="33"/>
            <w:tcMar>
              <w:left w:w="20" w:type="dxa"/>
              <w:right w:w="20" w:type="dxa"/>
            </w:tcMar>
            <w:vAlign w:val="center"/>
          </w:tcPr>
          <w:p w:rsidRPr="00AD4F6B" w:rsidR="00CB59C7" w:rsidP="00264189" w:rsidRDefault="00CB59C7" w14:paraId="5750EFC4" w14:textId="77777777">
            <w:pPr>
              <w:keepNext/>
              <w:keepLines/>
              <w:jc w:val="left"/>
              <w:rPr>
                <w:rFonts w:ascii="Arial Narrow" w:hAnsi="Arial Narrow"/>
                <w:sz w:val="20"/>
                <w:szCs w:val="20"/>
              </w:rPr>
            </w:pPr>
            <w:r w:rsidRPr="00AD4F6B">
              <w:rPr>
                <w:rFonts w:ascii="Arial Narrow" w:hAnsi="Arial Narrow"/>
                <w:sz w:val="20"/>
                <w:szCs w:val="20"/>
              </w:rPr>
              <w:t>Symptomatic patients – SMA Type I (2 SMN2 copies); aged ≤6mths</w:t>
            </w:r>
          </w:p>
        </w:tc>
        <w:tc>
          <w:tcPr>
            <w:tcW w:w="1077" w:type="pct"/>
            <w:shd w:val="clear" w:color="auto" w:fill="C6D9F1" w:themeFill="text2" w:themeFillTint="33"/>
            <w:tcMar>
              <w:left w:w="20" w:type="dxa"/>
              <w:right w:w="20" w:type="dxa"/>
            </w:tcMar>
            <w:vAlign w:val="center"/>
          </w:tcPr>
          <w:p w:rsidRPr="00AD4F6B" w:rsidR="00CB59C7" w:rsidP="00264189" w:rsidRDefault="00CB59C7" w14:paraId="570B1D46" w14:textId="77777777">
            <w:pPr>
              <w:keepNext/>
              <w:keepLines/>
              <w:jc w:val="left"/>
              <w:rPr>
                <w:rFonts w:ascii="Arial Narrow" w:hAnsi="Arial Narrow"/>
                <w:sz w:val="20"/>
                <w:szCs w:val="20"/>
              </w:rPr>
            </w:pPr>
            <w:r w:rsidRPr="00AD4F6B">
              <w:rPr>
                <w:rFonts w:ascii="Arial Narrow" w:hAnsi="Arial Narrow"/>
                <w:sz w:val="20"/>
                <w:szCs w:val="20"/>
              </w:rPr>
              <w:t>1°: safety</w:t>
            </w:r>
          </w:p>
          <w:p w:rsidRPr="00AD4F6B" w:rsidR="00CB59C7" w:rsidP="00264189" w:rsidRDefault="00CB59C7" w14:paraId="606EF5EC" w14:textId="77777777">
            <w:pPr>
              <w:keepNext/>
              <w:keepLines/>
              <w:jc w:val="left"/>
              <w:rPr>
                <w:rFonts w:ascii="Arial Narrow" w:hAnsi="Arial Narrow"/>
                <w:sz w:val="20"/>
                <w:szCs w:val="20"/>
              </w:rPr>
            </w:pPr>
            <w:r w:rsidRPr="00AD4F6B">
              <w:rPr>
                <w:rFonts w:ascii="Arial Narrow" w:hAnsi="Arial Narrow"/>
                <w:sz w:val="20"/>
                <w:szCs w:val="20"/>
              </w:rPr>
              <w:t>2°: motor milestones, EFS</w:t>
            </w:r>
          </w:p>
        </w:tc>
      </w:tr>
      <w:tr w:rsidRPr="00AD4F6B" w:rsidR="00AD4F6B" w:rsidTr="00EA35AC" w14:paraId="003FF8E4" w14:textId="77777777">
        <w:tc>
          <w:tcPr>
            <w:tcW w:w="760" w:type="pct"/>
            <w:shd w:val="clear" w:color="auto" w:fill="C6D9F1" w:themeFill="text2" w:themeFillTint="33"/>
            <w:tcMar>
              <w:left w:w="20" w:type="dxa"/>
              <w:right w:w="20" w:type="dxa"/>
            </w:tcMar>
            <w:vAlign w:val="center"/>
          </w:tcPr>
          <w:p w:rsidRPr="00AD4F6B" w:rsidR="00CB59C7" w:rsidP="00264189" w:rsidRDefault="00CB59C7" w14:paraId="126E1E74" w14:textId="77777777">
            <w:pPr>
              <w:keepNext/>
              <w:keepLines/>
              <w:rPr>
                <w:rFonts w:ascii="Arial Narrow" w:hAnsi="Arial Narrow"/>
                <w:sz w:val="20"/>
                <w:szCs w:val="20"/>
              </w:rPr>
            </w:pPr>
            <w:r w:rsidRPr="00AD4F6B">
              <w:rPr>
                <w:rFonts w:ascii="Arial Narrow" w:hAnsi="Arial Narrow"/>
                <w:sz w:val="20"/>
                <w:szCs w:val="20"/>
              </w:rPr>
              <w:t>STR1VE-US</w:t>
            </w:r>
          </w:p>
          <w:p w:rsidRPr="00AD4F6B" w:rsidR="00CB59C7" w:rsidP="00264189" w:rsidRDefault="00CB59C7" w14:paraId="25930F8D" w14:textId="77777777">
            <w:pPr>
              <w:keepNext/>
              <w:keepLines/>
              <w:rPr>
                <w:rFonts w:ascii="Arial Narrow" w:hAnsi="Arial Narrow"/>
                <w:sz w:val="20"/>
                <w:szCs w:val="20"/>
              </w:rPr>
            </w:pPr>
            <w:r w:rsidRPr="00AD4F6B">
              <w:rPr>
                <w:rFonts w:ascii="Arial Narrow" w:hAnsi="Arial Narrow"/>
                <w:sz w:val="20"/>
                <w:szCs w:val="20"/>
              </w:rPr>
              <w:t xml:space="preserve">N=22 </w:t>
            </w:r>
          </w:p>
          <w:p w:rsidRPr="00AD4F6B" w:rsidR="00CB59C7" w:rsidP="00264189" w:rsidRDefault="00CB59C7" w14:paraId="15C84BAC" w14:textId="77777777">
            <w:pPr>
              <w:keepNext/>
              <w:keepLines/>
              <w:rPr>
                <w:rFonts w:ascii="Arial Narrow" w:hAnsi="Arial Narrow"/>
                <w:sz w:val="20"/>
                <w:szCs w:val="20"/>
              </w:rPr>
            </w:pPr>
            <w:r w:rsidRPr="00AD4F6B">
              <w:rPr>
                <w:rFonts w:ascii="Arial Narrow" w:hAnsi="Arial Narrow"/>
                <w:sz w:val="20"/>
                <w:szCs w:val="20"/>
              </w:rPr>
              <w:t>(1-2 copies)</w:t>
            </w:r>
          </w:p>
        </w:tc>
        <w:tc>
          <w:tcPr>
            <w:tcW w:w="1167" w:type="pct"/>
            <w:shd w:val="clear" w:color="auto" w:fill="C6D9F1" w:themeFill="text2" w:themeFillTint="33"/>
            <w:tcMar>
              <w:left w:w="20" w:type="dxa"/>
              <w:right w:w="20" w:type="dxa"/>
            </w:tcMar>
            <w:vAlign w:val="center"/>
          </w:tcPr>
          <w:p w:rsidRPr="00AD4F6B" w:rsidR="00CB59C7" w:rsidP="00264189" w:rsidRDefault="00CB59C7" w14:paraId="400BC8D8" w14:textId="77777777">
            <w:pPr>
              <w:keepNext/>
              <w:keepLines/>
              <w:jc w:val="left"/>
              <w:rPr>
                <w:rFonts w:ascii="Arial Narrow" w:hAnsi="Arial Narrow"/>
                <w:sz w:val="20"/>
                <w:szCs w:val="20"/>
              </w:rPr>
            </w:pPr>
            <w:r w:rsidRPr="00AD4F6B">
              <w:rPr>
                <w:rFonts w:ascii="Arial Narrow" w:hAnsi="Arial Narrow"/>
                <w:sz w:val="20"/>
                <w:szCs w:val="20"/>
              </w:rPr>
              <w:t>MC, NC, SA, OL up to 18mths of age</w:t>
            </w:r>
          </w:p>
        </w:tc>
        <w:tc>
          <w:tcPr>
            <w:tcW w:w="333" w:type="pct"/>
            <w:shd w:val="clear" w:color="auto" w:fill="C6D9F1" w:themeFill="text2" w:themeFillTint="33"/>
            <w:tcMar>
              <w:left w:w="20" w:type="dxa"/>
              <w:right w:w="20" w:type="dxa"/>
            </w:tcMar>
            <w:vAlign w:val="center"/>
          </w:tcPr>
          <w:p w:rsidRPr="00AD4F6B" w:rsidR="00CB59C7" w:rsidP="00264189" w:rsidRDefault="00CB59C7" w14:paraId="1F24EBA0" w14:textId="77777777">
            <w:pPr>
              <w:keepNext/>
              <w:keepLines/>
              <w:jc w:val="left"/>
              <w:rPr>
                <w:rFonts w:ascii="Arial Narrow" w:hAnsi="Arial Narrow"/>
                <w:sz w:val="20"/>
                <w:szCs w:val="20"/>
              </w:rPr>
            </w:pPr>
            <w:r w:rsidRPr="00AD4F6B">
              <w:rPr>
                <w:rFonts w:ascii="Arial Narrow" w:hAnsi="Arial Narrow"/>
                <w:sz w:val="20"/>
                <w:szCs w:val="20"/>
              </w:rPr>
              <w:t>High</w:t>
            </w:r>
          </w:p>
        </w:tc>
        <w:tc>
          <w:tcPr>
            <w:tcW w:w="665" w:type="pct"/>
            <w:shd w:val="clear" w:color="auto" w:fill="C6D9F1" w:themeFill="text2" w:themeFillTint="33"/>
            <w:tcMar>
              <w:left w:w="20" w:type="dxa"/>
              <w:right w:w="20" w:type="dxa"/>
            </w:tcMar>
            <w:vAlign w:val="center"/>
          </w:tcPr>
          <w:p w:rsidRPr="003E532E" w:rsidR="00CB59C7" w:rsidP="00264189" w:rsidRDefault="00CB59C7" w14:paraId="667014D7" w14:textId="77777777">
            <w:pPr>
              <w:keepNext/>
              <w:keepLines/>
              <w:jc w:val="left"/>
              <w:rPr>
                <w:rFonts w:ascii="Arial Narrow" w:hAnsi="Arial Narrow"/>
                <w:sz w:val="20"/>
                <w:szCs w:val="20"/>
                <w:lang w:val="pt-PT"/>
              </w:rPr>
            </w:pPr>
            <w:r w:rsidRPr="003E532E">
              <w:rPr>
                <w:rFonts w:ascii="Arial Narrow" w:hAnsi="Arial Narrow"/>
                <w:sz w:val="20"/>
                <w:szCs w:val="20"/>
                <w:lang w:val="pt-PT"/>
              </w:rPr>
              <w:t>ONA IV 1.1 x 10</w:t>
            </w:r>
            <w:r w:rsidRPr="003E532E">
              <w:rPr>
                <w:rFonts w:ascii="Arial Narrow" w:hAnsi="Arial Narrow"/>
                <w:sz w:val="20"/>
                <w:szCs w:val="20"/>
                <w:vertAlign w:val="superscript"/>
                <w:lang w:val="pt-PT"/>
              </w:rPr>
              <w:t>14</w:t>
            </w:r>
            <w:r w:rsidRPr="003E532E">
              <w:rPr>
                <w:rFonts w:ascii="Arial Narrow" w:hAnsi="Arial Narrow"/>
                <w:sz w:val="20"/>
                <w:szCs w:val="20"/>
                <w:lang w:val="pt-PT"/>
              </w:rPr>
              <w:t xml:space="preserve"> vg/kg</w:t>
            </w:r>
          </w:p>
        </w:tc>
        <w:tc>
          <w:tcPr>
            <w:tcW w:w="998" w:type="pct"/>
            <w:shd w:val="clear" w:color="auto" w:fill="C6D9F1" w:themeFill="text2" w:themeFillTint="33"/>
            <w:tcMar>
              <w:left w:w="20" w:type="dxa"/>
              <w:right w:w="20" w:type="dxa"/>
            </w:tcMar>
            <w:vAlign w:val="center"/>
          </w:tcPr>
          <w:p w:rsidRPr="00AD4F6B" w:rsidR="00CB59C7" w:rsidP="00264189" w:rsidRDefault="00CB59C7" w14:paraId="74DC7363" w14:textId="77777777">
            <w:pPr>
              <w:keepNext/>
              <w:keepLines/>
              <w:jc w:val="left"/>
              <w:rPr>
                <w:rFonts w:ascii="Arial Narrow" w:hAnsi="Arial Narrow"/>
                <w:sz w:val="20"/>
                <w:szCs w:val="20"/>
              </w:rPr>
            </w:pPr>
            <w:r w:rsidRPr="00AD4F6B">
              <w:rPr>
                <w:rFonts w:ascii="Arial Narrow" w:hAnsi="Arial Narrow"/>
                <w:sz w:val="20"/>
                <w:szCs w:val="20"/>
              </w:rPr>
              <w:t>Symptomatic patients – SMA Type I (1-2 copies of SMN2); aged &lt;6mths</w:t>
            </w:r>
          </w:p>
        </w:tc>
        <w:tc>
          <w:tcPr>
            <w:tcW w:w="1077" w:type="pct"/>
            <w:shd w:val="clear" w:color="auto" w:fill="C6D9F1" w:themeFill="text2" w:themeFillTint="33"/>
            <w:tcMar>
              <w:left w:w="20" w:type="dxa"/>
              <w:right w:w="20" w:type="dxa"/>
            </w:tcMar>
            <w:vAlign w:val="center"/>
          </w:tcPr>
          <w:p w:rsidRPr="00AD4F6B" w:rsidR="00CB59C7" w:rsidP="00264189" w:rsidRDefault="00CB59C7" w14:paraId="4843A3C3" w14:textId="77777777">
            <w:pPr>
              <w:keepNext/>
              <w:keepLines/>
              <w:jc w:val="left"/>
              <w:rPr>
                <w:rFonts w:ascii="Arial Narrow" w:hAnsi="Arial Narrow"/>
                <w:sz w:val="20"/>
                <w:szCs w:val="20"/>
              </w:rPr>
            </w:pPr>
            <w:r w:rsidRPr="00AD4F6B">
              <w:rPr>
                <w:rFonts w:ascii="Arial Narrow" w:hAnsi="Arial Narrow"/>
                <w:sz w:val="20"/>
                <w:szCs w:val="20"/>
              </w:rPr>
              <w:t xml:space="preserve">1°: motor milestone – sitting (age 18mths), EFS (age 14mths) </w:t>
            </w:r>
          </w:p>
          <w:p w:rsidRPr="00AD4F6B" w:rsidR="00CB59C7" w:rsidP="00264189" w:rsidRDefault="00CB59C7" w14:paraId="65EE40FC" w14:textId="77777777">
            <w:pPr>
              <w:keepNext/>
              <w:keepLines/>
              <w:jc w:val="left"/>
              <w:rPr>
                <w:rFonts w:ascii="Arial Narrow" w:hAnsi="Arial Narrow"/>
                <w:sz w:val="20"/>
                <w:szCs w:val="20"/>
              </w:rPr>
            </w:pPr>
            <w:r w:rsidRPr="00AD4F6B">
              <w:rPr>
                <w:rFonts w:ascii="Arial Narrow" w:hAnsi="Arial Narrow"/>
                <w:sz w:val="20"/>
                <w:szCs w:val="20"/>
              </w:rPr>
              <w:t>2°: motor milestones, OS</w:t>
            </w:r>
          </w:p>
        </w:tc>
      </w:tr>
      <w:tr w:rsidRPr="00AD4F6B" w:rsidR="00AD4F6B" w:rsidTr="00EA35AC" w14:paraId="1073A848" w14:textId="77777777">
        <w:tc>
          <w:tcPr>
            <w:tcW w:w="760" w:type="pct"/>
            <w:shd w:val="clear" w:color="auto" w:fill="C6D9F1" w:themeFill="text2" w:themeFillTint="33"/>
            <w:tcMar>
              <w:left w:w="20" w:type="dxa"/>
              <w:right w:w="20" w:type="dxa"/>
            </w:tcMar>
            <w:vAlign w:val="center"/>
          </w:tcPr>
          <w:p w:rsidRPr="00AD4F6B" w:rsidR="00CB59C7" w:rsidP="00264189" w:rsidRDefault="00CB59C7" w14:paraId="313BE12D" w14:textId="77777777">
            <w:pPr>
              <w:keepNext/>
              <w:keepLines/>
              <w:rPr>
                <w:rFonts w:ascii="Arial Narrow" w:hAnsi="Arial Narrow"/>
                <w:sz w:val="20"/>
                <w:szCs w:val="20"/>
              </w:rPr>
            </w:pPr>
            <w:r w:rsidRPr="00AD4F6B">
              <w:rPr>
                <w:rFonts w:ascii="Arial Narrow" w:hAnsi="Arial Narrow"/>
                <w:sz w:val="20"/>
                <w:szCs w:val="20"/>
              </w:rPr>
              <w:t>STR1VE-EU</w:t>
            </w:r>
          </w:p>
          <w:p w:rsidRPr="00AD4F6B" w:rsidR="00CB59C7" w:rsidP="00264189" w:rsidRDefault="00CB59C7" w14:paraId="613A447A" w14:textId="77777777">
            <w:pPr>
              <w:keepNext/>
              <w:keepLines/>
              <w:rPr>
                <w:rFonts w:ascii="Arial Narrow" w:hAnsi="Arial Narrow"/>
                <w:sz w:val="20"/>
                <w:szCs w:val="20"/>
              </w:rPr>
            </w:pPr>
            <w:r w:rsidRPr="00AD4F6B">
              <w:rPr>
                <w:rFonts w:ascii="Arial Narrow" w:hAnsi="Arial Narrow"/>
                <w:sz w:val="20"/>
                <w:szCs w:val="20"/>
              </w:rPr>
              <w:t xml:space="preserve">N=33 </w:t>
            </w:r>
          </w:p>
          <w:p w:rsidRPr="00AD4F6B" w:rsidR="00CB59C7" w:rsidP="00264189" w:rsidRDefault="00CB59C7" w14:paraId="1361EF57" w14:textId="77777777">
            <w:pPr>
              <w:keepNext/>
              <w:keepLines/>
              <w:rPr>
                <w:rFonts w:ascii="Arial Narrow" w:hAnsi="Arial Narrow"/>
                <w:sz w:val="20"/>
                <w:szCs w:val="20"/>
              </w:rPr>
            </w:pPr>
            <w:r w:rsidRPr="00AD4F6B">
              <w:rPr>
                <w:rFonts w:ascii="Arial Narrow" w:hAnsi="Arial Narrow"/>
                <w:sz w:val="20"/>
                <w:szCs w:val="20"/>
              </w:rPr>
              <w:t>(1-2 copies)</w:t>
            </w:r>
          </w:p>
        </w:tc>
        <w:tc>
          <w:tcPr>
            <w:tcW w:w="1167" w:type="pct"/>
            <w:shd w:val="clear" w:color="auto" w:fill="C6D9F1" w:themeFill="text2" w:themeFillTint="33"/>
            <w:tcMar>
              <w:left w:w="20" w:type="dxa"/>
              <w:right w:w="20" w:type="dxa"/>
            </w:tcMar>
            <w:vAlign w:val="center"/>
          </w:tcPr>
          <w:p w:rsidRPr="00AD4F6B" w:rsidR="00CB59C7" w:rsidP="00264189" w:rsidRDefault="00CB59C7" w14:paraId="2F27891D" w14:textId="77777777">
            <w:pPr>
              <w:keepNext/>
              <w:keepLines/>
              <w:jc w:val="left"/>
              <w:rPr>
                <w:rFonts w:ascii="Arial Narrow" w:hAnsi="Arial Narrow"/>
                <w:sz w:val="20"/>
                <w:szCs w:val="20"/>
              </w:rPr>
            </w:pPr>
            <w:r w:rsidRPr="00AD4F6B">
              <w:rPr>
                <w:rFonts w:ascii="Arial Narrow" w:hAnsi="Arial Narrow"/>
                <w:sz w:val="20"/>
                <w:szCs w:val="20"/>
              </w:rPr>
              <w:t>MC, NC, SA, OL up to 18mths of age</w:t>
            </w:r>
          </w:p>
        </w:tc>
        <w:tc>
          <w:tcPr>
            <w:tcW w:w="333" w:type="pct"/>
            <w:shd w:val="clear" w:color="auto" w:fill="C6D9F1" w:themeFill="text2" w:themeFillTint="33"/>
            <w:tcMar>
              <w:left w:w="20" w:type="dxa"/>
              <w:right w:w="20" w:type="dxa"/>
            </w:tcMar>
            <w:vAlign w:val="center"/>
          </w:tcPr>
          <w:p w:rsidRPr="00AD4F6B" w:rsidR="00CB59C7" w:rsidP="00264189" w:rsidRDefault="00CB59C7" w14:paraId="1AC3F355" w14:textId="77777777">
            <w:pPr>
              <w:keepNext/>
              <w:keepLines/>
              <w:jc w:val="left"/>
              <w:rPr>
                <w:rFonts w:ascii="Arial Narrow" w:hAnsi="Arial Narrow"/>
                <w:sz w:val="20"/>
                <w:szCs w:val="20"/>
              </w:rPr>
            </w:pPr>
            <w:r w:rsidRPr="00AD4F6B">
              <w:rPr>
                <w:rFonts w:ascii="Arial Narrow" w:hAnsi="Arial Narrow"/>
                <w:sz w:val="20"/>
                <w:szCs w:val="20"/>
              </w:rPr>
              <w:t>High</w:t>
            </w:r>
          </w:p>
        </w:tc>
        <w:tc>
          <w:tcPr>
            <w:tcW w:w="665" w:type="pct"/>
            <w:shd w:val="clear" w:color="auto" w:fill="C6D9F1" w:themeFill="text2" w:themeFillTint="33"/>
            <w:tcMar>
              <w:left w:w="20" w:type="dxa"/>
              <w:right w:w="20" w:type="dxa"/>
            </w:tcMar>
            <w:vAlign w:val="center"/>
          </w:tcPr>
          <w:p w:rsidRPr="003E532E" w:rsidR="00CB59C7" w:rsidP="00264189" w:rsidRDefault="00CB59C7" w14:paraId="6A5AB687" w14:textId="77777777">
            <w:pPr>
              <w:keepNext/>
              <w:keepLines/>
              <w:jc w:val="left"/>
              <w:rPr>
                <w:rFonts w:ascii="Arial Narrow" w:hAnsi="Arial Narrow"/>
                <w:sz w:val="20"/>
                <w:szCs w:val="20"/>
                <w:lang w:val="pt-PT"/>
              </w:rPr>
            </w:pPr>
            <w:r w:rsidRPr="003E532E">
              <w:rPr>
                <w:rFonts w:ascii="Arial Narrow" w:hAnsi="Arial Narrow"/>
                <w:sz w:val="20"/>
                <w:szCs w:val="20"/>
                <w:lang w:val="pt-PT"/>
              </w:rPr>
              <w:t>ONA IV 1.1 x 10</w:t>
            </w:r>
            <w:r w:rsidRPr="003E532E">
              <w:rPr>
                <w:rFonts w:ascii="Arial Narrow" w:hAnsi="Arial Narrow"/>
                <w:sz w:val="20"/>
                <w:szCs w:val="20"/>
                <w:vertAlign w:val="superscript"/>
                <w:lang w:val="pt-PT"/>
              </w:rPr>
              <w:t>14</w:t>
            </w:r>
            <w:r w:rsidRPr="003E532E">
              <w:rPr>
                <w:rFonts w:ascii="Arial Narrow" w:hAnsi="Arial Narrow"/>
                <w:sz w:val="20"/>
                <w:szCs w:val="20"/>
                <w:lang w:val="pt-PT"/>
              </w:rPr>
              <w:t xml:space="preserve"> vg/kg</w:t>
            </w:r>
          </w:p>
        </w:tc>
        <w:tc>
          <w:tcPr>
            <w:tcW w:w="998" w:type="pct"/>
            <w:shd w:val="clear" w:color="auto" w:fill="C6D9F1" w:themeFill="text2" w:themeFillTint="33"/>
            <w:tcMar>
              <w:left w:w="20" w:type="dxa"/>
              <w:right w:w="20" w:type="dxa"/>
            </w:tcMar>
            <w:vAlign w:val="center"/>
          </w:tcPr>
          <w:p w:rsidRPr="00AD4F6B" w:rsidR="00CB59C7" w:rsidP="00264189" w:rsidRDefault="00CB59C7" w14:paraId="35195127" w14:textId="77777777">
            <w:pPr>
              <w:keepNext/>
              <w:keepLines/>
              <w:jc w:val="left"/>
              <w:rPr>
                <w:rFonts w:ascii="Arial Narrow" w:hAnsi="Arial Narrow"/>
                <w:sz w:val="20"/>
                <w:szCs w:val="20"/>
              </w:rPr>
            </w:pPr>
            <w:r w:rsidRPr="00AD4F6B">
              <w:rPr>
                <w:rFonts w:ascii="Arial Narrow" w:hAnsi="Arial Narrow"/>
                <w:sz w:val="20"/>
                <w:szCs w:val="20"/>
              </w:rPr>
              <w:t>Symptomatic patients – SMA Type I</w:t>
            </w:r>
            <w:r w:rsidRPr="00AD4F6B">
              <w:t xml:space="preserve"> </w:t>
            </w:r>
            <w:r w:rsidRPr="00AD4F6B">
              <w:rPr>
                <w:rFonts w:ascii="Arial Narrow" w:hAnsi="Arial Narrow"/>
                <w:sz w:val="20"/>
                <w:szCs w:val="20"/>
              </w:rPr>
              <w:t>(1-2 copies of SMN2); aged &lt;6mths</w:t>
            </w:r>
          </w:p>
        </w:tc>
        <w:tc>
          <w:tcPr>
            <w:tcW w:w="1077" w:type="pct"/>
            <w:shd w:val="clear" w:color="auto" w:fill="C6D9F1" w:themeFill="text2" w:themeFillTint="33"/>
            <w:tcMar>
              <w:left w:w="20" w:type="dxa"/>
              <w:right w:w="20" w:type="dxa"/>
            </w:tcMar>
            <w:vAlign w:val="center"/>
          </w:tcPr>
          <w:p w:rsidRPr="00AD4F6B" w:rsidR="00CB59C7" w:rsidP="00264189" w:rsidRDefault="00CB59C7" w14:paraId="274B2587" w14:textId="77777777">
            <w:pPr>
              <w:keepNext/>
              <w:keepLines/>
              <w:jc w:val="left"/>
              <w:rPr>
                <w:rFonts w:ascii="Arial Narrow" w:hAnsi="Arial Narrow"/>
                <w:sz w:val="20"/>
                <w:szCs w:val="20"/>
              </w:rPr>
            </w:pPr>
            <w:r w:rsidRPr="00AD4F6B">
              <w:rPr>
                <w:rFonts w:ascii="Arial Narrow" w:hAnsi="Arial Narrow"/>
                <w:sz w:val="20"/>
                <w:szCs w:val="20"/>
              </w:rPr>
              <w:t>1°: motor milestone – sitting (age 18mths)</w:t>
            </w:r>
          </w:p>
          <w:p w:rsidRPr="00AD4F6B" w:rsidR="00CB59C7" w:rsidP="00264189" w:rsidRDefault="00CB59C7" w14:paraId="08EB7627" w14:textId="77777777">
            <w:pPr>
              <w:keepNext/>
              <w:keepLines/>
              <w:jc w:val="left"/>
              <w:rPr>
                <w:rFonts w:ascii="Arial Narrow" w:hAnsi="Arial Narrow"/>
                <w:sz w:val="20"/>
                <w:szCs w:val="20"/>
              </w:rPr>
            </w:pPr>
            <w:r w:rsidRPr="00AD4F6B">
              <w:rPr>
                <w:rFonts w:ascii="Arial Narrow" w:hAnsi="Arial Narrow"/>
                <w:sz w:val="20"/>
                <w:szCs w:val="20"/>
              </w:rPr>
              <w:t>2°: EFS, OS</w:t>
            </w:r>
          </w:p>
          <w:p w:rsidRPr="00AD4F6B" w:rsidR="00CB59C7" w:rsidP="00264189" w:rsidRDefault="00CB59C7" w14:paraId="4C205BEE" w14:textId="77777777">
            <w:pPr>
              <w:keepNext/>
              <w:keepLines/>
              <w:jc w:val="left"/>
              <w:rPr>
                <w:rFonts w:ascii="Arial Narrow" w:hAnsi="Arial Narrow"/>
                <w:sz w:val="20"/>
                <w:szCs w:val="20"/>
              </w:rPr>
            </w:pPr>
            <w:r w:rsidRPr="00AD4F6B">
              <w:rPr>
                <w:rFonts w:ascii="Arial Narrow" w:hAnsi="Arial Narrow"/>
                <w:sz w:val="20"/>
                <w:szCs w:val="20"/>
              </w:rPr>
              <w:t>Other: motor milestones</w:t>
            </w:r>
          </w:p>
        </w:tc>
      </w:tr>
      <w:tr w:rsidRPr="00AD4F6B" w:rsidR="00AD4F6B" w:rsidTr="00EA35AC" w14:paraId="31C10616" w14:textId="77777777">
        <w:tc>
          <w:tcPr>
            <w:tcW w:w="760" w:type="pct"/>
            <w:shd w:val="clear" w:color="auto" w:fill="C6D9F1" w:themeFill="text2" w:themeFillTint="33"/>
            <w:tcMar>
              <w:left w:w="20" w:type="dxa"/>
              <w:right w:w="20" w:type="dxa"/>
            </w:tcMar>
            <w:vAlign w:val="center"/>
          </w:tcPr>
          <w:p w:rsidRPr="00AD4F6B" w:rsidR="00CB59C7" w:rsidP="002E408F" w:rsidRDefault="00CB59C7" w14:paraId="400B9E6F" w14:textId="77777777">
            <w:pPr>
              <w:keepNext/>
              <w:keepLines/>
              <w:jc w:val="left"/>
              <w:rPr>
                <w:rFonts w:ascii="Arial Narrow" w:hAnsi="Arial Narrow"/>
                <w:sz w:val="20"/>
                <w:szCs w:val="20"/>
              </w:rPr>
            </w:pPr>
            <w:r w:rsidRPr="00AD4F6B">
              <w:rPr>
                <w:rFonts w:ascii="Arial Narrow" w:hAnsi="Arial Narrow"/>
                <w:sz w:val="20"/>
                <w:szCs w:val="20"/>
              </w:rPr>
              <w:t>LT-002^ (SPR1NT)</w:t>
            </w:r>
          </w:p>
          <w:p w:rsidRPr="00AD4F6B" w:rsidR="00CB59C7" w:rsidP="002E408F" w:rsidRDefault="00CB59C7" w14:paraId="18C9DEB8" w14:textId="77777777">
            <w:pPr>
              <w:keepNext/>
              <w:keepLines/>
              <w:jc w:val="left"/>
              <w:rPr>
                <w:rFonts w:ascii="Arial Narrow" w:hAnsi="Arial Narrow"/>
                <w:sz w:val="20"/>
                <w:szCs w:val="20"/>
              </w:rPr>
            </w:pPr>
            <w:r w:rsidRPr="00AD4F6B">
              <w:rPr>
                <w:rFonts w:ascii="Arial Narrow" w:hAnsi="Arial Narrow"/>
                <w:sz w:val="20"/>
                <w:szCs w:val="20"/>
              </w:rPr>
              <w:t>n=12 (2 copies); 13 (3 copies)</w:t>
            </w:r>
          </w:p>
        </w:tc>
        <w:tc>
          <w:tcPr>
            <w:tcW w:w="1167" w:type="pct"/>
            <w:shd w:val="clear" w:color="auto" w:fill="C6D9F1" w:themeFill="text2" w:themeFillTint="33"/>
            <w:tcMar>
              <w:left w:w="20" w:type="dxa"/>
              <w:right w:w="20" w:type="dxa"/>
            </w:tcMar>
            <w:vAlign w:val="center"/>
          </w:tcPr>
          <w:p w:rsidRPr="00AD4F6B" w:rsidR="00CB59C7" w:rsidP="00264189" w:rsidRDefault="00CB59C7" w14:paraId="1371FCE2" w14:textId="77777777">
            <w:pPr>
              <w:pStyle w:val="TableText0"/>
            </w:pPr>
            <w:r w:rsidRPr="00AD4F6B">
              <w:t>MC, OB, OL extension 15 yrs</w:t>
            </w:r>
          </w:p>
          <w:p w:rsidRPr="00AD4F6B" w:rsidR="00CB59C7" w:rsidP="00264189" w:rsidRDefault="00CB59C7" w14:paraId="16FF1AE2" w14:textId="77777777">
            <w:pPr>
              <w:keepNext/>
              <w:keepLines/>
              <w:jc w:val="left"/>
              <w:rPr>
                <w:rFonts w:ascii="Arial Narrow" w:hAnsi="Arial Narrow"/>
                <w:sz w:val="20"/>
                <w:szCs w:val="20"/>
              </w:rPr>
            </w:pPr>
            <w:r w:rsidRPr="00AD4F6B">
              <w:rPr>
                <w:rFonts w:ascii="Arial Narrow" w:hAnsi="Arial Narrow"/>
                <w:sz w:val="20"/>
                <w:szCs w:val="20"/>
              </w:rPr>
              <w:t xml:space="preserve">May 2022 data cut: median age (range): 43.7 (35.9, 50.5) </w:t>
            </w:r>
            <w:proofErr w:type="spellStart"/>
            <w:r w:rsidRPr="00AD4F6B">
              <w:rPr>
                <w:rFonts w:ascii="Arial Narrow" w:hAnsi="Arial Narrow"/>
                <w:sz w:val="20"/>
                <w:szCs w:val="20"/>
              </w:rPr>
              <w:t>mths</w:t>
            </w:r>
            <w:proofErr w:type="spellEnd"/>
            <w:r w:rsidRPr="00AD4F6B">
              <w:rPr>
                <w:rFonts w:ascii="Arial Narrow" w:hAnsi="Arial Narrow"/>
                <w:sz w:val="20"/>
                <w:szCs w:val="20"/>
              </w:rPr>
              <w:t xml:space="preserve"> for 2 copies and 40.1 (34.4, 46.0) for 3 copies; time since treatment (range): 43.2 (35.2, 50.2) </w:t>
            </w:r>
            <w:proofErr w:type="spellStart"/>
            <w:r w:rsidRPr="00AD4F6B">
              <w:rPr>
                <w:rFonts w:ascii="Arial Narrow" w:hAnsi="Arial Narrow"/>
                <w:sz w:val="20"/>
                <w:szCs w:val="20"/>
              </w:rPr>
              <w:t>mths</w:t>
            </w:r>
            <w:proofErr w:type="spellEnd"/>
            <w:r w:rsidRPr="00AD4F6B">
              <w:rPr>
                <w:rFonts w:ascii="Arial Narrow" w:hAnsi="Arial Narrow"/>
                <w:sz w:val="20"/>
                <w:szCs w:val="20"/>
              </w:rPr>
              <w:t xml:space="preserve"> for 2 copies and 39.6 (33.8, 44.8) </w:t>
            </w:r>
            <w:proofErr w:type="spellStart"/>
            <w:r w:rsidRPr="00AD4F6B">
              <w:rPr>
                <w:rFonts w:ascii="Arial Narrow" w:hAnsi="Arial Narrow"/>
                <w:sz w:val="20"/>
                <w:szCs w:val="20"/>
              </w:rPr>
              <w:t>mths</w:t>
            </w:r>
            <w:proofErr w:type="spellEnd"/>
            <w:r w:rsidRPr="00AD4F6B">
              <w:rPr>
                <w:rFonts w:ascii="Arial Narrow" w:hAnsi="Arial Narrow"/>
                <w:sz w:val="20"/>
                <w:szCs w:val="20"/>
              </w:rPr>
              <w:t xml:space="preserve"> for 3 copies. </w:t>
            </w:r>
          </w:p>
        </w:tc>
        <w:tc>
          <w:tcPr>
            <w:tcW w:w="333" w:type="pct"/>
            <w:shd w:val="clear" w:color="auto" w:fill="C6D9F1" w:themeFill="text2" w:themeFillTint="33"/>
            <w:tcMar>
              <w:left w:w="20" w:type="dxa"/>
              <w:right w:w="20" w:type="dxa"/>
            </w:tcMar>
            <w:vAlign w:val="center"/>
          </w:tcPr>
          <w:p w:rsidRPr="00AD4F6B" w:rsidR="00CB59C7" w:rsidP="00264189" w:rsidRDefault="00CB59C7" w14:paraId="53B70D18" w14:textId="77777777">
            <w:pPr>
              <w:keepNext/>
              <w:keepLines/>
              <w:jc w:val="left"/>
              <w:rPr>
                <w:rFonts w:ascii="Arial Narrow" w:hAnsi="Arial Narrow"/>
                <w:sz w:val="20"/>
                <w:szCs w:val="20"/>
              </w:rPr>
            </w:pPr>
            <w:r w:rsidRPr="00AD4F6B">
              <w:rPr>
                <w:rFonts w:ascii="Arial Narrow" w:hAnsi="Arial Narrow"/>
                <w:sz w:val="20"/>
                <w:szCs w:val="20"/>
              </w:rPr>
              <w:t>High</w:t>
            </w:r>
          </w:p>
        </w:tc>
        <w:tc>
          <w:tcPr>
            <w:tcW w:w="665" w:type="pct"/>
            <w:shd w:val="clear" w:color="auto" w:fill="C6D9F1" w:themeFill="text2" w:themeFillTint="33"/>
            <w:tcMar>
              <w:left w:w="20" w:type="dxa"/>
              <w:right w:w="20" w:type="dxa"/>
            </w:tcMar>
            <w:vAlign w:val="center"/>
          </w:tcPr>
          <w:p w:rsidRPr="00AD4F6B" w:rsidR="00CB59C7" w:rsidP="00264189" w:rsidRDefault="00CB59C7" w14:paraId="307E2604" w14:textId="77777777">
            <w:pPr>
              <w:keepNext/>
              <w:keepLines/>
              <w:jc w:val="left"/>
              <w:rPr>
                <w:rFonts w:ascii="Arial Narrow" w:hAnsi="Arial Narrow"/>
                <w:sz w:val="20"/>
                <w:szCs w:val="20"/>
              </w:rPr>
            </w:pPr>
            <w:r w:rsidRPr="00AD4F6B">
              <w:rPr>
                <w:rFonts w:ascii="Arial Narrow" w:hAnsi="Arial Narrow"/>
                <w:sz w:val="20"/>
                <w:szCs w:val="20"/>
              </w:rPr>
              <w:t>As in SPR1NT</w:t>
            </w:r>
          </w:p>
        </w:tc>
        <w:tc>
          <w:tcPr>
            <w:tcW w:w="998" w:type="pct"/>
            <w:shd w:val="clear" w:color="auto" w:fill="C6D9F1" w:themeFill="text2" w:themeFillTint="33"/>
            <w:tcMar>
              <w:left w:w="20" w:type="dxa"/>
              <w:right w:w="20" w:type="dxa"/>
            </w:tcMar>
            <w:vAlign w:val="center"/>
          </w:tcPr>
          <w:p w:rsidRPr="00AD4F6B" w:rsidR="00CB59C7" w:rsidP="00264189" w:rsidRDefault="00CB59C7" w14:paraId="72852830" w14:textId="77777777">
            <w:pPr>
              <w:keepNext/>
              <w:keepLines/>
              <w:jc w:val="left"/>
              <w:rPr>
                <w:rFonts w:ascii="Arial Narrow" w:hAnsi="Arial Narrow"/>
                <w:sz w:val="20"/>
                <w:szCs w:val="20"/>
              </w:rPr>
            </w:pPr>
            <w:r w:rsidRPr="00AD4F6B">
              <w:rPr>
                <w:rFonts w:ascii="Arial Narrow" w:hAnsi="Arial Narrow"/>
                <w:sz w:val="20"/>
                <w:szCs w:val="20"/>
              </w:rPr>
              <w:t>Extension study of SPR1NT</w:t>
            </w:r>
          </w:p>
        </w:tc>
        <w:tc>
          <w:tcPr>
            <w:tcW w:w="1077" w:type="pct"/>
            <w:shd w:val="clear" w:color="auto" w:fill="C6D9F1" w:themeFill="text2" w:themeFillTint="33"/>
            <w:tcMar>
              <w:left w:w="20" w:type="dxa"/>
              <w:right w:w="20" w:type="dxa"/>
            </w:tcMar>
            <w:vAlign w:val="center"/>
          </w:tcPr>
          <w:p w:rsidRPr="00AD4F6B" w:rsidR="00CB59C7" w:rsidP="00264189" w:rsidRDefault="00CB59C7" w14:paraId="7963B73D" w14:textId="77777777">
            <w:pPr>
              <w:keepNext/>
              <w:keepLines/>
              <w:jc w:val="left"/>
              <w:rPr>
                <w:rFonts w:ascii="Arial Narrow" w:hAnsi="Arial Narrow"/>
                <w:sz w:val="20"/>
                <w:szCs w:val="20"/>
              </w:rPr>
            </w:pPr>
            <w:r w:rsidRPr="00AD4F6B">
              <w:rPr>
                <w:rFonts w:ascii="Arial Narrow" w:hAnsi="Arial Narrow"/>
                <w:sz w:val="20"/>
                <w:szCs w:val="20"/>
              </w:rPr>
              <w:t>1°: motor milestone (24mths)</w:t>
            </w:r>
          </w:p>
          <w:p w:rsidRPr="00AD4F6B" w:rsidR="00CB59C7" w:rsidP="00264189" w:rsidRDefault="00CB59C7" w14:paraId="01799E78" w14:textId="77777777">
            <w:pPr>
              <w:keepNext/>
              <w:keepLines/>
              <w:jc w:val="left"/>
              <w:rPr>
                <w:rFonts w:ascii="Arial Narrow" w:hAnsi="Arial Narrow"/>
                <w:sz w:val="20"/>
                <w:szCs w:val="20"/>
              </w:rPr>
            </w:pPr>
            <w:r w:rsidRPr="00AD4F6B">
              <w:rPr>
                <w:rFonts w:ascii="Arial Narrow" w:hAnsi="Arial Narrow"/>
                <w:sz w:val="20"/>
                <w:szCs w:val="20"/>
              </w:rPr>
              <w:t>2°: motor milestones, EFS</w:t>
            </w:r>
          </w:p>
        </w:tc>
      </w:tr>
      <w:tr w:rsidRPr="00AD4F6B" w:rsidR="00AD4F6B" w:rsidTr="00EA35AC" w14:paraId="50EF6C9F" w14:textId="77777777">
        <w:tc>
          <w:tcPr>
            <w:tcW w:w="760" w:type="pct"/>
            <w:shd w:val="clear" w:color="auto" w:fill="C6D9F1" w:themeFill="text2" w:themeFillTint="33"/>
            <w:tcMar>
              <w:left w:w="20" w:type="dxa"/>
              <w:right w:w="20" w:type="dxa"/>
            </w:tcMar>
            <w:vAlign w:val="center"/>
          </w:tcPr>
          <w:p w:rsidRPr="00AD4F6B" w:rsidR="00CB59C7" w:rsidP="00264189" w:rsidRDefault="00CB59C7" w14:paraId="55133F14" w14:textId="77777777">
            <w:pPr>
              <w:keepNext/>
              <w:keepLines/>
              <w:rPr>
                <w:rFonts w:ascii="Arial Narrow" w:hAnsi="Arial Narrow"/>
                <w:sz w:val="20"/>
                <w:szCs w:val="20"/>
              </w:rPr>
            </w:pPr>
            <w:r w:rsidRPr="00AD4F6B">
              <w:rPr>
                <w:rFonts w:ascii="Arial Narrow" w:hAnsi="Arial Narrow"/>
                <w:sz w:val="20"/>
                <w:szCs w:val="20"/>
              </w:rPr>
              <w:t>LT-002^ (STR1VE-US, STR1VE-EU)</w:t>
            </w:r>
          </w:p>
          <w:p w:rsidRPr="00AD4F6B" w:rsidR="00CB59C7" w:rsidP="00264189" w:rsidRDefault="00CB59C7" w14:paraId="5E67B360" w14:textId="77777777">
            <w:pPr>
              <w:keepNext/>
              <w:keepLines/>
              <w:rPr>
                <w:rFonts w:ascii="Arial Narrow" w:hAnsi="Arial Narrow"/>
                <w:sz w:val="20"/>
                <w:szCs w:val="20"/>
              </w:rPr>
            </w:pPr>
            <w:r w:rsidRPr="00AD4F6B">
              <w:rPr>
                <w:rFonts w:ascii="Arial Narrow" w:hAnsi="Arial Narrow"/>
                <w:sz w:val="20"/>
                <w:szCs w:val="20"/>
              </w:rPr>
              <w:t>n=12; 24</w:t>
            </w:r>
          </w:p>
        </w:tc>
        <w:tc>
          <w:tcPr>
            <w:tcW w:w="1167" w:type="pct"/>
            <w:shd w:val="clear" w:color="auto" w:fill="C6D9F1" w:themeFill="text2" w:themeFillTint="33"/>
            <w:tcMar>
              <w:left w:w="20" w:type="dxa"/>
              <w:right w:w="20" w:type="dxa"/>
            </w:tcMar>
            <w:vAlign w:val="center"/>
          </w:tcPr>
          <w:p w:rsidRPr="00AD4F6B" w:rsidR="00CB59C7" w:rsidP="00264189" w:rsidRDefault="00CB59C7" w14:paraId="4B594896" w14:textId="77777777">
            <w:pPr>
              <w:pStyle w:val="TableText0"/>
            </w:pPr>
            <w:r w:rsidRPr="00AD4F6B">
              <w:t>MC, OB, OL extension 15 yrs</w:t>
            </w:r>
          </w:p>
          <w:p w:rsidRPr="00AD4F6B" w:rsidR="00CB59C7" w:rsidP="00264189" w:rsidRDefault="00CB59C7" w14:paraId="3B426CBF" w14:textId="77777777">
            <w:pPr>
              <w:pStyle w:val="TableText0"/>
            </w:pPr>
            <w:r w:rsidRPr="00AD4F6B">
              <w:t xml:space="preserve">May 2022 data cut: median age (range): 54.0 (47.8, 57.2) for STRIVE-US and 46.1 (40.4-50.1) for STRIVE-EU; time since treatment (range): 49.0 (12.6-52.3) </w:t>
            </w:r>
            <w:proofErr w:type="spellStart"/>
            <w:r w:rsidRPr="00AD4F6B">
              <w:t>mths</w:t>
            </w:r>
            <w:proofErr w:type="spellEnd"/>
            <w:r w:rsidRPr="00AD4F6B">
              <w:t xml:space="preserve"> for STRIVE-US and 41.9 (36.6-44.8) </w:t>
            </w:r>
            <w:proofErr w:type="spellStart"/>
            <w:r w:rsidRPr="00AD4F6B">
              <w:t>mths</w:t>
            </w:r>
            <w:proofErr w:type="spellEnd"/>
            <w:r w:rsidRPr="00AD4F6B">
              <w:t xml:space="preserve"> for STRIVE-EU. </w:t>
            </w:r>
          </w:p>
        </w:tc>
        <w:tc>
          <w:tcPr>
            <w:tcW w:w="333" w:type="pct"/>
            <w:shd w:val="clear" w:color="auto" w:fill="C6D9F1" w:themeFill="text2" w:themeFillTint="33"/>
            <w:tcMar>
              <w:left w:w="20" w:type="dxa"/>
              <w:right w:w="20" w:type="dxa"/>
            </w:tcMar>
            <w:vAlign w:val="center"/>
          </w:tcPr>
          <w:p w:rsidRPr="00AD4F6B" w:rsidR="00CB59C7" w:rsidP="00264189" w:rsidRDefault="00CB59C7" w14:paraId="7E52B572" w14:textId="77777777">
            <w:pPr>
              <w:keepNext/>
              <w:keepLines/>
              <w:jc w:val="left"/>
              <w:rPr>
                <w:rFonts w:ascii="Arial Narrow" w:hAnsi="Arial Narrow"/>
                <w:sz w:val="20"/>
                <w:szCs w:val="20"/>
              </w:rPr>
            </w:pPr>
            <w:r w:rsidRPr="00AD4F6B">
              <w:rPr>
                <w:rFonts w:ascii="Arial Narrow" w:hAnsi="Arial Narrow"/>
                <w:sz w:val="20"/>
                <w:szCs w:val="20"/>
              </w:rPr>
              <w:t>High</w:t>
            </w:r>
          </w:p>
        </w:tc>
        <w:tc>
          <w:tcPr>
            <w:tcW w:w="665" w:type="pct"/>
            <w:shd w:val="clear" w:color="auto" w:fill="C6D9F1" w:themeFill="text2" w:themeFillTint="33"/>
            <w:tcMar>
              <w:left w:w="20" w:type="dxa"/>
              <w:right w:w="20" w:type="dxa"/>
            </w:tcMar>
            <w:vAlign w:val="center"/>
          </w:tcPr>
          <w:p w:rsidRPr="00AD4F6B" w:rsidR="00CB59C7" w:rsidP="00264189" w:rsidRDefault="00CB59C7" w14:paraId="4607E35B" w14:textId="77777777">
            <w:pPr>
              <w:keepNext/>
              <w:keepLines/>
              <w:jc w:val="left"/>
              <w:rPr>
                <w:rFonts w:ascii="Arial Narrow" w:hAnsi="Arial Narrow"/>
                <w:sz w:val="20"/>
                <w:szCs w:val="20"/>
              </w:rPr>
            </w:pPr>
            <w:r w:rsidRPr="00AD4F6B">
              <w:rPr>
                <w:rFonts w:ascii="Arial Narrow" w:hAnsi="Arial Narrow"/>
                <w:sz w:val="20"/>
                <w:szCs w:val="20"/>
              </w:rPr>
              <w:t>As in STR1VE</w:t>
            </w:r>
          </w:p>
        </w:tc>
        <w:tc>
          <w:tcPr>
            <w:tcW w:w="998" w:type="pct"/>
            <w:shd w:val="clear" w:color="auto" w:fill="C6D9F1" w:themeFill="text2" w:themeFillTint="33"/>
            <w:tcMar>
              <w:left w:w="20" w:type="dxa"/>
              <w:right w:w="20" w:type="dxa"/>
            </w:tcMar>
            <w:vAlign w:val="center"/>
          </w:tcPr>
          <w:p w:rsidRPr="00AD4F6B" w:rsidR="00CB59C7" w:rsidP="00264189" w:rsidRDefault="00CB59C7" w14:paraId="37A9E729" w14:textId="77777777">
            <w:pPr>
              <w:keepNext/>
              <w:keepLines/>
              <w:jc w:val="left"/>
              <w:rPr>
                <w:rFonts w:ascii="Arial Narrow" w:hAnsi="Arial Narrow"/>
                <w:sz w:val="20"/>
                <w:szCs w:val="20"/>
              </w:rPr>
            </w:pPr>
            <w:r w:rsidRPr="00AD4F6B">
              <w:rPr>
                <w:rFonts w:ascii="Arial Narrow" w:hAnsi="Arial Narrow"/>
                <w:sz w:val="20"/>
                <w:szCs w:val="20"/>
              </w:rPr>
              <w:t>Extension study of STR1VE-US and STR1VE-EU</w:t>
            </w:r>
          </w:p>
        </w:tc>
        <w:tc>
          <w:tcPr>
            <w:tcW w:w="1077" w:type="pct"/>
            <w:shd w:val="clear" w:color="auto" w:fill="C6D9F1" w:themeFill="text2" w:themeFillTint="33"/>
            <w:tcMar>
              <w:left w:w="20" w:type="dxa"/>
              <w:right w:w="20" w:type="dxa"/>
            </w:tcMar>
            <w:vAlign w:val="center"/>
          </w:tcPr>
          <w:p w:rsidRPr="00AD4F6B" w:rsidR="00CB59C7" w:rsidP="00264189" w:rsidRDefault="00CB59C7" w14:paraId="0C15E637" w14:textId="77777777">
            <w:pPr>
              <w:keepNext/>
              <w:keepLines/>
              <w:jc w:val="left"/>
              <w:rPr>
                <w:rFonts w:ascii="Arial Narrow" w:hAnsi="Arial Narrow"/>
                <w:sz w:val="20"/>
                <w:szCs w:val="20"/>
              </w:rPr>
            </w:pPr>
            <w:r w:rsidRPr="00AD4F6B">
              <w:rPr>
                <w:rFonts w:ascii="Arial Narrow" w:hAnsi="Arial Narrow"/>
                <w:sz w:val="20"/>
                <w:szCs w:val="20"/>
              </w:rPr>
              <w:t>1°: motor milestone (24mths)</w:t>
            </w:r>
          </w:p>
          <w:p w:rsidRPr="00AD4F6B" w:rsidR="00CB59C7" w:rsidP="00264189" w:rsidRDefault="00CB59C7" w14:paraId="3F2D890C" w14:textId="77777777">
            <w:pPr>
              <w:keepNext/>
              <w:keepLines/>
              <w:jc w:val="left"/>
              <w:rPr>
                <w:rFonts w:ascii="Arial Narrow" w:hAnsi="Arial Narrow"/>
                <w:sz w:val="20"/>
                <w:szCs w:val="20"/>
              </w:rPr>
            </w:pPr>
            <w:r w:rsidRPr="00AD4F6B">
              <w:rPr>
                <w:rFonts w:ascii="Arial Narrow" w:hAnsi="Arial Narrow"/>
                <w:sz w:val="20"/>
                <w:szCs w:val="20"/>
              </w:rPr>
              <w:t>2°: motor milestones, EFS</w:t>
            </w:r>
          </w:p>
        </w:tc>
      </w:tr>
    </w:tbl>
    <w:p w:rsidRPr="00AD4F6B" w:rsidR="00CB59C7" w:rsidP="00264189" w:rsidRDefault="00CB59C7" w14:paraId="0C26F2BF" w14:textId="77777777">
      <w:pPr>
        <w:pStyle w:val="TableFigureFooter"/>
        <w:keepNext/>
        <w:rPr>
          <w:rStyle w:val="CommentReference"/>
          <w:b w:val="0"/>
          <w:bCs/>
          <w:sz w:val="18"/>
          <w:szCs w:val="18"/>
        </w:rPr>
      </w:pPr>
      <w:r w:rsidRPr="00AD4F6B">
        <w:rPr>
          <w:rStyle w:val="CommentReference"/>
          <w:b w:val="0"/>
          <w:bCs/>
          <w:sz w:val="18"/>
          <w:szCs w:val="18"/>
        </w:rPr>
        <w:t xml:space="preserve">Source: Table 2.5, p29 of the resubmission; Table 4, p15&amp;16 of the ONA PSD, November 2022 PBAC meeting; Tables 3-3 &amp; 3-4, pp31 &amp; 32 of the LT-002 CSR. </w:t>
      </w:r>
    </w:p>
    <w:p w:rsidRPr="00AD4F6B" w:rsidR="00CB59C7" w:rsidP="005A240C" w:rsidRDefault="00CB59C7" w14:paraId="4D3B3AD7" w14:textId="77777777">
      <w:pPr>
        <w:pStyle w:val="TableFigureFooter"/>
        <w:keepLines w:val="0"/>
        <w:rPr>
          <w:szCs w:val="18"/>
        </w:rPr>
      </w:pPr>
      <w:r w:rsidRPr="00AD4F6B">
        <w:rPr>
          <w:szCs w:val="18"/>
        </w:rPr>
        <w:t xml:space="preserve">1°= primary outcome; 2°= secondary outcome; EFS= event free survival (survival without permanent ventilation); IV= intravenous; MC= multi-centre; </w:t>
      </w:r>
      <w:proofErr w:type="spellStart"/>
      <w:r w:rsidRPr="00AD4F6B">
        <w:rPr>
          <w:szCs w:val="18"/>
        </w:rPr>
        <w:t>mths</w:t>
      </w:r>
      <w:proofErr w:type="spellEnd"/>
      <w:r w:rsidRPr="00AD4F6B">
        <w:rPr>
          <w:szCs w:val="18"/>
        </w:rPr>
        <w:t xml:space="preserve">= months NC= non-comparative single arm study; OB= observational; OL= open label; ONA= onasemnogene abeparvovec; OS= overall survival; SA= single arm; SMA= spinal muscular atrophy; </w:t>
      </w:r>
      <w:r w:rsidRPr="00AD4F6B">
        <w:rPr>
          <w:i/>
          <w:szCs w:val="18"/>
        </w:rPr>
        <w:t>SMN2</w:t>
      </w:r>
      <w:r w:rsidRPr="00AD4F6B">
        <w:rPr>
          <w:szCs w:val="18"/>
        </w:rPr>
        <w:t xml:space="preserve">= survival motor neuron 2; </w:t>
      </w:r>
      <w:proofErr w:type="spellStart"/>
      <w:r w:rsidRPr="00AD4F6B">
        <w:rPr>
          <w:szCs w:val="18"/>
        </w:rPr>
        <w:t>wks</w:t>
      </w:r>
      <w:proofErr w:type="spellEnd"/>
      <w:r w:rsidRPr="00AD4F6B">
        <w:rPr>
          <w:szCs w:val="18"/>
        </w:rPr>
        <w:t>= weeks; yr= year</w:t>
      </w:r>
    </w:p>
    <w:p w:rsidRPr="00AD4F6B" w:rsidR="00CB59C7" w:rsidP="005A240C" w:rsidRDefault="00CB59C7" w14:paraId="744D1F72" w14:textId="77777777">
      <w:pPr>
        <w:pStyle w:val="TableFigureFooter"/>
        <w:keepLines w:val="0"/>
        <w:rPr>
          <w:szCs w:val="18"/>
        </w:rPr>
      </w:pPr>
      <w:r w:rsidRPr="00AD4F6B">
        <w:rPr>
          <w:szCs w:val="18"/>
        </w:rPr>
        <w:t xml:space="preserve">^ ongoing extension study; latest data cutoff: 23 May 2022. Results from SPR1NT were presented at the July 2023 PBAC meeting (May 2022 data cut); results from STR1VE-US and STR1VE-EU were presented at the November 2022 PBAC meeting (May 2021 data cut). </w:t>
      </w:r>
    </w:p>
    <w:p w:rsidRPr="00AD4F6B" w:rsidR="00CB59C7" w:rsidP="005A240C" w:rsidRDefault="00CB59C7" w14:paraId="4DBC5458" w14:textId="77777777">
      <w:pPr>
        <w:pStyle w:val="TableFigureFooter"/>
        <w:keepLines w:val="0"/>
      </w:pPr>
      <w:proofErr w:type="spellStart"/>
      <w:r w:rsidRPr="00AD4F6B">
        <w:rPr>
          <w:szCs w:val="18"/>
        </w:rPr>
        <w:t>a</w:t>
      </w:r>
      <w:proofErr w:type="spellEnd"/>
      <w:r w:rsidRPr="00AD4F6B">
        <w:rPr>
          <w:szCs w:val="18"/>
        </w:rPr>
        <w:t xml:space="preserve"> </w:t>
      </w:r>
      <w:proofErr w:type="gramStart"/>
      <w:r w:rsidRPr="00AD4F6B">
        <w:rPr>
          <w:szCs w:val="18"/>
        </w:rPr>
        <w:t>In</w:t>
      </w:r>
      <w:proofErr w:type="gramEnd"/>
      <w:r w:rsidRPr="00AD4F6B">
        <w:rPr>
          <w:szCs w:val="18"/>
        </w:rPr>
        <w:t xml:space="preserve"> START, n=3 received low dose ONA 6.7 × 10</w:t>
      </w:r>
      <w:r w:rsidRPr="00AD4F6B">
        <w:rPr>
          <w:szCs w:val="18"/>
          <w:vertAlign w:val="superscript"/>
        </w:rPr>
        <w:t>13</w:t>
      </w:r>
      <w:r w:rsidRPr="00AD4F6B">
        <w:rPr>
          <w:szCs w:val="18"/>
        </w:rPr>
        <w:t xml:space="preserve"> vg/kg and n=12 received therapeutic dose ONA 1.1 × 10</w:t>
      </w:r>
      <w:r w:rsidRPr="00AD4F6B">
        <w:rPr>
          <w:szCs w:val="18"/>
          <w:vertAlign w:val="superscript"/>
        </w:rPr>
        <w:t>14</w:t>
      </w:r>
      <w:r w:rsidRPr="00AD4F6B">
        <w:rPr>
          <w:szCs w:val="18"/>
        </w:rPr>
        <w:t xml:space="preserve"> vg/kg. All 15 enrolled in START were recruited to START-LTFU (LT-001), but results reported for 13 patients (3 low dose and 10 therapeutic dose), as 2 discontinued.</w:t>
      </w:r>
      <w:r w:rsidRPr="00AD4F6B">
        <w:t xml:space="preserve"> </w:t>
      </w:r>
    </w:p>
    <w:p w:rsidRPr="00AD4F6B" w:rsidR="00CB59C7" w:rsidP="005A240C" w:rsidRDefault="00CB59C7" w14:paraId="4CFC9E97" w14:textId="77777777">
      <w:pPr>
        <w:pStyle w:val="TableFigureFooter"/>
        <w:keepLines w:val="0"/>
        <w:rPr>
          <w:szCs w:val="18"/>
        </w:rPr>
      </w:pPr>
      <w:r w:rsidRPr="00AD4F6B">
        <w:rPr>
          <w:szCs w:val="18"/>
        </w:rPr>
        <w:t xml:space="preserve">Blue shading represents studies previously presented and considered at the PBAC.  </w:t>
      </w:r>
    </w:p>
    <w:p w:rsidRPr="00AD4F6B" w:rsidR="00CB59C7" w:rsidP="005A240C" w:rsidRDefault="00CB59C7" w14:paraId="125CF2E8" w14:textId="77777777">
      <w:pPr>
        <w:pStyle w:val="TableFigureFooter"/>
        <w:keepLines w:val="0"/>
        <w:spacing w:after="0"/>
        <w:rPr>
          <w:szCs w:val="18"/>
        </w:rPr>
      </w:pPr>
      <w:r w:rsidRPr="00AD4F6B">
        <w:rPr>
          <w:szCs w:val="18"/>
        </w:rPr>
        <w:t>Italics indicates text adding during the evaluation.</w:t>
      </w:r>
    </w:p>
    <w:p w:rsidRPr="00AD4F6B" w:rsidR="00A05A8F" w:rsidP="00A05A8F" w:rsidRDefault="00A05A8F" w14:paraId="23586522" w14:textId="228E4731">
      <w:pPr>
        <w:pStyle w:val="3-BodyText"/>
      </w:pPr>
      <w:proofErr w:type="gramStart"/>
      <w:r w:rsidRPr="00AD4F6B">
        <w:t>All of</w:t>
      </w:r>
      <w:proofErr w:type="gramEnd"/>
      <w:r w:rsidRPr="00AD4F6B">
        <w:t xml:space="preserve"> the included studies were single arm, open label studies of ONA for the treatment of pre-symptomatic or symptomatic </w:t>
      </w:r>
      <w:r w:rsidRPr="00AD4F6B" w:rsidR="00DA158A">
        <w:t>SMA and</w:t>
      </w:r>
      <w:r w:rsidRPr="00AD4F6B">
        <w:t xml:space="preserve"> had small patient numbers (no study enrolled more than 33 patients). The lack of a comparator arm and small numbers of patients enrolled led to high levels of bias. This was consistent with the high risk of bias noted for the studies (SPR1NT, START, STR1VE-US, STR1VE-EU, and LT-002) previously considered by the PBAC (paragraph 6.15, onasemnogene abeparvovec PSD, November 2022 PBAC meeting and paragraph 6.10, onasemnogene abeparvovec PSD, July 2023 PBAC meeting).</w:t>
      </w:r>
      <w:r w:rsidRPr="00AD4F6B" w:rsidR="00E713D4">
        <w:t xml:space="preserve"> No hypothesis testing was performed in SMART. </w:t>
      </w:r>
    </w:p>
    <w:p w:rsidRPr="00AD4F6B" w:rsidR="009B742C" w:rsidP="007A3131" w:rsidRDefault="00693D5F" w14:paraId="78F238EF" w14:textId="474DE902">
      <w:pPr>
        <w:pStyle w:val="3-BodyText"/>
      </w:pPr>
      <w:r w:rsidRPr="00AD4F6B">
        <w:t>T</w:t>
      </w:r>
      <w:r w:rsidRPr="00AD4F6B" w:rsidR="000E3AD9">
        <w:t>he submission nominated ONA (in patients less than 9 months of age) as the comparator, represented by the SPR1NT, START, STR1VE-US and STR1VE-EU studies, only side-by-side comparisons were presented by the submission on the outcome of overall survival and event free survival</w:t>
      </w:r>
      <w:r w:rsidRPr="00AD4F6B" w:rsidR="006B0F3B">
        <w:t xml:space="preserve"> with no non-inferiority margin</w:t>
      </w:r>
      <w:r w:rsidRPr="00AD4F6B" w:rsidR="005731CA">
        <w:t xml:space="preserve"> nominated, </w:t>
      </w:r>
      <w:r w:rsidRPr="00AD4F6B" w:rsidR="00684CCC">
        <w:t xml:space="preserve">and </w:t>
      </w:r>
      <w:r w:rsidRPr="00AD4F6B" w:rsidR="005731CA">
        <w:t>no statistical testing</w:t>
      </w:r>
      <w:r w:rsidRPr="00AD4F6B" w:rsidR="006B0F3B">
        <w:t xml:space="preserve"> or </w:t>
      </w:r>
      <w:r w:rsidRPr="00AD4F6B" w:rsidR="005A2BBF">
        <w:t>any objective method of assessing non-inferiority</w:t>
      </w:r>
      <w:r w:rsidRPr="00AD4F6B" w:rsidR="00684CCC">
        <w:t xml:space="preserve"> were </w:t>
      </w:r>
      <w:r w:rsidRPr="00AD4F6B" w:rsidR="00503DCA">
        <w:t>presented</w:t>
      </w:r>
      <w:r w:rsidRPr="00AD4F6B" w:rsidR="000E3AD9">
        <w:t xml:space="preserve">. </w:t>
      </w:r>
      <w:r w:rsidRPr="00AD4F6B">
        <w:t>However</w:t>
      </w:r>
      <w:r w:rsidRPr="00AD4F6B" w:rsidR="000E3AD9">
        <w:t>, the submission appeared to largely rely on the comparison of patients within the various weight categories of SMART</w:t>
      </w:r>
      <w:r w:rsidRPr="00AD4F6B" w:rsidR="00412558">
        <w:t>, i.e.</w:t>
      </w:r>
      <w:r w:rsidRPr="00AD4F6B" w:rsidR="000E3AD9">
        <w:t xml:space="preserve"> 8.5-13 kg (subgroup 1); &gt;13-17 kg (subgroup 2); and &gt;17-21 kg (subgroup 3), based on the outcome of change from baseline in </w:t>
      </w:r>
      <w:r w:rsidRPr="00AD4F6B" w:rsidR="00AF2297">
        <w:t>Hammersmith Functional Motor Scale—Expanded (</w:t>
      </w:r>
      <w:r w:rsidRPr="00AD4F6B" w:rsidR="000E3AD9">
        <w:t>HFMSE</w:t>
      </w:r>
      <w:r w:rsidRPr="00AD4F6B" w:rsidR="00AF2297">
        <w:t>) total score</w:t>
      </w:r>
      <w:r w:rsidRPr="00AD4F6B" w:rsidR="000E3AD9">
        <w:t xml:space="preserve"> and </w:t>
      </w:r>
      <w:r w:rsidRPr="00AD4F6B" w:rsidR="00A961FF">
        <w:t>Revised Upper Limb Module (</w:t>
      </w:r>
      <w:r w:rsidRPr="00AD4F6B" w:rsidR="000E3AD9">
        <w:t>RULM</w:t>
      </w:r>
      <w:r w:rsidRPr="00AD4F6B" w:rsidR="00A961FF">
        <w:t>)</w:t>
      </w:r>
      <w:r w:rsidRPr="00AD4F6B" w:rsidR="000E3AD9">
        <w:t xml:space="preserve"> total score, and the achievement of developmental milestones to support its clinical claim. This was inappropriate as </w:t>
      </w:r>
      <w:r w:rsidRPr="00AD4F6B" w:rsidR="005561BA">
        <w:t>it</w:t>
      </w:r>
      <w:r w:rsidRPr="00AD4F6B" w:rsidR="000E3AD9">
        <w:t xml:space="preserve"> was not consistent with the nominated comparator (ONA in patients less than 9 months of age) nor the more appropriate comparators of </w:t>
      </w:r>
      <w:r w:rsidRPr="00AD4F6B" w:rsidR="00FC5711">
        <w:t>NUSI</w:t>
      </w:r>
      <w:r w:rsidRPr="00AD4F6B" w:rsidR="000E3AD9">
        <w:t xml:space="preserve"> and </w:t>
      </w:r>
      <w:r w:rsidRPr="00AD4F6B" w:rsidR="00FC5711">
        <w:t>RIS</w:t>
      </w:r>
      <w:r w:rsidRPr="00AD4F6B" w:rsidR="000E3AD9">
        <w:t xml:space="preserve"> in </w:t>
      </w:r>
      <w:r w:rsidRPr="00AD4F6B" w:rsidR="006262DF">
        <w:t xml:space="preserve">patients with SMA Type I or pre-symptomatic SMA </w:t>
      </w:r>
      <w:r w:rsidRPr="00AD4F6B" w:rsidR="000E3AD9">
        <w:t xml:space="preserve">patients less than 36 months or watchful waiting in </w:t>
      </w:r>
      <w:r w:rsidRPr="00AD4F6B" w:rsidR="006262DF">
        <w:t xml:space="preserve">pre-symptomatic SMA </w:t>
      </w:r>
      <w:r w:rsidRPr="00AD4F6B" w:rsidR="000E3AD9">
        <w:t>patients aged 36 months or older.</w:t>
      </w:r>
    </w:p>
    <w:p w:rsidRPr="00AD4F6B" w:rsidR="009B742C" w:rsidP="009B742C" w:rsidRDefault="009B742C" w14:paraId="7F7F1D56" w14:textId="77777777">
      <w:pPr>
        <w:pStyle w:val="3-BodyText"/>
      </w:pPr>
      <w:bookmarkStart w:name="_Ref208267543" w:id="28"/>
      <w:r w:rsidRPr="00AD4F6B">
        <w:t>The following key differences in disease characteristics between the included studies were observed during the evaluation that suggest that patients across the included studies may not be comparable:</w:t>
      </w:r>
      <w:bookmarkEnd w:id="28"/>
    </w:p>
    <w:p w:rsidRPr="00AD4F6B" w:rsidR="009B742C" w:rsidP="00DF6232" w:rsidRDefault="00906052" w14:paraId="4A955777" w14:textId="61DE9849">
      <w:pPr>
        <w:pStyle w:val="3-BodyText"/>
        <w:numPr>
          <w:ilvl w:val="0"/>
          <w:numId w:val="6"/>
        </w:numPr>
        <w:spacing w:before="0" w:after="120"/>
        <w:ind w:left="1080"/>
      </w:pPr>
      <w:r w:rsidRPr="00AD4F6B">
        <w:t>T</w:t>
      </w:r>
      <w:r w:rsidRPr="00AD4F6B" w:rsidR="009B742C">
        <w:t xml:space="preserve">he included studies enrolled patients with different SMA types and patients enrolled ranged from having SMA Type I (START, STR1VE-US and STR1VE-EU; 33% of patients in SMART) and SMA Type II (46% of patients in SMART), SMA Type III (21% of patients in SMART), and pre-symptomatic SMA (SPR1NT); and </w:t>
      </w:r>
    </w:p>
    <w:p w:rsidRPr="00AD4F6B" w:rsidR="009B742C" w:rsidP="00DF6232" w:rsidRDefault="009B742C" w14:paraId="77B86B1D" w14:textId="718859A9">
      <w:pPr>
        <w:pStyle w:val="3-BodyText"/>
        <w:numPr>
          <w:ilvl w:val="0"/>
          <w:numId w:val="6"/>
        </w:numPr>
        <w:spacing w:before="0" w:after="120"/>
        <w:ind w:left="1080"/>
      </w:pPr>
      <w:r w:rsidRPr="00AD4F6B">
        <w:t>Patients enrolled in SPR1NT, START, STR1VE-US and STR1VE-EU were treatment naïve, whereas the 8</w:t>
      </w:r>
      <w:r w:rsidRPr="00AD4F6B" w:rsidR="00BB4258">
        <w:t>7.5</w:t>
      </w:r>
      <w:r w:rsidRPr="00AD4F6B">
        <w:t xml:space="preserve">% (21/24) of patients in SMART received previous treatment with DMT. </w:t>
      </w:r>
    </w:p>
    <w:p w:rsidRPr="00AD4F6B" w:rsidR="00906D00" w:rsidP="00906D00" w:rsidRDefault="00FD33CC" w14:paraId="5AE0D7E4" w14:textId="71420E6D">
      <w:pPr>
        <w:pStyle w:val="3-BodyText"/>
      </w:pPr>
      <w:bookmarkStart w:name="_Ref208247854" w:id="29"/>
      <w:r w:rsidRPr="00AD4F6B">
        <w:t xml:space="preserve">In the SMART study, </w:t>
      </w:r>
      <w:r w:rsidRPr="00AD4F6B" w:rsidR="00092F52">
        <w:t xml:space="preserve">only </w:t>
      </w:r>
      <w:r w:rsidRPr="00AD4F6B">
        <w:t xml:space="preserve">33% </w:t>
      </w:r>
      <w:r w:rsidRPr="00AD4F6B" w:rsidR="00092F52">
        <w:t xml:space="preserve">(8/24) </w:t>
      </w:r>
      <w:r w:rsidRPr="00AD4F6B" w:rsidR="00A33B75">
        <w:t xml:space="preserve">of patients </w:t>
      </w:r>
      <w:r w:rsidRPr="00AD4F6B" w:rsidR="00092F52">
        <w:t xml:space="preserve">enrolled </w:t>
      </w:r>
      <w:r w:rsidRPr="00AD4F6B" w:rsidR="00A33B75">
        <w:t xml:space="preserve">were classified as </w:t>
      </w:r>
      <w:r w:rsidRPr="00AD4F6B" w:rsidR="00092F52">
        <w:t xml:space="preserve">having </w:t>
      </w:r>
      <w:r w:rsidRPr="00AD4F6B" w:rsidR="00A33B75">
        <w:t>SMA</w:t>
      </w:r>
      <w:r w:rsidRPr="00AD4F6B">
        <w:t xml:space="preserve"> Type I. Subgroup 1 enrolled the highest percentage of Type I children (42.9%; 3/7) compared to subgroup 2 (37.5%; 3/8) and subgroup 3 (22.2%; 2/9) and as such was the most aligned with the population requested by the submission. </w:t>
      </w:r>
      <w:r w:rsidRPr="00AD4F6B" w:rsidR="00545A30">
        <w:t>Although</w:t>
      </w:r>
      <w:r w:rsidRPr="00AD4F6B">
        <w:t xml:space="preserve"> </w:t>
      </w:r>
      <w:r w:rsidRPr="00AD4F6B">
        <w:t xml:space="preserve">symptomatic patients with SMA Type II and Type III </w:t>
      </w:r>
      <w:r w:rsidRPr="00AD4F6B" w:rsidR="00545A30">
        <w:t xml:space="preserve">were </w:t>
      </w:r>
      <w:r w:rsidRPr="00AD4F6B">
        <w:t>not eligible for ONA under the proposed restriction</w:t>
      </w:r>
      <w:r w:rsidRPr="00AD4F6B" w:rsidR="00545A30">
        <w:t>, the PBAC considered that they should be included</w:t>
      </w:r>
      <w:r w:rsidRPr="00AD4F6B" w:rsidR="00FF6721">
        <w:t xml:space="preserve"> in the restrictions for ONA</w:t>
      </w:r>
      <w:r w:rsidRPr="00AD4F6B">
        <w:t>.</w:t>
      </w:r>
      <w:r w:rsidRPr="00AD4F6B" w:rsidR="00C70E52">
        <w:t xml:space="preserve"> Additionally, pre-symptomatic patients were excluded from SMART, but not from the requested PBS population, representing an applicability issue.</w:t>
      </w:r>
      <w:bookmarkEnd w:id="29"/>
      <w:r w:rsidRPr="00AD4F6B" w:rsidR="00C70E52">
        <w:t xml:space="preserve"> </w:t>
      </w:r>
    </w:p>
    <w:p w:rsidRPr="00AD4F6B" w:rsidR="00906D00" w:rsidP="00906D00" w:rsidRDefault="00906D00" w14:paraId="7864413D" w14:textId="3103A443">
      <w:pPr>
        <w:pStyle w:val="3-BodyText"/>
      </w:pPr>
      <w:r w:rsidRPr="00AD4F6B">
        <w:t xml:space="preserve">When comparing between weight brackets, patients in subgroup 1 scored the lowest at baseline in HFMSE, RULM and developmental motor milestone assessments, followed by subgroup 2 then subgroup 3; that is, that children in heavier weight brackets had better motor function at baseline. </w:t>
      </w:r>
      <w:r w:rsidRPr="00AD4F6B" w:rsidR="00DC6DB6">
        <w:t>R</w:t>
      </w:r>
      <w:r w:rsidRPr="00AD4F6B">
        <w:t>esults from SMART may carry a high degree of bias given weight</w:t>
      </w:r>
      <w:r w:rsidRPr="00AD4F6B" w:rsidR="00481C08">
        <w:t xml:space="preserve">, </w:t>
      </w:r>
      <w:r w:rsidRPr="00AD4F6B">
        <w:t>age</w:t>
      </w:r>
      <w:r w:rsidRPr="00AD4F6B" w:rsidR="00481C08">
        <w:t>,</w:t>
      </w:r>
      <w:r w:rsidRPr="00AD4F6B">
        <w:t xml:space="preserve"> and attainment of motor milestones are generally correlated. Patients in the heaviest subgroup (subgroup 3) were older, with a higher proportion having less severe disease (SMA Type III), and higher motor function at baseline. As such, the results of any comparison between the subgroups in the SMART study should be interpreted with caution.</w:t>
      </w:r>
      <w:r w:rsidRPr="00AD4F6B" w:rsidR="00C17AE0">
        <w:t xml:space="preserve"> The ESC noted that </w:t>
      </w:r>
      <w:r w:rsidRPr="00AD4F6B" w:rsidR="002C6FB7">
        <w:t>some</w:t>
      </w:r>
      <w:r w:rsidRPr="00AD4F6B" w:rsidR="00C17AE0">
        <w:t xml:space="preserve"> patients in the </w:t>
      </w:r>
      <w:r w:rsidRPr="00AD4F6B" w:rsidR="002C6FB7">
        <w:t xml:space="preserve">SMART study had already </w:t>
      </w:r>
      <w:r w:rsidRPr="00AD4F6B" w:rsidR="00980196">
        <w:t>reached all milestones when enrolle</w:t>
      </w:r>
      <w:r w:rsidRPr="00AD4F6B" w:rsidR="00733578">
        <w:t xml:space="preserve">d. </w:t>
      </w:r>
    </w:p>
    <w:p w:rsidRPr="00AD4F6B" w:rsidR="00721BE2" w:rsidP="004768AF" w:rsidRDefault="00721BE2" w14:paraId="24DF9A5A" w14:textId="741002F8">
      <w:pPr>
        <w:pStyle w:val="3-BodyText"/>
      </w:pPr>
      <w:r w:rsidRPr="00AD4F6B">
        <w:t xml:space="preserve">Efficacy in SMART was based on HFMSE and RULM measures. </w:t>
      </w:r>
      <w:r w:rsidRPr="00AD4F6B" w:rsidR="006A088C">
        <w:t>It was noted that the HFMSE was devised for use in children with SMA Type II and Type III</w:t>
      </w:r>
      <w:r w:rsidRPr="00AD4F6B" w:rsidR="0097109C">
        <w:t>, and w</w:t>
      </w:r>
      <w:r w:rsidRPr="00AD4F6B" w:rsidR="006A088C">
        <w:t>hile the validity and reliability of HFMSE in SMA Type II and Type III patients have been established</w:t>
      </w:r>
      <w:r w:rsidRPr="00AD4F6B" w:rsidR="006A088C">
        <w:rPr>
          <w:rStyle w:val="FootnoteReference"/>
        </w:rPr>
        <w:footnoteReference w:id="4"/>
      </w:r>
      <w:r w:rsidRPr="00AD4F6B" w:rsidR="006A088C">
        <w:t xml:space="preserve">, this assessment may not be suitable for patients with SMA Type I (i.e. non-sitters) given the severity of disease (and the potential for a floor effect). </w:t>
      </w:r>
      <w:r w:rsidRPr="00AD4F6B" w:rsidR="00544412">
        <w:t>Comparatively,</w:t>
      </w:r>
      <w:r w:rsidRPr="00AD4F6B" w:rsidR="005F599B">
        <w:t xml:space="preserve"> while </w:t>
      </w:r>
      <w:r w:rsidRPr="00AD4F6B" w:rsidR="00544412">
        <w:t>the RULM</w:t>
      </w:r>
      <w:r w:rsidRPr="00AD4F6B" w:rsidR="005F599B">
        <w:t xml:space="preserve"> is limited to the upper limbs only, </w:t>
      </w:r>
      <w:r w:rsidRPr="00AD4F6B" w:rsidR="00AE5CDC">
        <w:t xml:space="preserve">the ESC have previously noted that consumer preferences tended to be around maintenance of upper limb function (e.g. for basic self-care, using devices, steering a wheelchair) and that, for many non-ambulant patients, mobility in terms of transfer movements in and out of chairs was clinically meaningful (paragraph 6.23, nusinersen PSD, November 2020 PBAC meeting). </w:t>
      </w:r>
    </w:p>
    <w:p w:rsidRPr="00AD4F6B" w:rsidR="004768AF" w:rsidP="004768AF" w:rsidRDefault="00826223" w14:paraId="03D9EC00" w14:textId="7CC6FB5F">
      <w:pPr>
        <w:pStyle w:val="3-BodyText"/>
      </w:pPr>
      <w:bookmarkStart w:name="_Ref207970317" w:id="30"/>
      <w:r w:rsidRPr="00AD4F6B">
        <w:t xml:space="preserve">The submission nominated a minimally clinically important difference (MCID) </w:t>
      </w:r>
      <w:r w:rsidRPr="00AD4F6B" w:rsidR="001C7346">
        <w:t xml:space="preserve">for the change in the HFMSE </w:t>
      </w:r>
      <w:r w:rsidRPr="00AD4F6B" w:rsidR="004D518B">
        <w:t xml:space="preserve">total </w:t>
      </w:r>
      <w:r w:rsidRPr="00AD4F6B" w:rsidR="001C7346">
        <w:t xml:space="preserve">score and RULM </w:t>
      </w:r>
      <w:r w:rsidRPr="00AD4F6B" w:rsidR="004D518B">
        <w:t xml:space="preserve">total </w:t>
      </w:r>
      <w:r w:rsidRPr="00AD4F6B" w:rsidR="001C7346">
        <w:t>score of at least three points and two points, respectively</w:t>
      </w:r>
      <w:r w:rsidRPr="00AD4F6B" w:rsidR="004768AF">
        <w:t xml:space="preserve">. These were consistent with values proposed by previous submissions for </w:t>
      </w:r>
      <w:r w:rsidRPr="00AD4F6B" w:rsidR="00FC5711">
        <w:t>NUSI</w:t>
      </w:r>
      <w:r w:rsidRPr="00AD4F6B" w:rsidR="004768AF">
        <w:t xml:space="preserve"> (at the November 2020, July 2021 and March 2022 PBAC meeting</w:t>
      </w:r>
      <w:r w:rsidRPr="00AD4F6B" w:rsidR="00011AEF">
        <w:t>s</w:t>
      </w:r>
      <w:r w:rsidRPr="00AD4F6B" w:rsidR="004768AF">
        <w:t xml:space="preserve">) for the treatment of adult patients, considered to be clinically meaningful (paragraph 6.22, nusinersen PSD, March 2022 PBAC meeting). </w:t>
      </w:r>
      <w:bookmarkEnd w:id="30"/>
    </w:p>
    <w:p w:rsidRPr="00AD4F6B" w:rsidR="00A07492" w:rsidP="00DA00D4" w:rsidRDefault="00FF226E" w14:paraId="4ED4CA17" w14:textId="07696950">
      <w:pPr>
        <w:pStyle w:val="3-BodyText"/>
      </w:pPr>
      <w:r w:rsidRPr="00AD4F6B">
        <w:t>P</w:t>
      </w:r>
      <w:r w:rsidRPr="00AD4F6B" w:rsidR="00DA00D4">
        <w:t xml:space="preserve">atients enrolled in SMART represent a heavily pre-treated population; </w:t>
      </w:r>
      <w:proofErr w:type="gramStart"/>
      <w:r w:rsidRPr="00AD4F6B" w:rsidR="00DA00D4">
        <w:t>the majority of</w:t>
      </w:r>
      <w:proofErr w:type="gramEnd"/>
      <w:r w:rsidRPr="00AD4F6B" w:rsidR="00DA00D4">
        <w:t xml:space="preserve"> patients (21/24; 87.5%) had previous SMA treatment with DMT and further, 91% (19/21) of previously treated patients received </w:t>
      </w:r>
      <w:r w:rsidRPr="00AD4F6B" w:rsidR="00FC5711">
        <w:t>NUSI</w:t>
      </w:r>
      <w:r w:rsidRPr="00AD4F6B" w:rsidR="00DA00D4">
        <w:t xml:space="preserve"> for a median duration of 2.09 years (range: 0.17-4.81). </w:t>
      </w:r>
      <w:r w:rsidRPr="00AD4F6B" w:rsidR="00B33C4C">
        <w:t xml:space="preserve">It was unclear if prior treatment with other DMTs were treatment modifiers and in which direction (if any). </w:t>
      </w:r>
      <w:r w:rsidRPr="00AD4F6B" w:rsidR="00DA00D4">
        <w:t>Th</w:t>
      </w:r>
      <w:r w:rsidRPr="00AD4F6B" w:rsidR="00B33C4C">
        <w:t xml:space="preserve">e high proportion of prior DMT </w:t>
      </w:r>
      <w:r w:rsidRPr="00AD4F6B" w:rsidR="00DA00D4">
        <w:t xml:space="preserve">was aligned to the submission’s claim that most patients eligible under the proposed </w:t>
      </w:r>
      <w:r w:rsidRPr="00AD4F6B" w:rsidR="00DA00D4">
        <w:t xml:space="preserve">extended listing (older than nine months of age and weighing below 21kg) would be expected to be treated with a DMT prior to switching to ONA. </w:t>
      </w:r>
    </w:p>
    <w:p w:rsidRPr="00AD4F6B" w:rsidR="00A07492" w:rsidP="00A07492" w:rsidRDefault="00A07492" w14:paraId="4FF0BED5" w14:textId="627F4466">
      <w:pPr>
        <w:pStyle w:val="3-BodyText"/>
      </w:pPr>
      <w:r w:rsidRPr="00AD4F6B">
        <w:t>In addition, only three patients (3/24; 21.5%) in SMART were treatment naïve and it was unclear what SMA diagnosis these patients had (though this was likely to be Type II or Type III), the comparative efficacy of ONA in the treatment naïve SMA Type I population (above the age of nine months and below 21kg) was unclear.</w:t>
      </w:r>
    </w:p>
    <w:p w:rsidRPr="00AD4F6B" w:rsidR="00DA00D4" w:rsidP="00DA00D4" w:rsidRDefault="00A07492" w14:paraId="42F1BACA" w14:textId="42EC3CA8">
      <w:pPr>
        <w:pStyle w:val="3-BodyText"/>
      </w:pPr>
      <w:r w:rsidRPr="00AD4F6B">
        <w:t>The evaluation considered</w:t>
      </w:r>
      <w:r w:rsidRPr="00AD4F6B" w:rsidR="00DA00D4">
        <w:t xml:space="preserve"> a more informative comparison would have been between SMA Type I patients in SMART and SMA Type I patients treated with </w:t>
      </w:r>
      <w:r w:rsidRPr="00AD4F6B" w:rsidR="00FC5711">
        <w:t>NUSI</w:t>
      </w:r>
      <w:r w:rsidRPr="00AD4F6B" w:rsidR="00DA00D4">
        <w:t xml:space="preserve"> in ENDEAR (CS3B; NCT02193074) and/or CS3A (NCT01839656), using longer-term results from the SHINE extension study (NCT02594124)</w:t>
      </w:r>
      <w:r w:rsidRPr="00AD4F6B" w:rsidR="00DA00D4">
        <w:rPr>
          <w:rStyle w:val="FootnoteReference"/>
        </w:rPr>
        <w:footnoteReference w:id="5"/>
      </w:r>
      <w:r w:rsidRPr="00AD4F6B" w:rsidR="00DA00D4">
        <w:t xml:space="preserve"> i.e. a treatment switching comparison of ONA versus </w:t>
      </w:r>
      <w:r w:rsidRPr="00AD4F6B" w:rsidR="00FC5711">
        <w:t>NUSI</w:t>
      </w:r>
      <w:r w:rsidRPr="00AD4F6B" w:rsidR="00DA00D4">
        <w:t xml:space="preserve">, of patients pre-treated with </w:t>
      </w:r>
      <w:r w:rsidRPr="00AD4F6B" w:rsidR="00FC5711">
        <w:t>NUSI</w:t>
      </w:r>
      <w:r w:rsidRPr="00AD4F6B" w:rsidR="00DA00D4">
        <w:t xml:space="preserve">. It was noted </w:t>
      </w:r>
      <w:r w:rsidRPr="00AD4F6B" w:rsidR="00D93CAA">
        <w:t xml:space="preserve">during the evaluation, that </w:t>
      </w:r>
      <w:r w:rsidRPr="00AD4F6B" w:rsidR="00DA00D4">
        <w:t xml:space="preserve">a long-term comparative efficacy and safety study of </w:t>
      </w:r>
      <w:r w:rsidRPr="00AD4F6B" w:rsidR="00FC5711">
        <w:t>RIS</w:t>
      </w:r>
      <w:r w:rsidRPr="00AD4F6B" w:rsidR="00DA00D4">
        <w:t xml:space="preserve"> and </w:t>
      </w:r>
      <w:r w:rsidRPr="00AD4F6B" w:rsidR="00FC5711">
        <w:t>NUSI</w:t>
      </w:r>
      <w:r w:rsidRPr="00AD4F6B" w:rsidR="00DA00D4">
        <w:t xml:space="preserve"> (using results from SHINE) in patients with SMA Type I was performed using matching adjusted indirect comparison (MAIC)</w:t>
      </w:r>
      <w:r w:rsidRPr="00AD4F6B" w:rsidR="00DA00D4">
        <w:rPr>
          <w:rStyle w:val="FootnoteReference"/>
        </w:rPr>
        <w:footnoteReference w:id="6"/>
      </w:r>
      <w:r w:rsidRPr="00AD4F6B" w:rsidR="00DA00D4">
        <w:t xml:space="preserve">. The use of (an unanchored) MAIC was also previously presented to PBAC in their consideration of ONA versus </w:t>
      </w:r>
      <w:r w:rsidRPr="00AD4F6B" w:rsidR="00FC5711">
        <w:t>NUSI</w:t>
      </w:r>
      <w:r w:rsidRPr="00AD4F6B" w:rsidR="00DA00D4">
        <w:t xml:space="preserve"> in patients with Type I SMA </w:t>
      </w:r>
      <w:r w:rsidRPr="00AD4F6B" w:rsidR="006E3F4A">
        <w:t>(</w:t>
      </w:r>
      <w:r w:rsidRPr="00AD4F6B" w:rsidR="007355FD">
        <w:t>aged</w:t>
      </w:r>
      <w:r w:rsidRPr="00AD4F6B" w:rsidR="007F1B1E">
        <w:t xml:space="preserve"> </w:t>
      </w:r>
      <w:r w:rsidRPr="00AD4F6B" w:rsidR="00D36FBD">
        <w:t>less than two years</w:t>
      </w:r>
      <w:r w:rsidRPr="00AD4F6B" w:rsidR="003B466C">
        <w:t>, as originally proposed</w:t>
      </w:r>
      <w:r w:rsidRPr="00AD4F6B" w:rsidR="00B95921">
        <w:t xml:space="preserve"> for ONA</w:t>
      </w:r>
      <w:r w:rsidRPr="00AD4F6B" w:rsidR="00D36FBD">
        <w:t xml:space="preserve">) </w:t>
      </w:r>
      <w:r w:rsidRPr="00AD4F6B" w:rsidR="00DA00D4">
        <w:t xml:space="preserve">(paragraph 6.36, onasemnogene abeparvovec PSD, November 2020 PBAC meeting). </w:t>
      </w:r>
      <w:r w:rsidRPr="00AD4F6B" w:rsidR="005C1E9C">
        <w:t xml:space="preserve">The PSCR </w:t>
      </w:r>
      <w:r w:rsidRPr="00AD4F6B" w:rsidR="00A976BF">
        <w:t xml:space="preserve">provided a side-by-side comparison of OS and EFS </w:t>
      </w:r>
      <w:r w:rsidRPr="00AD4F6B" w:rsidR="00807960">
        <w:t xml:space="preserve">between </w:t>
      </w:r>
      <w:r w:rsidRPr="00AD4F6B" w:rsidR="00B76361">
        <w:t xml:space="preserve">the SMART trial for ONA and the ENDEAR and FIREFISH trials for NUSI and RIS. The PSCR also noted that </w:t>
      </w:r>
      <w:r w:rsidRPr="00AD4F6B" w:rsidR="001612EA">
        <w:t>a comparison of motor function outcomes was not possible because the instruments used to assess motor function in the SMART trial were different to those used in ENDEAR and FIREFISH</w:t>
      </w:r>
      <w:r w:rsidRPr="00AD4F6B" w:rsidR="00DD76CB">
        <w:t>;</w:t>
      </w:r>
      <w:r w:rsidRPr="00AD4F6B" w:rsidR="001612EA">
        <w:t xml:space="preserve"> SMART measured these outcomes using HFSME, RULM and measured attainment of motor milestones using WHO-MGRS criteria, whereas ENDEAR and FIREFISH used HINE-2 and CHOP-INTEND scales.</w:t>
      </w:r>
    </w:p>
    <w:p w:rsidRPr="00AD4F6B" w:rsidR="00B60939" w:rsidP="00EC5836" w:rsidRDefault="00B60939" w14:paraId="4A4FE085" w14:textId="1C5613CC">
      <w:pPr>
        <w:pStyle w:val="4-SubsectionHeading"/>
        <w:rPr>
          <w:color w:val="auto"/>
        </w:rPr>
      </w:pPr>
      <w:bookmarkStart w:name="_Toc22897641" w:id="31"/>
      <w:bookmarkStart w:name="_Toc209002909" w:id="32"/>
      <w:r w:rsidRPr="00AD4F6B">
        <w:rPr>
          <w:color w:val="auto"/>
        </w:rPr>
        <w:t>Comparative effectiveness</w:t>
      </w:r>
      <w:bookmarkEnd w:id="31"/>
      <w:bookmarkEnd w:id="32"/>
    </w:p>
    <w:p w:rsidRPr="00AD4F6B" w:rsidR="002C2775" w:rsidP="00EC5836" w:rsidRDefault="00976FD0" w14:paraId="28593FB8" w14:textId="7F2A608A">
      <w:pPr>
        <w:pStyle w:val="3-BodyText"/>
      </w:pPr>
      <w:r w:rsidRPr="00AD4F6B">
        <w:fldChar w:fldCharType="begin"/>
      </w:r>
      <w:r w:rsidRPr="00AD4F6B">
        <w:instrText xml:space="preserve"> REF _Ref207964458 \h </w:instrText>
      </w:r>
      <w:r w:rsidRPr="00AD4F6B">
        <w:fldChar w:fldCharType="separate"/>
      </w:r>
      <w:r w:rsidRPr="00AD4F6B" w:rsidR="00F0459B">
        <w:t xml:space="preserve">Table </w:t>
      </w:r>
      <w:r w:rsidR="00F0459B">
        <w:rPr>
          <w:noProof/>
        </w:rPr>
        <w:t>7</w:t>
      </w:r>
      <w:r w:rsidRPr="00AD4F6B">
        <w:fldChar w:fldCharType="end"/>
      </w:r>
      <w:r w:rsidRPr="00AD4F6B" w:rsidR="00D24333">
        <w:t xml:space="preserve"> </w:t>
      </w:r>
      <w:r w:rsidRPr="00AD4F6B" w:rsidR="000D7A0C">
        <w:t>summarises</w:t>
      </w:r>
      <w:r w:rsidRPr="00AD4F6B" w:rsidR="00D24333">
        <w:t xml:space="preserve"> overall survival and event free survival</w:t>
      </w:r>
      <w:r w:rsidRPr="00AD4F6B" w:rsidR="000D7A0C">
        <w:t xml:space="preserve"> across the included studies</w:t>
      </w:r>
      <w:r w:rsidRPr="00AD4F6B" w:rsidR="001E22E9">
        <w:t>.</w:t>
      </w:r>
      <w:r w:rsidRPr="00AD4F6B" w:rsidR="0023092A">
        <w:t xml:space="preserve"> </w:t>
      </w:r>
    </w:p>
    <w:p w:rsidRPr="00AD4F6B" w:rsidR="00A05EA1" w:rsidP="007F7EB0" w:rsidRDefault="00D6076E" w14:paraId="263B395F" w14:textId="4B9009DE">
      <w:pPr>
        <w:pStyle w:val="TableFigureHeading"/>
        <w:keepLines/>
      </w:pPr>
      <w:bookmarkStart w:name="_Ref207964458" w:id="33"/>
      <w:r w:rsidRPr="00AD4F6B">
        <w:t xml:space="preserve">Table </w:t>
      </w:r>
      <w:r w:rsidRPr="00AD4F6B" w:rsidR="004A4B0A">
        <w:fldChar w:fldCharType="begin"/>
      </w:r>
      <w:r w:rsidRPr="00AD4F6B" w:rsidR="004A4B0A">
        <w:instrText xml:space="preserve"> SEQ Table \* ARABIC </w:instrText>
      </w:r>
      <w:r w:rsidRPr="00AD4F6B" w:rsidR="004A4B0A">
        <w:fldChar w:fldCharType="separate"/>
      </w:r>
      <w:r w:rsidR="00F0459B">
        <w:rPr>
          <w:noProof/>
        </w:rPr>
        <w:t>7</w:t>
      </w:r>
      <w:r w:rsidRPr="00AD4F6B" w:rsidR="004A4B0A">
        <w:rPr>
          <w:noProof/>
        </w:rPr>
        <w:fldChar w:fldCharType="end"/>
      </w:r>
      <w:bookmarkEnd w:id="33"/>
      <w:r w:rsidRPr="00AD4F6B" w:rsidR="00334C98">
        <w:t>:</w:t>
      </w:r>
      <w:r w:rsidRPr="00AD4F6B" w:rsidR="00A05EA1">
        <w:t xml:space="preserve"> Overall survival and event free survival in the included studies (Safety Set) </w:t>
      </w:r>
    </w:p>
    <w:tbl>
      <w:tblPr>
        <w:tblStyle w:val="PlainTable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7: Overall survival and event free survival in the included studies (Safety Set) "/>
      </w:tblPr>
      <w:tblGrid>
        <w:gridCol w:w="3005"/>
        <w:gridCol w:w="3006"/>
        <w:gridCol w:w="3006"/>
      </w:tblGrid>
      <w:tr w:rsidRPr="00AD4F6B" w:rsidR="00AD4F6B" w:rsidTr="00EA35AC" w14:paraId="30910C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AD4F6B" w:rsidR="00A05EA1" w:rsidP="007F7EB0" w:rsidRDefault="00A05EA1" w14:paraId="4914C4AF" w14:textId="77777777">
            <w:pPr>
              <w:keepNext/>
              <w:keepLines/>
              <w:jc w:val="center"/>
              <w:rPr>
                <w:rFonts w:ascii="Arial Narrow" w:hAnsi="Arial Narrow"/>
                <w:sz w:val="20"/>
                <w:szCs w:val="20"/>
              </w:rPr>
            </w:pPr>
            <w:r w:rsidRPr="00AD4F6B">
              <w:rPr>
                <w:rFonts w:ascii="Arial Narrow" w:hAnsi="Arial Narrow"/>
                <w:sz w:val="20"/>
                <w:szCs w:val="20"/>
              </w:rPr>
              <w:t>Study</w:t>
            </w:r>
          </w:p>
        </w:tc>
        <w:tc>
          <w:tcPr>
            <w:tcW w:w="1667" w:type="pct"/>
          </w:tcPr>
          <w:p w:rsidRPr="00AD4F6B" w:rsidR="00A05EA1" w:rsidP="007F7EB0" w:rsidRDefault="00A05EA1" w14:paraId="3CCA38E1"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AD4F6B">
              <w:rPr>
                <w:rFonts w:ascii="Arial Narrow" w:hAnsi="Arial Narrow"/>
                <w:sz w:val="20"/>
                <w:szCs w:val="20"/>
              </w:rPr>
              <w:t>Overall survival</w:t>
            </w:r>
          </w:p>
          <w:p w:rsidRPr="00AD4F6B" w:rsidR="00A05EA1" w:rsidP="007F7EB0" w:rsidRDefault="00A05EA1" w14:paraId="34F4D845"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n/N (%)</w:t>
            </w:r>
          </w:p>
        </w:tc>
        <w:tc>
          <w:tcPr>
            <w:tcW w:w="1667" w:type="pct"/>
          </w:tcPr>
          <w:p w:rsidRPr="00AD4F6B" w:rsidR="00A05EA1" w:rsidP="007F7EB0" w:rsidRDefault="00A05EA1" w14:paraId="3019A250"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AD4F6B">
              <w:rPr>
                <w:rFonts w:ascii="Arial Narrow" w:hAnsi="Arial Narrow"/>
                <w:sz w:val="20"/>
                <w:szCs w:val="20"/>
              </w:rPr>
              <w:t>Event free survival</w:t>
            </w:r>
          </w:p>
          <w:p w:rsidRPr="00AD4F6B" w:rsidR="00A05EA1" w:rsidP="007F7EB0" w:rsidRDefault="00A05EA1" w14:paraId="6274A955"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20"/>
                <w:szCs w:val="20"/>
              </w:rPr>
            </w:pPr>
            <w:r w:rsidRPr="00AD4F6B">
              <w:rPr>
                <w:rFonts w:ascii="Arial Narrow" w:hAnsi="Arial Narrow"/>
                <w:sz w:val="20"/>
                <w:szCs w:val="20"/>
              </w:rPr>
              <w:t>n/N (%)</w:t>
            </w:r>
          </w:p>
        </w:tc>
      </w:tr>
      <w:tr w:rsidRPr="00AD4F6B" w:rsidR="00AD4F6B" w:rsidTr="00EA35AC" w14:paraId="08F6F9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AD4F6B" w:rsidR="00A05EA1" w:rsidP="007F7EB0" w:rsidRDefault="00A05EA1" w14:paraId="479F364A" w14:textId="77777777">
            <w:pPr>
              <w:keepNext/>
              <w:keepLines/>
              <w:jc w:val="center"/>
              <w:rPr>
                <w:rFonts w:ascii="Arial Narrow" w:hAnsi="Arial Narrow"/>
                <w:b w:val="0"/>
                <w:bCs w:val="0"/>
                <w:sz w:val="20"/>
                <w:szCs w:val="20"/>
              </w:rPr>
            </w:pPr>
            <w:r w:rsidRPr="00AD4F6B">
              <w:rPr>
                <w:rFonts w:ascii="Arial Narrow" w:hAnsi="Arial Narrow"/>
                <w:b w:val="0"/>
                <w:bCs w:val="0"/>
                <w:sz w:val="20"/>
                <w:szCs w:val="20"/>
              </w:rPr>
              <w:t>SMART</w:t>
            </w:r>
          </w:p>
        </w:tc>
        <w:tc>
          <w:tcPr>
            <w:tcW w:w="1667" w:type="pct"/>
          </w:tcPr>
          <w:p w:rsidRPr="00AD4F6B" w:rsidR="00A05EA1" w:rsidP="007F7EB0" w:rsidRDefault="00A05EA1" w14:paraId="41F283A2"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24/24 (100)</w:t>
            </w:r>
          </w:p>
        </w:tc>
        <w:tc>
          <w:tcPr>
            <w:tcW w:w="1667" w:type="pct"/>
          </w:tcPr>
          <w:p w:rsidRPr="00AD4F6B" w:rsidR="00A05EA1" w:rsidP="007F7EB0" w:rsidRDefault="00A05EA1" w14:paraId="0FB0B406"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24/24 (100)</w:t>
            </w:r>
          </w:p>
        </w:tc>
      </w:tr>
      <w:tr w:rsidRPr="00AD4F6B" w:rsidR="00AD4F6B" w:rsidTr="00EA35AC" w14:paraId="1A973174" w14:textId="77777777">
        <w:tc>
          <w:tcPr>
            <w:cnfStyle w:val="001000000000" w:firstRow="0" w:lastRow="0" w:firstColumn="1" w:lastColumn="0" w:oddVBand="0" w:evenVBand="0" w:oddHBand="0" w:evenHBand="0" w:firstRowFirstColumn="0" w:firstRowLastColumn="0" w:lastRowFirstColumn="0" w:lastRowLastColumn="0"/>
            <w:tcW w:w="1666" w:type="pct"/>
          </w:tcPr>
          <w:p w:rsidRPr="00AD4F6B" w:rsidR="00A05EA1" w:rsidP="007F7EB0" w:rsidRDefault="00A05EA1" w14:paraId="05C72F35" w14:textId="77777777">
            <w:pPr>
              <w:keepNext/>
              <w:keepLines/>
              <w:jc w:val="center"/>
              <w:rPr>
                <w:rFonts w:ascii="Arial Narrow" w:hAnsi="Arial Narrow"/>
                <w:b w:val="0"/>
                <w:bCs w:val="0"/>
                <w:sz w:val="20"/>
                <w:szCs w:val="20"/>
              </w:rPr>
            </w:pPr>
            <w:r w:rsidRPr="00AD4F6B">
              <w:rPr>
                <w:rFonts w:ascii="Arial Narrow" w:hAnsi="Arial Narrow"/>
                <w:b w:val="0"/>
                <w:bCs w:val="0"/>
                <w:sz w:val="20"/>
                <w:szCs w:val="20"/>
              </w:rPr>
              <w:t>SPR1NT</w:t>
            </w:r>
          </w:p>
        </w:tc>
        <w:tc>
          <w:tcPr>
            <w:tcW w:w="1667" w:type="pct"/>
          </w:tcPr>
          <w:p w:rsidRPr="00AD4F6B" w:rsidR="00A05EA1" w:rsidP="007F7EB0" w:rsidRDefault="00A05EA1" w14:paraId="456AC01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29/29 (100)</w:t>
            </w:r>
          </w:p>
        </w:tc>
        <w:tc>
          <w:tcPr>
            <w:tcW w:w="1667" w:type="pct"/>
          </w:tcPr>
          <w:p w:rsidRPr="00AD4F6B" w:rsidR="00A05EA1" w:rsidP="007F7EB0" w:rsidRDefault="00A05EA1" w14:paraId="2B59441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29/29 (100)</w:t>
            </w:r>
          </w:p>
        </w:tc>
      </w:tr>
      <w:tr w:rsidRPr="00AD4F6B" w:rsidR="00AD4F6B" w:rsidTr="00EA35AC" w14:paraId="79C1FA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AD4F6B" w:rsidR="00A05EA1" w:rsidP="007F7EB0" w:rsidRDefault="00A05EA1" w14:paraId="355100F7" w14:textId="77777777">
            <w:pPr>
              <w:keepNext/>
              <w:keepLines/>
              <w:jc w:val="center"/>
              <w:rPr>
                <w:rFonts w:ascii="Arial Narrow" w:hAnsi="Arial Narrow"/>
                <w:b w:val="0"/>
                <w:bCs w:val="0"/>
                <w:sz w:val="20"/>
                <w:szCs w:val="20"/>
              </w:rPr>
            </w:pPr>
            <w:r w:rsidRPr="00AD4F6B">
              <w:rPr>
                <w:rFonts w:ascii="Arial Narrow" w:hAnsi="Arial Narrow"/>
                <w:b w:val="0"/>
                <w:bCs w:val="0"/>
                <w:sz w:val="20"/>
                <w:szCs w:val="20"/>
              </w:rPr>
              <w:t>START</w:t>
            </w:r>
          </w:p>
        </w:tc>
        <w:tc>
          <w:tcPr>
            <w:tcW w:w="1667" w:type="pct"/>
          </w:tcPr>
          <w:p w:rsidRPr="00AD4F6B" w:rsidR="00A05EA1" w:rsidP="007F7EB0" w:rsidRDefault="00A05EA1" w14:paraId="7F9EC4B1"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15/15 (100)</w:t>
            </w:r>
          </w:p>
        </w:tc>
        <w:tc>
          <w:tcPr>
            <w:tcW w:w="1667" w:type="pct"/>
          </w:tcPr>
          <w:p w:rsidRPr="00AD4F6B" w:rsidR="00A05EA1" w:rsidP="007F7EB0" w:rsidRDefault="00A05EA1" w14:paraId="08ECA6A7"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15/15 (100)</w:t>
            </w:r>
          </w:p>
        </w:tc>
      </w:tr>
      <w:tr w:rsidRPr="00AD4F6B" w:rsidR="00AD4F6B" w:rsidTr="00EA35AC" w14:paraId="761C9ABD" w14:textId="77777777">
        <w:trPr>
          <w:trHeight w:val="90"/>
        </w:trPr>
        <w:tc>
          <w:tcPr>
            <w:cnfStyle w:val="001000000000" w:firstRow="0" w:lastRow="0" w:firstColumn="1" w:lastColumn="0" w:oddVBand="0" w:evenVBand="0" w:oddHBand="0" w:evenHBand="0" w:firstRowFirstColumn="0" w:firstRowLastColumn="0" w:lastRowFirstColumn="0" w:lastRowLastColumn="0"/>
            <w:tcW w:w="1666" w:type="pct"/>
          </w:tcPr>
          <w:p w:rsidRPr="00AD4F6B" w:rsidR="00A05EA1" w:rsidP="007F7EB0" w:rsidRDefault="00A05EA1" w14:paraId="21C55BE0" w14:textId="77777777">
            <w:pPr>
              <w:keepNext/>
              <w:keepLines/>
              <w:jc w:val="center"/>
              <w:rPr>
                <w:rFonts w:ascii="Arial Narrow" w:hAnsi="Arial Narrow"/>
                <w:b w:val="0"/>
                <w:bCs w:val="0"/>
                <w:sz w:val="20"/>
                <w:szCs w:val="20"/>
              </w:rPr>
            </w:pPr>
            <w:r w:rsidRPr="00AD4F6B">
              <w:rPr>
                <w:rFonts w:ascii="Arial Narrow" w:hAnsi="Arial Narrow"/>
                <w:b w:val="0"/>
                <w:bCs w:val="0"/>
                <w:sz w:val="20"/>
                <w:szCs w:val="20"/>
              </w:rPr>
              <w:t>STRIVE-US</w:t>
            </w:r>
          </w:p>
        </w:tc>
        <w:tc>
          <w:tcPr>
            <w:tcW w:w="1667" w:type="pct"/>
          </w:tcPr>
          <w:p w:rsidRPr="00AD4F6B" w:rsidR="00A05EA1" w:rsidP="007F7EB0" w:rsidRDefault="00A05EA1" w14:paraId="2B62765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 xml:space="preserve">21/22 (95.5) </w:t>
            </w:r>
            <w:r w:rsidRPr="00AD4F6B">
              <w:rPr>
                <w:rFonts w:ascii="Arial Narrow" w:hAnsi="Arial Narrow"/>
                <w:sz w:val="20"/>
                <w:szCs w:val="20"/>
                <w:vertAlign w:val="superscript"/>
              </w:rPr>
              <w:t>a</w:t>
            </w:r>
          </w:p>
        </w:tc>
        <w:tc>
          <w:tcPr>
            <w:tcW w:w="1667" w:type="pct"/>
          </w:tcPr>
          <w:p w:rsidRPr="00AD4F6B" w:rsidR="00A05EA1" w:rsidP="007F7EB0" w:rsidRDefault="00A05EA1" w14:paraId="7B61E86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 xml:space="preserve">20/22 (90.9) </w:t>
            </w:r>
            <w:r w:rsidRPr="00AD4F6B">
              <w:rPr>
                <w:rFonts w:ascii="Arial Narrow" w:hAnsi="Arial Narrow"/>
                <w:sz w:val="20"/>
                <w:szCs w:val="20"/>
                <w:vertAlign w:val="superscript"/>
              </w:rPr>
              <w:t>a</w:t>
            </w:r>
          </w:p>
        </w:tc>
      </w:tr>
      <w:tr w:rsidRPr="00AD4F6B" w:rsidR="00AD4F6B" w:rsidTr="00EA35AC" w14:paraId="2FAC59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AD4F6B" w:rsidR="00A05EA1" w:rsidP="007F7EB0" w:rsidRDefault="00A05EA1" w14:paraId="42694C35" w14:textId="77777777">
            <w:pPr>
              <w:keepNext/>
              <w:keepLines/>
              <w:jc w:val="center"/>
              <w:rPr>
                <w:rFonts w:ascii="Arial Narrow" w:hAnsi="Arial Narrow"/>
                <w:b w:val="0"/>
                <w:bCs w:val="0"/>
                <w:sz w:val="20"/>
                <w:szCs w:val="20"/>
              </w:rPr>
            </w:pPr>
            <w:r w:rsidRPr="00AD4F6B">
              <w:rPr>
                <w:rFonts w:ascii="Arial Narrow" w:hAnsi="Arial Narrow"/>
                <w:b w:val="0"/>
                <w:bCs w:val="0"/>
                <w:sz w:val="20"/>
                <w:szCs w:val="20"/>
              </w:rPr>
              <w:t>STRIVE-EU</w:t>
            </w:r>
          </w:p>
        </w:tc>
        <w:tc>
          <w:tcPr>
            <w:tcW w:w="1667" w:type="pct"/>
          </w:tcPr>
          <w:p w:rsidRPr="00AD4F6B" w:rsidR="00A05EA1" w:rsidP="007F7EB0" w:rsidRDefault="00A05EA1" w14:paraId="5C9D575B"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 xml:space="preserve">32/33 (97.0) </w:t>
            </w:r>
            <w:r w:rsidRPr="00AD4F6B">
              <w:rPr>
                <w:rFonts w:ascii="Arial Narrow" w:hAnsi="Arial Narrow"/>
                <w:sz w:val="20"/>
                <w:szCs w:val="20"/>
                <w:vertAlign w:val="superscript"/>
              </w:rPr>
              <w:t>b</w:t>
            </w:r>
          </w:p>
        </w:tc>
        <w:tc>
          <w:tcPr>
            <w:tcW w:w="1667" w:type="pct"/>
          </w:tcPr>
          <w:p w:rsidRPr="00AD4F6B" w:rsidR="00A05EA1" w:rsidP="007F7EB0" w:rsidRDefault="00A05EA1" w14:paraId="1B2D308D" w14:textId="32207609">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32/33 (97.0)</w:t>
            </w:r>
          </w:p>
        </w:tc>
      </w:tr>
      <w:tr w:rsidRPr="00AD4F6B" w:rsidR="00AD4F6B" w:rsidTr="00EA35AC" w14:paraId="53681028" w14:textId="77777777">
        <w:tc>
          <w:tcPr>
            <w:cnfStyle w:val="001000000000" w:firstRow="0" w:lastRow="0" w:firstColumn="1" w:lastColumn="0" w:oddVBand="0" w:evenVBand="0" w:oddHBand="0" w:evenHBand="0" w:firstRowFirstColumn="0" w:firstRowLastColumn="0" w:lastRowFirstColumn="0" w:lastRowLastColumn="0"/>
            <w:tcW w:w="1666" w:type="pct"/>
          </w:tcPr>
          <w:p w:rsidRPr="00AD4F6B" w:rsidR="00A05EA1" w:rsidP="007F7EB0" w:rsidRDefault="00A05EA1" w14:paraId="01F9347E" w14:textId="77777777">
            <w:pPr>
              <w:keepNext/>
              <w:keepLines/>
              <w:jc w:val="center"/>
              <w:rPr>
                <w:rFonts w:ascii="Arial Narrow" w:hAnsi="Arial Narrow"/>
                <w:sz w:val="20"/>
                <w:szCs w:val="20"/>
              </w:rPr>
            </w:pPr>
            <w:r w:rsidRPr="00AD4F6B">
              <w:rPr>
                <w:rFonts w:ascii="Arial Narrow" w:hAnsi="Arial Narrow"/>
                <w:b w:val="0"/>
                <w:bCs w:val="0"/>
                <w:sz w:val="20"/>
                <w:szCs w:val="20"/>
              </w:rPr>
              <w:t>LT-002</w:t>
            </w:r>
          </w:p>
        </w:tc>
        <w:tc>
          <w:tcPr>
            <w:tcW w:w="1667" w:type="pct"/>
          </w:tcPr>
          <w:p w:rsidRPr="00AD4F6B" w:rsidR="00A05EA1" w:rsidP="007F7EB0" w:rsidRDefault="00A05EA1" w14:paraId="505F75CD" w14:textId="00C9A6E9">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81/81 (100)</w:t>
            </w:r>
            <w:r w:rsidRPr="00AD4F6B" w:rsidR="00FC6BFE">
              <w:rPr>
                <w:rFonts w:ascii="Arial Narrow" w:hAnsi="Arial Narrow"/>
                <w:sz w:val="20"/>
                <w:szCs w:val="20"/>
              </w:rPr>
              <w:t xml:space="preserve"> </w:t>
            </w:r>
            <w:r w:rsidRPr="00AD4F6B" w:rsidR="00FC6BFE">
              <w:rPr>
                <w:rFonts w:ascii="Arial Narrow" w:hAnsi="Arial Narrow"/>
                <w:sz w:val="20"/>
                <w:szCs w:val="20"/>
                <w:vertAlign w:val="superscript"/>
              </w:rPr>
              <w:t>c</w:t>
            </w:r>
          </w:p>
        </w:tc>
        <w:tc>
          <w:tcPr>
            <w:tcW w:w="1667" w:type="pct"/>
          </w:tcPr>
          <w:p w:rsidRPr="00AD4F6B" w:rsidR="00A05EA1" w:rsidP="007F7EB0" w:rsidRDefault="00A05EA1" w14:paraId="793723D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 xml:space="preserve">80/81 (98.8) </w:t>
            </w:r>
            <w:r w:rsidRPr="00AD4F6B">
              <w:rPr>
                <w:rFonts w:ascii="Arial Narrow" w:hAnsi="Arial Narrow"/>
                <w:sz w:val="20"/>
                <w:szCs w:val="20"/>
                <w:vertAlign w:val="superscript"/>
              </w:rPr>
              <w:t>c</w:t>
            </w:r>
          </w:p>
        </w:tc>
      </w:tr>
      <w:tr w:rsidRPr="00AD4F6B" w:rsidR="00AD4F6B" w:rsidTr="00EA35AC" w14:paraId="7D84BF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AD4F6B" w:rsidR="003F35ED" w:rsidP="007F7EB0" w:rsidRDefault="00091111" w14:paraId="4B49CCFE" w14:textId="69F38BB5">
            <w:pPr>
              <w:keepNext/>
              <w:keepLines/>
              <w:jc w:val="center"/>
              <w:rPr>
                <w:rFonts w:ascii="Arial Narrow" w:hAnsi="Arial Narrow"/>
                <w:b w:val="0"/>
                <w:bCs w:val="0"/>
                <w:sz w:val="20"/>
                <w:szCs w:val="20"/>
              </w:rPr>
            </w:pPr>
            <w:r w:rsidRPr="00AD4F6B">
              <w:rPr>
                <w:rFonts w:ascii="Arial Narrow" w:hAnsi="Arial Narrow"/>
                <w:b w:val="0"/>
                <w:bCs w:val="0"/>
                <w:sz w:val="20"/>
                <w:szCs w:val="20"/>
              </w:rPr>
              <w:t>ENDEAR</w:t>
            </w:r>
          </w:p>
        </w:tc>
        <w:tc>
          <w:tcPr>
            <w:tcW w:w="1667" w:type="pct"/>
          </w:tcPr>
          <w:p w:rsidRPr="00AD4F6B" w:rsidR="003F35ED" w:rsidP="007F7EB0" w:rsidRDefault="00091111" w14:paraId="6949FC25" w14:textId="5D6EB11F">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67/80 (84)</w:t>
            </w:r>
          </w:p>
        </w:tc>
        <w:tc>
          <w:tcPr>
            <w:tcW w:w="1667" w:type="pct"/>
          </w:tcPr>
          <w:p w:rsidRPr="00AD4F6B" w:rsidR="003F35ED" w:rsidP="007F7EB0" w:rsidRDefault="00091111" w14:paraId="565B0968" w14:textId="642D1A9F">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49/80 (61)</w:t>
            </w:r>
          </w:p>
        </w:tc>
      </w:tr>
      <w:tr w:rsidRPr="00AD4F6B" w:rsidR="00AD4F6B" w:rsidTr="00EA35AC" w14:paraId="4364E9A1" w14:textId="77777777">
        <w:tc>
          <w:tcPr>
            <w:cnfStyle w:val="001000000000" w:firstRow="0" w:lastRow="0" w:firstColumn="1" w:lastColumn="0" w:oddVBand="0" w:evenVBand="0" w:oddHBand="0" w:evenHBand="0" w:firstRowFirstColumn="0" w:firstRowLastColumn="0" w:lastRowFirstColumn="0" w:lastRowLastColumn="0"/>
            <w:tcW w:w="1666" w:type="pct"/>
          </w:tcPr>
          <w:p w:rsidRPr="00AD4F6B" w:rsidR="00BF2F0B" w:rsidP="007F7EB0" w:rsidRDefault="00810D1B" w14:paraId="08DA3199" w14:textId="77777777">
            <w:pPr>
              <w:keepNext/>
              <w:keepLines/>
              <w:jc w:val="center"/>
              <w:rPr>
                <w:rFonts w:ascii="Arial Narrow" w:hAnsi="Arial Narrow"/>
                <w:sz w:val="20"/>
                <w:szCs w:val="20"/>
              </w:rPr>
            </w:pPr>
            <w:r w:rsidRPr="00AD4F6B">
              <w:rPr>
                <w:rFonts w:ascii="Arial Narrow" w:hAnsi="Arial Narrow"/>
                <w:b w:val="0"/>
                <w:bCs w:val="0"/>
                <w:sz w:val="20"/>
                <w:szCs w:val="20"/>
              </w:rPr>
              <w:t>FIREFISH (part 1)</w:t>
            </w:r>
          </w:p>
          <w:p w:rsidRPr="00AD4F6B" w:rsidR="00810D1B" w:rsidP="007F7EB0" w:rsidRDefault="00810D1B" w14:paraId="4BCF59F9" w14:textId="2BF3804D">
            <w:pPr>
              <w:keepNext/>
              <w:keepLines/>
              <w:jc w:val="center"/>
              <w:rPr>
                <w:rFonts w:ascii="Arial Narrow" w:hAnsi="Arial Narrow"/>
                <w:b w:val="0"/>
                <w:bCs w:val="0"/>
                <w:sz w:val="20"/>
                <w:szCs w:val="20"/>
              </w:rPr>
            </w:pPr>
            <w:r w:rsidRPr="00AD4F6B">
              <w:rPr>
                <w:rFonts w:ascii="Arial Narrow" w:hAnsi="Arial Narrow"/>
                <w:b w:val="0"/>
                <w:bCs w:val="0"/>
                <w:sz w:val="20"/>
                <w:szCs w:val="20"/>
              </w:rPr>
              <w:t>FIREFISH (part 2)</w:t>
            </w:r>
          </w:p>
        </w:tc>
        <w:tc>
          <w:tcPr>
            <w:tcW w:w="1667" w:type="pct"/>
          </w:tcPr>
          <w:p w:rsidRPr="00AD4F6B" w:rsidR="00BF2F0B" w:rsidP="007F7EB0" w:rsidRDefault="00810D1B" w14:paraId="7AE35EA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19/21 (90)</w:t>
            </w:r>
          </w:p>
          <w:p w:rsidRPr="00AD4F6B" w:rsidR="00810D1B" w:rsidP="007F7EB0" w:rsidRDefault="00810D1B" w14:paraId="6CBB7195" w14:textId="39E52A71">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38/41 (93)</w:t>
            </w:r>
          </w:p>
        </w:tc>
        <w:tc>
          <w:tcPr>
            <w:tcW w:w="1667" w:type="pct"/>
          </w:tcPr>
          <w:p w:rsidRPr="00AD4F6B" w:rsidR="00BF2F0B" w:rsidP="007F7EB0" w:rsidRDefault="00810D1B" w14:paraId="097A34AC" w14:textId="6E8BC4B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vertAlign w:val="superscript"/>
              </w:rPr>
            </w:pPr>
            <w:r w:rsidRPr="00AD4F6B">
              <w:rPr>
                <w:rFonts w:ascii="Arial Narrow" w:hAnsi="Arial Narrow"/>
                <w:sz w:val="20"/>
                <w:szCs w:val="20"/>
              </w:rPr>
              <w:t>19/21 (90)</w:t>
            </w:r>
          </w:p>
          <w:p w:rsidRPr="00AD4F6B" w:rsidR="00736E45" w:rsidP="007F7EB0" w:rsidRDefault="00736E45" w14:paraId="6E014FF2" w14:textId="2984B4FF">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34/41 (83)</w:t>
            </w:r>
          </w:p>
        </w:tc>
      </w:tr>
    </w:tbl>
    <w:p w:rsidRPr="00AD4F6B" w:rsidR="00A05EA1" w:rsidP="007F7EB0" w:rsidRDefault="00A05EA1" w14:paraId="5A40A8F8" w14:textId="27B34C8C">
      <w:pPr>
        <w:pStyle w:val="TableFigureFooter"/>
        <w:keepNext/>
        <w:rPr>
          <w:i/>
          <w:iCs/>
        </w:rPr>
      </w:pPr>
      <w:r w:rsidRPr="00AD4F6B">
        <w:t>Source: Table 2.18, p53 of the submission; p60 of the STRIVE-US CSR; p33 of the LT-002 CSR</w:t>
      </w:r>
      <w:r w:rsidRPr="00AD4F6B" w:rsidR="00516432">
        <w:rPr>
          <w:i/>
          <w:iCs/>
        </w:rPr>
        <w:t xml:space="preserve">, </w:t>
      </w:r>
      <w:r w:rsidRPr="00AD4F6B" w:rsidR="00516432">
        <w:t>PSCR Table 2</w:t>
      </w:r>
    </w:p>
    <w:p w:rsidRPr="00AD4F6B" w:rsidR="00A05EA1" w:rsidP="007F7EB0" w:rsidRDefault="00A05EA1" w14:paraId="7D9F1525" w14:textId="77777777">
      <w:pPr>
        <w:pStyle w:val="TableFigureFooter"/>
        <w:keepNext/>
      </w:pPr>
      <w:r w:rsidRPr="00AD4F6B">
        <w:t xml:space="preserve">a One patient died at age 7.8 months due to respiratory failure that was not considered related to ONA and one patient discontinued (withdrew consent) at 11.9 months of age; this patient also required permanent ventilation prior to withdrawal of consent (Study Day 176, age 11 months). </w:t>
      </w:r>
    </w:p>
    <w:p w:rsidRPr="00AD4F6B" w:rsidR="00A05EA1" w:rsidP="007F7EB0" w:rsidRDefault="00A05EA1" w14:paraId="5AFB3196" w14:textId="6C4BA0D0">
      <w:pPr>
        <w:pStyle w:val="TableFigureFooter"/>
        <w:keepNext/>
      </w:pPr>
      <w:r w:rsidRPr="00AD4F6B">
        <w:t xml:space="preserve">b One patient discontinued from the study on Day 53 at the age of 6.9 months due to SAEs of hypoxic-ischaemic encephalopathy and respiratory distress that resulted in death. </w:t>
      </w:r>
    </w:p>
    <w:p w:rsidRPr="00AD4F6B" w:rsidR="00A05EA1" w:rsidP="007F7EB0" w:rsidRDefault="00A05EA1" w14:paraId="3029C644" w14:textId="6A9ADE3A">
      <w:pPr>
        <w:pStyle w:val="TableFigureFooter"/>
        <w:keepNext/>
        <w:spacing w:after="0"/>
      </w:pPr>
      <w:r w:rsidRPr="00AD4F6B">
        <w:t xml:space="preserve">c All patients were </w:t>
      </w:r>
      <w:r w:rsidRPr="00AD4F6B" w:rsidR="00DA158A">
        <w:t>alive,</w:t>
      </w:r>
      <w:r w:rsidRPr="00AD4F6B">
        <w:t xml:space="preserve"> and 80 patients were free of permanent ventilation at data cut off (23 May 2022)</w:t>
      </w:r>
      <w:r w:rsidRPr="00AD4F6B" w:rsidR="00EA362A">
        <w:t xml:space="preserve"> – one patient from STR1VE-AP </w:t>
      </w:r>
      <w:r w:rsidRPr="00AD4F6B" w:rsidR="00EC628E">
        <w:t>reached permanent ventilation status during the study.</w:t>
      </w:r>
    </w:p>
    <w:p w:rsidRPr="00AD4F6B" w:rsidR="00014C0D" w:rsidP="007D1016" w:rsidRDefault="00014C0D" w14:paraId="3DDF675B" w14:textId="31F4FB66">
      <w:pPr>
        <w:pStyle w:val="3-BodyText"/>
        <w:rPr>
          <w:rFonts w:cstheme="minorHAnsi"/>
          <w:b/>
          <w:bCs/>
        </w:rPr>
      </w:pPr>
      <w:r w:rsidRPr="00AD4F6B">
        <w:t xml:space="preserve">All patients in the SMART, SPR1NT and START studies survived and were event free, while one death was reported in each of the STR1VE-US and STR1VE-EU studies. The submission claimed that these data indicate there is no difference in overall survival and event free survival in older, heavier babies treated with ONA compared to those treated at &lt;6 months of age. </w:t>
      </w:r>
      <w:r w:rsidRPr="00AD4F6B" w:rsidR="00344B1B">
        <w:t xml:space="preserve">As discussed in paragraph </w:t>
      </w:r>
      <w:r w:rsidRPr="00AD4F6B" w:rsidR="00344B1B">
        <w:fldChar w:fldCharType="begin"/>
      </w:r>
      <w:r w:rsidRPr="00AD4F6B" w:rsidR="00344B1B">
        <w:instrText xml:space="preserve"> REF _Ref208267543 \r \h </w:instrText>
      </w:r>
      <w:r w:rsidRPr="00AD4F6B" w:rsidR="00EC06C3">
        <w:instrText xml:space="preserve"> \* MERGEFORMAT </w:instrText>
      </w:r>
      <w:r w:rsidRPr="00AD4F6B" w:rsidR="00344B1B">
        <w:fldChar w:fldCharType="separate"/>
      </w:r>
      <w:r w:rsidR="00F0459B">
        <w:t>6.10</w:t>
      </w:r>
      <w:r w:rsidRPr="00AD4F6B" w:rsidR="00344B1B">
        <w:fldChar w:fldCharType="end"/>
      </w:r>
      <w:r w:rsidRPr="00AD4F6B" w:rsidR="00344B1B">
        <w:t>, p</w:t>
      </w:r>
      <w:r w:rsidRPr="00AD4F6B">
        <w:t xml:space="preserve">atients across the included studies were not comparable in terms of disease severity (both symptomatic and pre-symptomatic; range from SMA Type I to III) and prior SMA treatment (treatment naïve versus heavily pre-treated), and the results were limited by the short follow-up period (of 52 weeks) in SMART. Overall, the side-by-side comparisons presented by the submission were unlikely to be meaningful and may not be </w:t>
      </w:r>
      <w:r w:rsidRPr="00AD4F6B">
        <w:rPr>
          <w:rFonts w:cstheme="minorHAnsi"/>
          <w:szCs w:val="24"/>
        </w:rPr>
        <w:t>informative for PBAC decision making.</w:t>
      </w:r>
      <w:r w:rsidRPr="00AD4F6B" w:rsidR="007D1016">
        <w:rPr>
          <w:rFonts w:cstheme="minorHAnsi"/>
          <w:szCs w:val="24"/>
        </w:rPr>
        <w:t xml:space="preserve"> The PSCR  stated “h</w:t>
      </w:r>
      <w:r w:rsidRPr="00AD4F6B" w:rsidR="007D1016">
        <w:rPr>
          <w:rFonts w:cstheme="minorHAnsi"/>
        </w:rPr>
        <w:t xml:space="preserve">istorically, a certain level of pragmatism has been applied by the PBAC when evaluating submissions for rare diseases such as SMA where only single arm trials are available. In previous submissions, naïve comparisons were accepted to determine effectiveness of treatments. Such decisions recognise the inherent challenges, including the lack of traditional comparative data, and lower standard of evidence available to assist decision-making in rare diseases.”  </w:t>
      </w:r>
    </w:p>
    <w:p w:rsidRPr="00AD4F6B" w:rsidR="00A05EA1" w:rsidP="00D6076E" w:rsidRDefault="002F69C7" w14:paraId="3F9AC24F" w14:textId="7A9035B5">
      <w:pPr>
        <w:pStyle w:val="3-BodyText"/>
        <w:rPr>
          <w:rStyle w:val="CommentReference"/>
          <w:rFonts w:asciiTheme="minorHAnsi" w:hAnsiTheme="minorHAnsi"/>
          <w:b w:val="0"/>
          <w:sz w:val="24"/>
          <w:szCs w:val="22"/>
        </w:rPr>
      </w:pPr>
      <w:r w:rsidRPr="00AD4F6B">
        <w:rPr>
          <w:rFonts w:cstheme="minorHAnsi"/>
          <w:b/>
          <w:bCs/>
          <w:szCs w:val="24"/>
        </w:rPr>
        <w:fldChar w:fldCharType="begin"/>
      </w:r>
      <w:r w:rsidRPr="00AD4F6B">
        <w:rPr>
          <w:rFonts w:cstheme="minorHAnsi"/>
          <w:b/>
          <w:bCs/>
          <w:szCs w:val="24"/>
        </w:rPr>
        <w:instrText xml:space="preserve"> REF _Ref207966693 \h  \* MERGEFORMAT </w:instrText>
      </w:r>
      <w:r w:rsidRPr="00AD4F6B">
        <w:rPr>
          <w:rFonts w:cstheme="minorHAnsi"/>
          <w:b/>
          <w:bCs/>
          <w:szCs w:val="24"/>
        </w:rPr>
      </w:r>
      <w:r w:rsidRPr="00AD4F6B">
        <w:rPr>
          <w:rFonts w:cstheme="minorHAnsi"/>
          <w:b/>
          <w:bCs/>
          <w:szCs w:val="24"/>
        </w:rPr>
        <w:fldChar w:fldCharType="separate"/>
      </w:r>
      <w:r w:rsidRPr="00F0459B" w:rsidR="00F0459B">
        <w:rPr>
          <w:rStyle w:val="CommentReference"/>
          <w:rFonts w:asciiTheme="minorHAnsi" w:hAnsiTheme="minorHAnsi" w:eastAsiaTheme="majorEastAsia" w:cstheme="minorHAnsi"/>
          <w:b w:val="0"/>
          <w:bCs/>
          <w:sz w:val="24"/>
          <w:szCs w:val="24"/>
        </w:rPr>
        <w:t xml:space="preserve">Table </w:t>
      </w:r>
      <w:r w:rsidRPr="00F0459B" w:rsidR="00F0459B">
        <w:rPr>
          <w:rStyle w:val="CommentReference"/>
          <w:rFonts w:asciiTheme="minorHAnsi" w:hAnsiTheme="minorHAnsi" w:eastAsiaTheme="majorEastAsia" w:cstheme="minorHAnsi"/>
          <w:b w:val="0"/>
          <w:bCs/>
          <w:noProof/>
          <w:sz w:val="24"/>
          <w:szCs w:val="24"/>
        </w:rPr>
        <w:t>8</w:t>
      </w:r>
      <w:r w:rsidRPr="00AD4F6B">
        <w:rPr>
          <w:rFonts w:cstheme="minorHAnsi"/>
          <w:b/>
          <w:bCs/>
          <w:szCs w:val="24"/>
        </w:rPr>
        <w:fldChar w:fldCharType="end"/>
      </w:r>
      <w:r w:rsidRPr="00AD4F6B" w:rsidR="00E73D18">
        <w:rPr>
          <w:rFonts w:cstheme="minorHAnsi"/>
          <w:szCs w:val="24"/>
        </w:rPr>
        <w:t xml:space="preserve"> summarises the change from baseline in HFMSE total score </w:t>
      </w:r>
      <w:r w:rsidRPr="00AD4F6B" w:rsidR="00CC237B">
        <w:rPr>
          <w:rFonts w:cstheme="minorHAnsi"/>
          <w:szCs w:val="24"/>
        </w:rPr>
        <w:t xml:space="preserve">and RULM total score, </w:t>
      </w:r>
      <w:r w:rsidRPr="00AD4F6B" w:rsidR="00E73D18">
        <w:rPr>
          <w:rFonts w:cstheme="minorHAnsi"/>
          <w:szCs w:val="24"/>
        </w:rPr>
        <w:t>by subgroups and</w:t>
      </w:r>
      <w:r w:rsidRPr="00AD4F6B" w:rsidR="00E73D18">
        <w:t xml:space="preserve"> for the overall population</w:t>
      </w:r>
      <w:r w:rsidRPr="00AD4F6B" w:rsidR="00CC237B">
        <w:t xml:space="preserve"> in SMART.</w:t>
      </w:r>
    </w:p>
    <w:p w:rsidRPr="00AD4F6B" w:rsidR="002F69C7" w:rsidP="00344B1B" w:rsidRDefault="00D6076E" w14:paraId="60E076EE" w14:textId="40B1907C">
      <w:pPr>
        <w:pStyle w:val="Caption"/>
      </w:pPr>
      <w:bookmarkStart w:name="_Ref207966693" w:id="34"/>
      <w:r w:rsidRPr="00AD4F6B">
        <w:rPr>
          <w:rStyle w:val="CommentReference"/>
          <w:rFonts w:eastAsiaTheme="majorEastAsia" w:cstheme="majorBidi"/>
          <w:b/>
          <w:szCs w:val="24"/>
        </w:rPr>
        <w:t xml:space="preserve">Table </w:t>
      </w:r>
      <w:r w:rsidRPr="00AD4F6B">
        <w:rPr>
          <w:rStyle w:val="CommentReference"/>
          <w:rFonts w:eastAsiaTheme="majorEastAsia" w:cstheme="majorBidi"/>
          <w:b/>
          <w:szCs w:val="24"/>
        </w:rPr>
        <w:fldChar w:fldCharType="begin"/>
      </w:r>
      <w:r w:rsidRPr="00AD4F6B">
        <w:rPr>
          <w:rStyle w:val="CommentReference"/>
          <w:rFonts w:eastAsiaTheme="majorEastAsia" w:cstheme="majorBidi"/>
          <w:b/>
          <w:szCs w:val="24"/>
        </w:rPr>
        <w:instrText xml:space="preserve"> SEQ Table \* ARABIC </w:instrText>
      </w:r>
      <w:r w:rsidRPr="00AD4F6B">
        <w:rPr>
          <w:rStyle w:val="CommentReference"/>
          <w:rFonts w:eastAsiaTheme="majorEastAsia" w:cstheme="majorBidi"/>
          <w:b/>
          <w:szCs w:val="24"/>
        </w:rPr>
        <w:fldChar w:fldCharType="separate"/>
      </w:r>
      <w:r w:rsidR="00F0459B">
        <w:rPr>
          <w:rStyle w:val="CommentReference"/>
          <w:rFonts w:eastAsiaTheme="majorEastAsia" w:cstheme="majorBidi"/>
          <w:b/>
          <w:noProof/>
          <w:szCs w:val="24"/>
        </w:rPr>
        <w:t>8</w:t>
      </w:r>
      <w:r w:rsidRPr="00AD4F6B">
        <w:rPr>
          <w:rStyle w:val="CommentReference"/>
          <w:rFonts w:eastAsiaTheme="majorEastAsia" w:cstheme="majorBidi"/>
          <w:b/>
          <w:szCs w:val="24"/>
        </w:rPr>
        <w:fldChar w:fldCharType="end"/>
      </w:r>
      <w:bookmarkEnd w:id="34"/>
      <w:r w:rsidRPr="00AD4F6B">
        <w:rPr>
          <w:rStyle w:val="CommentReference"/>
          <w:rFonts w:eastAsiaTheme="majorEastAsia" w:cstheme="majorBidi"/>
          <w:b/>
          <w:szCs w:val="24"/>
        </w:rPr>
        <w:t xml:space="preserve">: </w:t>
      </w:r>
      <w:r w:rsidRPr="00AD4F6B" w:rsidR="002F69C7">
        <w:t>Change from baseline in HFMSE total score</w:t>
      </w:r>
      <w:r w:rsidRPr="00AD4F6B" w:rsidR="008E6212">
        <w:t xml:space="preserve"> and RULM total score</w:t>
      </w:r>
      <w:r w:rsidRPr="00AD4F6B" w:rsidR="002F69C7">
        <w:t xml:space="preserve"> (Full analysis set)</w:t>
      </w:r>
    </w:p>
    <w:tbl>
      <w:tblPr>
        <w:tblStyle w:val="TableGrid"/>
        <w:tblW w:w="5000" w:type="pct"/>
        <w:tblLook w:val="04A0" w:firstRow="1" w:lastRow="0" w:firstColumn="1" w:lastColumn="0" w:noHBand="0" w:noVBand="1"/>
        <w:tblCaption w:val="Table 8: Change from baseline in HFMSE total score and RULM total score (Full analysis set)"/>
      </w:tblPr>
      <w:tblGrid>
        <w:gridCol w:w="1838"/>
        <w:gridCol w:w="1167"/>
        <w:gridCol w:w="1502"/>
        <w:gridCol w:w="1502"/>
        <w:gridCol w:w="1502"/>
        <w:gridCol w:w="1506"/>
      </w:tblGrid>
      <w:tr w:rsidRPr="00AD4F6B" w:rsidR="00AD4F6B" w:rsidTr="00EA35AC" w14:paraId="04411D0E" w14:textId="77777777">
        <w:tc>
          <w:tcPr>
            <w:tcW w:w="1019" w:type="pct"/>
            <w:vAlign w:val="center"/>
          </w:tcPr>
          <w:p w:rsidRPr="00AD4F6B" w:rsidR="002F69C7" w:rsidP="00344B1B" w:rsidRDefault="002F69C7" w14:paraId="1E3F6453" w14:textId="77777777">
            <w:pPr>
              <w:keepNext/>
              <w:keepLines/>
              <w:jc w:val="center"/>
              <w:rPr>
                <w:rFonts w:ascii="Arial Narrow" w:hAnsi="Arial Narrow"/>
                <w:b/>
                <w:bCs/>
                <w:sz w:val="20"/>
                <w:szCs w:val="20"/>
              </w:rPr>
            </w:pPr>
            <w:r w:rsidRPr="00AD4F6B">
              <w:rPr>
                <w:rFonts w:ascii="Arial Narrow" w:hAnsi="Arial Narrow"/>
                <w:b/>
                <w:bCs/>
                <w:sz w:val="20"/>
                <w:szCs w:val="20"/>
              </w:rPr>
              <w:t>Timepoint</w:t>
            </w:r>
          </w:p>
        </w:tc>
        <w:tc>
          <w:tcPr>
            <w:tcW w:w="647" w:type="pct"/>
            <w:vAlign w:val="center"/>
          </w:tcPr>
          <w:p w:rsidRPr="00AD4F6B" w:rsidR="002F69C7" w:rsidP="00344B1B" w:rsidRDefault="002F69C7" w14:paraId="00F89228" w14:textId="77777777">
            <w:pPr>
              <w:keepNext/>
              <w:keepLines/>
              <w:jc w:val="center"/>
              <w:rPr>
                <w:rFonts w:ascii="Arial Narrow" w:hAnsi="Arial Narrow"/>
                <w:b/>
                <w:bCs/>
                <w:sz w:val="20"/>
                <w:szCs w:val="20"/>
              </w:rPr>
            </w:pPr>
            <w:r w:rsidRPr="00AD4F6B">
              <w:rPr>
                <w:rFonts w:ascii="Arial Narrow" w:hAnsi="Arial Narrow"/>
                <w:b/>
                <w:bCs/>
                <w:sz w:val="20"/>
                <w:szCs w:val="20"/>
              </w:rPr>
              <w:t>Statistics</w:t>
            </w:r>
          </w:p>
        </w:tc>
        <w:tc>
          <w:tcPr>
            <w:tcW w:w="833" w:type="pct"/>
            <w:vAlign w:val="center"/>
          </w:tcPr>
          <w:p w:rsidRPr="00AD4F6B" w:rsidR="002F69C7" w:rsidP="00344B1B" w:rsidRDefault="002F69C7" w14:paraId="5B0BBF61" w14:textId="77777777">
            <w:pPr>
              <w:keepNext/>
              <w:keepLines/>
              <w:jc w:val="center"/>
              <w:rPr>
                <w:rFonts w:ascii="Arial Narrow" w:hAnsi="Arial Narrow"/>
                <w:b/>
                <w:bCs/>
                <w:sz w:val="20"/>
                <w:szCs w:val="20"/>
              </w:rPr>
            </w:pPr>
            <w:r w:rsidRPr="00AD4F6B">
              <w:rPr>
                <w:rFonts w:ascii="Arial Narrow" w:hAnsi="Arial Narrow"/>
                <w:b/>
                <w:bCs/>
                <w:sz w:val="20"/>
                <w:szCs w:val="20"/>
              </w:rPr>
              <w:t>Subgroup 1</w:t>
            </w:r>
          </w:p>
          <w:p w:rsidRPr="00AD4F6B" w:rsidR="002F69C7" w:rsidP="00344B1B" w:rsidRDefault="002F69C7" w14:paraId="6CB9C494" w14:textId="77777777">
            <w:pPr>
              <w:keepNext/>
              <w:keepLines/>
              <w:jc w:val="center"/>
              <w:rPr>
                <w:rFonts w:ascii="Arial Narrow" w:hAnsi="Arial Narrow"/>
                <w:b/>
                <w:bCs/>
                <w:sz w:val="20"/>
                <w:szCs w:val="20"/>
              </w:rPr>
            </w:pPr>
            <w:r w:rsidRPr="00AD4F6B">
              <w:rPr>
                <w:rFonts w:ascii="Arial Narrow" w:hAnsi="Arial Narrow"/>
                <w:b/>
                <w:bCs/>
                <w:sz w:val="20"/>
                <w:szCs w:val="20"/>
              </w:rPr>
              <w:t>8.5-13 kg</w:t>
            </w:r>
          </w:p>
          <w:p w:rsidRPr="00AD4F6B" w:rsidR="002F69C7" w:rsidP="00344B1B" w:rsidRDefault="002F69C7" w14:paraId="2DB74CFD" w14:textId="77777777">
            <w:pPr>
              <w:keepNext/>
              <w:keepLines/>
              <w:jc w:val="center"/>
              <w:rPr>
                <w:rFonts w:ascii="Arial Narrow" w:hAnsi="Arial Narrow"/>
                <w:b/>
                <w:bCs/>
                <w:sz w:val="20"/>
                <w:szCs w:val="20"/>
              </w:rPr>
            </w:pPr>
            <w:r w:rsidRPr="00AD4F6B">
              <w:rPr>
                <w:rFonts w:ascii="Arial Narrow" w:hAnsi="Arial Narrow"/>
                <w:b/>
                <w:bCs/>
                <w:sz w:val="20"/>
                <w:szCs w:val="20"/>
              </w:rPr>
              <w:t>N=7</w:t>
            </w:r>
          </w:p>
        </w:tc>
        <w:tc>
          <w:tcPr>
            <w:tcW w:w="833" w:type="pct"/>
            <w:vAlign w:val="center"/>
          </w:tcPr>
          <w:p w:rsidRPr="00AD4F6B" w:rsidR="002F69C7" w:rsidP="00344B1B" w:rsidRDefault="002F69C7" w14:paraId="6C115D0D" w14:textId="77777777">
            <w:pPr>
              <w:keepNext/>
              <w:keepLines/>
              <w:jc w:val="center"/>
              <w:rPr>
                <w:rFonts w:ascii="Arial Narrow" w:hAnsi="Arial Narrow"/>
                <w:b/>
                <w:bCs/>
                <w:sz w:val="20"/>
                <w:szCs w:val="20"/>
              </w:rPr>
            </w:pPr>
            <w:r w:rsidRPr="00AD4F6B">
              <w:rPr>
                <w:rFonts w:ascii="Arial Narrow" w:hAnsi="Arial Narrow"/>
                <w:b/>
                <w:bCs/>
                <w:sz w:val="20"/>
                <w:szCs w:val="20"/>
              </w:rPr>
              <w:t>Subgroup 2</w:t>
            </w:r>
          </w:p>
          <w:p w:rsidRPr="00AD4F6B" w:rsidR="002F69C7" w:rsidP="00344B1B" w:rsidRDefault="002F69C7" w14:paraId="712B9F13" w14:textId="77777777">
            <w:pPr>
              <w:keepNext/>
              <w:keepLines/>
              <w:jc w:val="center"/>
              <w:rPr>
                <w:rFonts w:ascii="Arial Narrow" w:hAnsi="Arial Narrow"/>
                <w:b/>
                <w:bCs/>
                <w:sz w:val="20"/>
                <w:szCs w:val="20"/>
              </w:rPr>
            </w:pPr>
            <w:r w:rsidRPr="00AD4F6B">
              <w:rPr>
                <w:rFonts w:ascii="Arial Narrow" w:hAnsi="Arial Narrow"/>
                <w:b/>
                <w:bCs/>
                <w:sz w:val="20"/>
                <w:szCs w:val="20"/>
              </w:rPr>
              <w:t>&gt;13-17 kg</w:t>
            </w:r>
          </w:p>
          <w:p w:rsidRPr="00AD4F6B" w:rsidR="002F69C7" w:rsidP="00344B1B" w:rsidRDefault="002F69C7" w14:paraId="318296B6" w14:textId="77777777">
            <w:pPr>
              <w:keepNext/>
              <w:keepLines/>
              <w:jc w:val="center"/>
              <w:rPr>
                <w:rFonts w:ascii="Arial Narrow" w:hAnsi="Arial Narrow"/>
                <w:b/>
                <w:bCs/>
                <w:sz w:val="20"/>
                <w:szCs w:val="20"/>
              </w:rPr>
            </w:pPr>
            <w:r w:rsidRPr="00AD4F6B">
              <w:rPr>
                <w:rFonts w:ascii="Arial Narrow" w:hAnsi="Arial Narrow"/>
                <w:b/>
                <w:bCs/>
                <w:sz w:val="20"/>
                <w:szCs w:val="20"/>
              </w:rPr>
              <w:t>N=8</w:t>
            </w:r>
          </w:p>
        </w:tc>
        <w:tc>
          <w:tcPr>
            <w:tcW w:w="833" w:type="pct"/>
            <w:vAlign w:val="center"/>
          </w:tcPr>
          <w:p w:rsidRPr="00AD4F6B" w:rsidR="002F69C7" w:rsidP="00344B1B" w:rsidRDefault="002F69C7" w14:paraId="79DC92DD" w14:textId="77777777">
            <w:pPr>
              <w:keepNext/>
              <w:keepLines/>
              <w:jc w:val="center"/>
              <w:rPr>
                <w:rFonts w:ascii="Arial Narrow" w:hAnsi="Arial Narrow"/>
                <w:b/>
                <w:bCs/>
                <w:sz w:val="20"/>
                <w:szCs w:val="20"/>
              </w:rPr>
            </w:pPr>
            <w:r w:rsidRPr="00AD4F6B">
              <w:rPr>
                <w:rFonts w:ascii="Arial Narrow" w:hAnsi="Arial Narrow"/>
                <w:b/>
                <w:bCs/>
                <w:sz w:val="20"/>
                <w:szCs w:val="20"/>
              </w:rPr>
              <w:t>Subgroup 3</w:t>
            </w:r>
          </w:p>
          <w:p w:rsidRPr="00AD4F6B" w:rsidR="002F69C7" w:rsidP="00344B1B" w:rsidRDefault="002F69C7" w14:paraId="1DFB24D2" w14:textId="77777777">
            <w:pPr>
              <w:keepNext/>
              <w:keepLines/>
              <w:jc w:val="center"/>
              <w:rPr>
                <w:rFonts w:ascii="Arial Narrow" w:hAnsi="Arial Narrow"/>
                <w:b/>
                <w:bCs/>
                <w:sz w:val="20"/>
                <w:szCs w:val="20"/>
              </w:rPr>
            </w:pPr>
            <w:r w:rsidRPr="00AD4F6B">
              <w:rPr>
                <w:rFonts w:ascii="Arial Narrow" w:hAnsi="Arial Narrow"/>
                <w:b/>
                <w:bCs/>
                <w:sz w:val="20"/>
                <w:szCs w:val="20"/>
              </w:rPr>
              <w:t>&gt;17-21 kg</w:t>
            </w:r>
          </w:p>
          <w:p w:rsidRPr="00AD4F6B" w:rsidR="002F69C7" w:rsidP="00344B1B" w:rsidRDefault="002F69C7" w14:paraId="46C03B92" w14:textId="77777777">
            <w:pPr>
              <w:keepNext/>
              <w:keepLines/>
              <w:jc w:val="center"/>
              <w:rPr>
                <w:rFonts w:ascii="Arial Narrow" w:hAnsi="Arial Narrow"/>
                <w:b/>
                <w:bCs/>
                <w:sz w:val="20"/>
                <w:szCs w:val="20"/>
              </w:rPr>
            </w:pPr>
            <w:r w:rsidRPr="00AD4F6B">
              <w:rPr>
                <w:rFonts w:ascii="Arial Narrow" w:hAnsi="Arial Narrow"/>
                <w:b/>
                <w:bCs/>
                <w:sz w:val="20"/>
                <w:szCs w:val="20"/>
              </w:rPr>
              <w:t>N=9</w:t>
            </w:r>
          </w:p>
        </w:tc>
        <w:tc>
          <w:tcPr>
            <w:tcW w:w="833" w:type="pct"/>
            <w:vAlign w:val="center"/>
          </w:tcPr>
          <w:p w:rsidRPr="00AD4F6B" w:rsidR="002F69C7" w:rsidP="00344B1B" w:rsidRDefault="002F69C7" w14:paraId="57BA1B1E" w14:textId="77777777">
            <w:pPr>
              <w:keepNext/>
              <w:keepLines/>
              <w:jc w:val="center"/>
              <w:rPr>
                <w:rFonts w:ascii="Arial Narrow" w:hAnsi="Arial Narrow"/>
                <w:b/>
                <w:bCs/>
                <w:sz w:val="20"/>
                <w:szCs w:val="20"/>
              </w:rPr>
            </w:pPr>
            <w:r w:rsidRPr="00AD4F6B">
              <w:rPr>
                <w:rFonts w:ascii="Arial Narrow" w:hAnsi="Arial Narrow"/>
                <w:b/>
                <w:bCs/>
                <w:sz w:val="20"/>
                <w:szCs w:val="20"/>
              </w:rPr>
              <w:t>Overall</w:t>
            </w:r>
          </w:p>
          <w:p w:rsidRPr="00AD4F6B" w:rsidR="002F69C7" w:rsidP="00344B1B" w:rsidRDefault="002F69C7" w14:paraId="19AF27E4" w14:textId="77777777">
            <w:pPr>
              <w:keepNext/>
              <w:keepLines/>
              <w:jc w:val="center"/>
              <w:rPr>
                <w:rFonts w:ascii="Arial Narrow" w:hAnsi="Arial Narrow"/>
                <w:b/>
                <w:bCs/>
                <w:sz w:val="20"/>
                <w:szCs w:val="20"/>
              </w:rPr>
            </w:pPr>
            <w:r w:rsidRPr="00AD4F6B">
              <w:rPr>
                <w:rFonts w:ascii="Arial Narrow" w:hAnsi="Arial Narrow"/>
                <w:b/>
                <w:bCs/>
                <w:sz w:val="20"/>
                <w:szCs w:val="20"/>
              </w:rPr>
              <w:t>8.5-21 kg</w:t>
            </w:r>
          </w:p>
          <w:p w:rsidRPr="00AD4F6B" w:rsidR="002F69C7" w:rsidP="00344B1B" w:rsidRDefault="002F69C7" w14:paraId="6F9A0F12" w14:textId="77777777">
            <w:pPr>
              <w:keepNext/>
              <w:keepLines/>
              <w:jc w:val="center"/>
              <w:rPr>
                <w:rFonts w:ascii="Arial Narrow" w:hAnsi="Arial Narrow"/>
                <w:b/>
                <w:bCs/>
                <w:sz w:val="20"/>
                <w:szCs w:val="20"/>
              </w:rPr>
            </w:pPr>
            <w:r w:rsidRPr="00AD4F6B">
              <w:rPr>
                <w:rFonts w:ascii="Arial Narrow" w:hAnsi="Arial Narrow"/>
                <w:b/>
                <w:bCs/>
                <w:sz w:val="20"/>
                <w:szCs w:val="20"/>
              </w:rPr>
              <w:t>N=24</w:t>
            </w:r>
          </w:p>
        </w:tc>
      </w:tr>
      <w:tr w:rsidRPr="00AD4F6B" w:rsidR="00AD4F6B" w:rsidTr="00EA35AC" w14:paraId="65F593E9" w14:textId="77777777">
        <w:tc>
          <w:tcPr>
            <w:tcW w:w="5000" w:type="pct"/>
            <w:gridSpan w:val="6"/>
            <w:vAlign w:val="center"/>
          </w:tcPr>
          <w:p w:rsidRPr="00AD4F6B" w:rsidR="00192B1B" w:rsidP="00344B1B" w:rsidRDefault="00192B1B" w14:paraId="7E999BA9" w14:textId="3057B469">
            <w:pPr>
              <w:keepNext/>
              <w:keepLines/>
              <w:jc w:val="left"/>
              <w:rPr>
                <w:rFonts w:ascii="Arial Narrow" w:hAnsi="Arial Narrow"/>
                <w:b/>
                <w:bCs/>
                <w:sz w:val="20"/>
                <w:szCs w:val="20"/>
              </w:rPr>
            </w:pPr>
            <w:r w:rsidRPr="00AD4F6B">
              <w:rPr>
                <w:rFonts w:ascii="Arial Narrow" w:hAnsi="Arial Narrow"/>
                <w:b/>
                <w:bCs/>
                <w:sz w:val="20"/>
                <w:szCs w:val="20"/>
              </w:rPr>
              <w:t>HFMSE</w:t>
            </w:r>
          </w:p>
        </w:tc>
      </w:tr>
      <w:tr w:rsidRPr="00AD4F6B" w:rsidR="00AD4F6B" w:rsidTr="00EA35AC" w14:paraId="12E84D12" w14:textId="77777777">
        <w:tc>
          <w:tcPr>
            <w:tcW w:w="1019" w:type="pct"/>
            <w:vMerge w:val="restart"/>
            <w:vAlign w:val="center"/>
          </w:tcPr>
          <w:p w:rsidRPr="00AD4F6B" w:rsidR="002F69C7" w:rsidP="00344B1B" w:rsidRDefault="002F69C7" w14:paraId="51044AC5" w14:textId="77777777">
            <w:pPr>
              <w:keepNext/>
              <w:keepLines/>
              <w:jc w:val="left"/>
              <w:rPr>
                <w:rFonts w:ascii="Arial Narrow" w:hAnsi="Arial Narrow"/>
                <w:sz w:val="20"/>
                <w:szCs w:val="20"/>
              </w:rPr>
            </w:pPr>
            <w:r w:rsidRPr="00AD4F6B">
              <w:rPr>
                <w:rFonts w:ascii="Arial Narrow" w:hAnsi="Arial Narrow"/>
                <w:sz w:val="20"/>
                <w:szCs w:val="20"/>
              </w:rPr>
              <w:t>Baseline</w:t>
            </w:r>
          </w:p>
        </w:tc>
        <w:tc>
          <w:tcPr>
            <w:tcW w:w="647" w:type="pct"/>
          </w:tcPr>
          <w:p w:rsidRPr="00AD4F6B" w:rsidR="002F69C7" w:rsidP="00344B1B" w:rsidRDefault="002F69C7" w14:paraId="2CB5599C" w14:textId="77777777">
            <w:pPr>
              <w:keepNext/>
              <w:keepLines/>
              <w:rPr>
                <w:rFonts w:ascii="Arial Narrow" w:hAnsi="Arial Narrow"/>
                <w:sz w:val="20"/>
                <w:szCs w:val="20"/>
              </w:rPr>
            </w:pPr>
            <w:r w:rsidRPr="00AD4F6B">
              <w:rPr>
                <w:rFonts w:ascii="Arial Narrow" w:hAnsi="Arial Narrow"/>
                <w:sz w:val="20"/>
                <w:szCs w:val="20"/>
              </w:rPr>
              <w:t>n</w:t>
            </w:r>
          </w:p>
        </w:tc>
        <w:tc>
          <w:tcPr>
            <w:tcW w:w="833" w:type="pct"/>
          </w:tcPr>
          <w:p w:rsidRPr="00AD4F6B" w:rsidR="002F69C7" w:rsidP="00344B1B" w:rsidRDefault="002F69C7" w14:paraId="443B7AAE" w14:textId="77777777">
            <w:pPr>
              <w:keepNext/>
              <w:keepLines/>
              <w:jc w:val="center"/>
              <w:rPr>
                <w:rFonts w:ascii="Arial Narrow" w:hAnsi="Arial Narrow"/>
                <w:sz w:val="20"/>
                <w:szCs w:val="20"/>
              </w:rPr>
            </w:pPr>
            <w:r w:rsidRPr="00AD4F6B">
              <w:rPr>
                <w:rFonts w:ascii="Arial Narrow" w:hAnsi="Arial Narrow"/>
                <w:sz w:val="20"/>
                <w:szCs w:val="20"/>
              </w:rPr>
              <w:t>5</w:t>
            </w:r>
          </w:p>
        </w:tc>
        <w:tc>
          <w:tcPr>
            <w:tcW w:w="833" w:type="pct"/>
          </w:tcPr>
          <w:p w:rsidRPr="00AD4F6B" w:rsidR="002F69C7" w:rsidP="00344B1B" w:rsidRDefault="002F69C7" w14:paraId="38DE4A37" w14:textId="77777777">
            <w:pPr>
              <w:keepNext/>
              <w:keepLines/>
              <w:jc w:val="center"/>
              <w:rPr>
                <w:rFonts w:ascii="Arial Narrow" w:hAnsi="Arial Narrow"/>
                <w:sz w:val="20"/>
                <w:szCs w:val="20"/>
              </w:rPr>
            </w:pPr>
            <w:r w:rsidRPr="00AD4F6B">
              <w:rPr>
                <w:rFonts w:ascii="Arial Narrow" w:hAnsi="Arial Narrow"/>
                <w:sz w:val="20"/>
                <w:szCs w:val="20"/>
              </w:rPr>
              <w:t>6</w:t>
            </w:r>
          </w:p>
        </w:tc>
        <w:tc>
          <w:tcPr>
            <w:tcW w:w="833" w:type="pct"/>
          </w:tcPr>
          <w:p w:rsidRPr="00AD4F6B" w:rsidR="002F69C7" w:rsidP="00344B1B" w:rsidRDefault="002F69C7" w14:paraId="42D1F420" w14:textId="77777777">
            <w:pPr>
              <w:keepNext/>
              <w:keepLines/>
              <w:jc w:val="center"/>
              <w:rPr>
                <w:rFonts w:ascii="Arial Narrow" w:hAnsi="Arial Narrow"/>
                <w:sz w:val="20"/>
                <w:szCs w:val="20"/>
              </w:rPr>
            </w:pPr>
            <w:r w:rsidRPr="00AD4F6B">
              <w:rPr>
                <w:rFonts w:ascii="Arial Narrow" w:hAnsi="Arial Narrow"/>
                <w:sz w:val="20"/>
                <w:szCs w:val="20"/>
              </w:rPr>
              <w:t>9</w:t>
            </w:r>
          </w:p>
        </w:tc>
        <w:tc>
          <w:tcPr>
            <w:tcW w:w="833" w:type="pct"/>
          </w:tcPr>
          <w:p w:rsidRPr="00AD4F6B" w:rsidR="002F69C7" w:rsidP="00344B1B" w:rsidRDefault="002F69C7" w14:paraId="0B8F48CB" w14:textId="77777777">
            <w:pPr>
              <w:keepNext/>
              <w:keepLines/>
              <w:jc w:val="center"/>
              <w:rPr>
                <w:rFonts w:ascii="Arial Narrow" w:hAnsi="Arial Narrow"/>
                <w:sz w:val="20"/>
                <w:szCs w:val="20"/>
              </w:rPr>
            </w:pPr>
            <w:r w:rsidRPr="00AD4F6B">
              <w:rPr>
                <w:rFonts w:ascii="Arial Narrow" w:hAnsi="Arial Narrow"/>
                <w:sz w:val="20"/>
                <w:szCs w:val="20"/>
              </w:rPr>
              <w:t>20</w:t>
            </w:r>
          </w:p>
        </w:tc>
      </w:tr>
      <w:tr w:rsidRPr="00AD4F6B" w:rsidR="00AD4F6B" w:rsidTr="00EA35AC" w14:paraId="37E02374" w14:textId="77777777">
        <w:tc>
          <w:tcPr>
            <w:tcW w:w="1019" w:type="pct"/>
            <w:vMerge/>
            <w:vAlign w:val="center"/>
          </w:tcPr>
          <w:p w:rsidRPr="00AD4F6B" w:rsidR="002F69C7" w:rsidP="00344B1B" w:rsidRDefault="002F69C7" w14:paraId="74E15D4A" w14:textId="77777777">
            <w:pPr>
              <w:keepNext/>
              <w:keepLines/>
              <w:jc w:val="left"/>
              <w:rPr>
                <w:rFonts w:ascii="Arial Narrow" w:hAnsi="Arial Narrow"/>
                <w:sz w:val="20"/>
                <w:szCs w:val="20"/>
              </w:rPr>
            </w:pPr>
          </w:p>
        </w:tc>
        <w:tc>
          <w:tcPr>
            <w:tcW w:w="647" w:type="pct"/>
          </w:tcPr>
          <w:p w:rsidRPr="00AD4F6B" w:rsidR="002F69C7" w:rsidP="00344B1B" w:rsidRDefault="002F69C7" w14:paraId="04C4D11A" w14:textId="77777777">
            <w:pPr>
              <w:keepNext/>
              <w:keepLines/>
              <w:rPr>
                <w:rFonts w:ascii="Arial Narrow" w:hAnsi="Arial Narrow"/>
                <w:sz w:val="20"/>
                <w:szCs w:val="20"/>
              </w:rPr>
            </w:pPr>
            <w:r w:rsidRPr="00AD4F6B">
              <w:rPr>
                <w:rFonts w:ascii="Arial Narrow" w:hAnsi="Arial Narrow"/>
                <w:sz w:val="20"/>
                <w:szCs w:val="20"/>
              </w:rPr>
              <w:t>Mean (SD)</w:t>
            </w:r>
          </w:p>
        </w:tc>
        <w:tc>
          <w:tcPr>
            <w:tcW w:w="833" w:type="pct"/>
          </w:tcPr>
          <w:p w:rsidRPr="00AD4F6B" w:rsidR="002F69C7" w:rsidP="00344B1B" w:rsidRDefault="002F69C7" w14:paraId="0D96979C" w14:textId="77777777">
            <w:pPr>
              <w:keepNext/>
              <w:keepLines/>
              <w:jc w:val="center"/>
              <w:rPr>
                <w:rFonts w:ascii="Arial Narrow" w:hAnsi="Arial Narrow"/>
                <w:sz w:val="20"/>
                <w:szCs w:val="20"/>
              </w:rPr>
            </w:pPr>
            <w:r w:rsidRPr="00AD4F6B">
              <w:rPr>
                <w:rFonts w:ascii="Arial Narrow" w:hAnsi="Arial Narrow"/>
                <w:sz w:val="20"/>
                <w:szCs w:val="20"/>
              </w:rPr>
              <w:t>19.4 (13.96)</w:t>
            </w:r>
          </w:p>
        </w:tc>
        <w:tc>
          <w:tcPr>
            <w:tcW w:w="833" w:type="pct"/>
          </w:tcPr>
          <w:p w:rsidRPr="00AD4F6B" w:rsidR="002F69C7" w:rsidP="00344B1B" w:rsidRDefault="002F69C7" w14:paraId="6542E1E2" w14:textId="77777777">
            <w:pPr>
              <w:keepNext/>
              <w:keepLines/>
              <w:jc w:val="center"/>
              <w:rPr>
                <w:rFonts w:ascii="Arial Narrow" w:hAnsi="Arial Narrow"/>
                <w:sz w:val="20"/>
                <w:szCs w:val="20"/>
              </w:rPr>
            </w:pPr>
            <w:r w:rsidRPr="00AD4F6B">
              <w:rPr>
                <w:rFonts w:ascii="Arial Narrow" w:hAnsi="Arial Narrow"/>
                <w:sz w:val="20"/>
                <w:szCs w:val="20"/>
              </w:rPr>
              <w:t>29.2 (22.78)</w:t>
            </w:r>
          </w:p>
        </w:tc>
        <w:tc>
          <w:tcPr>
            <w:tcW w:w="833" w:type="pct"/>
          </w:tcPr>
          <w:p w:rsidRPr="00AD4F6B" w:rsidR="002F69C7" w:rsidP="00344B1B" w:rsidRDefault="002F69C7" w14:paraId="51E08D5E" w14:textId="77777777">
            <w:pPr>
              <w:keepNext/>
              <w:keepLines/>
              <w:jc w:val="center"/>
              <w:rPr>
                <w:rFonts w:ascii="Arial Narrow" w:hAnsi="Arial Narrow"/>
                <w:sz w:val="20"/>
                <w:szCs w:val="20"/>
              </w:rPr>
            </w:pPr>
            <w:r w:rsidRPr="00AD4F6B">
              <w:rPr>
                <w:rFonts w:ascii="Arial Narrow" w:hAnsi="Arial Narrow"/>
                <w:sz w:val="20"/>
                <w:szCs w:val="20"/>
              </w:rPr>
              <w:t>32.6 (19.05)</w:t>
            </w:r>
          </w:p>
        </w:tc>
        <w:tc>
          <w:tcPr>
            <w:tcW w:w="833" w:type="pct"/>
          </w:tcPr>
          <w:p w:rsidRPr="00AD4F6B" w:rsidR="002F69C7" w:rsidP="00344B1B" w:rsidRDefault="002F69C7" w14:paraId="2E9C2910" w14:textId="77777777">
            <w:pPr>
              <w:keepNext/>
              <w:keepLines/>
              <w:jc w:val="center"/>
              <w:rPr>
                <w:rFonts w:ascii="Arial Narrow" w:hAnsi="Arial Narrow"/>
                <w:sz w:val="20"/>
                <w:szCs w:val="20"/>
              </w:rPr>
            </w:pPr>
            <w:r w:rsidRPr="00AD4F6B">
              <w:rPr>
                <w:rFonts w:ascii="Arial Narrow" w:hAnsi="Arial Narrow"/>
                <w:sz w:val="20"/>
                <w:szCs w:val="20"/>
              </w:rPr>
              <w:t>28.3 (18.98)</w:t>
            </w:r>
          </w:p>
        </w:tc>
      </w:tr>
      <w:tr w:rsidRPr="00AD4F6B" w:rsidR="00AD4F6B" w:rsidTr="00EA35AC" w14:paraId="7C27E968" w14:textId="77777777">
        <w:tc>
          <w:tcPr>
            <w:tcW w:w="1019" w:type="pct"/>
            <w:vMerge/>
            <w:vAlign w:val="center"/>
          </w:tcPr>
          <w:p w:rsidRPr="00AD4F6B" w:rsidR="002F69C7" w:rsidP="00344B1B" w:rsidRDefault="002F69C7" w14:paraId="2CBCEE69" w14:textId="77777777">
            <w:pPr>
              <w:keepNext/>
              <w:keepLines/>
              <w:jc w:val="left"/>
              <w:rPr>
                <w:rFonts w:ascii="Arial Narrow" w:hAnsi="Arial Narrow"/>
                <w:sz w:val="20"/>
                <w:szCs w:val="20"/>
              </w:rPr>
            </w:pPr>
          </w:p>
        </w:tc>
        <w:tc>
          <w:tcPr>
            <w:tcW w:w="647" w:type="pct"/>
          </w:tcPr>
          <w:p w:rsidRPr="00AD4F6B" w:rsidR="002F69C7" w:rsidP="00344B1B" w:rsidRDefault="002F69C7" w14:paraId="671300BE" w14:textId="77777777">
            <w:pPr>
              <w:keepNext/>
              <w:keepLines/>
              <w:rPr>
                <w:rFonts w:ascii="Arial Narrow" w:hAnsi="Arial Narrow"/>
                <w:sz w:val="20"/>
                <w:szCs w:val="20"/>
              </w:rPr>
            </w:pPr>
            <w:r w:rsidRPr="00AD4F6B">
              <w:rPr>
                <w:rFonts w:ascii="Arial Narrow" w:hAnsi="Arial Narrow"/>
                <w:sz w:val="20"/>
                <w:szCs w:val="20"/>
              </w:rPr>
              <w:t>Median</w:t>
            </w:r>
          </w:p>
        </w:tc>
        <w:tc>
          <w:tcPr>
            <w:tcW w:w="833" w:type="pct"/>
          </w:tcPr>
          <w:p w:rsidRPr="00AD4F6B" w:rsidR="002F69C7" w:rsidP="00344B1B" w:rsidRDefault="002F69C7" w14:paraId="5F10679E" w14:textId="77777777">
            <w:pPr>
              <w:keepNext/>
              <w:keepLines/>
              <w:jc w:val="center"/>
              <w:rPr>
                <w:rFonts w:ascii="Arial Narrow" w:hAnsi="Arial Narrow"/>
                <w:sz w:val="20"/>
                <w:szCs w:val="20"/>
              </w:rPr>
            </w:pPr>
            <w:r w:rsidRPr="00AD4F6B">
              <w:rPr>
                <w:rFonts w:ascii="Arial Narrow" w:hAnsi="Arial Narrow"/>
                <w:sz w:val="20"/>
                <w:szCs w:val="20"/>
              </w:rPr>
              <w:t>20.0</w:t>
            </w:r>
          </w:p>
        </w:tc>
        <w:tc>
          <w:tcPr>
            <w:tcW w:w="833" w:type="pct"/>
          </w:tcPr>
          <w:p w:rsidRPr="00AD4F6B" w:rsidR="002F69C7" w:rsidP="00344B1B" w:rsidRDefault="002F69C7" w14:paraId="1363F623" w14:textId="77777777">
            <w:pPr>
              <w:keepNext/>
              <w:keepLines/>
              <w:jc w:val="center"/>
              <w:rPr>
                <w:rFonts w:ascii="Arial Narrow" w:hAnsi="Arial Narrow"/>
                <w:sz w:val="20"/>
                <w:szCs w:val="20"/>
              </w:rPr>
            </w:pPr>
            <w:r w:rsidRPr="00AD4F6B">
              <w:rPr>
                <w:rFonts w:ascii="Arial Narrow" w:hAnsi="Arial Narrow"/>
                <w:sz w:val="20"/>
                <w:szCs w:val="20"/>
              </w:rPr>
              <w:t>29.5</w:t>
            </w:r>
          </w:p>
        </w:tc>
        <w:tc>
          <w:tcPr>
            <w:tcW w:w="833" w:type="pct"/>
          </w:tcPr>
          <w:p w:rsidRPr="00AD4F6B" w:rsidR="002F69C7" w:rsidP="00344B1B" w:rsidRDefault="002F69C7" w14:paraId="7CE6591B" w14:textId="77777777">
            <w:pPr>
              <w:keepNext/>
              <w:keepLines/>
              <w:jc w:val="center"/>
              <w:rPr>
                <w:rFonts w:ascii="Arial Narrow" w:hAnsi="Arial Narrow"/>
                <w:sz w:val="20"/>
                <w:szCs w:val="20"/>
              </w:rPr>
            </w:pPr>
            <w:r w:rsidRPr="00AD4F6B">
              <w:rPr>
                <w:rFonts w:ascii="Arial Narrow" w:hAnsi="Arial Narrow"/>
                <w:sz w:val="20"/>
                <w:szCs w:val="20"/>
              </w:rPr>
              <w:t>39.0</w:t>
            </w:r>
          </w:p>
        </w:tc>
        <w:tc>
          <w:tcPr>
            <w:tcW w:w="833" w:type="pct"/>
          </w:tcPr>
          <w:p w:rsidRPr="00AD4F6B" w:rsidR="002F69C7" w:rsidP="00344B1B" w:rsidRDefault="002F69C7" w14:paraId="2BF54A16" w14:textId="77777777">
            <w:pPr>
              <w:keepNext/>
              <w:keepLines/>
              <w:jc w:val="center"/>
              <w:rPr>
                <w:rFonts w:ascii="Arial Narrow" w:hAnsi="Arial Narrow"/>
                <w:sz w:val="20"/>
                <w:szCs w:val="20"/>
              </w:rPr>
            </w:pPr>
            <w:r w:rsidRPr="00AD4F6B">
              <w:rPr>
                <w:rFonts w:ascii="Arial Narrow" w:hAnsi="Arial Narrow"/>
                <w:sz w:val="20"/>
                <w:szCs w:val="20"/>
              </w:rPr>
              <w:t>29.5</w:t>
            </w:r>
          </w:p>
        </w:tc>
      </w:tr>
      <w:tr w:rsidRPr="00AD4F6B" w:rsidR="00AD4F6B" w:rsidTr="00EA35AC" w14:paraId="66E5AE3E" w14:textId="77777777">
        <w:tc>
          <w:tcPr>
            <w:tcW w:w="1019" w:type="pct"/>
            <w:vMerge/>
            <w:vAlign w:val="center"/>
          </w:tcPr>
          <w:p w:rsidRPr="00AD4F6B" w:rsidR="002F69C7" w:rsidP="00344B1B" w:rsidRDefault="002F69C7" w14:paraId="22323C8F" w14:textId="77777777">
            <w:pPr>
              <w:keepNext/>
              <w:keepLines/>
              <w:jc w:val="left"/>
              <w:rPr>
                <w:rFonts w:ascii="Arial Narrow" w:hAnsi="Arial Narrow"/>
                <w:sz w:val="20"/>
                <w:szCs w:val="20"/>
              </w:rPr>
            </w:pPr>
          </w:p>
        </w:tc>
        <w:tc>
          <w:tcPr>
            <w:tcW w:w="647" w:type="pct"/>
          </w:tcPr>
          <w:p w:rsidRPr="00AD4F6B" w:rsidR="002F69C7" w:rsidP="00344B1B" w:rsidRDefault="002F69C7" w14:paraId="7C4A0480" w14:textId="77777777">
            <w:pPr>
              <w:keepNext/>
              <w:keepLines/>
              <w:rPr>
                <w:rFonts w:ascii="Arial Narrow" w:hAnsi="Arial Narrow"/>
                <w:sz w:val="20"/>
                <w:szCs w:val="20"/>
              </w:rPr>
            </w:pPr>
            <w:r w:rsidRPr="00AD4F6B">
              <w:rPr>
                <w:rFonts w:ascii="Arial Narrow" w:hAnsi="Arial Narrow"/>
                <w:sz w:val="20"/>
                <w:szCs w:val="20"/>
              </w:rPr>
              <w:t>Min-Max</w:t>
            </w:r>
          </w:p>
        </w:tc>
        <w:tc>
          <w:tcPr>
            <w:tcW w:w="833" w:type="pct"/>
          </w:tcPr>
          <w:p w:rsidRPr="00AD4F6B" w:rsidR="002F69C7" w:rsidP="00344B1B" w:rsidRDefault="002F69C7" w14:paraId="3E9B9870" w14:textId="77777777">
            <w:pPr>
              <w:keepNext/>
              <w:keepLines/>
              <w:jc w:val="center"/>
              <w:rPr>
                <w:rFonts w:ascii="Arial Narrow" w:hAnsi="Arial Narrow"/>
                <w:sz w:val="20"/>
                <w:szCs w:val="20"/>
              </w:rPr>
            </w:pPr>
            <w:r w:rsidRPr="00AD4F6B">
              <w:rPr>
                <w:rFonts w:ascii="Arial Narrow" w:hAnsi="Arial Narrow"/>
                <w:sz w:val="20"/>
                <w:szCs w:val="20"/>
              </w:rPr>
              <w:t>6-40</w:t>
            </w:r>
          </w:p>
        </w:tc>
        <w:tc>
          <w:tcPr>
            <w:tcW w:w="833" w:type="pct"/>
          </w:tcPr>
          <w:p w:rsidRPr="00AD4F6B" w:rsidR="002F69C7" w:rsidP="00344B1B" w:rsidRDefault="002F69C7" w14:paraId="7233D6ED" w14:textId="77777777">
            <w:pPr>
              <w:keepNext/>
              <w:keepLines/>
              <w:jc w:val="center"/>
              <w:rPr>
                <w:rFonts w:ascii="Arial Narrow" w:hAnsi="Arial Narrow"/>
                <w:sz w:val="20"/>
                <w:szCs w:val="20"/>
              </w:rPr>
            </w:pPr>
            <w:r w:rsidRPr="00AD4F6B">
              <w:rPr>
                <w:rFonts w:ascii="Arial Narrow" w:hAnsi="Arial Narrow"/>
                <w:sz w:val="20"/>
                <w:szCs w:val="20"/>
              </w:rPr>
              <w:t>0-55</w:t>
            </w:r>
          </w:p>
        </w:tc>
        <w:tc>
          <w:tcPr>
            <w:tcW w:w="833" w:type="pct"/>
          </w:tcPr>
          <w:p w:rsidRPr="00AD4F6B" w:rsidR="002F69C7" w:rsidP="00344B1B" w:rsidRDefault="002F69C7" w14:paraId="49C944EC" w14:textId="77777777">
            <w:pPr>
              <w:keepNext/>
              <w:keepLines/>
              <w:jc w:val="center"/>
              <w:rPr>
                <w:rFonts w:ascii="Arial Narrow" w:hAnsi="Arial Narrow"/>
                <w:sz w:val="20"/>
                <w:szCs w:val="20"/>
              </w:rPr>
            </w:pPr>
            <w:r w:rsidRPr="00AD4F6B">
              <w:rPr>
                <w:rFonts w:ascii="Arial Narrow" w:hAnsi="Arial Narrow"/>
                <w:sz w:val="20"/>
                <w:szCs w:val="20"/>
              </w:rPr>
              <w:t>4-51</w:t>
            </w:r>
          </w:p>
        </w:tc>
        <w:tc>
          <w:tcPr>
            <w:tcW w:w="833" w:type="pct"/>
          </w:tcPr>
          <w:p w:rsidRPr="00AD4F6B" w:rsidR="002F69C7" w:rsidP="00344B1B" w:rsidRDefault="002F69C7" w14:paraId="4965F145" w14:textId="77777777">
            <w:pPr>
              <w:keepNext/>
              <w:keepLines/>
              <w:jc w:val="center"/>
              <w:rPr>
                <w:rFonts w:ascii="Arial Narrow" w:hAnsi="Arial Narrow"/>
                <w:sz w:val="20"/>
                <w:szCs w:val="20"/>
              </w:rPr>
            </w:pPr>
            <w:r w:rsidRPr="00AD4F6B">
              <w:rPr>
                <w:rFonts w:ascii="Arial Narrow" w:hAnsi="Arial Narrow"/>
                <w:sz w:val="20"/>
                <w:szCs w:val="20"/>
              </w:rPr>
              <w:t>0-55</w:t>
            </w:r>
          </w:p>
        </w:tc>
      </w:tr>
      <w:tr w:rsidRPr="00AD4F6B" w:rsidR="00AD4F6B" w:rsidTr="00EA35AC" w14:paraId="351220EC" w14:textId="77777777">
        <w:tc>
          <w:tcPr>
            <w:tcW w:w="1019" w:type="pct"/>
            <w:vMerge w:val="restart"/>
            <w:vAlign w:val="center"/>
          </w:tcPr>
          <w:p w:rsidRPr="00AD4F6B" w:rsidR="002F69C7" w:rsidP="00344B1B" w:rsidRDefault="002F69C7" w14:paraId="6686275B" w14:textId="77777777">
            <w:pPr>
              <w:keepNext/>
              <w:keepLines/>
              <w:jc w:val="left"/>
              <w:rPr>
                <w:rFonts w:ascii="Arial Narrow" w:hAnsi="Arial Narrow"/>
                <w:sz w:val="20"/>
                <w:szCs w:val="20"/>
              </w:rPr>
            </w:pPr>
            <w:r w:rsidRPr="00AD4F6B">
              <w:rPr>
                <w:rFonts w:ascii="Arial Narrow" w:hAnsi="Arial Narrow"/>
                <w:sz w:val="20"/>
                <w:szCs w:val="20"/>
              </w:rPr>
              <w:t>Change from baseline at Week 52</w:t>
            </w:r>
          </w:p>
        </w:tc>
        <w:tc>
          <w:tcPr>
            <w:tcW w:w="647" w:type="pct"/>
          </w:tcPr>
          <w:p w:rsidRPr="00AD4F6B" w:rsidR="002F69C7" w:rsidP="00344B1B" w:rsidRDefault="002F69C7" w14:paraId="43A0AEB7" w14:textId="77777777">
            <w:pPr>
              <w:keepNext/>
              <w:keepLines/>
              <w:rPr>
                <w:rFonts w:ascii="Arial Narrow" w:hAnsi="Arial Narrow"/>
                <w:sz w:val="20"/>
                <w:szCs w:val="20"/>
              </w:rPr>
            </w:pPr>
            <w:r w:rsidRPr="00AD4F6B">
              <w:rPr>
                <w:rFonts w:ascii="Arial Narrow" w:hAnsi="Arial Narrow"/>
                <w:sz w:val="20"/>
                <w:szCs w:val="20"/>
              </w:rPr>
              <w:t>n</w:t>
            </w:r>
          </w:p>
        </w:tc>
        <w:tc>
          <w:tcPr>
            <w:tcW w:w="833" w:type="pct"/>
          </w:tcPr>
          <w:p w:rsidRPr="00AD4F6B" w:rsidR="002F69C7" w:rsidP="00344B1B" w:rsidRDefault="002F69C7" w14:paraId="065B8876" w14:textId="77777777">
            <w:pPr>
              <w:keepNext/>
              <w:keepLines/>
              <w:jc w:val="center"/>
              <w:rPr>
                <w:rFonts w:ascii="Arial Narrow" w:hAnsi="Arial Narrow"/>
                <w:sz w:val="20"/>
                <w:szCs w:val="20"/>
              </w:rPr>
            </w:pPr>
            <w:r w:rsidRPr="00AD4F6B">
              <w:rPr>
                <w:rFonts w:ascii="Arial Narrow" w:hAnsi="Arial Narrow"/>
                <w:sz w:val="20"/>
                <w:szCs w:val="20"/>
              </w:rPr>
              <w:t>5</w:t>
            </w:r>
          </w:p>
        </w:tc>
        <w:tc>
          <w:tcPr>
            <w:tcW w:w="833" w:type="pct"/>
          </w:tcPr>
          <w:p w:rsidRPr="00AD4F6B" w:rsidR="002F69C7" w:rsidP="00344B1B" w:rsidRDefault="002F69C7" w14:paraId="008ED284" w14:textId="77777777">
            <w:pPr>
              <w:keepNext/>
              <w:keepLines/>
              <w:jc w:val="center"/>
              <w:rPr>
                <w:rFonts w:ascii="Arial Narrow" w:hAnsi="Arial Narrow"/>
                <w:sz w:val="20"/>
                <w:szCs w:val="20"/>
              </w:rPr>
            </w:pPr>
            <w:r w:rsidRPr="00AD4F6B">
              <w:rPr>
                <w:rFonts w:ascii="Arial Narrow" w:hAnsi="Arial Narrow"/>
                <w:sz w:val="20"/>
                <w:szCs w:val="20"/>
              </w:rPr>
              <w:t>6</w:t>
            </w:r>
          </w:p>
        </w:tc>
        <w:tc>
          <w:tcPr>
            <w:tcW w:w="833" w:type="pct"/>
          </w:tcPr>
          <w:p w:rsidRPr="00AD4F6B" w:rsidR="002F69C7" w:rsidP="00344B1B" w:rsidRDefault="002F69C7" w14:paraId="022EB58C" w14:textId="77777777">
            <w:pPr>
              <w:keepNext/>
              <w:keepLines/>
              <w:jc w:val="center"/>
              <w:rPr>
                <w:rFonts w:ascii="Arial Narrow" w:hAnsi="Arial Narrow"/>
                <w:sz w:val="20"/>
                <w:szCs w:val="20"/>
              </w:rPr>
            </w:pPr>
            <w:r w:rsidRPr="00AD4F6B">
              <w:rPr>
                <w:rFonts w:ascii="Arial Narrow" w:hAnsi="Arial Narrow"/>
                <w:sz w:val="20"/>
                <w:szCs w:val="20"/>
              </w:rPr>
              <w:t>7</w:t>
            </w:r>
          </w:p>
        </w:tc>
        <w:tc>
          <w:tcPr>
            <w:tcW w:w="833" w:type="pct"/>
          </w:tcPr>
          <w:p w:rsidRPr="00AD4F6B" w:rsidR="002F69C7" w:rsidP="00344B1B" w:rsidRDefault="002F69C7" w14:paraId="54F77A0D" w14:textId="77777777">
            <w:pPr>
              <w:keepNext/>
              <w:keepLines/>
              <w:jc w:val="center"/>
              <w:rPr>
                <w:rFonts w:ascii="Arial Narrow" w:hAnsi="Arial Narrow"/>
                <w:sz w:val="20"/>
                <w:szCs w:val="20"/>
              </w:rPr>
            </w:pPr>
            <w:r w:rsidRPr="00AD4F6B">
              <w:rPr>
                <w:rFonts w:ascii="Arial Narrow" w:hAnsi="Arial Narrow"/>
                <w:sz w:val="20"/>
                <w:szCs w:val="20"/>
              </w:rPr>
              <w:t>18</w:t>
            </w:r>
          </w:p>
        </w:tc>
      </w:tr>
      <w:tr w:rsidRPr="00AD4F6B" w:rsidR="00AD4F6B" w:rsidTr="00EA35AC" w14:paraId="43F3B6D3" w14:textId="77777777">
        <w:tc>
          <w:tcPr>
            <w:tcW w:w="1019" w:type="pct"/>
            <w:vMerge/>
            <w:vAlign w:val="center"/>
          </w:tcPr>
          <w:p w:rsidRPr="00AD4F6B" w:rsidR="002F69C7" w:rsidP="00344B1B" w:rsidRDefault="002F69C7" w14:paraId="1385C0F3" w14:textId="77777777">
            <w:pPr>
              <w:keepNext/>
              <w:keepLines/>
              <w:jc w:val="left"/>
              <w:rPr>
                <w:rFonts w:ascii="Arial Narrow" w:hAnsi="Arial Narrow"/>
                <w:sz w:val="20"/>
                <w:szCs w:val="20"/>
              </w:rPr>
            </w:pPr>
          </w:p>
        </w:tc>
        <w:tc>
          <w:tcPr>
            <w:tcW w:w="647" w:type="pct"/>
          </w:tcPr>
          <w:p w:rsidRPr="00AD4F6B" w:rsidR="002F69C7" w:rsidP="00344B1B" w:rsidRDefault="002F69C7" w14:paraId="0D47DB22" w14:textId="77777777">
            <w:pPr>
              <w:keepNext/>
              <w:keepLines/>
              <w:rPr>
                <w:rFonts w:ascii="Arial Narrow" w:hAnsi="Arial Narrow"/>
                <w:sz w:val="20"/>
                <w:szCs w:val="20"/>
              </w:rPr>
            </w:pPr>
            <w:r w:rsidRPr="00AD4F6B">
              <w:rPr>
                <w:rFonts w:ascii="Arial Narrow" w:hAnsi="Arial Narrow"/>
                <w:sz w:val="20"/>
                <w:szCs w:val="20"/>
              </w:rPr>
              <w:t>Mean (SD)</w:t>
            </w:r>
          </w:p>
        </w:tc>
        <w:tc>
          <w:tcPr>
            <w:tcW w:w="833" w:type="pct"/>
          </w:tcPr>
          <w:p w:rsidRPr="00AD4F6B" w:rsidR="002F69C7" w:rsidP="00344B1B" w:rsidRDefault="002F69C7" w14:paraId="18AE6B50" w14:textId="77777777">
            <w:pPr>
              <w:keepNext/>
              <w:keepLines/>
              <w:jc w:val="center"/>
              <w:rPr>
                <w:rFonts w:ascii="Arial Narrow" w:hAnsi="Arial Narrow"/>
                <w:sz w:val="20"/>
                <w:szCs w:val="20"/>
              </w:rPr>
            </w:pPr>
            <w:r w:rsidRPr="00AD4F6B">
              <w:rPr>
                <w:rFonts w:ascii="Arial Narrow" w:hAnsi="Arial Narrow"/>
                <w:sz w:val="20"/>
                <w:szCs w:val="20"/>
              </w:rPr>
              <w:t>3.0 (5.24)</w:t>
            </w:r>
          </w:p>
        </w:tc>
        <w:tc>
          <w:tcPr>
            <w:tcW w:w="833" w:type="pct"/>
          </w:tcPr>
          <w:p w:rsidRPr="00AD4F6B" w:rsidR="002F69C7" w:rsidP="00344B1B" w:rsidRDefault="002F69C7" w14:paraId="7657AC3C" w14:textId="77777777">
            <w:pPr>
              <w:keepNext/>
              <w:keepLines/>
              <w:jc w:val="center"/>
              <w:rPr>
                <w:rFonts w:ascii="Arial Narrow" w:hAnsi="Arial Narrow"/>
                <w:sz w:val="20"/>
                <w:szCs w:val="20"/>
              </w:rPr>
            </w:pPr>
            <w:r w:rsidRPr="00AD4F6B">
              <w:rPr>
                <w:rFonts w:ascii="Arial Narrow" w:hAnsi="Arial Narrow"/>
                <w:sz w:val="20"/>
                <w:szCs w:val="20"/>
              </w:rPr>
              <w:t>3.7 (5.75)</w:t>
            </w:r>
          </w:p>
        </w:tc>
        <w:tc>
          <w:tcPr>
            <w:tcW w:w="833" w:type="pct"/>
          </w:tcPr>
          <w:p w:rsidRPr="00AD4F6B" w:rsidR="002F69C7" w:rsidP="00344B1B" w:rsidRDefault="002F69C7" w14:paraId="1C776146" w14:textId="77777777">
            <w:pPr>
              <w:keepNext/>
              <w:keepLines/>
              <w:jc w:val="center"/>
              <w:rPr>
                <w:rFonts w:ascii="Arial Narrow" w:hAnsi="Arial Narrow"/>
                <w:sz w:val="20"/>
                <w:szCs w:val="20"/>
              </w:rPr>
            </w:pPr>
            <w:r w:rsidRPr="00AD4F6B">
              <w:rPr>
                <w:rFonts w:ascii="Arial Narrow" w:hAnsi="Arial Narrow"/>
                <w:sz w:val="20"/>
                <w:szCs w:val="20"/>
              </w:rPr>
              <w:t>4.3 (4.07)</w:t>
            </w:r>
          </w:p>
        </w:tc>
        <w:tc>
          <w:tcPr>
            <w:tcW w:w="833" w:type="pct"/>
          </w:tcPr>
          <w:p w:rsidRPr="00AD4F6B" w:rsidR="002F69C7" w:rsidP="00344B1B" w:rsidRDefault="002F69C7" w14:paraId="2ADB8E6D" w14:textId="77777777">
            <w:pPr>
              <w:keepNext/>
              <w:keepLines/>
              <w:jc w:val="center"/>
              <w:rPr>
                <w:rFonts w:ascii="Arial Narrow" w:hAnsi="Arial Narrow"/>
                <w:sz w:val="20"/>
                <w:szCs w:val="20"/>
              </w:rPr>
            </w:pPr>
            <w:r w:rsidRPr="00AD4F6B">
              <w:rPr>
                <w:rFonts w:ascii="Arial Narrow" w:hAnsi="Arial Narrow"/>
                <w:sz w:val="20"/>
                <w:szCs w:val="20"/>
              </w:rPr>
              <w:t>3.7 (4.73)</w:t>
            </w:r>
          </w:p>
        </w:tc>
      </w:tr>
      <w:tr w:rsidRPr="00AD4F6B" w:rsidR="00AD4F6B" w:rsidTr="00EA35AC" w14:paraId="2F2DE654" w14:textId="77777777">
        <w:tc>
          <w:tcPr>
            <w:tcW w:w="1019" w:type="pct"/>
            <w:vMerge/>
            <w:vAlign w:val="center"/>
          </w:tcPr>
          <w:p w:rsidRPr="00AD4F6B" w:rsidR="002F69C7" w:rsidP="00344B1B" w:rsidRDefault="002F69C7" w14:paraId="77B9A493" w14:textId="77777777">
            <w:pPr>
              <w:keepNext/>
              <w:keepLines/>
              <w:jc w:val="left"/>
              <w:rPr>
                <w:rFonts w:ascii="Arial Narrow" w:hAnsi="Arial Narrow"/>
                <w:sz w:val="20"/>
                <w:szCs w:val="20"/>
              </w:rPr>
            </w:pPr>
          </w:p>
        </w:tc>
        <w:tc>
          <w:tcPr>
            <w:tcW w:w="647" w:type="pct"/>
          </w:tcPr>
          <w:p w:rsidRPr="00AD4F6B" w:rsidR="002F69C7" w:rsidP="00344B1B" w:rsidRDefault="002F69C7" w14:paraId="27EB9922" w14:textId="77777777">
            <w:pPr>
              <w:keepNext/>
              <w:keepLines/>
              <w:rPr>
                <w:rFonts w:ascii="Arial Narrow" w:hAnsi="Arial Narrow"/>
                <w:sz w:val="20"/>
                <w:szCs w:val="20"/>
              </w:rPr>
            </w:pPr>
            <w:r w:rsidRPr="00AD4F6B">
              <w:rPr>
                <w:rFonts w:ascii="Arial Narrow" w:hAnsi="Arial Narrow"/>
                <w:sz w:val="20"/>
                <w:szCs w:val="20"/>
              </w:rPr>
              <w:t>Median</w:t>
            </w:r>
          </w:p>
        </w:tc>
        <w:tc>
          <w:tcPr>
            <w:tcW w:w="833" w:type="pct"/>
          </w:tcPr>
          <w:p w:rsidRPr="00AD4F6B" w:rsidR="002F69C7" w:rsidP="00344B1B" w:rsidRDefault="002F69C7" w14:paraId="145E7F67" w14:textId="77777777">
            <w:pPr>
              <w:keepNext/>
              <w:keepLines/>
              <w:jc w:val="center"/>
              <w:rPr>
                <w:rFonts w:ascii="Arial Narrow" w:hAnsi="Arial Narrow"/>
                <w:sz w:val="20"/>
                <w:szCs w:val="20"/>
              </w:rPr>
            </w:pPr>
            <w:r w:rsidRPr="00AD4F6B">
              <w:rPr>
                <w:rFonts w:ascii="Arial Narrow" w:hAnsi="Arial Narrow"/>
                <w:sz w:val="20"/>
                <w:szCs w:val="20"/>
              </w:rPr>
              <w:t>3.0</w:t>
            </w:r>
          </w:p>
        </w:tc>
        <w:tc>
          <w:tcPr>
            <w:tcW w:w="833" w:type="pct"/>
          </w:tcPr>
          <w:p w:rsidRPr="00AD4F6B" w:rsidR="002F69C7" w:rsidP="00344B1B" w:rsidRDefault="002F69C7" w14:paraId="084A41ED" w14:textId="77777777">
            <w:pPr>
              <w:keepNext/>
              <w:keepLines/>
              <w:jc w:val="center"/>
              <w:rPr>
                <w:rFonts w:ascii="Arial Narrow" w:hAnsi="Arial Narrow"/>
                <w:sz w:val="20"/>
                <w:szCs w:val="20"/>
              </w:rPr>
            </w:pPr>
            <w:r w:rsidRPr="00AD4F6B">
              <w:rPr>
                <w:rFonts w:ascii="Arial Narrow" w:hAnsi="Arial Narrow"/>
                <w:sz w:val="20"/>
                <w:szCs w:val="20"/>
              </w:rPr>
              <w:t>4.0</w:t>
            </w:r>
          </w:p>
        </w:tc>
        <w:tc>
          <w:tcPr>
            <w:tcW w:w="833" w:type="pct"/>
          </w:tcPr>
          <w:p w:rsidRPr="00AD4F6B" w:rsidR="002F69C7" w:rsidP="00344B1B" w:rsidRDefault="002F69C7" w14:paraId="23CFDAB8" w14:textId="77777777">
            <w:pPr>
              <w:keepNext/>
              <w:keepLines/>
              <w:jc w:val="center"/>
              <w:rPr>
                <w:rFonts w:ascii="Arial Narrow" w:hAnsi="Arial Narrow"/>
                <w:sz w:val="20"/>
                <w:szCs w:val="20"/>
              </w:rPr>
            </w:pPr>
            <w:r w:rsidRPr="00AD4F6B">
              <w:rPr>
                <w:rFonts w:ascii="Arial Narrow" w:hAnsi="Arial Narrow"/>
                <w:sz w:val="20"/>
                <w:szCs w:val="20"/>
              </w:rPr>
              <w:t>5.0</w:t>
            </w:r>
          </w:p>
        </w:tc>
        <w:tc>
          <w:tcPr>
            <w:tcW w:w="833" w:type="pct"/>
          </w:tcPr>
          <w:p w:rsidRPr="00AD4F6B" w:rsidR="002F69C7" w:rsidP="00344B1B" w:rsidRDefault="002F69C7" w14:paraId="78069277" w14:textId="77777777">
            <w:pPr>
              <w:keepNext/>
              <w:keepLines/>
              <w:jc w:val="center"/>
              <w:rPr>
                <w:rFonts w:ascii="Arial Narrow" w:hAnsi="Arial Narrow"/>
                <w:sz w:val="20"/>
                <w:szCs w:val="20"/>
              </w:rPr>
            </w:pPr>
            <w:r w:rsidRPr="00AD4F6B">
              <w:rPr>
                <w:rFonts w:ascii="Arial Narrow" w:hAnsi="Arial Narrow"/>
                <w:sz w:val="20"/>
                <w:szCs w:val="20"/>
              </w:rPr>
              <w:t>4.0</w:t>
            </w:r>
          </w:p>
        </w:tc>
      </w:tr>
      <w:tr w:rsidRPr="00AD4F6B" w:rsidR="00AD4F6B" w:rsidTr="00EA35AC" w14:paraId="3AAEF956" w14:textId="77777777">
        <w:tc>
          <w:tcPr>
            <w:tcW w:w="1019" w:type="pct"/>
            <w:vMerge w:val="restart"/>
            <w:vAlign w:val="center"/>
          </w:tcPr>
          <w:p w:rsidRPr="00AD4F6B" w:rsidR="002F69C7" w:rsidP="00344B1B" w:rsidRDefault="002F69C7" w14:paraId="3C10FC38" w14:textId="5D08AC5A">
            <w:pPr>
              <w:keepNext/>
              <w:keepLines/>
              <w:jc w:val="left"/>
              <w:rPr>
                <w:rFonts w:ascii="Arial Narrow" w:hAnsi="Arial Narrow"/>
                <w:sz w:val="20"/>
                <w:szCs w:val="20"/>
              </w:rPr>
            </w:pPr>
            <w:r w:rsidRPr="00AD4F6B">
              <w:rPr>
                <w:rFonts w:ascii="Arial Narrow" w:hAnsi="Arial Narrow"/>
                <w:sz w:val="20"/>
                <w:szCs w:val="20"/>
              </w:rPr>
              <w:t xml:space="preserve">Change from baseline at Week 52 (mixed model) </w:t>
            </w:r>
            <w:r w:rsidRPr="00AD4F6B" w:rsidR="00D314CC">
              <w:rPr>
                <w:rFonts w:ascii="Arial Narrow" w:hAnsi="Arial Narrow"/>
                <w:sz w:val="20"/>
                <w:szCs w:val="20"/>
                <w:vertAlign w:val="superscript"/>
              </w:rPr>
              <w:t>a</w:t>
            </w:r>
          </w:p>
        </w:tc>
        <w:tc>
          <w:tcPr>
            <w:tcW w:w="647" w:type="pct"/>
          </w:tcPr>
          <w:p w:rsidRPr="00AD4F6B" w:rsidR="002F69C7" w:rsidP="00344B1B" w:rsidRDefault="002F69C7" w14:paraId="72A8D27F" w14:textId="77777777">
            <w:pPr>
              <w:keepNext/>
              <w:keepLines/>
              <w:jc w:val="left"/>
              <w:rPr>
                <w:rFonts w:ascii="Arial Narrow" w:hAnsi="Arial Narrow"/>
                <w:sz w:val="20"/>
                <w:szCs w:val="20"/>
              </w:rPr>
            </w:pPr>
            <w:r w:rsidRPr="00AD4F6B">
              <w:rPr>
                <w:rFonts w:ascii="Arial Narrow" w:hAnsi="Arial Narrow"/>
                <w:sz w:val="20"/>
                <w:szCs w:val="20"/>
              </w:rPr>
              <w:t>n</w:t>
            </w:r>
          </w:p>
        </w:tc>
        <w:tc>
          <w:tcPr>
            <w:tcW w:w="833" w:type="pct"/>
          </w:tcPr>
          <w:p w:rsidRPr="00AD4F6B" w:rsidR="002F69C7" w:rsidP="00344B1B" w:rsidRDefault="002F69C7" w14:paraId="51A05064" w14:textId="77777777">
            <w:pPr>
              <w:keepNext/>
              <w:keepLines/>
              <w:jc w:val="center"/>
              <w:rPr>
                <w:rFonts w:ascii="Arial Narrow" w:hAnsi="Arial Narrow"/>
                <w:sz w:val="20"/>
                <w:szCs w:val="20"/>
              </w:rPr>
            </w:pPr>
            <w:r w:rsidRPr="00AD4F6B">
              <w:rPr>
                <w:rFonts w:ascii="Arial Narrow" w:hAnsi="Arial Narrow"/>
                <w:sz w:val="20"/>
                <w:szCs w:val="20"/>
              </w:rPr>
              <w:t>5</w:t>
            </w:r>
          </w:p>
        </w:tc>
        <w:tc>
          <w:tcPr>
            <w:tcW w:w="833" w:type="pct"/>
          </w:tcPr>
          <w:p w:rsidRPr="00AD4F6B" w:rsidR="002F69C7" w:rsidP="00344B1B" w:rsidRDefault="002F69C7" w14:paraId="0E38E8B8" w14:textId="77777777">
            <w:pPr>
              <w:keepNext/>
              <w:keepLines/>
              <w:jc w:val="center"/>
              <w:rPr>
                <w:rFonts w:ascii="Arial Narrow" w:hAnsi="Arial Narrow"/>
                <w:sz w:val="20"/>
                <w:szCs w:val="20"/>
              </w:rPr>
            </w:pPr>
            <w:r w:rsidRPr="00AD4F6B">
              <w:rPr>
                <w:rFonts w:ascii="Arial Narrow" w:hAnsi="Arial Narrow"/>
                <w:sz w:val="20"/>
                <w:szCs w:val="20"/>
              </w:rPr>
              <w:t>6</w:t>
            </w:r>
          </w:p>
        </w:tc>
        <w:tc>
          <w:tcPr>
            <w:tcW w:w="833" w:type="pct"/>
          </w:tcPr>
          <w:p w:rsidRPr="00AD4F6B" w:rsidR="002F69C7" w:rsidP="00344B1B" w:rsidRDefault="002F69C7" w14:paraId="38448CE6" w14:textId="77777777">
            <w:pPr>
              <w:keepNext/>
              <w:keepLines/>
              <w:jc w:val="center"/>
              <w:rPr>
                <w:rFonts w:ascii="Arial Narrow" w:hAnsi="Arial Narrow"/>
                <w:sz w:val="20"/>
                <w:szCs w:val="20"/>
              </w:rPr>
            </w:pPr>
            <w:r w:rsidRPr="00AD4F6B">
              <w:rPr>
                <w:rFonts w:ascii="Arial Narrow" w:hAnsi="Arial Narrow"/>
                <w:sz w:val="20"/>
                <w:szCs w:val="20"/>
              </w:rPr>
              <w:t>7</w:t>
            </w:r>
          </w:p>
        </w:tc>
        <w:tc>
          <w:tcPr>
            <w:tcW w:w="833" w:type="pct"/>
          </w:tcPr>
          <w:p w:rsidRPr="00AD4F6B" w:rsidR="002F69C7" w:rsidP="00344B1B" w:rsidRDefault="002F69C7" w14:paraId="38DE13EB" w14:textId="77777777">
            <w:pPr>
              <w:keepNext/>
              <w:keepLines/>
              <w:jc w:val="center"/>
              <w:rPr>
                <w:rFonts w:ascii="Arial Narrow" w:hAnsi="Arial Narrow"/>
                <w:sz w:val="20"/>
                <w:szCs w:val="20"/>
              </w:rPr>
            </w:pPr>
            <w:r w:rsidRPr="00AD4F6B">
              <w:rPr>
                <w:rFonts w:ascii="Arial Narrow" w:hAnsi="Arial Narrow"/>
                <w:sz w:val="20"/>
                <w:szCs w:val="20"/>
              </w:rPr>
              <w:t>18</w:t>
            </w:r>
          </w:p>
        </w:tc>
      </w:tr>
      <w:tr w:rsidRPr="00AD4F6B" w:rsidR="00AD4F6B" w:rsidTr="00EA35AC" w14:paraId="2C5B2977" w14:textId="77777777">
        <w:tc>
          <w:tcPr>
            <w:tcW w:w="1019" w:type="pct"/>
            <w:vMerge/>
            <w:vAlign w:val="center"/>
          </w:tcPr>
          <w:p w:rsidRPr="00AD4F6B" w:rsidR="002F69C7" w:rsidP="00344B1B" w:rsidRDefault="002F69C7" w14:paraId="65A01F59" w14:textId="77777777">
            <w:pPr>
              <w:keepNext/>
              <w:keepLines/>
              <w:jc w:val="left"/>
              <w:rPr>
                <w:rFonts w:ascii="Arial Narrow" w:hAnsi="Arial Narrow"/>
                <w:sz w:val="20"/>
                <w:szCs w:val="20"/>
              </w:rPr>
            </w:pPr>
          </w:p>
        </w:tc>
        <w:tc>
          <w:tcPr>
            <w:tcW w:w="647" w:type="pct"/>
          </w:tcPr>
          <w:p w:rsidRPr="00AD4F6B" w:rsidR="002F69C7" w:rsidP="00344B1B" w:rsidRDefault="002F69C7" w14:paraId="4ADF81A2" w14:textId="77777777">
            <w:pPr>
              <w:keepNext/>
              <w:keepLines/>
              <w:jc w:val="left"/>
              <w:rPr>
                <w:rFonts w:ascii="Arial Narrow" w:hAnsi="Arial Narrow"/>
                <w:sz w:val="20"/>
                <w:szCs w:val="20"/>
              </w:rPr>
            </w:pPr>
            <w:r w:rsidRPr="00AD4F6B">
              <w:rPr>
                <w:rFonts w:ascii="Arial Narrow" w:hAnsi="Arial Narrow"/>
                <w:sz w:val="20"/>
                <w:szCs w:val="20"/>
              </w:rPr>
              <w:t>LS Mean</w:t>
            </w:r>
          </w:p>
        </w:tc>
        <w:tc>
          <w:tcPr>
            <w:tcW w:w="833" w:type="pct"/>
          </w:tcPr>
          <w:p w:rsidRPr="00AD4F6B" w:rsidR="002F69C7" w:rsidP="00344B1B" w:rsidRDefault="002F69C7" w14:paraId="7B7CF7B1" w14:textId="77777777">
            <w:pPr>
              <w:keepNext/>
              <w:keepLines/>
              <w:jc w:val="center"/>
              <w:rPr>
                <w:rFonts w:ascii="Arial Narrow" w:hAnsi="Arial Narrow"/>
                <w:sz w:val="20"/>
                <w:szCs w:val="20"/>
              </w:rPr>
            </w:pPr>
            <w:r w:rsidRPr="00AD4F6B">
              <w:rPr>
                <w:rFonts w:ascii="Arial Narrow" w:hAnsi="Arial Narrow"/>
                <w:sz w:val="20"/>
                <w:szCs w:val="20"/>
              </w:rPr>
              <w:t>3.51</w:t>
            </w:r>
          </w:p>
        </w:tc>
        <w:tc>
          <w:tcPr>
            <w:tcW w:w="833" w:type="pct"/>
          </w:tcPr>
          <w:p w:rsidRPr="00AD4F6B" w:rsidR="002F69C7" w:rsidP="00344B1B" w:rsidRDefault="002F69C7" w14:paraId="04374B53" w14:textId="77777777">
            <w:pPr>
              <w:keepNext/>
              <w:keepLines/>
              <w:jc w:val="center"/>
              <w:rPr>
                <w:rFonts w:ascii="Arial Narrow" w:hAnsi="Arial Narrow"/>
                <w:sz w:val="20"/>
                <w:szCs w:val="20"/>
              </w:rPr>
            </w:pPr>
            <w:r w:rsidRPr="00AD4F6B">
              <w:rPr>
                <w:rFonts w:ascii="Arial Narrow" w:hAnsi="Arial Narrow"/>
                <w:sz w:val="20"/>
                <w:szCs w:val="20"/>
              </w:rPr>
              <w:t>3.60</w:t>
            </w:r>
          </w:p>
        </w:tc>
        <w:tc>
          <w:tcPr>
            <w:tcW w:w="833" w:type="pct"/>
          </w:tcPr>
          <w:p w:rsidRPr="00AD4F6B" w:rsidR="002F69C7" w:rsidP="00344B1B" w:rsidRDefault="002F69C7" w14:paraId="585152BE" w14:textId="77777777">
            <w:pPr>
              <w:keepNext/>
              <w:keepLines/>
              <w:jc w:val="center"/>
              <w:rPr>
                <w:rFonts w:ascii="Arial Narrow" w:hAnsi="Arial Narrow"/>
                <w:sz w:val="20"/>
                <w:szCs w:val="20"/>
              </w:rPr>
            </w:pPr>
            <w:r w:rsidRPr="00AD4F6B">
              <w:rPr>
                <w:rFonts w:ascii="Arial Narrow" w:hAnsi="Arial Narrow"/>
                <w:sz w:val="20"/>
                <w:szCs w:val="20"/>
              </w:rPr>
              <w:t>4.23</w:t>
            </w:r>
          </w:p>
        </w:tc>
        <w:tc>
          <w:tcPr>
            <w:tcW w:w="833" w:type="pct"/>
          </w:tcPr>
          <w:p w:rsidRPr="00AD4F6B" w:rsidR="002F69C7" w:rsidP="00344B1B" w:rsidRDefault="002F69C7" w14:paraId="42E02794" w14:textId="77777777">
            <w:pPr>
              <w:keepNext/>
              <w:keepLines/>
              <w:jc w:val="center"/>
              <w:rPr>
                <w:rFonts w:ascii="Arial Narrow" w:hAnsi="Arial Narrow"/>
                <w:sz w:val="20"/>
                <w:szCs w:val="20"/>
              </w:rPr>
            </w:pPr>
            <w:r w:rsidRPr="00AD4F6B">
              <w:rPr>
                <w:rFonts w:ascii="Arial Narrow" w:hAnsi="Arial Narrow"/>
                <w:sz w:val="20"/>
                <w:szCs w:val="20"/>
              </w:rPr>
              <w:t>3.78</w:t>
            </w:r>
          </w:p>
        </w:tc>
      </w:tr>
      <w:tr w:rsidRPr="00AD4F6B" w:rsidR="00AD4F6B" w:rsidTr="00EA35AC" w14:paraId="7D10C080" w14:textId="77777777">
        <w:tc>
          <w:tcPr>
            <w:tcW w:w="1019" w:type="pct"/>
            <w:vMerge/>
            <w:vAlign w:val="center"/>
          </w:tcPr>
          <w:p w:rsidRPr="00AD4F6B" w:rsidR="002F69C7" w:rsidP="00344B1B" w:rsidRDefault="002F69C7" w14:paraId="405285C2" w14:textId="77777777">
            <w:pPr>
              <w:keepNext/>
              <w:keepLines/>
              <w:jc w:val="left"/>
              <w:rPr>
                <w:rFonts w:ascii="Arial Narrow" w:hAnsi="Arial Narrow"/>
                <w:sz w:val="20"/>
                <w:szCs w:val="20"/>
              </w:rPr>
            </w:pPr>
          </w:p>
        </w:tc>
        <w:tc>
          <w:tcPr>
            <w:tcW w:w="647" w:type="pct"/>
          </w:tcPr>
          <w:p w:rsidRPr="00AD4F6B" w:rsidR="002F69C7" w:rsidP="00344B1B" w:rsidRDefault="002F69C7" w14:paraId="38E240EA" w14:textId="77777777">
            <w:pPr>
              <w:keepNext/>
              <w:keepLines/>
              <w:jc w:val="left"/>
              <w:rPr>
                <w:rFonts w:ascii="Arial Narrow" w:hAnsi="Arial Narrow"/>
                <w:sz w:val="20"/>
                <w:szCs w:val="20"/>
              </w:rPr>
            </w:pPr>
            <w:r w:rsidRPr="00AD4F6B">
              <w:rPr>
                <w:rFonts w:ascii="Arial Narrow" w:hAnsi="Arial Narrow"/>
                <w:sz w:val="20"/>
                <w:szCs w:val="20"/>
              </w:rPr>
              <w:t>95% CI</w:t>
            </w:r>
          </w:p>
        </w:tc>
        <w:tc>
          <w:tcPr>
            <w:tcW w:w="833" w:type="pct"/>
          </w:tcPr>
          <w:p w:rsidRPr="00AD4F6B" w:rsidR="002F69C7" w:rsidP="00344B1B" w:rsidRDefault="002F69C7" w14:paraId="5AE117E3" w14:textId="77777777">
            <w:pPr>
              <w:keepNext/>
              <w:keepLines/>
              <w:jc w:val="center"/>
              <w:rPr>
                <w:rFonts w:ascii="Arial Narrow" w:hAnsi="Arial Narrow"/>
                <w:sz w:val="20"/>
                <w:szCs w:val="20"/>
              </w:rPr>
            </w:pPr>
            <w:r w:rsidRPr="00AD4F6B">
              <w:rPr>
                <w:rFonts w:ascii="Arial Narrow" w:hAnsi="Arial Narrow"/>
                <w:sz w:val="20"/>
                <w:szCs w:val="20"/>
              </w:rPr>
              <w:t>-1.05-8.07</w:t>
            </w:r>
          </w:p>
        </w:tc>
        <w:tc>
          <w:tcPr>
            <w:tcW w:w="833" w:type="pct"/>
          </w:tcPr>
          <w:p w:rsidRPr="00AD4F6B" w:rsidR="002F69C7" w:rsidP="00344B1B" w:rsidRDefault="002F69C7" w14:paraId="085E593A" w14:textId="77777777">
            <w:pPr>
              <w:keepNext/>
              <w:keepLines/>
              <w:jc w:val="center"/>
              <w:rPr>
                <w:rFonts w:ascii="Arial Narrow" w:hAnsi="Arial Narrow"/>
                <w:sz w:val="20"/>
                <w:szCs w:val="20"/>
              </w:rPr>
            </w:pPr>
            <w:r w:rsidRPr="00AD4F6B">
              <w:rPr>
                <w:rFonts w:ascii="Arial Narrow" w:hAnsi="Arial Narrow"/>
                <w:sz w:val="20"/>
                <w:szCs w:val="20"/>
              </w:rPr>
              <w:t>-0.52-7.72</w:t>
            </w:r>
          </w:p>
        </w:tc>
        <w:tc>
          <w:tcPr>
            <w:tcW w:w="833" w:type="pct"/>
          </w:tcPr>
          <w:p w:rsidRPr="00AD4F6B" w:rsidR="002F69C7" w:rsidP="00344B1B" w:rsidRDefault="002F69C7" w14:paraId="2691BFEB" w14:textId="77777777">
            <w:pPr>
              <w:keepNext/>
              <w:keepLines/>
              <w:jc w:val="center"/>
              <w:rPr>
                <w:rFonts w:ascii="Arial Narrow" w:hAnsi="Arial Narrow"/>
                <w:sz w:val="20"/>
                <w:szCs w:val="20"/>
              </w:rPr>
            </w:pPr>
            <w:r w:rsidRPr="00AD4F6B">
              <w:rPr>
                <w:rFonts w:ascii="Arial Narrow" w:hAnsi="Arial Narrow"/>
                <w:sz w:val="20"/>
                <w:szCs w:val="20"/>
              </w:rPr>
              <w:t>0.78-7.67</w:t>
            </w:r>
          </w:p>
        </w:tc>
        <w:tc>
          <w:tcPr>
            <w:tcW w:w="833" w:type="pct"/>
          </w:tcPr>
          <w:p w:rsidRPr="00AD4F6B" w:rsidR="002F69C7" w:rsidP="00344B1B" w:rsidRDefault="002F69C7" w14:paraId="407C568A" w14:textId="77777777">
            <w:pPr>
              <w:keepNext/>
              <w:keepLines/>
              <w:jc w:val="center"/>
              <w:rPr>
                <w:rFonts w:ascii="Arial Narrow" w:hAnsi="Arial Narrow"/>
                <w:sz w:val="20"/>
                <w:szCs w:val="20"/>
              </w:rPr>
            </w:pPr>
            <w:r w:rsidRPr="00AD4F6B">
              <w:rPr>
                <w:rFonts w:ascii="Arial Narrow" w:hAnsi="Arial Narrow"/>
                <w:sz w:val="20"/>
                <w:szCs w:val="20"/>
              </w:rPr>
              <w:t>1.44-6.11</w:t>
            </w:r>
          </w:p>
        </w:tc>
      </w:tr>
      <w:tr w:rsidRPr="00AD4F6B" w:rsidR="00AD4F6B" w:rsidTr="00EA35AC" w14:paraId="121C276F" w14:textId="77777777">
        <w:tc>
          <w:tcPr>
            <w:tcW w:w="5000" w:type="pct"/>
            <w:gridSpan w:val="6"/>
            <w:vAlign w:val="center"/>
          </w:tcPr>
          <w:p w:rsidRPr="00AD4F6B" w:rsidR="00192B1B" w:rsidP="00344B1B" w:rsidRDefault="00192B1B" w14:paraId="510D9BBB" w14:textId="7F1A4661">
            <w:pPr>
              <w:keepNext/>
              <w:keepLines/>
              <w:jc w:val="left"/>
              <w:rPr>
                <w:rFonts w:ascii="Arial Narrow" w:hAnsi="Arial Narrow"/>
                <w:b/>
                <w:bCs/>
                <w:sz w:val="20"/>
                <w:szCs w:val="20"/>
              </w:rPr>
            </w:pPr>
            <w:r w:rsidRPr="00AD4F6B">
              <w:rPr>
                <w:rFonts w:ascii="Arial Narrow" w:hAnsi="Arial Narrow"/>
                <w:b/>
                <w:bCs/>
                <w:sz w:val="20"/>
                <w:szCs w:val="20"/>
              </w:rPr>
              <w:t>RULM</w:t>
            </w:r>
          </w:p>
        </w:tc>
      </w:tr>
      <w:tr w:rsidRPr="00AD4F6B" w:rsidR="00AD4F6B" w:rsidTr="00EA35AC" w14:paraId="65AF022F" w14:textId="77777777">
        <w:tc>
          <w:tcPr>
            <w:tcW w:w="1019" w:type="pct"/>
            <w:vMerge w:val="restart"/>
            <w:vAlign w:val="center"/>
          </w:tcPr>
          <w:p w:rsidRPr="00AD4F6B" w:rsidR="00FA3B63" w:rsidP="00344B1B" w:rsidRDefault="00FA3B63" w14:paraId="5D218046" w14:textId="7A9CF363">
            <w:pPr>
              <w:keepNext/>
              <w:keepLines/>
              <w:jc w:val="left"/>
              <w:rPr>
                <w:rFonts w:ascii="Arial Narrow" w:hAnsi="Arial Narrow"/>
                <w:sz w:val="20"/>
                <w:szCs w:val="20"/>
              </w:rPr>
            </w:pPr>
            <w:r w:rsidRPr="00AD4F6B">
              <w:rPr>
                <w:rFonts w:ascii="Arial Narrow" w:hAnsi="Arial Narrow"/>
                <w:sz w:val="20"/>
                <w:szCs w:val="20"/>
              </w:rPr>
              <w:t>Baseline</w:t>
            </w:r>
          </w:p>
        </w:tc>
        <w:tc>
          <w:tcPr>
            <w:tcW w:w="647" w:type="pct"/>
          </w:tcPr>
          <w:p w:rsidRPr="00AD4F6B" w:rsidR="00FA3B63" w:rsidP="00344B1B" w:rsidRDefault="00FA3B63" w14:paraId="6942EB0C" w14:textId="769ED394">
            <w:pPr>
              <w:keepNext/>
              <w:keepLines/>
              <w:jc w:val="left"/>
              <w:rPr>
                <w:rFonts w:ascii="Arial Narrow" w:hAnsi="Arial Narrow"/>
                <w:sz w:val="20"/>
                <w:szCs w:val="20"/>
              </w:rPr>
            </w:pPr>
            <w:r w:rsidRPr="00AD4F6B">
              <w:rPr>
                <w:rFonts w:ascii="Arial Narrow" w:hAnsi="Arial Narrow"/>
                <w:sz w:val="20"/>
                <w:szCs w:val="20"/>
              </w:rPr>
              <w:t>n</w:t>
            </w:r>
          </w:p>
        </w:tc>
        <w:tc>
          <w:tcPr>
            <w:tcW w:w="833" w:type="pct"/>
            <w:vAlign w:val="center"/>
          </w:tcPr>
          <w:p w:rsidRPr="00AD4F6B" w:rsidR="00FA3B63" w:rsidP="00344B1B" w:rsidRDefault="00FA3B63" w14:paraId="47402199" w14:textId="4627DD5C">
            <w:pPr>
              <w:keepNext/>
              <w:keepLines/>
              <w:jc w:val="center"/>
              <w:rPr>
                <w:rFonts w:ascii="Arial Narrow" w:hAnsi="Arial Narrow"/>
                <w:sz w:val="20"/>
                <w:szCs w:val="20"/>
              </w:rPr>
            </w:pPr>
            <w:r w:rsidRPr="00AD4F6B">
              <w:rPr>
                <w:rFonts w:ascii="Arial Narrow" w:hAnsi="Arial Narrow"/>
                <w:sz w:val="20"/>
                <w:szCs w:val="20"/>
              </w:rPr>
              <w:t>4</w:t>
            </w:r>
          </w:p>
        </w:tc>
        <w:tc>
          <w:tcPr>
            <w:tcW w:w="833" w:type="pct"/>
            <w:vAlign w:val="center"/>
          </w:tcPr>
          <w:p w:rsidRPr="00AD4F6B" w:rsidR="00FA3B63" w:rsidP="00344B1B" w:rsidRDefault="00FA3B63" w14:paraId="0255B630" w14:textId="0263F15C">
            <w:pPr>
              <w:keepNext/>
              <w:keepLines/>
              <w:jc w:val="center"/>
              <w:rPr>
                <w:rFonts w:ascii="Arial Narrow" w:hAnsi="Arial Narrow"/>
                <w:sz w:val="20"/>
                <w:szCs w:val="20"/>
              </w:rPr>
            </w:pPr>
            <w:r w:rsidRPr="00AD4F6B">
              <w:rPr>
                <w:rFonts w:ascii="Arial Narrow" w:hAnsi="Arial Narrow"/>
                <w:sz w:val="20"/>
                <w:szCs w:val="20"/>
              </w:rPr>
              <w:t>6</w:t>
            </w:r>
          </w:p>
        </w:tc>
        <w:tc>
          <w:tcPr>
            <w:tcW w:w="833" w:type="pct"/>
            <w:vAlign w:val="center"/>
          </w:tcPr>
          <w:p w:rsidRPr="00AD4F6B" w:rsidR="00FA3B63" w:rsidP="00344B1B" w:rsidRDefault="00FA3B63" w14:paraId="2D3B0D7B" w14:textId="4F2F0F38">
            <w:pPr>
              <w:keepNext/>
              <w:keepLines/>
              <w:jc w:val="center"/>
              <w:rPr>
                <w:rFonts w:ascii="Arial Narrow" w:hAnsi="Arial Narrow"/>
                <w:sz w:val="20"/>
                <w:szCs w:val="20"/>
              </w:rPr>
            </w:pPr>
            <w:r w:rsidRPr="00AD4F6B">
              <w:rPr>
                <w:rFonts w:ascii="Arial Narrow" w:hAnsi="Arial Narrow"/>
                <w:sz w:val="20"/>
                <w:szCs w:val="20"/>
              </w:rPr>
              <w:t>8</w:t>
            </w:r>
          </w:p>
        </w:tc>
        <w:tc>
          <w:tcPr>
            <w:tcW w:w="833" w:type="pct"/>
            <w:vAlign w:val="center"/>
          </w:tcPr>
          <w:p w:rsidRPr="00AD4F6B" w:rsidR="00FA3B63" w:rsidP="00344B1B" w:rsidRDefault="00FA3B63" w14:paraId="4D80EA72" w14:textId="5B67A50C">
            <w:pPr>
              <w:keepNext/>
              <w:keepLines/>
              <w:jc w:val="center"/>
              <w:rPr>
                <w:rFonts w:ascii="Arial Narrow" w:hAnsi="Arial Narrow"/>
                <w:sz w:val="20"/>
                <w:szCs w:val="20"/>
              </w:rPr>
            </w:pPr>
            <w:r w:rsidRPr="00AD4F6B">
              <w:rPr>
                <w:rFonts w:ascii="Arial Narrow" w:hAnsi="Arial Narrow"/>
                <w:sz w:val="20"/>
                <w:szCs w:val="20"/>
              </w:rPr>
              <w:t>18</w:t>
            </w:r>
          </w:p>
        </w:tc>
      </w:tr>
      <w:tr w:rsidRPr="00AD4F6B" w:rsidR="00AD4F6B" w:rsidTr="00EA35AC" w14:paraId="01AC4FC5" w14:textId="77777777">
        <w:tc>
          <w:tcPr>
            <w:tcW w:w="1019" w:type="pct"/>
            <w:vMerge/>
            <w:vAlign w:val="center"/>
          </w:tcPr>
          <w:p w:rsidRPr="00AD4F6B" w:rsidR="00FA3B63" w:rsidP="00344B1B" w:rsidRDefault="00FA3B63" w14:paraId="05F3BF10" w14:textId="77777777">
            <w:pPr>
              <w:keepNext/>
              <w:keepLines/>
              <w:jc w:val="left"/>
              <w:rPr>
                <w:rFonts w:ascii="Arial Narrow" w:hAnsi="Arial Narrow"/>
                <w:sz w:val="20"/>
                <w:szCs w:val="20"/>
              </w:rPr>
            </w:pPr>
          </w:p>
        </w:tc>
        <w:tc>
          <w:tcPr>
            <w:tcW w:w="647" w:type="pct"/>
          </w:tcPr>
          <w:p w:rsidRPr="00AD4F6B" w:rsidR="00FA3B63" w:rsidP="00344B1B" w:rsidRDefault="00FA3B63" w14:paraId="72F57132" w14:textId="323395B3">
            <w:pPr>
              <w:keepNext/>
              <w:keepLines/>
              <w:jc w:val="left"/>
              <w:rPr>
                <w:rFonts w:ascii="Arial Narrow" w:hAnsi="Arial Narrow"/>
                <w:sz w:val="20"/>
                <w:szCs w:val="20"/>
              </w:rPr>
            </w:pPr>
            <w:r w:rsidRPr="00AD4F6B">
              <w:rPr>
                <w:rFonts w:ascii="Arial Narrow" w:hAnsi="Arial Narrow"/>
                <w:sz w:val="20"/>
                <w:szCs w:val="20"/>
              </w:rPr>
              <w:t>Mean (SD)</w:t>
            </w:r>
          </w:p>
        </w:tc>
        <w:tc>
          <w:tcPr>
            <w:tcW w:w="833" w:type="pct"/>
            <w:vAlign w:val="center"/>
          </w:tcPr>
          <w:p w:rsidRPr="00AD4F6B" w:rsidR="00FA3B63" w:rsidP="00344B1B" w:rsidRDefault="00FA3B63" w14:paraId="4D0487B2" w14:textId="0002D3CA">
            <w:pPr>
              <w:keepNext/>
              <w:keepLines/>
              <w:jc w:val="center"/>
              <w:rPr>
                <w:rFonts w:ascii="Arial Narrow" w:hAnsi="Arial Narrow"/>
                <w:sz w:val="20"/>
                <w:szCs w:val="20"/>
              </w:rPr>
            </w:pPr>
            <w:r w:rsidRPr="00AD4F6B">
              <w:rPr>
                <w:rFonts w:ascii="Arial Narrow" w:hAnsi="Arial Narrow"/>
                <w:sz w:val="20"/>
                <w:szCs w:val="20"/>
              </w:rPr>
              <w:t>16.3 (10.56)</w:t>
            </w:r>
          </w:p>
        </w:tc>
        <w:tc>
          <w:tcPr>
            <w:tcW w:w="833" w:type="pct"/>
            <w:vAlign w:val="center"/>
          </w:tcPr>
          <w:p w:rsidRPr="00AD4F6B" w:rsidR="00FA3B63" w:rsidP="00344B1B" w:rsidRDefault="00FA3B63" w14:paraId="41D68D4F" w14:textId="0783A51B">
            <w:pPr>
              <w:keepNext/>
              <w:keepLines/>
              <w:jc w:val="center"/>
              <w:rPr>
                <w:rFonts w:ascii="Arial Narrow" w:hAnsi="Arial Narrow"/>
                <w:sz w:val="20"/>
                <w:szCs w:val="20"/>
              </w:rPr>
            </w:pPr>
            <w:r w:rsidRPr="00AD4F6B">
              <w:rPr>
                <w:rFonts w:ascii="Arial Narrow" w:hAnsi="Arial Narrow"/>
                <w:sz w:val="20"/>
                <w:szCs w:val="20"/>
              </w:rPr>
              <w:t>23.2 (11.58)</w:t>
            </w:r>
          </w:p>
        </w:tc>
        <w:tc>
          <w:tcPr>
            <w:tcW w:w="833" w:type="pct"/>
            <w:vAlign w:val="center"/>
          </w:tcPr>
          <w:p w:rsidRPr="00AD4F6B" w:rsidR="00FA3B63" w:rsidP="00344B1B" w:rsidRDefault="00FA3B63" w14:paraId="5EF7DAC7" w14:textId="6061C38A">
            <w:pPr>
              <w:keepNext/>
              <w:keepLines/>
              <w:jc w:val="center"/>
              <w:rPr>
                <w:rFonts w:ascii="Arial Narrow" w:hAnsi="Arial Narrow"/>
                <w:sz w:val="20"/>
                <w:szCs w:val="20"/>
              </w:rPr>
            </w:pPr>
            <w:r w:rsidRPr="00AD4F6B">
              <w:rPr>
                <w:rFonts w:ascii="Arial Narrow" w:hAnsi="Arial Narrow"/>
                <w:sz w:val="20"/>
                <w:szCs w:val="20"/>
              </w:rPr>
              <w:t>24.0 (10.86)</w:t>
            </w:r>
          </w:p>
        </w:tc>
        <w:tc>
          <w:tcPr>
            <w:tcW w:w="833" w:type="pct"/>
            <w:vAlign w:val="center"/>
          </w:tcPr>
          <w:p w:rsidRPr="00AD4F6B" w:rsidR="00FA3B63" w:rsidP="00344B1B" w:rsidRDefault="00FA3B63" w14:paraId="6590DE48" w14:textId="21977ECA">
            <w:pPr>
              <w:keepNext/>
              <w:keepLines/>
              <w:jc w:val="center"/>
              <w:rPr>
                <w:rFonts w:ascii="Arial Narrow" w:hAnsi="Arial Narrow"/>
                <w:sz w:val="20"/>
                <w:szCs w:val="20"/>
              </w:rPr>
            </w:pPr>
            <w:r w:rsidRPr="00AD4F6B">
              <w:rPr>
                <w:rFonts w:ascii="Arial Narrow" w:hAnsi="Arial Narrow"/>
                <w:sz w:val="20"/>
                <w:szCs w:val="20"/>
              </w:rPr>
              <w:t>22.0 (10.86)</w:t>
            </w:r>
          </w:p>
        </w:tc>
      </w:tr>
      <w:tr w:rsidRPr="00AD4F6B" w:rsidR="00AD4F6B" w:rsidTr="00EA35AC" w14:paraId="0506F981" w14:textId="77777777">
        <w:tc>
          <w:tcPr>
            <w:tcW w:w="1019" w:type="pct"/>
            <w:vMerge/>
            <w:vAlign w:val="center"/>
          </w:tcPr>
          <w:p w:rsidRPr="00AD4F6B" w:rsidR="00FA3B63" w:rsidP="00344B1B" w:rsidRDefault="00FA3B63" w14:paraId="4A7CE35A" w14:textId="77777777">
            <w:pPr>
              <w:keepNext/>
              <w:keepLines/>
              <w:jc w:val="left"/>
              <w:rPr>
                <w:rFonts w:ascii="Arial Narrow" w:hAnsi="Arial Narrow"/>
                <w:sz w:val="20"/>
                <w:szCs w:val="20"/>
              </w:rPr>
            </w:pPr>
          </w:p>
        </w:tc>
        <w:tc>
          <w:tcPr>
            <w:tcW w:w="647" w:type="pct"/>
          </w:tcPr>
          <w:p w:rsidRPr="00AD4F6B" w:rsidR="00FA3B63" w:rsidP="00344B1B" w:rsidRDefault="00FA3B63" w14:paraId="342AC2AC" w14:textId="4BE7DD34">
            <w:pPr>
              <w:keepNext/>
              <w:keepLines/>
              <w:jc w:val="left"/>
              <w:rPr>
                <w:rFonts w:ascii="Arial Narrow" w:hAnsi="Arial Narrow"/>
                <w:sz w:val="20"/>
                <w:szCs w:val="20"/>
              </w:rPr>
            </w:pPr>
            <w:r w:rsidRPr="00AD4F6B">
              <w:rPr>
                <w:rFonts w:ascii="Arial Narrow" w:hAnsi="Arial Narrow"/>
                <w:sz w:val="20"/>
                <w:szCs w:val="20"/>
              </w:rPr>
              <w:t>Median</w:t>
            </w:r>
          </w:p>
        </w:tc>
        <w:tc>
          <w:tcPr>
            <w:tcW w:w="833" w:type="pct"/>
            <w:vAlign w:val="center"/>
          </w:tcPr>
          <w:p w:rsidRPr="00AD4F6B" w:rsidR="00FA3B63" w:rsidP="00344B1B" w:rsidRDefault="00FA3B63" w14:paraId="677B1C32" w14:textId="191DFB38">
            <w:pPr>
              <w:keepNext/>
              <w:keepLines/>
              <w:jc w:val="center"/>
              <w:rPr>
                <w:rFonts w:ascii="Arial Narrow" w:hAnsi="Arial Narrow"/>
                <w:sz w:val="20"/>
                <w:szCs w:val="20"/>
              </w:rPr>
            </w:pPr>
            <w:r w:rsidRPr="00AD4F6B">
              <w:rPr>
                <w:rFonts w:ascii="Arial Narrow" w:hAnsi="Arial Narrow"/>
                <w:sz w:val="20"/>
                <w:szCs w:val="20"/>
              </w:rPr>
              <w:t>14.0</w:t>
            </w:r>
          </w:p>
        </w:tc>
        <w:tc>
          <w:tcPr>
            <w:tcW w:w="833" w:type="pct"/>
            <w:vAlign w:val="center"/>
          </w:tcPr>
          <w:p w:rsidRPr="00AD4F6B" w:rsidR="00FA3B63" w:rsidP="00344B1B" w:rsidRDefault="00FA3B63" w14:paraId="78F59096" w14:textId="2E3B5954">
            <w:pPr>
              <w:keepNext/>
              <w:keepLines/>
              <w:jc w:val="center"/>
              <w:rPr>
                <w:rFonts w:ascii="Arial Narrow" w:hAnsi="Arial Narrow"/>
                <w:sz w:val="20"/>
                <w:szCs w:val="20"/>
              </w:rPr>
            </w:pPr>
            <w:r w:rsidRPr="00AD4F6B">
              <w:rPr>
                <w:rFonts w:ascii="Arial Narrow" w:hAnsi="Arial Narrow"/>
                <w:sz w:val="20"/>
                <w:szCs w:val="20"/>
              </w:rPr>
              <w:t>24.0</w:t>
            </w:r>
          </w:p>
        </w:tc>
        <w:tc>
          <w:tcPr>
            <w:tcW w:w="833" w:type="pct"/>
            <w:vAlign w:val="center"/>
          </w:tcPr>
          <w:p w:rsidRPr="00AD4F6B" w:rsidR="00FA3B63" w:rsidP="00344B1B" w:rsidRDefault="00FA3B63" w14:paraId="7FB8D64E" w14:textId="35DEB805">
            <w:pPr>
              <w:keepNext/>
              <w:keepLines/>
              <w:jc w:val="center"/>
              <w:rPr>
                <w:rFonts w:ascii="Arial Narrow" w:hAnsi="Arial Narrow"/>
                <w:sz w:val="20"/>
                <w:szCs w:val="20"/>
              </w:rPr>
            </w:pPr>
            <w:r w:rsidRPr="00AD4F6B">
              <w:rPr>
                <w:rFonts w:ascii="Arial Narrow" w:hAnsi="Arial Narrow"/>
                <w:sz w:val="20"/>
                <w:szCs w:val="20"/>
              </w:rPr>
              <w:t>26.5</w:t>
            </w:r>
          </w:p>
        </w:tc>
        <w:tc>
          <w:tcPr>
            <w:tcW w:w="833" w:type="pct"/>
            <w:vAlign w:val="center"/>
          </w:tcPr>
          <w:p w:rsidRPr="00AD4F6B" w:rsidR="00FA3B63" w:rsidP="00344B1B" w:rsidRDefault="00FA3B63" w14:paraId="71026C70" w14:textId="3C465CC0">
            <w:pPr>
              <w:keepNext/>
              <w:keepLines/>
              <w:jc w:val="center"/>
              <w:rPr>
                <w:rFonts w:ascii="Arial Narrow" w:hAnsi="Arial Narrow"/>
                <w:sz w:val="20"/>
                <w:szCs w:val="20"/>
              </w:rPr>
            </w:pPr>
            <w:r w:rsidRPr="00AD4F6B">
              <w:rPr>
                <w:rFonts w:ascii="Arial Narrow" w:hAnsi="Arial Narrow"/>
                <w:sz w:val="20"/>
                <w:szCs w:val="20"/>
              </w:rPr>
              <w:t>22.0</w:t>
            </w:r>
          </w:p>
        </w:tc>
      </w:tr>
      <w:tr w:rsidRPr="00AD4F6B" w:rsidR="00AD4F6B" w:rsidTr="00EA35AC" w14:paraId="5B0DB2B0" w14:textId="77777777">
        <w:tc>
          <w:tcPr>
            <w:tcW w:w="1019" w:type="pct"/>
            <w:vMerge/>
            <w:vAlign w:val="center"/>
          </w:tcPr>
          <w:p w:rsidRPr="00AD4F6B" w:rsidR="00FA3B63" w:rsidP="00344B1B" w:rsidRDefault="00FA3B63" w14:paraId="779E843B" w14:textId="77777777">
            <w:pPr>
              <w:keepNext/>
              <w:keepLines/>
              <w:jc w:val="left"/>
              <w:rPr>
                <w:rFonts w:ascii="Arial Narrow" w:hAnsi="Arial Narrow"/>
                <w:sz w:val="20"/>
                <w:szCs w:val="20"/>
              </w:rPr>
            </w:pPr>
          </w:p>
        </w:tc>
        <w:tc>
          <w:tcPr>
            <w:tcW w:w="647" w:type="pct"/>
          </w:tcPr>
          <w:p w:rsidRPr="00AD4F6B" w:rsidR="00FA3B63" w:rsidP="00344B1B" w:rsidRDefault="00FA3B63" w14:paraId="1743B862" w14:textId="72610FC8">
            <w:pPr>
              <w:keepNext/>
              <w:keepLines/>
              <w:jc w:val="left"/>
              <w:rPr>
                <w:rFonts w:ascii="Arial Narrow" w:hAnsi="Arial Narrow"/>
                <w:sz w:val="20"/>
                <w:szCs w:val="20"/>
              </w:rPr>
            </w:pPr>
            <w:r w:rsidRPr="00AD4F6B">
              <w:rPr>
                <w:rFonts w:ascii="Arial Narrow" w:hAnsi="Arial Narrow"/>
                <w:sz w:val="20"/>
                <w:szCs w:val="20"/>
              </w:rPr>
              <w:t>Min-Max</w:t>
            </w:r>
          </w:p>
        </w:tc>
        <w:tc>
          <w:tcPr>
            <w:tcW w:w="833" w:type="pct"/>
            <w:vAlign w:val="center"/>
          </w:tcPr>
          <w:p w:rsidRPr="00AD4F6B" w:rsidR="00FA3B63" w:rsidP="00344B1B" w:rsidRDefault="00FA3B63" w14:paraId="1C053F47" w14:textId="10A76A4A">
            <w:pPr>
              <w:keepNext/>
              <w:keepLines/>
              <w:jc w:val="center"/>
              <w:rPr>
                <w:rFonts w:ascii="Arial Narrow" w:hAnsi="Arial Narrow"/>
                <w:sz w:val="20"/>
                <w:szCs w:val="20"/>
              </w:rPr>
            </w:pPr>
            <w:r w:rsidRPr="00AD4F6B">
              <w:rPr>
                <w:rFonts w:ascii="Arial Narrow" w:hAnsi="Arial Narrow"/>
                <w:sz w:val="20"/>
                <w:szCs w:val="20"/>
              </w:rPr>
              <w:t>7-30</w:t>
            </w:r>
          </w:p>
        </w:tc>
        <w:tc>
          <w:tcPr>
            <w:tcW w:w="833" w:type="pct"/>
            <w:vAlign w:val="center"/>
          </w:tcPr>
          <w:p w:rsidRPr="00AD4F6B" w:rsidR="00FA3B63" w:rsidP="00344B1B" w:rsidRDefault="00FA3B63" w14:paraId="105938B3" w14:textId="01A54B77">
            <w:pPr>
              <w:keepNext/>
              <w:keepLines/>
              <w:jc w:val="center"/>
              <w:rPr>
                <w:rFonts w:ascii="Arial Narrow" w:hAnsi="Arial Narrow"/>
                <w:sz w:val="20"/>
                <w:szCs w:val="20"/>
              </w:rPr>
            </w:pPr>
            <w:r w:rsidRPr="00AD4F6B">
              <w:rPr>
                <w:rFonts w:ascii="Arial Narrow" w:hAnsi="Arial Narrow"/>
                <w:sz w:val="20"/>
                <w:szCs w:val="20"/>
              </w:rPr>
              <w:t>4.35</w:t>
            </w:r>
          </w:p>
        </w:tc>
        <w:tc>
          <w:tcPr>
            <w:tcW w:w="833" w:type="pct"/>
            <w:vAlign w:val="center"/>
          </w:tcPr>
          <w:p w:rsidRPr="00AD4F6B" w:rsidR="00FA3B63" w:rsidP="00344B1B" w:rsidRDefault="00FA3B63" w14:paraId="49E0DD74" w14:textId="3D4CB8A5">
            <w:pPr>
              <w:keepNext/>
              <w:keepLines/>
              <w:jc w:val="center"/>
              <w:rPr>
                <w:rFonts w:ascii="Arial Narrow" w:hAnsi="Arial Narrow"/>
                <w:sz w:val="20"/>
                <w:szCs w:val="20"/>
              </w:rPr>
            </w:pPr>
            <w:r w:rsidRPr="00AD4F6B">
              <w:rPr>
                <w:rFonts w:ascii="Arial Narrow" w:hAnsi="Arial Narrow"/>
                <w:sz w:val="20"/>
                <w:szCs w:val="20"/>
              </w:rPr>
              <w:t>8-37</w:t>
            </w:r>
          </w:p>
        </w:tc>
        <w:tc>
          <w:tcPr>
            <w:tcW w:w="833" w:type="pct"/>
            <w:vAlign w:val="center"/>
          </w:tcPr>
          <w:p w:rsidRPr="00AD4F6B" w:rsidR="00FA3B63" w:rsidP="00344B1B" w:rsidRDefault="00FA3B63" w14:paraId="529C8E58" w14:textId="4354766C">
            <w:pPr>
              <w:keepNext/>
              <w:keepLines/>
              <w:jc w:val="center"/>
              <w:rPr>
                <w:rFonts w:ascii="Arial Narrow" w:hAnsi="Arial Narrow"/>
                <w:sz w:val="20"/>
                <w:szCs w:val="20"/>
              </w:rPr>
            </w:pPr>
            <w:r w:rsidRPr="00AD4F6B">
              <w:rPr>
                <w:rFonts w:ascii="Arial Narrow" w:hAnsi="Arial Narrow"/>
                <w:sz w:val="20"/>
                <w:szCs w:val="20"/>
              </w:rPr>
              <w:t>4-37</w:t>
            </w:r>
          </w:p>
        </w:tc>
      </w:tr>
      <w:tr w:rsidRPr="00AD4F6B" w:rsidR="00AD4F6B" w:rsidTr="00EA35AC" w14:paraId="6693CCE6" w14:textId="77777777">
        <w:tc>
          <w:tcPr>
            <w:tcW w:w="1019" w:type="pct"/>
            <w:vMerge w:val="restart"/>
            <w:vAlign w:val="center"/>
          </w:tcPr>
          <w:p w:rsidRPr="00AD4F6B" w:rsidR="007E5985" w:rsidP="00344B1B" w:rsidRDefault="008A2DD8" w14:paraId="378CF948" w14:textId="3F939D1F">
            <w:pPr>
              <w:keepNext/>
              <w:keepLines/>
              <w:jc w:val="left"/>
              <w:rPr>
                <w:rFonts w:ascii="Arial Narrow" w:hAnsi="Arial Narrow"/>
                <w:sz w:val="20"/>
                <w:szCs w:val="20"/>
              </w:rPr>
            </w:pPr>
            <w:r w:rsidRPr="00AD4F6B">
              <w:rPr>
                <w:rFonts w:ascii="Arial Narrow" w:hAnsi="Arial Narrow"/>
                <w:sz w:val="20"/>
                <w:szCs w:val="20"/>
              </w:rPr>
              <w:t>Change from baseline at Week 52</w:t>
            </w:r>
          </w:p>
        </w:tc>
        <w:tc>
          <w:tcPr>
            <w:tcW w:w="647" w:type="pct"/>
          </w:tcPr>
          <w:p w:rsidRPr="00AD4F6B" w:rsidR="007E5985" w:rsidP="00344B1B" w:rsidRDefault="007E5985" w14:paraId="364415D9" w14:textId="78FA641C">
            <w:pPr>
              <w:keepNext/>
              <w:keepLines/>
              <w:jc w:val="left"/>
              <w:rPr>
                <w:rFonts w:ascii="Arial Narrow" w:hAnsi="Arial Narrow"/>
                <w:sz w:val="20"/>
                <w:szCs w:val="20"/>
              </w:rPr>
            </w:pPr>
            <w:r w:rsidRPr="00AD4F6B">
              <w:rPr>
                <w:rFonts w:ascii="Arial Narrow" w:hAnsi="Arial Narrow"/>
                <w:sz w:val="20"/>
                <w:szCs w:val="20"/>
              </w:rPr>
              <w:t>n</w:t>
            </w:r>
          </w:p>
        </w:tc>
        <w:tc>
          <w:tcPr>
            <w:tcW w:w="833" w:type="pct"/>
            <w:vAlign w:val="center"/>
          </w:tcPr>
          <w:p w:rsidRPr="00AD4F6B" w:rsidR="007E5985" w:rsidP="00344B1B" w:rsidRDefault="007E5985" w14:paraId="6D0705BD" w14:textId="38DF80AE">
            <w:pPr>
              <w:keepNext/>
              <w:keepLines/>
              <w:jc w:val="center"/>
              <w:rPr>
                <w:rFonts w:ascii="Arial Narrow" w:hAnsi="Arial Narrow"/>
                <w:sz w:val="20"/>
                <w:szCs w:val="20"/>
              </w:rPr>
            </w:pPr>
            <w:r w:rsidRPr="00AD4F6B">
              <w:rPr>
                <w:rFonts w:ascii="Arial Narrow" w:hAnsi="Arial Narrow"/>
                <w:sz w:val="20"/>
                <w:szCs w:val="20"/>
              </w:rPr>
              <w:t>3</w:t>
            </w:r>
          </w:p>
        </w:tc>
        <w:tc>
          <w:tcPr>
            <w:tcW w:w="833" w:type="pct"/>
            <w:vAlign w:val="center"/>
          </w:tcPr>
          <w:p w:rsidRPr="00AD4F6B" w:rsidR="007E5985" w:rsidP="00344B1B" w:rsidRDefault="007E5985" w14:paraId="417410AE" w14:textId="71586C73">
            <w:pPr>
              <w:keepNext/>
              <w:keepLines/>
              <w:jc w:val="center"/>
              <w:rPr>
                <w:rFonts w:ascii="Arial Narrow" w:hAnsi="Arial Narrow"/>
                <w:sz w:val="20"/>
                <w:szCs w:val="20"/>
              </w:rPr>
            </w:pPr>
            <w:r w:rsidRPr="00AD4F6B">
              <w:rPr>
                <w:rFonts w:ascii="Arial Narrow" w:hAnsi="Arial Narrow"/>
                <w:sz w:val="20"/>
                <w:szCs w:val="20"/>
              </w:rPr>
              <w:t>6</w:t>
            </w:r>
          </w:p>
        </w:tc>
        <w:tc>
          <w:tcPr>
            <w:tcW w:w="833" w:type="pct"/>
            <w:vAlign w:val="center"/>
          </w:tcPr>
          <w:p w:rsidRPr="00AD4F6B" w:rsidR="007E5985" w:rsidP="00344B1B" w:rsidRDefault="007E5985" w14:paraId="1CB0C824" w14:textId="68455E6D">
            <w:pPr>
              <w:keepNext/>
              <w:keepLines/>
              <w:jc w:val="center"/>
              <w:rPr>
                <w:rFonts w:ascii="Arial Narrow" w:hAnsi="Arial Narrow"/>
                <w:sz w:val="20"/>
                <w:szCs w:val="20"/>
              </w:rPr>
            </w:pPr>
            <w:r w:rsidRPr="00AD4F6B">
              <w:rPr>
                <w:rFonts w:ascii="Arial Narrow" w:hAnsi="Arial Narrow"/>
                <w:sz w:val="20"/>
                <w:szCs w:val="20"/>
              </w:rPr>
              <w:t>8</w:t>
            </w:r>
          </w:p>
        </w:tc>
        <w:tc>
          <w:tcPr>
            <w:tcW w:w="833" w:type="pct"/>
            <w:vAlign w:val="center"/>
          </w:tcPr>
          <w:p w:rsidRPr="00AD4F6B" w:rsidR="007E5985" w:rsidP="00344B1B" w:rsidRDefault="007E5985" w14:paraId="44FADA41" w14:textId="4844761B">
            <w:pPr>
              <w:keepNext/>
              <w:keepLines/>
              <w:jc w:val="center"/>
              <w:rPr>
                <w:rFonts w:ascii="Arial Narrow" w:hAnsi="Arial Narrow"/>
                <w:sz w:val="20"/>
                <w:szCs w:val="20"/>
              </w:rPr>
            </w:pPr>
            <w:r w:rsidRPr="00AD4F6B">
              <w:rPr>
                <w:rFonts w:ascii="Arial Narrow" w:hAnsi="Arial Narrow"/>
                <w:sz w:val="20"/>
                <w:szCs w:val="20"/>
              </w:rPr>
              <w:t>17</w:t>
            </w:r>
          </w:p>
        </w:tc>
      </w:tr>
      <w:tr w:rsidRPr="00AD4F6B" w:rsidR="00AD4F6B" w:rsidTr="00EA35AC" w14:paraId="18DE7E5F" w14:textId="77777777">
        <w:tc>
          <w:tcPr>
            <w:tcW w:w="1019" w:type="pct"/>
            <w:vMerge/>
            <w:vAlign w:val="center"/>
          </w:tcPr>
          <w:p w:rsidRPr="00AD4F6B" w:rsidR="007E5985" w:rsidP="00344B1B" w:rsidRDefault="007E5985" w14:paraId="621842A1" w14:textId="77777777">
            <w:pPr>
              <w:keepNext/>
              <w:keepLines/>
              <w:jc w:val="left"/>
              <w:rPr>
                <w:rFonts w:ascii="Arial Narrow" w:hAnsi="Arial Narrow"/>
                <w:sz w:val="20"/>
                <w:szCs w:val="20"/>
              </w:rPr>
            </w:pPr>
          </w:p>
        </w:tc>
        <w:tc>
          <w:tcPr>
            <w:tcW w:w="647" w:type="pct"/>
          </w:tcPr>
          <w:p w:rsidRPr="00AD4F6B" w:rsidR="007E5985" w:rsidP="00344B1B" w:rsidRDefault="007E5985" w14:paraId="57C11658" w14:textId="0573C2FA">
            <w:pPr>
              <w:keepNext/>
              <w:keepLines/>
              <w:jc w:val="left"/>
              <w:rPr>
                <w:rFonts w:ascii="Arial Narrow" w:hAnsi="Arial Narrow"/>
                <w:sz w:val="20"/>
                <w:szCs w:val="20"/>
              </w:rPr>
            </w:pPr>
            <w:r w:rsidRPr="00AD4F6B">
              <w:rPr>
                <w:rFonts w:ascii="Arial Narrow" w:hAnsi="Arial Narrow"/>
                <w:sz w:val="20"/>
                <w:szCs w:val="20"/>
              </w:rPr>
              <w:t>Mean (SD)</w:t>
            </w:r>
          </w:p>
        </w:tc>
        <w:tc>
          <w:tcPr>
            <w:tcW w:w="833" w:type="pct"/>
            <w:vAlign w:val="center"/>
          </w:tcPr>
          <w:p w:rsidRPr="00AD4F6B" w:rsidR="007E5985" w:rsidP="00344B1B" w:rsidRDefault="007E5985" w14:paraId="2583117A" w14:textId="450BAA24">
            <w:pPr>
              <w:keepNext/>
              <w:keepLines/>
              <w:jc w:val="center"/>
              <w:rPr>
                <w:rFonts w:ascii="Arial Narrow" w:hAnsi="Arial Narrow"/>
                <w:sz w:val="20"/>
                <w:szCs w:val="20"/>
              </w:rPr>
            </w:pPr>
            <w:r w:rsidRPr="00AD4F6B">
              <w:rPr>
                <w:rFonts w:ascii="Arial Narrow" w:hAnsi="Arial Narrow"/>
                <w:sz w:val="20"/>
                <w:szCs w:val="20"/>
              </w:rPr>
              <w:t>6.0 (3.46)</w:t>
            </w:r>
          </w:p>
        </w:tc>
        <w:tc>
          <w:tcPr>
            <w:tcW w:w="833" w:type="pct"/>
            <w:vAlign w:val="center"/>
          </w:tcPr>
          <w:p w:rsidRPr="00AD4F6B" w:rsidR="007E5985" w:rsidP="00344B1B" w:rsidRDefault="007E5985" w14:paraId="30423130" w14:textId="6B8AFF31">
            <w:pPr>
              <w:keepNext/>
              <w:keepLines/>
              <w:jc w:val="center"/>
              <w:rPr>
                <w:rFonts w:ascii="Arial Narrow" w:hAnsi="Arial Narrow"/>
                <w:sz w:val="20"/>
                <w:szCs w:val="20"/>
              </w:rPr>
            </w:pPr>
            <w:r w:rsidRPr="00AD4F6B">
              <w:rPr>
                <w:rFonts w:ascii="Arial Narrow" w:hAnsi="Arial Narrow"/>
                <w:sz w:val="20"/>
                <w:szCs w:val="20"/>
              </w:rPr>
              <w:t>0.3 (1.63)</w:t>
            </w:r>
          </w:p>
        </w:tc>
        <w:tc>
          <w:tcPr>
            <w:tcW w:w="833" w:type="pct"/>
            <w:vAlign w:val="center"/>
          </w:tcPr>
          <w:p w:rsidRPr="00AD4F6B" w:rsidR="007E5985" w:rsidP="00344B1B" w:rsidRDefault="007E5985" w14:paraId="7665DD4B" w14:textId="4E6CEC04">
            <w:pPr>
              <w:keepNext/>
              <w:keepLines/>
              <w:jc w:val="center"/>
              <w:rPr>
                <w:rFonts w:ascii="Arial Narrow" w:hAnsi="Arial Narrow"/>
                <w:sz w:val="20"/>
                <w:szCs w:val="20"/>
              </w:rPr>
            </w:pPr>
            <w:r w:rsidRPr="00AD4F6B">
              <w:rPr>
                <w:rFonts w:ascii="Arial Narrow" w:hAnsi="Arial Narrow"/>
                <w:sz w:val="20"/>
                <w:szCs w:val="20"/>
              </w:rPr>
              <w:t>1.8 (4.71)</w:t>
            </w:r>
          </w:p>
        </w:tc>
        <w:tc>
          <w:tcPr>
            <w:tcW w:w="833" w:type="pct"/>
            <w:vAlign w:val="center"/>
          </w:tcPr>
          <w:p w:rsidRPr="00AD4F6B" w:rsidR="007E5985" w:rsidP="00344B1B" w:rsidRDefault="007E5985" w14:paraId="3CE784CD" w14:textId="43A740FA">
            <w:pPr>
              <w:keepNext/>
              <w:keepLines/>
              <w:jc w:val="center"/>
              <w:rPr>
                <w:rFonts w:ascii="Arial Narrow" w:hAnsi="Arial Narrow"/>
                <w:sz w:val="20"/>
                <w:szCs w:val="20"/>
              </w:rPr>
            </w:pPr>
            <w:r w:rsidRPr="00AD4F6B">
              <w:rPr>
                <w:rFonts w:ascii="Arial Narrow" w:hAnsi="Arial Narrow"/>
                <w:sz w:val="20"/>
                <w:szCs w:val="20"/>
              </w:rPr>
              <w:t>2.0 (4.02)</w:t>
            </w:r>
          </w:p>
        </w:tc>
      </w:tr>
      <w:tr w:rsidRPr="00AD4F6B" w:rsidR="00AD4F6B" w:rsidTr="00EA35AC" w14:paraId="73264831" w14:textId="77777777">
        <w:tc>
          <w:tcPr>
            <w:tcW w:w="1019" w:type="pct"/>
            <w:vMerge/>
            <w:vAlign w:val="center"/>
          </w:tcPr>
          <w:p w:rsidRPr="00AD4F6B" w:rsidR="007E5985" w:rsidP="00344B1B" w:rsidRDefault="007E5985" w14:paraId="2AA2CA72" w14:textId="77777777">
            <w:pPr>
              <w:keepNext/>
              <w:keepLines/>
              <w:jc w:val="left"/>
              <w:rPr>
                <w:rFonts w:ascii="Arial Narrow" w:hAnsi="Arial Narrow"/>
                <w:sz w:val="20"/>
                <w:szCs w:val="20"/>
              </w:rPr>
            </w:pPr>
          </w:p>
        </w:tc>
        <w:tc>
          <w:tcPr>
            <w:tcW w:w="647" w:type="pct"/>
          </w:tcPr>
          <w:p w:rsidRPr="00AD4F6B" w:rsidR="007E5985" w:rsidP="00344B1B" w:rsidRDefault="007E5985" w14:paraId="423D3947" w14:textId="02748367">
            <w:pPr>
              <w:keepNext/>
              <w:keepLines/>
              <w:jc w:val="left"/>
              <w:rPr>
                <w:rFonts w:ascii="Arial Narrow" w:hAnsi="Arial Narrow"/>
                <w:sz w:val="20"/>
                <w:szCs w:val="20"/>
              </w:rPr>
            </w:pPr>
            <w:r w:rsidRPr="00AD4F6B">
              <w:rPr>
                <w:rFonts w:ascii="Arial Narrow" w:hAnsi="Arial Narrow"/>
                <w:sz w:val="20"/>
                <w:szCs w:val="20"/>
              </w:rPr>
              <w:t>Median</w:t>
            </w:r>
          </w:p>
        </w:tc>
        <w:tc>
          <w:tcPr>
            <w:tcW w:w="833" w:type="pct"/>
            <w:vAlign w:val="center"/>
          </w:tcPr>
          <w:p w:rsidRPr="00AD4F6B" w:rsidR="007E5985" w:rsidP="00344B1B" w:rsidRDefault="007E5985" w14:paraId="41CB25AB" w14:textId="4AE1ABF5">
            <w:pPr>
              <w:keepNext/>
              <w:keepLines/>
              <w:jc w:val="center"/>
              <w:rPr>
                <w:rFonts w:ascii="Arial Narrow" w:hAnsi="Arial Narrow"/>
                <w:sz w:val="20"/>
                <w:szCs w:val="20"/>
              </w:rPr>
            </w:pPr>
            <w:r w:rsidRPr="00AD4F6B">
              <w:rPr>
                <w:rFonts w:ascii="Arial Narrow" w:hAnsi="Arial Narrow"/>
                <w:sz w:val="20"/>
                <w:szCs w:val="20"/>
              </w:rPr>
              <w:t>4.0</w:t>
            </w:r>
          </w:p>
        </w:tc>
        <w:tc>
          <w:tcPr>
            <w:tcW w:w="833" w:type="pct"/>
            <w:vAlign w:val="center"/>
          </w:tcPr>
          <w:p w:rsidRPr="00AD4F6B" w:rsidR="007E5985" w:rsidP="00344B1B" w:rsidRDefault="007E5985" w14:paraId="2970F8E6" w14:textId="4E8EAFEB">
            <w:pPr>
              <w:keepNext/>
              <w:keepLines/>
              <w:jc w:val="center"/>
              <w:rPr>
                <w:rFonts w:ascii="Arial Narrow" w:hAnsi="Arial Narrow"/>
                <w:sz w:val="20"/>
                <w:szCs w:val="20"/>
              </w:rPr>
            </w:pPr>
            <w:r w:rsidRPr="00AD4F6B">
              <w:rPr>
                <w:rFonts w:ascii="Arial Narrow" w:hAnsi="Arial Narrow"/>
                <w:sz w:val="20"/>
                <w:szCs w:val="20"/>
              </w:rPr>
              <w:t>0.5</w:t>
            </w:r>
          </w:p>
        </w:tc>
        <w:tc>
          <w:tcPr>
            <w:tcW w:w="833" w:type="pct"/>
            <w:vAlign w:val="center"/>
          </w:tcPr>
          <w:p w:rsidRPr="00AD4F6B" w:rsidR="007E5985" w:rsidP="00344B1B" w:rsidRDefault="007E5985" w14:paraId="6E0958FB" w14:textId="52FFBA03">
            <w:pPr>
              <w:keepNext/>
              <w:keepLines/>
              <w:jc w:val="center"/>
              <w:rPr>
                <w:rFonts w:ascii="Arial Narrow" w:hAnsi="Arial Narrow"/>
                <w:sz w:val="20"/>
                <w:szCs w:val="20"/>
              </w:rPr>
            </w:pPr>
            <w:r w:rsidRPr="00AD4F6B">
              <w:rPr>
                <w:rFonts w:ascii="Arial Narrow" w:hAnsi="Arial Narrow"/>
                <w:sz w:val="20"/>
                <w:szCs w:val="20"/>
              </w:rPr>
              <w:t>2.5</w:t>
            </w:r>
          </w:p>
        </w:tc>
        <w:tc>
          <w:tcPr>
            <w:tcW w:w="833" w:type="pct"/>
            <w:vAlign w:val="center"/>
          </w:tcPr>
          <w:p w:rsidRPr="00AD4F6B" w:rsidR="007E5985" w:rsidP="00344B1B" w:rsidRDefault="007E5985" w14:paraId="77A795AF" w14:textId="378FF7A8">
            <w:pPr>
              <w:keepNext/>
              <w:keepLines/>
              <w:jc w:val="center"/>
              <w:rPr>
                <w:rFonts w:ascii="Arial Narrow" w:hAnsi="Arial Narrow"/>
                <w:sz w:val="20"/>
                <w:szCs w:val="20"/>
              </w:rPr>
            </w:pPr>
            <w:r w:rsidRPr="00AD4F6B">
              <w:rPr>
                <w:rFonts w:ascii="Arial Narrow" w:hAnsi="Arial Narrow"/>
                <w:sz w:val="20"/>
                <w:szCs w:val="20"/>
              </w:rPr>
              <w:t>2.0</w:t>
            </w:r>
          </w:p>
        </w:tc>
      </w:tr>
      <w:tr w:rsidRPr="00AD4F6B" w:rsidR="00AD4F6B" w:rsidTr="00EA35AC" w14:paraId="5F2DD09F" w14:textId="77777777">
        <w:tc>
          <w:tcPr>
            <w:tcW w:w="1019" w:type="pct"/>
            <w:vMerge w:val="restart"/>
            <w:vAlign w:val="center"/>
          </w:tcPr>
          <w:p w:rsidRPr="00AD4F6B" w:rsidR="00100DA8" w:rsidP="00344B1B" w:rsidRDefault="00D314CC" w14:paraId="1EAC761D" w14:textId="1C44B928">
            <w:pPr>
              <w:keepNext/>
              <w:keepLines/>
              <w:jc w:val="left"/>
              <w:rPr>
                <w:rFonts w:ascii="Arial Narrow" w:hAnsi="Arial Narrow"/>
                <w:sz w:val="20"/>
                <w:szCs w:val="20"/>
              </w:rPr>
            </w:pPr>
            <w:r w:rsidRPr="00AD4F6B">
              <w:rPr>
                <w:rFonts w:ascii="Arial Narrow" w:hAnsi="Arial Narrow"/>
                <w:sz w:val="20"/>
                <w:szCs w:val="20"/>
              </w:rPr>
              <w:t xml:space="preserve">Change from baseline at Week 52 (mixed model) </w:t>
            </w:r>
            <w:r w:rsidRPr="00AD4F6B" w:rsidR="004E4D27">
              <w:rPr>
                <w:rFonts w:ascii="Arial Narrow" w:hAnsi="Arial Narrow"/>
                <w:sz w:val="20"/>
                <w:szCs w:val="20"/>
                <w:vertAlign w:val="superscript"/>
              </w:rPr>
              <w:t>b</w:t>
            </w:r>
          </w:p>
        </w:tc>
        <w:tc>
          <w:tcPr>
            <w:tcW w:w="647" w:type="pct"/>
          </w:tcPr>
          <w:p w:rsidRPr="00AD4F6B" w:rsidR="00100DA8" w:rsidP="00344B1B" w:rsidRDefault="00100DA8" w14:paraId="593C092E" w14:textId="753719DF">
            <w:pPr>
              <w:keepNext/>
              <w:keepLines/>
              <w:jc w:val="left"/>
              <w:rPr>
                <w:rFonts w:ascii="Arial Narrow" w:hAnsi="Arial Narrow"/>
                <w:sz w:val="20"/>
                <w:szCs w:val="20"/>
              </w:rPr>
            </w:pPr>
            <w:r w:rsidRPr="00AD4F6B">
              <w:rPr>
                <w:rFonts w:ascii="Arial Narrow" w:hAnsi="Arial Narrow"/>
                <w:sz w:val="20"/>
                <w:szCs w:val="20"/>
              </w:rPr>
              <w:t>n</w:t>
            </w:r>
          </w:p>
        </w:tc>
        <w:tc>
          <w:tcPr>
            <w:tcW w:w="833" w:type="pct"/>
            <w:vAlign w:val="center"/>
          </w:tcPr>
          <w:p w:rsidRPr="00AD4F6B" w:rsidR="00100DA8" w:rsidP="00344B1B" w:rsidRDefault="00100DA8" w14:paraId="6F3910F6" w14:textId="5DE8883B">
            <w:pPr>
              <w:keepNext/>
              <w:keepLines/>
              <w:jc w:val="center"/>
              <w:rPr>
                <w:rFonts w:ascii="Arial Narrow" w:hAnsi="Arial Narrow"/>
                <w:sz w:val="20"/>
                <w:szCs w:val="20"/>
              </w:rPr>
            </w:pPr>
            <w:r w:rsidRPr="00AD4F6B">
              <w:rPr>
                <w:rFonts w:ascii="Arial Narrow" w:hAnsi="Arial Narrow"/>
                <w:sz w:val="20"/>
                <w:szCs w:val="20"/>
              </w:rPr>
              <w:t>3</w:t>
            </w:r>
          </w:p>
        </w:tc>
        <w:tc>
          <w:tcPr>
            <w:tcW w:w="833" w:type="pct"/>
            <w:vAlign w:val="center"/>
          </w:tcPr>
          <w:p w:rsidRPr="00AD4F6B" w:rsidR="00100DA8" w:rsidP="00344B1B" w:rsidRDefault="00100DA8" w14:paraId="7B4C92BE" w14:textId="3CBF21F7">
            <w:pPr>
              <w:keepNext/>
              <w:keepLines/>
              <w:jc w:val="center"/>
              <w:rPr>
                <w:rFonts w:ascii="Arial Narrow" w:hAnsi="Arial Narrow"/>
                <w:sz w:val="20"/>
                <w:szCs w:val="20"/>
              </w:rPr>
            </w:pPr>
            <w:r w:rsidRPr="00AD4F6B">
              <w:rPr>
                <w:rFonts w:ascii="Arial Narrow" w:hAnsi="Arial Narrow"/>
                <w:sz w:val="20"/>
                <w:szCs w:val="20"/>
              </w:rPr>
              <w:t>6</w:t>
            </w:r>
          </w:p>
        </w:tc>
        <w:tc>
          <w:tcPr>
            <w:tcW w:w="833" w:type="pct"/>
            <w:vAlign w:val="center"/>
          </w:tcPr>
          <w:p w:rsidRPr="00AD4F6B" w:rsidR="00100DA8" w:rsidP="00344B1B" w:rsidRDefault="00100DA8" w14:paraId="43A67A16" w14:textId="0B86D51A">
            <w:pPr>
              <w:keepNext/>
              <w:keepLines/>
              <w:jc w:val="center"/>
              <w:rPr>
                <w:rFonts w:ascii="Arial Narrow" w:hAnsi="Arial Narrow"/>
                <w:sz w:val="20"/>
                <w:szCs w:val="20"/>
              </w:rPr>
            </w:pPr>
            <w:r w:rsidRPr="00AD4F6B">
              <w:rPr>
                <w:rFonts w:ascii="Arial Narrow" w:hAnsi="Arial Narrow"/>
                <w:sz w:val="20"/>
                <w:szCs w:val="20"/>
              </w:rPr>
              <w:t>8</w:t>
            </w:r>
          </w:p>
        </w:tc>
        <w:tc>
          <w:tcPr>
            <w:tcW w:w="833" w:type="pct"/>
            <w:vAlign w:val="center"/>
          </w:tcPr>
          <w:p w:rsidRPr="00AD4F6B" w:rsidR="00100DA8" w:rsidP="00344B1B" w:rsidRDefault="00100DA8" w14:paraId="64A66998" w14:textId="4EAA0E27">
            <w:pPr>
              <w:keepNext/>
              <w:keepLines/>
              <w:jc w:val="center"/>
              <w:rPr>
                <w:rFonts w:ascii="Arial Narrow" w:hAnsi="Arial Narrow"/>
                <w:sz w:val="20"/>
                <w:szCs w:val="20"/>
              </w:rPr>
            </w:pPr>
            <w:r w:rsidRPr="00AD4F6B">
              <w:rPr>
                <w:rFonts w:ascii="Arial Narrow" w:hAnsi="Arial Narrow"/>
                <w:sz w:val="20"/>
                <w:szCs w:val="20"/>
              </w:rPr>
              <w:t>17</w:t>
            </w:r>
          </w:p>
        </w:tc>
      </w:tr>
      <w:tr w:rsidRPr="00AD4F6B" w:rsidR="00AD4F6B" w:rsidTr="00EA35AC" w14:paraId="1C33FA89" w14:textId="77777777">
        <w:tc>
          <w:tcPr>
            <w:tcW w:w="1019" w:type="pct"/>
            <w:vMerge/>
            <w:vAlign w:val="center"/>
          </w:tcPr>
          <w:p w:rsidRPr="00AD4F6B" w:rsidR="00100DA8" w:rsidP="00344B1B" w:rsidRDefault="00100DA8" w14:paraId="7BA94CE2" w14:textId="77777777">
            <w:pPr>
              <w:keepNext/>
              <w:keepLines/>
              <w:jc w:val="left"/>
              <w:rPr>
                <w:rFonts w:ascii="Arial Narrow" w:hAnsi="Arial Narrow"/>
                <w:sz w:val="20"/>
                <w:szCs w:val="20"/>
              </w:rPr>
            </w:pPr>
          </w:p>
        </w:tc>
        <w:tc>
          <w:tcPr>
            <w:tcW w:w="647" w:type="pct"/>
          </w:tcPr>
          <w:p w:rsidRPr="00AD4F6B" w:rsidR="00100DA8" w:rsidP="00344B1B" w:rsidRDefault="00100DA8" w14:paraId="28F7743D" w14:textId="6CEDC17C">
            <w:pPr>
              <w:keepNext/>
              <w:keepLines/>
              <w:jc w:val="left"/>
              <w:rPr>
                <w:rFonts w:ascii="Arial Narrow" w:hAnsi="Arial Narrow"/>
                <w:sz w:val="20"/>
                <w:szCs w:val="20"/>
              </w:rPr>
            </w:pPr>
            <w:r w:rsidRPr="00AD4F6B">
              <w:rPr>
                <w:rFonts w:ascii="Arial Narrow" w:hAnsi="Arial Narrow"/>
                <w:sz w:val="20"/>
                <w:szCs w:val="20"/>
              </w:rPr>
              <w:t>LS Mean</w:t>
            </w:r>
          </w:p>
        </w:tc>
        <w:tc>
          <w:tcPr>
            <w:tcW w:w="833" w:type="pct"/>
            <w:vAlign w:val="center"/>
          </w:tcPr>
          <w:p w:rsidRPr="00AD4F6B" w:rsidR="00100DA8" w:rsidP="00344B1B" w:rsidRDefault="00100DA8" w14:paraId="3832FEA2" w14:textId="7824B1A6">
            <w:pPr>
              <w:keepNext/>
              <w:keepLines/>
              <w:jc w:val="center"/>
              <w:rPr>
                <w:rFonts w:ascii="Arial Narrow" w:hAnsi="Arial Narrow"/>
                <w:sz w:val="20"/>
                <w:szCs w:val="20"/>
              </w:rPr>
            </w:pPr>
            <w:r w:rsidRPr="00AD4F6B">
              <w:rPr>
                <w:rFonts w:ascii="Arial Narrow" w:hAnsi="Arial Narrow"/>
                <w:sz w:val="20"/>
                <w:szCs w:val="20"/>
              </w:rPr>
              <w:t>6.00</w:t>
            </w:r>
          </w:p>
        </w:tc>
        <w:tc>
          <w:tcPr>
            <w:tcW w:w="833" w:type="pct"/>
            <w:vAlign w:val="center"/>
          </w:tcPr>
          <w:p w:rsidRPr="00AD4F6B" w:rsidR="00100DA8" w:rsidP="00344B1B" w:rsidRDefault="00100DA8" w14:paraId="175F68B7" w14:textId="32C01408">
            <w:pPr>
              <w:keepNext/>
              <w:keepLines/>
              <w:jc w:val="center"/>
              <w:rPr>
                <w:rFonts w:ascii="Arial Narrow" w:hAnsi="Arial Narrow"/>
                <w:sz w:val="20"/>
                <w:szCs w:val="20"/>
              </w:rPr>
            </w:pPr>
            <w:r w:rsidRPr="00AD4F6B">
              <w:rPr>
                <w:rFonts w:ascii="Arial Narrow" w:hAnsi="Arial Narrow"/>
                <w:sz w:val="20"/>
                <w:szCs w:val="20"/>
              </w:rPr>
              <w:t>0.42</w:t>
            </w:r>
          </w:p>
        </w:tc>
        <w:tc>
          <w:tcPr>
            <w:tcW w:w="833" w:type="pct"/>
            <w:vAlign w:val="center"/>
          </w:tcPr>
          <w:p w:rsidRPr="00AD4F6B" w:rsidR="00100DA8" w:rsidP="00344B1B" w:rsidRDefault="00100DA8" w14:paraId="4241027B" w14:textId="0DCD51F3">
            <w:pPr>
              <w:keepNext/>
              <w:keepLines/>
              <w:jc w:val="center"/>
              <w:rPr>
                <w:rFonts w:ascii="Arial Narrow" w:hAnsi="Arial Narrow"/>
                <w:sz w:val="20"/>
                <w:szCs w:val="20"/>
              </w:rPr>
            </w:pPr>
            <w:r w:rsidRPr="00AD4F6B">
              <w:rPr>
                <w:rFonts w:ascii="Arial Narrow" w:hAnsi="Arial Narrow"/>
                <w:sz w:val="20"/>
                <w:szCs w:val="20"/>
              </w:rPr>
              <w:t>1.90</w:t>
            </w:r>
          </w:p>
        </w:tc>
        <w:tc>
          <w:tcPr>
            <w:tcW w:w="833" w:type="pct"/>
            <w:vAlign w:val="center"/>
          </w:tcPr>
          <w:p w:rsidRPr="00AD4F6B" w:rsidR="00100DA8" w:rsidP="00344B1B" w:rsidRDefault="00100DA8" w14:paraId="530905E5" w14:textId="18CD7EFE">
            <w:pPr>
              <w:keepNext/>
              <w:keepLines/>
              <w:jc w:val="center"/>
              <w:rPr>
                <w:rFonts w:ascii="Arial Narrow" w:hAnsi="Arial Narrow"/>
                <w:sz w:val="20"/>
                <w:szCs w:val="20"/>
              </w:rPr>
            </w:pPr>
            <w:r w:rsidRPr="00AD4F6B">
              <w:rPr>
                <w:rFonts w:ascii="Arial Narrow" w:hAnsi="Arial Narrow"/>
                <w:sz w:val="20"/>
                <w:szCs w:val="20"/>
              </w:rPr>
              <w:t>2.77</w:t>
            </w:r>
          </w:p>
        </w:tc>
      </w:tr>
      <w:tr w:rsidRPr="00AD4F6B" w:rsidR="00AD4F6B" w:rsidTr="00EA35AC" w14:paraId="23C0CF9A" w14:textId="77777777">
        <w:tc>
          <w:tcPr>
            <w:tcW w:w="1019" w:type="pct"/>
            <w:vMerge/>
            <w:vAlign w:val="center"/>
          </w:tcPr>
          <w:p w:rsidRPr="00AD4F6B" w:rsidR="00100DA8" w:rsidP="00344B1B" w:rsidRDefault="00100DA8" w14:paraId="111F132B" w14:textId="77777777">
            <w:pPr>
              <w:keepNext/>
              <w:keepLines/>
              <w:jc w:val="left"/>
              <w:rPr>
                <w:rFonts w:ascii="Arial Narrow" w:hAnsi="Arial Narrow"/>
                <w:sz w:val="20"/>
                <w:szCs w:val="20"/>
              </w:rPr>
            </w:pPr>
          </w:p>
        </w:tc>
        <w:tc>
          <w:tcPr>
            <w:tcW w:w="647" w:type="pct"/>
            <w:vAlign w:val="center"/>
          </w:tcPr>
          <w:p w:rsidRPr="00AD4F6B" w:rsidR="00100DA8" w:rsidP="00344B1B" w:rsidRDefault="00100DA8" w14:paraId="702F1157" w14:textId="1E8D9417">
            <w:pPr>
              <w:keepNext/>
              <w:keepLines/>
              <w:jc w:val="left"/>
              <w:rPr>
                <w:rFonts w:ascii="Arial Narrow" w:hAnsi="Arial Narrow"/>
                <w:sz w:val="20"/>
                <w:szCs w:val="20"/>
              </w:rPr>
            </w:pPr>
            <w:r w:rsidRPr="00AD4F6B">
              <w:rPr>
                <w:rFonts w:ascii="Arial Narrow" w:hAnsi="Arial Narrow"/>
                <w:sz w:val="20"/>
                <w:szCs w:val="20"/>
              </w:rPr>
              <w:t>95% CI</w:t>
            </w:r>
          </w:p>
        </w:tc>
        <w:tc>
          <w:tcPr>
            <w:tcW w:w="833" w:type="pct"/>
            <w:vAlign w:val="center"/>
          </w:tcPr>
          <w:p w:rsidRPr="00AD4F6B" w:rsidR="00100DA8" w:rsidP="00344B1B" w:rsidRDefault="00100DA8" w14:paraId="58B923B3" w14:textId="38770A93">
            <w:pPr>
              <w:keepNext/>
              <w:keepLines/>
              <w:jc w:val="center"/>
              <w:rPr>
                <w:rFonts w:ascii="Arial Narrow" w:hAnsi="Arial Narrow"/>
                <w:sz w:val="20"/>
                <w:szCs w:val="20"/>
              </w:rPr>
            </w:pPr>
            <w:r w:rsidRPr="00AD4F6B">
              <w:rPr>
                <w:rFonts w:ascii="Arial Narrow" w:hAnsi="Arial Narrow"/>
                <w:sz w:val="20"/>
                <w:szCs w:val="20"/>
              </w:rPr>
              <w:t>1.69,10.30</w:t>
            </w:r>
          </w:p>
        </w:tc>
        <w:tc>
          <w:tcPr>
            <w:tcW w:w="833" w:type="pct"/>
            <w:vAlign w:val="center"/>
          </w:tcPr>
          <w:p w:rsidRPr="00AD4F6B" w:rsidR="00100DA8" w:rsidP="00344B1B" w:rsidRDefault="00100DA8" w14:paraId="519B75D9" w14:textId="49DD8989">
            <w:pPr>
              <w:keepNext/>
              <w:keepLines/>
              <w:jc w:val="center"/>
              <w:rPr>
                <w:rFonts w:ascii="Arial Narrow" w:hAnsi="Arial Narrow"/>
                <w:sz w:val="20"/>
                <w:szCs w:val="20"/>
              </w:rPr>
            </w:pPr>
            <w:r w:rsidRPr="00AD4F6B">
              <w:rPr>
                <w:rFonts w:ascii="Arial Narrow" w:hAnsi="Arial Narrow"/>
                <w:sz w:val="20"/>
                <w:szCs w:val="20"/>
              </w:rPr>
              <w:t>-2.99,3.83</w:t>
            </w:r>
          </w:p>
        </w:tc>
        <w:tc>
          <w:tcPr>
            <w:tcW w:w="833" w:type="pct"/>
            <w:vAlign w:val="center"/>
          </w:tcPr>
          <w:p w:rsidRPr="00AD4F6B" w:rsidR="00100DA8" w:rsidP="00344B1B" w:rsidRDefault="00100DA8" w14:paraId="5404EE48" w14:textId="52F22855">
            <w:pPr>
              <w:keepNext/>
              <w:keepLines/>
              <w:jc w:val="center"/>
              <w:rPr>
                <w:rFonts w:ascii="Arial Narrow" w:hAnsi="Arial Narrow"/>
                <w:sz w:val="20"/>
                <w:szCs w:val="20"/>
              </w:rPr>
            </w:pPr>
            <w:r w:rsidRPr="00AD4F6B">
              <w:rPr>
                <w:rFonts w:ascii="Arial Narrow" w:hAnsi="Arial Narrow"/>
                <w:sz w:val="20"/>
                <w:szCs w:val="20"/>
              </w:rPr>
              <w:t>-1.05,4.86</w:t>
            </w:r>
          </w:p>
        </w:tc>
        <w:tc>
          <w:tcPr>
            <w:tcW w:w="833" w:type="pct"/>
            <w:vAlign w:val="center"/>
          </w:tcPr>
          <w:p w:rsidRPr="00AD4F6B" w:rsidR="00100DA8" w:rsidP="00344B1B" w:rsidRDefault="00100DA8" w14:paraId="5C3621F0" w14:textId="2F021D5F">
            <w:pPr>
              <w:keepNext/>
              <w:keepLines/>
              <w:jc w:val="center"/>
              <w:rPr>
                <w:rFonts w:ascii="Arial Narrow" w:hAnsi="Arial Narrow"/>
                <w:sz w:val="20"/>
                <w:szCs w:val="20"/>
              </w:rPr>
            </w:pPr>
            <w:r w:rsidRPr="00AD4F6B">
              <w:rPr>
                <w:rFonts w:ascii="Arial Narrow" w:hAnsi="Arial Narrow"/>
                <w:sz w:val="20"/>
                <w:szCs w:val="20"/>
              </w:rPr>
              <w:t>0.70,4.85</w:t>
            </w:r>
          </w:p>
        </w:tc>
      </w:tr>
    </w:tbl>
    <w:p w:rsidRPr="00AD4F6B" w:rsidR="002F69C7" w:rsidP="00344B1B" w:rsidRDefault="002F69C7" w14:paraId="06B5DC93" w14:textId="77777777">
      <w:pPr>
        <w:pStyle w:val="FooterTableFigure"/>
        <w:keepNext/>
        <w:keepLines/>
      </w:pPr>
      <w:r w:rsidRPr="00AD4F6B">
        <w:t>Source: Table 2.19 &amp; 2.20, pp54 &amp; 55 of the submission.</w:t>
      </w:r>
    </w:p>
    <w:p w:rsidRPr="00AD4F6B" w:rsidR="002F69C7" w:rsidP="00344B1B" w:rsidRDefault="002F69C7" w14:paraId="09DBA070" w14:textId="14C2D81C">
      <w:pPr>
        <w:pStyle w:val="FooterTableFigure"/>
        <w:keepNext/>
        <w:keepLines/>
      </w:pPr>
      <w:r w:rsidRPr="00AD4F6B">
        <w:t xml:space="preserve">kg= kilogram; HFMSE= Hammersmith Functional Motor Score Expanded; LS Mean= least square mean; </w:t>
      </w:r>
      <w:r w:rsidRPr="00AD4F6B" w:rsidR="00B86BBF">
        <w:t xml:space="preserve">RULM= Revised Upper Limb Module </w:t>
      </w:r>
      <w:r w:rsidRPr="00AD4F6B">
        <w:t>SD= standard deviation.</w:t>
      </w:r>
    </w:p>
    <w:p w:rsidRPr="00AD4F6B" w:rsidR="002F69C7" w:rsidP="00344B1B" w:rsidRDefault="002F69C7" w14:paraId="49A6A288" w14:textId="6166683E">
      <w:pPr>
        <w:pStyle w:val="FooterTableFigure"/>
        <w:keepNext/>
        <w:keepLines/>
      </w:pPr>
      <w:r w:rsidRPr="00AD4F6B">
        <w:t xml:space="preserve">Note: At each time point, only patients with data at both baseline and that timepoint </w:t>
      </w:r>
      <w:r w:rsidRPr="00AD4F6B" w:rsidR="00093EF3">
        <w:t>we</w:t>
      </w:r>
      <w:r w:rsidRPr="00AD4F6B">
        <w:t xml:space="preserve">re included. </w:t>
      </w:r>
    </w:p>
    <w:p w:rsidRPr="00AD4F6B" w:rsidR="00B86BBF" w:rsidP="00344B1B" w:rsidRDefault="00B86BBF" w14:paraId="43B82C10" w14:textId="6CCE5188">
      <w:pPr>
        <w:pStyle w:val="FooterTableFigure"/>
        <w:keepNext/>
        <w:keepLines/>
      </w:pPr>
      <w:r w:rsidRPr="00AD4F6B">
        <w:t>For HFMSE, p</w:t>
      </w:r>
      <w:r w:rsidRPr="00AD4F6B" w:rsidR="002F69C7">
        <w:t>atients with 24 months of age or older at baseline were considered.</w:t>
      </w:r>
      <w:r w:rsidRPr="00AD4F6B">
        <w:t xml:space="preserve"> </w:t>
      </w:r>
    </w:p>
    <w:p w:rsidRPr="00AD4F6B" w:rsidR="002F69C7" w:rsidP="00344B1B" w:rsidRDefault="00B86BBF" w14:paraId="18B61DF1" w14:textId="3E5DAE5D">
      <w:pPr>
        <w:pStyle w:val="FooterTableFigure"/>
        <w:keepNext/>
        <w:keepLines/>
      </w:pPr>
      <w:r w:rsidRPr="00AD4F6B">
        <w:t xml:space="preserve">For RULM, patients with 30 months of age or older at baseline </w:t>
      </w:r>
      <w:r w:rsidRPr="00AD4F6B" w:rsidR="00530958">
        <w:t>wer</w:t>
      </w:r>
      <w:r w:rsidRPr="00AD4F6B">
        <w:t>e considered.</w:t>
      </w:r>
    </w:p>
    <w:p w:rsidRPr="00AD4F6B" w:rsidR="002F69C7" w:rsidP="00344B1B" w:rsidRDefault="002F69C7" w14:paraId="1DA7548F" w14:textId="77777777">
      <w:pPr>
        <w:pStyle w:val="FooterTableFigure"/>
        <w:keepNext/>
        <w:keepLines/>
        <w:spacing w:after="0"/>
      </w:pPr>
      <w:r w:rsidRPr="00AD4F6B">
        <w:t xml:space="preserve">A total score is not derived if any item score is missing or ‘cannot test’ at baseline or post-baseline visit. </w:t>
      </w:r>
    </w:p>
    <w:p w:rsidRPr="00AD4F6B" w:rsidR="002F69C7" w:rsidP="00344B1B" w:rsidRDefault="002F69C7" w14:paraId="3763B9A8" w14:textId="77777777">
      <w:pPr>
        <w:pStyle w:val="FooterTableFigure"/>
        <w:keepNext/>
        <w:keepLines/>
        <w:spacing w:after="0"/>
      </w:pPr>
      <w:r w:rsidRPr="00AD4F6B">
        <w:t>All data collected after the intake of prohibited concomitant medication with the intent to treat SMA is excluded</w:t>
      </w:r>
    </w:p>
    <w:p w:rsidRPr="00AD4F6B" w:rsidR="002F69C7" w:rsidP="00344B1B" w:rsidRDefault="00817B59" w14:paraId="3FC996EF" w14:textId="0BAA77DE">
      <w:pPr>
        <w:pStyle w:val="FooterTableFigure"/>
        <w:keepNext/>
        <w:keepLines/>
        <w:spacing w:after="0"/>
      </w:pPr>
      <w:proofErr w:type="spellStart"/>
      <w:r w:rsidRPr="00AD4F6B">
        <w:t>a</w:t>
      </w:r>
      <w:proofErr w:type="spellEnd"/>
      <w:r w:rsidRPr="00AD4F6B" w:rsidR="002F69C7">
        <w:t xml:space="preserve"> </w:t>
      </w:r>
      <w:proofErr w:type="gramStart"/>
      <w:r w:rsidRPr="00AD4F6B" w:rsidR="002F69C7">
        <w:t>The</w:t>
      </w:r>
      <w:proofErr w:type="gramEnd"/>
      <w:r w:rsidRPr="00AD4F6B" w:rsidR="002F69C7">
        <w:t xml:space="preserve"> model included the change from baseline as the dependent variable, fixed effect of weight bracket, visit, a covariate of baseline HFMSE value, and interactions of weight bracket*visit. A mixed model of repeated measures was applied using unstructured covariance matrix.</w:t>
      </w:r>
    </w:p>
    <w:p w:rsidRPr="00AD4F6B" w:rsidR="00017DBF" w:rsidP="00344B1B" w:rsidRDefault="00817B59" w14:paraId="300C93E1" w14:textId="506C0B6C">
      <w:pPr>
        <w:pStyle w:val="FooterTableFigure"/>
        <w:keepNext/>
        <w:keepLines/>
        <w:spacing w:after="0"/>
        <w:rPr>
          <w:rStyle w:val="CommentReference"/>
          <w:b w:val="0"/>
          <w:sz w:val="18"/>
          <w:szCs w:val="22"/>
        </w:rPr>
      </w:pPr>
      <w:r w:rsidRPr="00AD4F6B">
        <w:t>b</w:t>
      </w:r>
      <w:r w:rsidRPr="00AD4F6B" w:rsidR="00014AB1">
        <w:t xml:space="preserve"> </w:t>
      </w:r>
      <w:proofErr w:type="gramStart"/>
      <w:r w:rsidRPr="00AD4F6B" w:rsidR="00014AB1">
        <w:t>The</w:t>
      </w:r>
      <w:proofErr w:type="gramEnd"/>
      <w:r w:rsidRPr="00AD4F6B" w:rsidR="00014AB1">
        <w:t xml:space="preserve"> model include</w:t>
      </w:r>
      <w:r w:rsidRPr="00AD4F6B">
        <w:t>d</w:t>
      </w:r>
      <w:r w:rsidRPr="00AD4F6B" w:rsidR="00014AB1">
        <w:t xml:space="preserve"> the change from baseline as the dependent variable, fixed effect of weight bracket, visit, a covariate of baseline RULM value, and interactions of weight bracket*visit. A mixed model of repeated measures is applied using unstructured covariance matrix.</w:t>
      </w:r>
    </w:p>
    <w:p w:rsidRPr="00AD4F6B" w:rsidR="00D22DCF" w:rsidP="008F1CE6" w:rsidRDefault="00C84E55" w14:paraId="56BD4F84" w14:textId="70FAF194">
      <w:pPr>
        <w:pStyle w:val="3-BodyText"/>
      </w:pPr>
      <w:r w:rsidRPr="00AD4F6B">
        <w:t xml:space="preserve">The submission noted that the mean change from baseline in HFMSE score at 52 weeks was at least 3 points in each weight group, which met the nominated MCID of </w:t>
      </w:r>
      <w:r w:rsidRPr="00AD4F6B">
        <w:rPr>
          <w:rFonts w:cs="Calibri"/>
        </w:rPr>
        <w:t>≥</w:t>
      </w:r>
      <w:r w:rsidRPr="00AD4F6B">
        <w:t>3-point improvement. Patients in subgroup 3 reported the most improvement in total HFMSE score at Week 52 (median 5.0-point improvement), compared to subgroup 2 (median 4.0-point improvement) and subgroup 1 (median 3.0-point improvement). Sensitivity analysis was conducted wherein missing item scores and “cannot test” assessments were imputed by a score of zero. This analysis included 22 patients (an additional two patients in subgroup 2, representing 25% of patients in subgroup 2 (n=8)). In subgroup 2, the median change from baseline in HFMSE score at Week 26 and Week 52 of 3.5 and 4.0-point improvement, was adjusted to 0.5 and 1.5 respectively, and would not have met the submission’s nominated MCID. This highlights the lack of robustness of the data due to small sample size</w:t>
      </w:r>
      <w:r w:rsidRPr="00AD4F6B" w:rsidR="001C78F1">
        <w:t>s</w:t>
      </w:r>
      <w:r w:rsidRPr="00AD4F6B">
        <w:t>.</w:t>
      </w:r>
    </w:p>
    <w:p w:rsidRPr="00AD4F6B" w:rsidR="008D4622" w:rsidP="008F1CE6" w:rsidRDefault="008D4622" w14:paraId="27456CFB" w14:textId="1797FCDE">
      <w:pPr>
        <w:pStyle w:val="3-BodyText"/>
      </w:pPr>
      <w:bookmarkStart w:name="_Ref208246338" w:id="35"/>
      <w:r w:rsidRPr="00AD4F6B">
        <w:t>Notably, there may be some misclassification in SMART, as subgroup 1 included patient</w:t>
      </w:r>
      <w:r w:rsidRPr="00AD4F6B" w:rsidR="00E65CF4">
        <w:t>(</w:t>
      </w:r>
      <w:r w:rsidRPr="00AD4F6B">
        <w:t>s</w:t>
      </w:r>
      <w:r w:rsidRPr="00AD4F6B" w:rsidR="00E65CF4">
        <w:t>)</w:t>
      </w:r>
      <w:r w:rsidRPr="00AD4F6B">
        <w:t xml:space="preserve"> with weight &gt;13kg and subgroup 2 included patient</w:t>
      </w:r>
      <w:r w:rsidRPr="00AD4F6B" w:rsidR="00E65CF4">
        <w:t>(</w:t>
      </w:r>
      <w:r w:rsidRPr="00AD4F6B">
        <w:t>s</w:t>
      </w:r>
      <w:r w:rsidRPr="00AD4F6B" w:rsidR="00E65CF4">
        <w:t>)</w:t>
      </w:r>
      <w:r w:rsidRPr="00AD4F6B">
        <w:t xml:space="preserve"> with weight &gt;17kg</w:t>
      </w:r>
      <w:r w:rsidRPr="00AD4F6B" w:rsidR="00CF5A7B">
        <w:t>, further confounding any comparison between subgroups in SMART</w:t>
      </w:r>
      <w:r w:rsidRPr="00AD4F6B">
        <w:t xml:space="preserve">. </w:t>
      </w:r>
      <w:bookmarkEnd w:id="35"/>
    </w:p>
    <w:p w:rsidRPr="00AD4F6B" w:rsidR="008F1CE6" w:rsidP="008F1CE6" w:rsidRDefault="008F1CE6" w14:paraId="45CBA4EF" w14:textId="1D9DF4DE">
      <w:pPr>
        <w:pStyle w:val="3-BodyText"/>
      </w:pPr>
      <w:r w:rsidRPr="00AD4F6B">
        <w:t xml:space="preserve">Results from the mixed model approach </w:t>
      </w:r>
      <w:r w:rsidRPr="00AD4F6B" w:rsidR="00103861">
        <w:t xml:space="preserve">(see </w:t>
      </w:r>
      <w:r w:rsidRPr="00AD4F6B" w:rsidR="00103861">
        <w:fldChar w:fldCharType="begin"/>
      </w:r>
      <w:r w:rsidRPr="00AD4F6B" w:rsidR="00103861">
        <w:instrText xml:space="preserve"> REF _Ref207966693 \h  \* MERGEFORMAT </w:instrText>
      </w:r>
      <w:r w:rsidRPr="00AD4F6B" w:rsidR="00103861">
        <w:fldChar w:fldCharType="separate"/>
      </w:r>
      <w:r w:rsidRPr="00F0459B" w:rsidR="00F0459B">
        <w:t>Table 8</w:t>
      </w:r>
      <w:r w:rsidRPr="00AD4F6B" w:rsidR="00103861">
        <w:fldChar w:fldCharType="end"/>
      </w:r>
      <w:r w:rsidRPr="00AD4F6B" w:rsidR="00103861">
        <w:t xml:space="preserve">) </w:t>
      </w:r>
      <w:r w:rsidRPr="00AD4F6B">
        <w:t xml:space="preserve">met the submission’s nominated MCID of </w:t>
      </w:r>
      <w:r w:rsidRPr="00AD4F6B">
        <w:rPr>
          <w:rFonts w:cs="Calibri"/>
        </w:rPr>
        <w:t>≥</w:t>
      </w:r>
      <w:r w:rsidRPr="00AD4F6B">
        <w:t>3-point improvement. The least squares mean change from baseline in HFMSE total score at Week 52 was 3.51 (95%CI: -1.05-8.07), 3.60 (95%CI: -0.52-7.72) and 4.23 (95%CI: 0.78-7.67) for subgroup 1, subgroup 2 and subgroup 3</w:t>
      </w:r>
      <w:r w:rsidRPr="00AD4F6B" w:rsidR="001C78F1">
        <w:t>,</w:t>
      </w:r>
      <w:r w:rsidRPr="00AD4F6B">
        <w:t xml:space="preserve"> respectively. However, the confidence intervals were large and included values which were lower than the nominated MCID of ‘3’.</w:t>
      </w:r>
    </w:p>
    <w:p w:rsidRPr="00AD4F6B" w:rsidR="00B34018" w:rsidP="009558F8" w:rsidRDefault="009558F8" w14:paraId="46996159" w14:textId="10086A8B">
      <w:pPr>
        <w:pStyle w:val="3-BodyText"/>
      </w:pPr>
      <w:r w:rsidRPr="00AD4F6B">
        <w:t xml:space="preserve">The mean (SD) increase in RULM total score overall was 2.0 (4.02) at Week 52, which met the nominated MCID of </w:t>
      </w:r>
      <w:r w:rsidRPr="00AD4F6B">
        <w:rPr>
          <w:rFonts w:cs="Calibri"/>
        </w:rPr>
        <w:t>≥</w:t>
      </w:r>
      <w:r w:rsidRPr="00AD4F6B">
        <w:t>2-point improvement. Patients in subgroup 1 reported the most improvement in RULM score from baseline (median 4.0-point improvement) compared to subgroup 2 (median 0.5-point improvement) and subgroup 3 (median 2.5-point improvement). The reported median increase in RULM total score for subgroup 2 (0.5-point improvement) did not meet the submission’s nominated MCID.</w:t>
      </w:r>
      <w:r w:rsidRPr="00AD4F6B" w:rsidR="00BE674B">
        <w:t xml:space="preserve"> Sensitivity analysis was conducted wherein missing item scores and “cannot test” assessments were imputed by a score of zero. This analysis included 21 patients (an additional one patient (25%) in subgroup 1 (at Week 52), two patients (25%) in subgroup 2 and one patient (11%) in subgroup 3). While the results were more favourable across the subgroups, subgroup 2 (median 1.5-point improvement) still did not meet the MCID of </w:t>
      </w:r>
      <w:r w:rsidRPr="00AD4F6B" w:rsidR="00BE674B">
        <w:rPr>
          <w:rFonts w:cs="Calibri"/>
        </w:rPr>
        <w:t>≥</w:t>
      </w:r>
      <w:r w:rsidRPr="00AD4F6B" w:rsidR="00BE674B">
        <w:t xml:space="preserve">2-point improvement. </w:t>
      </w:r>
    </w:p>
    <w:p w:rsidRPr="00AD4F6B" w:rsidR="0019439C" w:rsidP="0019439C" w:rsidRDefault="0019439C" w14:paraId="2744C5ED" w14:textId="1EC522F0">
      <w:pPr>
        <w:pStyle w:val="3-BodyText"/>
      </w:pPr>
      <w:r w:rsidRPr="00AD4F6B">
        <w:t>Results from mixed model approach</w:t>
      </w:r>
      <w:r w:rsidRPr="00AD4F6B" w:rsidR="00103861">
        <w:t xml:space="preserve"> (see </w:t>
      </w:r>
      <w:r w:rsidRPr="00AD4F6B" w:rsidR="00103861">
        <w:fldChar w:fldCharType="begin"/>
      </w:r>
      <w:r w:rsidRPr="00AD4F6B" w:rsidR="00103861">
        <w:instrText xml:space="preserve"> REF _Ref207966693 \h  \* MERGEFORMAT </w:instrText>
      </w:r>
      <w:r w:rsidRPr="00AD4F6B" w:rsidR="00103861">
        <w:fldChar w:fldCharType="separate"/>
      </w:r>
      <w:r w:rsidRPr="00F0459B" w:rsidR="00F0459B">
        <w:t>Table 8</w:t>
      </w:r>
      <w:r w:rsidRPr="00AD4F6B" w:rsidR="00103861">
        <w:fldChar w:fldCharType="end"/>
      </w:r>
      <w:r w:rsidRPr="00AD4F6B" w:rsidR="00103861">
        <w:t>)</w:t>
      </w:r>
      <w:r w:rsidRPr="00AD4F6B">
        <w:t xml:space="preserve"> met the submission’s nominated MCID of </w:t>
      </w:r>
      <w:r w:rsidRPr="00AD4F6B">
        <w:rPr>
          <w:rFonts w:cs="Calibri"/>
        </w:rPr>
        <w:t>≥</w:t>
      </w:r>
      <w:r w:rsidRPr="00AD4F6B">
        <w:t xml:space="preserve">2-point improvement for subgroup 1, but not subgroup 2 </w:t>
      </w:r>
      <w:r w:rsidRPr="00AD4F6B" w:rsidR="00B1413B">
        <w:t xml:space="preserve">or </w:t>
      </w:r>
      <w:r w:rsidRPr="00AD4F6B">
        <w:t>subgroup 3. The least squares mean change from baseline in RULM total score at Week 52 was 6.00 (95%CI: 1.69-10.30), 0.42 (95%CI: -2.99, 3.83) and 1.90 (95%CI: -1.05, 4.86) for subgroup 1, subgroup 2 and subgroup 3</w:t>
      </w:r>
      <w:r w:rsidRPr="00AD4F6B" w:rsidR="001C78F1">
        <w:t>,</w:t>
      </w:r>
      <w:r w:rsidRPr="00AD4F6B">
        <w:t xml:space="preserve"> respectively. </w:t>
      </w:r>
      <w:proofErr w:type="gramStart"/>
      <w:r w:rsidRPr="00AD4F6B">
        <w:t>Similar to</w:t>
      </w:r>
      <w:proofErr w:type="gramEnd"/>
      <w:r w:rsidRPr="00AD4F6B">
        <w:t xml:space="preserve"> the results of the sensitivity analyses for the change from baseline in HFMSE total score, the confidence intervals were large and included ‘0’ or included values which were lower than the nominated MCID of ‘2’, suggesting uncertainty.</w:t>
      </w:r>
    </w:p>
    <w:p w:rsidRPr="00AD4F6B" w:rsidR="00926E44" w:rsidP="00926E44" w:rsidRDefault="00926E44" w14:paraId="3DF5F342" w14:textId="10800CAA">
      <w:pPr>
        <w:pStyle w:val="3-BodyText"/>
      </w:pPr>
      <w:r w:rsidRPr="00AD4F6B">
        <w:t xml:space="preserve">The submission did not present subgroup analysis for the intended PBS population of SMA Type I patients, and it was unclear what proportion of SMA Type I patients met the submission’s nominated MCID for the change from baseline in total </w:t>
      </w:r>
      <w:r w:rsidRPr="00AD4F6B" w:rsidR="00C2358A">
        <w:t xml:space="preserve">HFMSE or </w:t>
      </w:r>
      <w:r w:rsidRPr="00AD4F6B" w:rsidR="008C2A24">
        <w:t xml:space="preserve">total </w:t>
      </w:r>
      <w:r w:rsidRPr="00AD4F6B">
        <w:t xml:space="preserve">RULM score. </w:t>
      </w:r>
    </w:p>
    <w:p w:rsidRPr="00AD4F6B" w:rsidR="00EB4D6B" w:rsidP="00EB4D6B" w:rsidRDefault="008A7627" w14:paraId="32479EEC" w14:textId="3CCC8254">
      <w:pPr>
        <w:pStyle w:val="3-BodyText"/>
      </w:pPr>
      <w:r w:rsidRPr="00AD4F6B">
        <w:rPr>
          <w:rStyle w:val="CommentReference"/>
          <w:rFonts w:asciiTheme="minorHAnsi" w:hAnsiTheme="minorHAnsi"/>
          <w:b w:val="0"/>
          <w:sz w:val="24"/>
          <w:szCs w:val="22"/>
        </w:rPr>
        <w:t>The submission presented t</w:t>
      </w:r>
      <w:r w:rsidRPr="00AD4F6B">
        <w:t xml:space="preserve">he proportion of patients demonstrating developmental milestones at baseline and post baseline </w:t>
      </w:r>
      <w:r w:rsidRPr="00AD4F6B" w:rsidR="001115FF">
        <w:t>in SMART</w:t>
      </w:r>
      <w:r w:rsidRPr="00AD4F6B">
        <w:t xml:space="preserve">. Of note, six patients </w:t>
      </w:r>
      <w:r w:rsidRPr="00AD4F6B" w:rsidR="00CD699C">
        <w:t>(two in subgroup 2 and four in subgroup 3)</w:t>
      </w:r>
      <w:r w:rsidRPr="00AD4F6B" w:rsidR="000404D5">
        <w:t xml:space="preserve"> </w:t>
      </w:r>
      <w:r w:rsidRPr="00AD4F6B">
        <w:t xml:space="preserve">had already achieved the highest milestone assessed in the study (Walking alone) at baseline; for these patients achieving new milestones as per the checklist was not possible. Based on natural history data, </w:t>
      </w:r>
      <w:proofErr w:type="gramStart"/>
      <w:r w:rsidRPr="00AD4F6B">
        <w:t>the majority of</w:t>
      </w:r>
      <w:proofErr w:type="gramEnd"/>
      <w:r w:rsidRPr="00AD4F6B">
        <w:t xml:space="preserve"> patients with Type III SMA would achieve and retain the ability to walk. Therefore, it was plausible that a proportion of these patients would</w:t>
      </w:r>
      <w:r w:rsidRPr="00AD4F6B" w:rsidR="005155C6">
        <w:t xml:space="preserve"> have</w:t>
      </w:r>
      <w:r w:rsidRPr="00AD4F6B">
        <w:t xml:space="preserve"> retain</w:t>
      </w:r>
      <w:r w:rsidRPr="00AD4F6B" w:rsidR="005155C6">
        <w:t>ed</w:t>
      </w:r>
      <w:r w:rsidRPr="00AD4F6B">
        <w:t xml:space="preserve"> the ability to walk without treatment with ONA</w:t>
      </w:r>
      <w:r w:rsidRPr="00AD4F6B" w:rsidR="002539B8">
        <w:t xml:space="preserve">. </w:t>
      </w:r>
    </w:p>
    <w:p w:rsidRPr="00AD4F6B" w:rsidR="00EB4D6B" w:rsidP="00EB4D6B" w:rsidRDefault="00EB4D6B" w14:paraId="221B68F5" w14:textId="4887E187">
      <w:pPr>
        <w:pStyle w:val="3-BodyText"/>
      </w:pPr>
      <w:r w:rsidRPr="00AD4F6B">
        <w:t xml:space="preserve">Developmental motor milestones data presented by the submission and extracted </w:t>
      </w:r>
      <w:r w:rsidRPr="00AD4F6B" w:rsidR="00520E71">
        <w:t>during the evaluation</w:t>
      </w:r>
      <w:r w:rsidRPr="00AD4F6B">
        <w:t xml:space="preserve"> indicated that for patients with SMA Type I enrolled in SMART (n=8):</w:t>
      </w:r>
    </w:p>
    <w:p w:rsidRPr="00AD4F6B" w:rsidR="00143DE2" w:rsidP="00DF6232" w:rsidRDefault="00EB4D6B" w14:paraId="0FC59108" w14:textId="77777777">
      <w:pPr>
        <w:pStyle w:val="3-BodyText"/>
        <w:numPr>
          <w:ilvl w:val="0"/>
          <w:numId w:val="6"/>
        </w:numPr>
        <w:spacing w:before="0" w:after="120"/>
        <w:ind w:left="1080"/>
      </w:pPr>
      <w:r w:rsidRPr="00AD4F6B">
        <w:t xml:space="preserve">Two patients (25.0%) experienced a decline in the highest developmental motor milestone achieved during the study; and </w:t>
      </w:r>
    </w:p>
    <w:p w:rsidRPr="00AD4F6B" w:rsidR="00EB4D6B" w:rsidP="00DF6232" w:rsidRDefault="00EB4D6B" w14:paraId="7082632B" w14:textId="1404CF06">
      <w:pPr>
        <w:pStyle w:val="3-BodyText"/>
        <w:numPr>
          <w:ilvl w:val="0"/>
          <w:numId w:val="6"/>
        </w:numPr>
        <w:spacing w:before="0" w:after="120"/>
        <w:ind w:left="1080"/>
      </w:pPr>
      <w:r w:rsidRPr="00AD4F6B">
        <w:t>The six remaining patients (75.0%) experienced no change in the highest developmental motor milestone achieved during the study</w:t>
      </w:r>
      <w:r w:rsidRPr="00AD4F6B" w:rsidR="00103861">
        <w:t xml:space="preserve"> (up to 52 weeks of follow-up)</w:t>
      </w:r>
      <w:r w:rsidRPr="00AD4F6B">
        <w:t>.</w:t>
      </w:r>
    </w:p>
    <w:p w:rsidRPr="00AD4F6B" w:rsidR="00B60939" w:rsidP="00D86231" w:rsidRDefault="00B60939" w14:paraId="1452C351" w14:textId="0D19F1B0">
      <w:pPr>
        <w:pStyle w:val="4-SubsectionHeading"/>
        <w:rPr>
          <w:color w:val="auto"/>
        </w:rPr>
      </w:pPr>
      <w:bookmarkStart w:name="_Toc22897642" w:id="36"/>
      <w:bookmarkStart w:name="_Toc209002910" w:id="37"/>
      <w:r w:rsidRPr="00AD4F6B">
        <w:rPr>
          <w:color w:val="auto"/>
        </w:rPr>
        <w:t>Comparative harms</w:t>
      </w:r>
      <w:bookmarkEnd w:id="36"/>
      <w:bookmarkEnd w:id="37"/>
    </w:p>
    <w:p w:rsidRPr="00AD4F6B" w:rsidR="00D64A30" w:rsidP="0091680E" w:rsidRDefault="006F7702" w14:paraId="6BB23A4B" w14:textId="11DABC7D">
      <w:pPr>
        <w:pStyle w:val="3-BodyText"/>
      </w:pPr>
      <w:r w:rsidRPr="00AD4F6B">
        <w:t xml:space="preserve">The submission provided an overview of </w:t>
      </w:r>
      <w:r w:rsidRPr="00AD4F6B" w:rsidR="004C58CD">
        <w:t>treatment-emergent adverse events (</w:t>
      </w:r>
      <w:r w:rsidRPr="00AD4F6B">
        <w:t>TEAEs</w:t>
      </w:r>
      <w:r w:rsidRPr="00AD4F6B" w:rsidR="004C58CD">
        <w:t>)</w:t>
      </w:r>
      <w:r w:rsidRPr="00AD4F6B">
        <w:t xml:space="preserve"> in the included studies. Almost all patients across the included studies experienced TEAEs</w:t>
      </w:r>
      <w:r w:rsidRPr="00AD4F6B" w:rsidR="008F55AB">
        <w:t xml:space="preserve"> (100% in all studies, except for </w:t>
      </w:r>
      <w:r w:rsidRPr="00AD4F6B" w:rsidR="00D64A30">
        <w:t xml:space="preserve">97% in </w:t>
      </w:r>
      <w:r w:rsidRPr="00AD4F6B" w:rsidR="008F55AB">
        <w:t>STR1VE-E</w:t>
      </w:r>
      <w:r w:rsidRPr="00AD4F6B" w:rsidR="00D64A30">
        <w:t>U</w:t>
      </w:r>
      <w:r w:rsidRPr="00AD4F6B" w:rsidR="008F55AB">
        <w:t>)</w:t>
      </w:r>
      <w:r w:rsidRPr="00AD4F6B">
        <w:rPr>
          <w:i/>
          <w:iCs/>
        </w:rPr>
        <w:t xml:space="preserve">. </w:t>
      </w:r>
      <w:r w:rsidRPr="00AD4F6B">
        <w:t>Patients enrolled in SMART experienced more TEAEs related to ONA when compared to the other included studies</w:t>
      </w:r>
      <w:r w:rsidRPr="00AD4F6B" w:rsidR="000837BC">
        <w:t xml:space="preserve"> (100% in SMART compared to</w:t>
      </w:r>
      <w:r w:rsidRPr="00AD4F6B" w:rsidR="00D50C29">
        <w:t xml:space="preserve"> 27%-73% in the remaining studies</w:t>
      </w:r>
      <w:r w:rsidRPr="00AD4F6B" w:rsidR="000837BC">
        <w:t>)</w:t>
      </w:r>
      <w:r w:rsidRPr="00AD4F6B">
        <w:rPr>
          <w:i/>
          <w:iCs/>
        </w:rPr>
        <w:t xml:space="preserve">, </w:t>
      </w:r>
      <w:r w:rsidRPr="00AD4F6B">
        <w:t xml:space="preserve">however, the number of serious TEAEs related to ONA </w:t>
      </w:r>
      <w:r w:rsidRPr="00AD4F6B" w:rsidR="00E960A0">
        <w:rPr>
          <w:i/>
          <w:iCs/>
        </w:rPr>
        <w:t>(</w:t>
      </w:r>
      <w:r w:rsidRPr="00AD4F6B" w:rsidR="00E960A0">
        <w:t>29%</w:t>
      </w:r>
      <w:r w:rsidRPr="00AD4F6B" w:rsidR="00E960A0">
        <w:rPr>
          <w:i/>
          <w:iCs/>
        </w:rPr>
        <w:t>)</w:t>
      </w:r>
      <w:r w:rsidRPr="00AD4F6B" w:rsidR="00E960A0">
        <w:t xml:space="preserve"> </w:t>
      </w:r>
      <w:r w:rsidRPr="00AD4F6B">
        <w:t xml:space="preserve">were comparable to those reported in START </w:t>
      </w:r>
      <w:r w:rsidRPr="00AD4F6B" w:rsidR="003063E1">
        <w:rPr>
          <w:i/>
          <w:iCs/>
        </w:rPr>
        <w:t>(</w:t>
      </w:r>
      <w:r w:rsidRPr="00AD4F6B" w:rsidR="0002612C">
        <w:t>27%</w:t>
      </w:r>
      <w:r w:rsidRPr="00AD4F6B" w:rsidR="003063E1">
        <w:rPr>
          <w:i/>
          <w:iCs/>
        </w:rPr>
        <w:t>)</w:t>
      </w:r>
      <w:r w:rsidRPr="00AD4F6B">
        <w:t>. No TEAEs led to study discontinuation or death in SMART, SPR1NT and START, however two patients in STRIVE-US discontinued due to TEAEs, with one death reported. Similarly, one patient in STRIVE-EU discontinued and one death was reported.</w:t>
      </w:r>
      <w:r w:rsidRPr="00AD4F6B" w:rsidR="0091680E">
        <w:t xml:space="preserve"> </w:t>
      </w:r>
    </w:p>
    <w:p w:rsidRPr="00AD4F6B" w:rsidR="00344182" w:rsidP="00344182" w:rsidRDefault="00344182" w14:paraId="02FB28EA" w14:textId="237A9617">
      <w:pPr>
        <w:pStyle w:val="3-BodyText"/>
      </w:pPr>
      <w:r w:rsidRPr="00AD4F6B">
        <w:t xml:space="preserve">An overview of TEAEs by weight bracket in the SMART study is summarised in </w:t>
      </w:r>
      <w:r w:rsidRPr="00AD4F6B" w:rsidR="00697202">
        <w:fldChar w:fldCharType="begin"/>
      </w:r>
      <w:r w:rsidRPr="00AD4F6B" w:rsidR="00697202">
        <w:instrText xml:space="preserve"> REF _Ref207977505 \h </w:instrText>
      </w:r>
      <w:r w:rsidRPr="00AD4F6B" w:rsidR="00697202">
        <w:fldChar w:fldCharType="separate"/>
      </w:r>
      <w:r w:rsidRPr="00AD4F6B" w:rsidR="00F0459B">
        <w:t xml:space="preserve">Table </w:t>
      </w:r>
      <w:r w:rsidR="00F0459B">
        <w:rPr>
          <w:noProof/>
        </w:rPr>
        <w:t>9</w:t>
      </w:r>
      <w:r w:rsidRPr="00AD4F6B" w:rsidR="00697202">
        <w:fldChar w:fldCharType="end"/>
      </w:r>
      <w:r w:rsidRPr="00AD4F6B">
        <w:t xml:space="preserve">. All patients experienced at least one TEAE and TEAE related to ONA during the study. </w:t>
      </w:r>
      <w:r w:rsidRPr="00AD4F6B" w:rsidR="00BE5E99">
        <w:t>Serious adverse events (</w:t>
      </w:r>
      <w:r w:rsidRPr="00AD4F6B">
        <w:t>SAEs</w:t>
      </w:r>
      <w:r w:rsidRPr="00AD4F6B" w:rsidR="00BE5E99">
        <w:t>)</w:t>
      </w:r>
      <w:r w:rsidRPr="00AD4F6B">
        <w:t xml:space="preserve"> were reported in 62.5% of patients, including 29.2% who had SAEs considered related to study medication. Subgroup 1 reported fewer severe adverse events (AEs), SAEs and SAEs related to ONA than the heavier two subgroups. No deaths, and no AEs leading to discontinuation from the study were reported.</w:t>
      </w:r>
    </w:p>
    <w:p w:rsidRPr="00AD4F6B" w:rsidR="00344182" w:rsidP="00A9363F" w:rsidRDefault="00344182" w14:paraId="785D3926" w14:textId="00B6E643">
      <w:pPr>
        <w:pStyle w:val="Caption"/>
      </w:pPr>
      <w:bookmarkStart w:name="_Ref207977505" w:id="38"/>
      <w:r w:rsidRPr="00AD4F6B">
        <w:t xml:space="preserve">Table </w:t>
      </w:r>
      <w:r w:rsidRPr="00AD4F6B" w:rsidR="004A4B0A">
        <w:fldChar w:fldCharType="begin"/>
      </w:r>
      <w:r w:rsidRPr="00AD4F6B" w:rsidR="004A4B0A">
        <w:instrText xml:space="preserve"> SEQ Table \* ARABIC </w:instrText>
      </w:r>
      <w:r w:rsidRPr="00AD4F6B" w:rsidR="004A4B0A">
        <w:fldChar w:fldCharType="separate"/>
      </w:r>
      <w:r w:rsidR="00F0459B">
        <w:rPr>
          <w:noProof/>
        </w:rPr>
        <w:t>9</w:t>
      </w:r>
      <w:r w:rsidRPr="00AD4F6B" w:rsidR="004A4B0A">
        <w:rPr>
          <w:noProof/>
        </w:rPr>
        <w:fldChar w:fldCharType="end"/>
      </w:r>
      <w:bookmarkEnd w:id="38"/>
      <w:r w:rsidRPr="00AD4F6B" w:rsidR="00045C16">
        <w:t>:</w:t>
      </w:r>
      <w:r w:rsidRPr="00AD4F6B">
        <w:t xml:space="preserve"> Overview of treatment-emergent adverse events by weight bracket (Safety Set) </w:t>
      </w:r>
    </w:p>
    <w:tbl>
      <w:tblPr>
        <w:tblStyle w:val="PlainTable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9: Overview of treatment-emergent adverse events by weight bracket (Safety Set) "/>
      </w:tblPr>
      <w:tblGrid>
        <w:gridCol w:w="4163"/>
        <w:gridCol w:w="1260"/>
        <w:gridCol w:w="1237"/>
        <w:gridCol w:w="1248"/>
        <w:gridCol w:w="1109"/>
      </w:tblGrid>
      <w:tr w:rsidRPr="00AD4F6B" w:rsidR="00AD4F6B" w:rsidTr="00EA35AC" w14:paraId="1C8FBF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pct"/>
          </w:tcPr>
          <w:p w:rsidRPr="00AD4F6B" w:rsidR="00344182" w:rsidP="00A9363F" w:rsidRDefault="00344182" w14:paraId="2B666417" w14:textId="77777777">
            <w:pPr>
              <w:keepNext/>
              <w:keepLines/>
              <w:rPr>
                <w:rFonts w:ascii="Arial Narrow" w:hAnsi="Arial Narrow"/>
                <w:sz w:val="20"/>
                <w:szCs w:val="20"/>
              </w:rPr>
            </w:pPr>
          </w:p>
        </w:tc>
        <w:tc>
          <w:tcPr>
            <w:tcW w:w="698" w:type="pct"/>
            <w:vAlign w:val="center"/>
          </w:tcPr>
          <w:p w:rsidRPr="00AD4F6B" w:rsidR="00344182" w:rsidP="00A9363F" w:rsidRDefault="00344182" w14:paraId="121A8586"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Subgroup 1</w:t>
            </w:r>
          </w:p>
          <w:p w:rsidRPr="00AD4F6B" w:rsidR="00344182" w:rsidP="00A9363F" w:rsidRDefault="00344182" w14:paraId="1E811DE1"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8.5-13 kg</w:t>
            </w:r>
          </w:p>
          <w:p w:rsidRPr="00AD4F6B" w:rsidR="00344182" w:rsidP="00A9363F" w:rsidRDefault="00344182" w14:paraId="5A63FD0E"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N=7</w:t>
            </w:r>
          </w:p>
          <w:p w:rsidRPr="00AD4F6B" w:rsidR="00344182" w:rsidP="00A9363F" w:rsidRDefault="00344182" w14:paraId="48EFE464"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 (%)</w:t>
            </w:r>
          </w:p>
        </w:tc>
        <w:tc>
          <w:tcPr>
            <w:tcW w:w="686" w:type="pct"/>
            <w:vAlign w:val="center"/>
          </w:tcPr>
          <w:p w:rsidRPr="00AD4F6B" w:rsidR="00344182" w:rsidP="00A9363F" w:rsidRDefault="00344182" w14:paraId="3619B628"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Subgroup 2</w:t>
            </w:r>
          </w:p>
          <w:p w:rsidRPr="00AD4F6B" w:rsidR="00344182" w:rsidP="00A9363F" w:rsidRDefault="00344182" w14:paraId="136DF09B"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&gt;13-17 kg</w:t>
            </w:r>
          </w:p>
          <w:p w:rsidRPr="00AD4F6B" w:rsidR="00344182" w:rsidP="00A9363F" w:rsidRDefault="00344182" w14:paraId="7BB41623"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N=8</w:t>
            </w:r>
          </w:p>
          <w:p w:rsidRPr="00AD4F6B" w:rsidR="00344182" w:rsidP="00A9363F" w:rsidRDefault="00344182" w14:paraId="46C246E2"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 (%)</w:t>
            </w:r>
          </w:p>
        </w:tc>
        <w:tc>
          <w:tcPr>
            <w:tcW w:w="692" w:type="pct"/>
            <w:vAlign w:val="center"/>
          </w:tcPr>
          <w:p w:rsidRPr="00AD4F6B" w:rsidR="00344182" w:rsidP="00A9363F" w:rsidRDefault="00344182" w14:paraId="262623D8"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Subgroup 3</w:t>
            </w:r>
          </w:p>
          <w:p w:rsidRPr="00AD4F6B" w:rsidR="00344182" w:rsidP="00A9363F" w:rsidRDefault="00344182" w14:paraId="2039E3D9"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&gt;17-21 kg</w:t>
            </w:r>
          </w:p>
          <w:p w:rsidRPr="00AD4F6B" w:rsidR="00344182" w:rsidP="00A9363F" w:rsidRDefault="00344182" w14:paraId="67E6AF28"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N=9</w:t>
            </w:r>
          </w:p>
          <w:p w:rsidRPr="00AD4F6B" w:rsidR="00344182" w:rsidP="00A9363F" w:rsidRDefault="00344182" w14:paraId="17DA7BA2"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 (%)</w:t>
            </w:r>
          </w:p>
        </w:tc>
        <w:tc>
          <w:tcPr>
            <w:tcW w:w="615" w:type="pct"/>
            <w:vAlign w:val="center"/>
          </w:tcPr>
          <w:p w:rsidRPr="00AD4F6B" w:rsidR="00344182" w:rsidP="00A9363F" w:rsidRDefault="00344182" w14:paraId="33C5B11F"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Overall</w:t>
            </w:r>
          </w:p>
          <w:p w:rsidRPr="00AD4F6B" w:rsidR="00344182" w:rsidP="00A9363F" w:rsidRDefault="00344182" w14:paraId="4228BFBD"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N=24</w:t>
            </w:r>
          </w:p>
          <w:p w:rsidRPr="00AD4F6B" w:rsidR="00344182" w:rsidP="00A9363F" w:rsidRDefault="00344182" w14:paraId="30508875"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 (%)</w:t>
            </w:r>
          </w:p>
        </w:tc>
      </w:tr>
      <w:tr w:rsidRPr="00AD4F6B" w:rsidR="00AD4F6B" w:rsidTr="00EA35AC" w14:paraId="5D12F4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pct"/>
          </w:tcPr>
          <w:p w:rsidRPr="00AD4F6B" w:rsidR="00344182" w:rsidP="00A9363F" w:rsidRDefault="00344182" w14:paraId="51ABD6A7" w14:textId="77777777">
            <w:pPr>
              <w:keepNext/>
              <w:keepLines/>
              <w:rPr>
                <w:rFonts w:ascii="Arial Narrow" w:hAnsi="Arial Narrow"/>
                <w:b w:val="0"/>
                <w:bCs w:val="0"/>
                <w:sz w:val="20"/>
                <w:szCs w:val="20"/>
              </w:rPr>
            </w:pPr>
            <w:r w:rsidRPr="00AD4F6B">
              <w:rPr>
                <w:rFonts w:ascii="Arial Narrow" w:hAnsi="Arial Narrow"/>
                <w:b w:val="0"/>
                <w:bCs w:val="0"/>
                <w:sz w:val="20"/>
                <w:szCs w:val="20"/>
              </w:rPr>
              <w:t>Any TEAEs</w:t>
            </w:r>
          </w:p>
        </w:tc>
        <w:tc>
          <w:tcPr>
            <w:tcW w:w="698" w:type="pct"/>
          </w:tcPr>
          <w:p w:rsidRPr="00AD4F6B" w:rsidR="00344182" w:rsidP="00A9363F" w:rsidRDefault="00344182" w14:paraId="4856960A"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7 (100.0)</w:t>
            </w:r>
          </w:p>
        </w:tc>
        <w:tc>
          <w:tcPr>
            <w:tcW w:w="686" w:type="pct"/>
          </w:tcPr>
          <w:p w:rsidRPr="00AD4F6B" w:rsidR="00344182" w:rsidP="00A9363F" w:rsidRDefault="00344182" w14:paraId="3CC6E183"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8 (100.0)</w:t>
            </w:r>
          </w:p>
        </w:tc>
        <w:tc>
          <w:tcPr>
            <w:tcW w:w="692" w:type="pct"/>
          </w:tcPr>
          <w:p w:rsidRPr="00AD4F6B" w:rsidR="00344182" w:rsidP="00A9363F" w:rsidRDefault="00344182" w14:paraId="34C63D4D"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9 (100.0)</w:t>
            </w:r>
          </w:p>
        </w:tc>
        <w:tc>
          <w:tcPr>
            <w:tcW w:w="615" w:type="pct"/>
          </w:tcPr>
          <w:p w:rsidRPr="00AD4F6B" w:rsidR="00344182" w:rsidP="00A9363F" w:rsidRDefault="00344182" w14:paraId="342A7D3A"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24 (100.0)</w:t>
            </w:r>
          </w:p>
        </w:tc>
      </w:tr>
      <w:tr w:rsidRPr="00AD4F6B" w:rsidR="00AD4F6B" w:rsidTr="00EA35AC" w14:paraId="7E2B2A33" w14:textId="77777777">
        <w:tc>
          <w:tcPr>
            <w:cnfStyle w:val="001000000000" w:firstRow="0" w:lastRow="0" w:firstColumn="1" w:lastColumn="0" w:oddVBand="0" w:evenVBand="0" w:oddHBand="0" w:evenHBand="0" w:firstRowFirstColumn="0" w:firstRowLastColumn="0" w:lastRowFirstColumn="0" w:lastRowLastColumn="0"/>
            <w:tcW w:w="2308" w:type="pct"/>
          </w:tcPr>
          <w:p w:rsidRPr="00AD4F6B" w:rsidR="00344182" w:rsidP="00A9363F" w:rsidRDefault="00344182" w14:paraId="3B2CA2EE" w14:textId="77777777">
            <w:pPr>
              <w:keepNext/>
              <w:keepLines/>
              <w:rPr>
                <w:rFonts w:ascii="Arial Narrow" w:hAnsi="Arial Narrow"/>
                <w:b w:val="0"/>
                <w:bCs w:val="0"/>
                <w:sz w:val="20"/>
                <w:szCs w:val="20"/>
              </w:rPr>
            </w:pPr>
            <w:r w:rsidRPr="00AD4F6B">
              <w:rPr>
                <w:rFonts w:ascii="Arial Narrow" w:hAnsi="Arial Narrow"/>
                <w:b w:val="0"/>
                <w:bCs w:val="0"/>
                <w:sz w:val="20"/>
                <w:szCs w:val="20"/>
              </w:rPr>
              <w:t>Any TEAEs related to ONA</w:t>
            </w:r>
          </w:p>
        </w:tc>
        <w:tc>
          <w:tcPr>
            <w:tcW w:w="698" w:type="pct"/>
          </w:tcPr>
          <w:p w:rsidRPr="00AD4F6B" w:rsidR="00344182" w:rsidP="00A9363F" w:rsidRDefault="00344182" w14:paraId="3A73517D"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7 (100.0)</w:t>
            </w:r>
          </w:p>
        </w:tc>
        <w:tc>
          <w:tcPr>
            <w:tcW w:w="686" w:type="pct"/>
          </w:tcPr>
          <w:p w:rsidRPr="00AD4F6B" w:rsidR="00344182" w:rsidP="00A9363F" w:rsidRDefault="00344182" w14:paraId="7509F7C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8 (100.0)</w:t>
            </w:r>
          </w:p>
        </w:tc>
        <w:tc>
          <w:tcPr>
            <w:tcW w:w="692" w:type="pct"/>
          </w:tcPr>
          <w:p w:rsidRPr="00AD4F6B" w:rsidR="00344182" w:rsidP="00A9363F" w:rsidRDefault="00344182" w14:paraId="1A72B50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9 (100.0)</w:t>
            </w:r>
          </w:p>
        </w:tc>
        <w:tc>
          <w:tcPr>
            <w:tcW w:w="615" w:type="pct"/>
          </w:tcPr>
          <w:p w:rsidRPr="00AD4F6B" w:rsidR="00344182" w:rsidP="00A9363F" w:rsidRDefault="00344182" w14:paraId="3D97A89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24 (100.0)</w:t>
            </w:r>
          </w:p>
        </w:tc>
      </w:tr>
      <w:tr w:rsidRPr="00AD4F6B" w:rsidR="00AD4F6B" w:rsidTr="00EA35AC" w14:paraId="4EA3CC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pct"/>
          </w:tcPr>
          <w:p w:rsidRPr="00AD4F6B" w:rsidR="00344182" w:rsidP="00A9363F" w:rsidRDefault="00344182" w14:paraId="58FEF112" w14:textId="77777777">
            <w:pPr>
              <w:keepNext/>
              <w:keepLines/>
              <w:rPr>
                <w:rFonts w:ascii="Arial Narrow" w:hAnsi="Arial Narrow"/>
                <w:b w:val="0"/>
                <w:bCs w:val="0"/>
                <w:sz w:val="20"/>
                <w:szCs w:val="20"/>
              </w:rPr>
            </w:pPr>
            <w:r w:rsidRPr="00AD4F6B">
              <w:rPr>
                <w:rFonts w:ascii="Arial Narrow" w:hAnsi="Arial Narrow"/>
                <w:b w:val="0"/>
                <w:bCs w:val="0"/>
                <w:sz w:val="20"/>
                <w:szCs w:val="20"/>
              </w:rPr>
              <w:t>Any severe TEAEs</w:t>
            </w:r>
          </w:p>
        </w:tc>
        <w:tc>
          <w:tcPr>
            <w:tcW w:w="698" w:type="pct"/>
          </w:tcPr>
          <w:p w:rsidRPr="00AD4F6B" w:rsidR="00344182" w:rsidP="00A9363F" w:rsidRDefault="00344182" w14:paraId="477313D5"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1 (14.3)</w:t>
            </w:r>
          </w:p>
        </w:tc>
        <w:tc>
          <w:tcPr>
            <w:tcW w:w="686" w:type="pct"/>
          </w:tcPr>
          <w:p w:rsidRPr="00AD4F6B" w:rsidR="00344182" w:rsidP="00A9363F" w:rsidRDefault="00344182" w14:paraId="24CCB97B"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4 (50.0)</w:t>
            </w:r>
          </w:p>
        </w:tc>
        <w:tc>
          <w:tcPr>
            <w:tcW w:w="692" w:type="pct"/>
          </w:tcPr>
          <w:p w:rsidRPr="00AD4F6B" w:rsidR="00344182" w:rsidP="00A9363F" w:rsidRDefault="00344182" w14:paraId="5CF47B20"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3 (33.3)</w:t>
            </w:r>
          </w:p>
        </w:tc>
        <w:tc>
          <w:tcPr>
            <w:tcW w:w="615" w:type="pct"/>
          </w:tcPr>
          <w:p w:rsidRPr="00AD4F6B" w:rsidR="00344182" w:rsidP="00A9363F" w:rsidRDefault="00344182" w14:paraId="2A24537E"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8 (33.3)</w:t>
            </w:r>
          </w:p>
        </w:tc>
      </w:tr>
      <w:tr w:rsidRPr="00AD4F6B" w:rsidR="00AD4F6B" w:rsidTr="00EA35AC" w14:paraId="02FC5C60" w14:textId="77777777">
        <w:tc>
          <w:tcPr>
            <w:cnfStyle w:val="001000000000" w:firstRow="0" w:lastRow="0" w:firstColumn="1" w:lastColumn="0" w:oddVBand="0" w:evenVBand="0" w:oddHBand="0" w:evenHBand="0" w:firstRowFirstColumn="0" w:firstRowLastColumn="0" w:lastRowFirstColumn="0" w:lastRowLastColumn="0"/>
            <w:tcW w:w="2308" w:type="pct"/>
          </w:tcPr>
          <w:p w:rsidRPr="00AD4F6B" w:rsidR="00344182" w:rsidP="00A9363F" w:rsidRDefault="00344182" w14:paraId="7CEC58BA" w14:textId="77777777">
            <w:pPr>
              <w:keepNext/>
              <w:keepLines/>
              <w:rPr>
                <w:rFonts w:ascii="Arial Narrow" w:hAnsi="Arial Narrow"/>
                <w:b w:val="0"/>
                <w:bCs w:val="0"/>
                <w:sz w:val="20"/>
                <w:szCs w:val="20"/>
              </w:rPr>
            </w:pPr>
            <w:r w:rsidRPr="00AD4F6B">
              <w:rPr>
                <w:rFonts w:ascii="Arial Narrow" w:hAnsi="Arial Narrow"/>
                <w:b w:val="0"/>
                <w:bCs w:val="0"/>
                <w:sz w:val="20"/>
                <w:szCs w:val="20"/>
              </w:rPr>
              <w:t>Any serious TEAEs</w:t>
            </w:r>
          </w:p>
        </w:tc>
        <w:tc>
          <w:tcPr>
            <w:tcW w:w="698" w:type="pct"/>
          </w:tcPr>
          <w:p w:rsidRPr="00AD4F6B" w:rsidR="00344182" w:rsidP="00A9363F" w:rsidRDefault="00344182" w14:paraId="1214C74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3 (42.9)</w:t>
            </w:r>
          </w:p>
        </w:tc>
        <w:tc>
          <w:tcPr>
            <w:tcW w:w="686" w:type="pct"/>
          </w:tcPr>
          <w:p w:rsidRPr="00AD4F6B" w:rsidR="00344182" w:rsidP="00A9363F" w:rsidRDefault="00344182" w14:paraId="422E3521"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7 (87.5)</w:t>
            </w:r>
          </w:p>
        </w:tc>
        <w:tc>
          <w:tcPr>
            <w:tcW w:w="692" w:type="pct"/>
          </w:tcPr>
          <w:p w:rsidRPr="00AD4F6B" w:rsidR="00344182" w:rsidP="00A9363F" w:rsidRDefault="00344182" w14:paraId="01B90544"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5 (55.6)</w:t>
            </w:r>
          </w:p>
        </w:tc>
        <w:tc>
          <w:tcPr>
            <w:tcW w:w="615" w:type="pct"/>
          </w:tcPr>
          <w:p w:rsidRPr="00AD4F6B" w:rsidR="00344182" w:rsidP="00A9363F" w:rsidRDefault="00344182" w14:paraId="320B9FC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15 (62.5)</w:t>
            </w:r>
          </w:p>
        </w:tc>
      </w:tr>
      <w:tr w:rsidRPr="00AD4F6B" w:rsidR="00AD4F6B" w:rsidTr="00EA35AC" w14:paraId="727276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pct"/>
          </w:tcPr>
          <w:p w:rsidRPr="00AD4F6B" w:rsidR="00344182" w:rsidP="00A9363F" w:rsidRDefault="00344182" w14:paraId="26708E44" w14:textId="77777777">
            <w:pPr>
              <w:keepNext/>
              <w:keepLines/>
              <w:rPr>
                <w:rFonts w:ascii="Arial Narrow" w:hAnsi="Arial Narrow"/>
                <w:b w:val="0"/>
                <w:bCs w:val="0"/>
                <w:sz w:val="20"/>
                <w:szCs w:val="20"/>
              </w:rPr>
            </w:pPr>
            <w:r w:rsidRPr="00AD4F6B">
              <w:rPr>
                <w:rFonts w:ascii="Arial Narrow" w:hAnsi="Arial Narrow"/>
                <w:b w:val="0"/>
                <w:bCs w:val="0"/>
                <w:sz w:val="20"/>
                <w:szCs w:val="20"/>
              </w:rPr>
              <w:t>Serious TEAEs related to ONA</w:t>
            </w:r>
          </w:p>
        </w:tc>
        <w:tc>
          <w:tcPr>
            <w:tcW w:w="698" w:type="pct"/>
          </w:tcPr>
          <w:p w:rsidRPr="00AD4F6B" w:rsidR="00344182" w:rsidP="00A9363F" w:rsidRDefault="00344182" w14:paraId="470E93CE"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1 (14.3)</w:t>
            </w:r>
          </w:p>
        </w:tc>
        <w:tc>
          <w:tcPr>
            <w:tcW w:w="686" w:type="pct"/>
          </w:tcPr>
          <w:p w:rsidRPr="00AD4F6B" w:rsidR="00344182" w:rsidP="00A9363F" w:rsidRDefault="00344182" w14:paraId="15493329"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4 (50.0)</w:t>
            </w:r>
          </w:p>
        </w:tc>
        <w:tc>
          <w:tcPr>
            <w:tcW w:w="692" w:type="pct"/>
          </w:tcPr>
          <w:p w:rsidRPr="00AD4F6B" w:rsidR="00344182" w:rsidP="00A9363F" w:rsidRDefault="00344182" w14:paraId="343C5FE5"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 (22.2)</w:t>
            </w:r>
          </w:p>
        </w:tc>
        <w:tc>
          <w:tcPr>
            <w:tcW w:w="615" w:type="pct"/>
          </w:tcPr>
          <w:p w:rsidRPr="00AD4F6B" w:rsidR="00344182" w:rsidP="00A9363F" w:rsidRDefault="00344182" w14:paraId="0B37B048"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7 (29.2)</w:t>
            </w:r>
          </w:p>
        </w:tc>
      </w:tr>
      <w:tr w:rsidRPr="00AD4F6B" w:rsidR="00AD4F6B" w:rsidTr="00EA35AC" w14:paraId="12AFE6FF" w14:textId="77777777">
        <w:tc>
          <w:tcPr>
            <w:cnfStyle w:val="001000000000" w:firstRow="0" w:lastRow="0" w:firstColumn="1" w:lastColumn="0" w:oddVBand="0" w:evenVBand="0" w:oddHBand="0" w:evenHBand="0" w:firstRowFirstColumn="0" w:firstRowLastColumn="0" w:lastRowFirstColumn="0" w:lastRowLastColumn="0"/>
            <w:tcW w:w="2308" w:type="pct"/>
          </w:tcPr>
          <w:p w:rsidRPr="00AD4F6B" w:rsidR="00344182" w:rsidP="00A9363F" w:rsidRDefault="00344182" w14:paraId="2C4081E0" w14:textId="77777777">
            <w:pPr>
              <w:keepNext/>
              <w:keepLines/>
              <w:rPr>
                <w:rFonts w:ascii="Arial Narrow" w:hAnsi="Arial Narrow"/>
                <w:b w:val="0"/>
                <w:bCs w:val="0"/>
                <w:sz w:val="20"/>
                <w:szCs w:val="20"/>
              </w:rPr>
            </w:pPr>
            <w:r w:rsidRPr="00AD4F6B">
              <w:rPr>
                <w:rFonts w:ascii="Arial Narrow" w:hAnsi="Arial Narrow"/>
                <w:b w:val="0"/>
                <w:bCs w:val="0"/>
                <w:sz w:val="20"/>
                <w:szCs w:val="20"/>
              </w:rPr>
              <w:t>TEAEs leading to study discontinuation</w:t>
            </w:r>
          </w:p>
        </w:tc>
        <w:tc>
          <w:tcPr>
            <w:tcW w:w="698" w:type="pct"/>
          </w:tcPr>
          <w:p w:rsidRPr="00AD4F6B" w:rsidR="00344182" w:rsidP="00A9363F" w:rsidRDefault="00344182" w14:paraId="41C347E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686" w:type="pct"/>
          </w:tcPr>
          <w:p w:rsidRPr="00AD4F6B" w:rsidR="00344182" w:rsidP="00A9363F" w:rsidRDefault="00344182" w14:paraId="7BAAB82B"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692" w:type="pct"/>
          </w:tcPr>
          <w:p w:rsidRPr="00AD4F6B" w:rsidR="00344182" w:rsidP="00A9363F" w:rsidRDefault="00344182" w14:paraId="5F68337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615" w:type="pct"/>
          </w:tcPr>
          <w:p w:rsidRPr="00AD4F6B" w:rsidR="00344182" w:rsidP="00A9363F" w:rsidRDefault="00344182" w14:paraId="3B8C5BF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r>
      <w:tr w:rsidRPr="00AD4F6B" w:rsidR="00AD4F6B" w:rsidTr="00EA35AC" w14:paraId="326975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pct"/>
          </w:tcPr>
          <w:p w:rsidRPr="00AD4F6B" w:rsidR="00344182" w:rsidP="00A9363F" w:rsidRDefault="00344182" w14:paraId="013D9231" w14:textId="77777777">
            <w:pPr>
              <w:keepNext/>
              <w:keepLines/>
              <w:rPr>
                <w:rFonts w:ascii="Arial Narrow" w:hAnsi="Arial Narrow"/>
                <w:b w:val="0"/>
                <w:bCs w:val="0"/>
                <w:sz w:val="20"/>
                <w:szCs w:val="20"/>
              </w:rPr>
            </w:pPr>
            <w:r w:rsidRPr="00AD4F6B">
              <w:rPr>
                <w:rFonts w:ascii="Arial Narrow" w:hAnsi="Arial Narrow"/>
                <w:b w:val="0"/>
                <w:bCs w:val="0"/>
                <w:sz w:val="20"/>
                <w:szCs w:val="20"/>
              </w:rPr>
              <w:t>TEAEs leading to death</w:t>
            </w:r>
          </w:p>
        </w:tc>
        <w:tc>
          <w:tcPr>
            <w:tcW w:w="698" w:type="pct"/>
          </w:tcPr>
          <w:p w:rsidRPr="00AD4F6B" w:rsidR="00344182" w:rsidP="00A9363F" w:rsidRDefault="00344182" w14:paraId="321E1534"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686" w:type="pct"/>
          </w:tcPr>
          <w:p w:rsidRPr="00AD4F6B" w:rsidR="00344182" w:rsidP="00A9363F" w:rsidRDefault="00344182" w14:paraId="47203698"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692" w:type="pct"/>
          </w:tcPr>
          <w:p w:rsidRPr="00AD4F6B" w:rsidR="00344182" w:rsidP="00A9363F" w:rsidRDefault="00344182" w14:paraId="39DB4E3B"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615" w:type="pct"/>
          </w:tcPr>
          <w:p w:rsidRPr="00AD4F6B" w:rsidR="00344182" w:rsidP="00A9363F" w:rsidRDefault="00344182" w14:paraId="2D5509E6"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r>
      <w:tr w:rsidRPr="00AD4F6B" w:rsidR="00AD4F6B" w:rsidTr="00EA35AC" w14:paraId="6B4D0474" w14:textId="77777777">
        <w:tc>
          <w:tcPr>
            <w:cnfStyle w:val="001000000000" w:firstRow="0" w:lastRow="0" w:firstColumn="1" w:lastColumn="0" w:oddVBand="0" w:evenVBand="0" w:oddHBand="0" w:evenHBand="0" w:firstRowFirstColumn="0" w:firstRowLastColumn="0" w:lastRowFirstColumn="0" w:lastRowLastColumn="0"/>
            <w:tcW w:w="2308" w:type="pct"/>
          </w:tcPr>
          <w:p w:rsidRPr="00AD4F6B" w:rsidR="00344182" w:rsidP="00A9363F" w:rsidRDefault="00344182" w14:paraId="12D06B03" w14:textId="77777777">
            <w:pPr>
              <w:keepNext/>
              <w:keepLines/>
              <w:rPr>
                <w:rFonts w:ascii="Arial Narrow" w:hAnsi="Arial Narrow"/>
                <w:b w:val="0"/>
                <w:bCs w:val="0"/>
                <w:sz w:val="20"/>
                <w:szCs w:val="20"/>
              </w:rPr>
            </w:pPr>
            <w:r w:rsidRPr="00AD4F6B">
              <w:rPr>
                <w:rFonts w:ascii="Arial Narrow" w:hAnsi="Arial Narrow"/>
                <w:b w:val="0"/>
                <w:bCs w:val="0"/>
                <w:sz w:val="20"/>
                <w:szCs w:val="20"/>
              </w:rPr>
              <w:t>TEAEs of special interest</w:t>
            </w:r>
          </w:p>
        </w:tc>
        <w:tc>
          <w:tcPr>
            <w:tcW w:w="698" w:type="pct"/>
          </w:tcPr>
          <w:p w:rsidRPr="00AD4F6B" w:rsidR="00344182" w:rsidP="00A9363F" w:rsidRDefault="00344182" w14:paraId="60A6071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7 (100.0)</w:t>
            </w:r>
          </w:p>
        </w:tc>
        <w:tc>
          <w:tcPr>
            <w:tcW w:w="686" w:type="pct"/>
          </w:tcPr>
          <w:p w:rsidRPr="00AD4F6B" w:rsidR="00344182" w:rsidP="00A9363F" w:rsidRDefault="00344182" w14:paraId="5C69DAC2"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7 (87.5)</w:t>
            </w:r>
          </w:p>
        </w:tc>
        <w:tc>
          <w:tcPr>
            <w:tcW w:w="692" w:type="pct"/>
          </w:tcPr>
          <w:p w:rsidRPr="00AD4F6B" w:rsidR="00344182" w:rsidP="00A9363F" w:rsidRDefault="00344182" w14:paraId="63FA3E8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9 (100.0)</w:t>
            </w:r>
          </w:p>
        </w:tc>
        <w:tc>
          <w:tcPr>
            <w:tcW w:w="615" w:type="pct"/>
          </w:tcPr>
          <w:p w:rsidRPr="00AD4F6B" w:rsidR="00344182" w:rsidP="00A9363F" w:rsidRDefault="00344182" w14:paraId="123DE37E"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23 (95.8)</w:t>
            </w:r>
          </w:p>
        </w:tc>
      </w:tr>
    </w:tbl>
    <w:p w:rsidRPr="00AD4F6B" w:rsidR="00344182" w:rsidP="00A9363F" w:rsidRDefault="00344182" w14:paraId="04B0D260" w14:textId="77777777">
      <w:pPr>
        <w:pStyle w:val="FooterTableFigure"/>
        <w:keepNext/>
        <w:keepLines/>
      </w:pPr>
      <w:r w:rsidRPr="00AD4F6B">
        <w:t xml:space="preserve">Source: Table 2.30, p69 of the submission. </w:t>
      </w:r>
    </w:p>
    <w:p w:rsidRPr="00AD4F6B" w:rsidR="00344182" w:rsidP="00A9363F" w:rsidRDefault="00344182" w14:paraId="0E8366A6" w14:textId="77777777">
      <w:pPr>
        <w:pStyle w:val="FooterTableFigure"/>
        <w:keepNext/>
        <w:keepLines/>
        <w:spacing w:after="0"/>
      </w:pPr>
      <w:r w:rsidRPr="00AD4F6B">
        <w:t>kg= kilogram; ONA= onasemnogene abeparvovec; TEAEs= treatment-emergent adverse events</w:t>
      </w:r>
    </w:p>
    <w:p w:rsidRPr="00AD4F6B" w:rsidR="00447FB6" w:rsidP="00447FB6" w:rsidRDefault="005B3864" w14:paraId="6B4E7846" w14:textId="359A0F15">
      <w:pPr>
        <w:pStyle w:val="3-BodyText"/>
      </w:pPr>
      <w:r w:rsidRPr="00AD4F6B">
        <w:t>The most frequently reported AEs overall (&gt;20% of patients)</w:t>
      </w:r>
      <w:r w:rsidRPr="00AD4F6B" w:rsidR="00725949">
        <w:t xml:space="preserve"> in SMART</w:t>
      </w:r>
      <w:r w:rsidRPr="00AD4F6B">
        <w:t xml:space="preserve"> were vomiting (79.2%), pyrexia (41.7%), COVID-19 (37.5%), nausea and upper respiratory tract infection (33.3% each), </w:t>
      </w:r>
      <w:proofErr w:type="spellStart"/>
      <w:r w:rsidRPr="00AD4F6B">
        <w:t>hypertransaminas</w:t>
      </w:r>
      <w:r w:rsidRPr="00AD4F6B" w:rsidR="003833C7">
        <w:t>a</w:t>
      </w:r>
      <w:r w:rsidRPr="00AD4F6B">
        <w:t>emia</w:t>
      </w:r>
      <w:proofErr w:type="spellEnd"/>
      <w:r w:rsidRPr="00AD4F6B">
        <w:t xml:space="preserve">, platelet count decreased, and </w:t>
      </w:r>
      <w:r w:rsidRPr="00AD4F6B">
        <w:t>thrombocytopenia (29.2% each), transaminases increased (25.0%), and nasopharyngitis (20.8%). There were no clear differences in the type of AEs reported between the weight groups. The type of AEs reported were consistent with the known safety profile of ONA (TGA Clinical Evaluation Report, March 2025).</w:t>
      </w:r>
    </w:p>
    <w:p w:rsidRPr="00AD4F6B" w:rsidR="00447FB6" w:rsidP="00447FB6" w:rsidRDefault="00447FB6" w14:paraId="25B18F15" w14:textId="4C243FE5">
      <w:pPr>
        <w:pStyle w:val="3-BodyText"/>
      </w:pPr>
      <w:r w:rsidRPr="00AD4F6B">
        <w:t xml:space="preserve">The most frequent SAEs </w:t>
      </w:r>
      <w:r w:rsidRPr="00AD4F6B" w:rsidR="00725949">
        <w:t xml:space="preserve">in SMART </w:t>
      </w:r>
      <w:r w:rsidRPr="00AD4F6B">
        <w:t>were thrombocytopenia and vomiting (12.5% each), and COVID-19, gastroenteritis viral, and pneumonia (8.3% each). All other SAEs were reported in one patient each. The TGA Clinical Evaluation report noted there were no clear dose-trends observed for either SAEs or severe AEs.</w:t>
      </w:r>
    </w:p>
    <w:p w:rsidRPr="00AD4F6B" w:rsidR="002709FE" w:rsidP="00447FB6" w:rsidRDefault="002709FE" w14:paraId="5C3FF34E" w14:textId="184F0B72">
      <w:pPr>
        <w:pStyle w:val="3-BodyText"/>
      </w:pPr>
      <w:r w:rsidRPr="00AD4F6B">
        <w:t>The submission claimed that this suggests the increase in weight does not correlate to a higher number of AEs in ONA treated children. This claim was not adequately supported due to the lack of comparator arm, small sample size, and short study follow-up period</w:t>
      </w:r>
      <w:r w:rsidRPr="00AD4F6B" w:rsidR="00725949">
        <w:t xml:space="preserve"> of 52 weeks</w:t>
      </w:r>
      <w:r w:rsidRPr="00AD4F6B">
        <w:t xml:space="preserve">; further, </w:t>
      </w:r>
      <w:r w:rsidRPr="00AD4F6B" w:rsidR="00BD07C8">
        <w:t>AE</w:t>
      </w:r>
      <w:r w:rsidRPr="00AD4F6B" w:rsidR="00E872AF">
        <w:t>s of special interest (AE</w:t>
      </w:r>
      <w:r w:rsidRPr="00AD4F6B" w:rsidR="00BD07C8">
        <w:t>SIs</w:t>
      </w:r>
      <w:r w:rsidRPr="00AD4F6B" w:rsidR="00E872AF">
        <w:t>)</w:t>
      </w:r>
      <w:r w:rsidRPr="00AD4F6B" w:rsidR="00BD07C8">
        <w:t xml:space="preserve"> in the hepatoxicity and transient thrombocytopenia category were reported in </w:t>
      </w:r>
      <w:proofErr w:type="gramStart"/>
      <w:r w:rsidRPr="00AD4F6B" w:rsidR="00BD07C8">
        <w:t>the majority of</w:t>
      </w:r>
      <w:proofErr w:type="gramEnd"/>
      <w:r w:rsidRPr="00AD4F6B" w:rsidR="00BD07C8">
        <w:t xml:space="preserve"> patients in SMAR</w:t>
      </w:r>
      <w:r w:rsidRPr="00AD4F6B" w:rsidR="00EE15FA">
        <w:t xml:space="preserve">T. The TGA Clinical Evaluation Report also noted that compared to younger patients with SMA, older (and heavier) patients will likely experience more severe and prolonged transaminitis, as well as higher and more prolonged dosing of systemic corticosteroids (see paragraph </w:t>
      </w:r>
      <w:r w:rsidRPr="00AD4F6B" w:rsidR="00EE15FA">
        <w:fldChar w:fldCharType="begin"/>
      </w:r>
      <w:r w:rsidRPr="00AD4F6B" w:rsidR="00EE15FA">
        <w:instrText xml:space="preserve"> REF _Ref208246285 \r \h </w:instrText>
      </w:r>
      <w:r w:rsidRPr="00AD4F6B" w:rsidR="00EC06C3">
        <w:instrText xml:space="preserve"> \* MERGEFORMAT </w:instrText>
      </w:r>
      <w:r w:rsidRPr="00AD4F6B" w:rsidR="00EE15FA">
        <w:fldChar w:fldCharType="separate"/>
      </w:r>
      <w:r w:rsidR="00F0459B">
        <w:t>6.36</w:t>
      </w:r>
      <w:r w:rsidRPr="00AD4F6B" w:rsidR="00EE15FA">
        <w:fldChar w:fldCharType="end"/>
      </w:r>
      <w:r w:rsidRPr="00AD4F6B" w:rsidR="00EE15FA">
        <w:t xml:space="preserve">), which carries with it additional risks such as diabetes mellitus, that may not be sufficiently captured with the available data with limited follow-up (see paragraph </w:t>
      </w:r>
      <w:r w:rsidRPr="00AD4F6B" w:rsidR="00EE15FA">
        <w:fldChar w:fldCharType="begin"/>
      </w:r>
      <w:r w:rsidRPr="00AD4F6B" w:rsidR="00EE15FA">
        <w:instrText xml:space="preserve"> REF _Ref208000320 \r \h  \* MERGEFORMAT </w:instrText>
      </w:r>
      <w:r w:rsidRPr="00AD4F6B" w:rsidR="00EE15FA">
        <w:fldChar w:fldCharType="separate"/>
      </w:r>
      <w:r w:rsidR="00F0459B">
        <w:t>6.39</w:t>
      </w:r>
      <w:r w:rsidRPr="00AD4F6B" w:rsidR="00EE15FA">
        <w:fldChar w:fldCharType="end"/>
      </w:r>
      <w:r w:rsidRPr="00AD4F6B" w:rsidR="00EE15FA">
        <w:t>).</w:t>
      </w:r>
    </w:p>
    <w:p w:rsidRPr="00AD4F6B" w:rsidR="00F243E1" w:rsidP="00F243E1" w:rsidRDefault="00F243E1" w14:paraId="7427A039" w14:textId="7F74479F">
      <w:pPr>
        <w:pStyle w:val="3-BodyText"/>
      </w:pPr>
      <w:r w:rsidRPr="00AD4F6B">
        <w:t xml:space="preserve">An overview of treatment-emergent </w:t>
      </w:r>
      <w:r w:rsidRPr="00AD4F6B" w:rsidR="00F7632C">
        <w:t>AEs of special interest (</w:t>
      </w:r>
      <w:r w:rsidRPr="00AD4F6B">
        <w:t>AESI</w:t>
      </w:r>
      <w:r w:rsidRPr="00AD4F6B" w:rsidR="00712403">
        <w:t>s</w:t>
      </w:r>
      <w:r w:rsidRPr="00AD4F6B" w:rsidR="00F7632C">
        <w:t>)</w:t>
      </w:r>
      <w:r w:rsidRPr="00AD4F6B">
        <w:t xml:space="preserve"> by weight bracket </w:t>
      </w:r>
      <w:r w:rsidRPr="00AD4F6B" w:rsidR="00FA66E9">
        <w:t xml:space="preserve">in SMART </w:t>
      </w:r>
      <w:r w:rsidRPr="00AD4F6B">
        <w:t xml:space="preserve">is summarised in </w:t>
      </w:r>
      <w:r w:rsidRPr="00AD4F6B" w:rsidR="009756BD">
        <w:fldChar w:fldCharType="begin"/>
      </w:r>
      <w:r w:rsidRPr="00AD4F6B" w:rsidR="009756BD">
        <w:instrText xml:space="preserve"> REF _Ref207979249 \h </w:instrText>
      </w:r>
      <w:r w:rsidRPr="00AD4F6B" w:rsidR="009756BD">
        <w:fldChar w:fldCharType="separate"/>
      </w:r>
      <w:r w:rsidRPr="00AD4F6B" w:rsidR="00F0459B">
        <w:t xml:space="preserve">Table </w:t>
      </w:r>
      <w:r w:rsidR="00F0459B">
        <w:rPr>
          <w:noProof/>
        </w:rPr>
        <w:t>10</w:t>
      </w:r>
      <w:r w:rsidRPr="00AD4F6B" w:rsidR="009756BD">
        <w:fldChar w:fldCharType="end"/>
      </w:r>
      <w:r w:rsidRPr="00AD4F6B" w:rsidR="009756BD">
        <w:t xml:space="preserve">. </w:t>
      </w:r>
    </w:p>
    <w:p w:rsidRPr="00AD4F6B" w:rsidR="0014665D" w:rsidP="009756BD" w:rsidRDefault="0014665D" w14:paraId="1AC8C278" w14:textId="19813614">
      <w:pPr>
        <w:pStyle w:val="Caption"/>
      </w:pPr>
      <w:bookmarkStart w:name="_Ref207979249" w:id="39"/>
      <w:r w:rsidRPr="00AD4F6B">
        <w:t xml:space="preserve">Table </w:t>
      </w:r>
      <w:r w:rsidRPr="00AD4F6B" w:rsidR="004A4B0A">
        <w:fldChar w:fldCharType="begin"/>
      </w:r>
      <w:r w:rsidRPr="00AD4F6B" w:rsidR="004A4B0A">
        <w:instrText xml:space="preserve"> SEQ Table \* ARABIC </w:instrText>
      </w:r>
      <w:r w:rsidRPr="00AD4F6B" w:rsidR="004A4B0A">
        <w:fldChar w:fldCharType="separate"/>
      </w:r>
      <w:r w:rsidR="00F0459B">
        <w:rPr>
          <w:noProof/>
        </w:rPr>
        <w:t>10</w:t>
      </w:r>
      <w:r w:rsidRPr="00AD4F6B" w:rsidR="004A4B0A">
        <w:rPr>
          <w:noProof/>
        </w:rPr>
        <w:fldChar w:fldCharType="end"/>
      </w:r>
      <w:bookmarkEnd w:id="39"/>
      <w:r w:rsidRPr="00AD4F6B" w:rsidR="00712403">
        <w:t xml:space="preserve">: </w:t>
      </w:r>
      <w:r w:rsidRPr="00AD4F6B">
        <w:t xml:space="preserve">Overview of treatment-emergent adverse events of special interest by risk name and weight bracket (Safety Set) </w:t>
      </w:r>
    </w:p>
    <w:tbl>
      <w:tblPr>
        <w:tblStyle w:val="PlainTable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10: Overview of treatment-emergent adverse events of special interest by risk name and weight bracket (Safety Set) "/>
      </w:tblPr>
      <w:tblGrid>
        <w:gridCol w:w="3686"/>
        <w:gridCol w:w="1277"/>
        <w:gridCol w:w="1275"/>
        <w:gridCol w:w="1277"/>
        <w:gridCol w:w="1502"/>
      </w:tblGrid>
      <w:tr w:rsidRPr="00AD4F6B" w:rsidR="00AD4F6B" w:rsidTr="00EA35AC" w14:paraId="753AE9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pct"/>
          </w:tcPr>
          <w:p w:rsidRPr="00AD4F6B" w:rsidR="0014665D" w:rsidRDefault="0014665D" w14:paraId="22D93E5A" w14:textId="77777777">
            <w:pPr>
              <w:keepNext/>
              <w:keepLines/>
              <w:rPr>
                <w:rFonts w:ascii="Arial Narrow" w:hAnsi="Arial Narrow"/>
                <w:sz w:val="20"/>
                <w:szCs w:val="20"/>
              </w:rPr>
            </w:pPr>
          </w:p>
        </w:tc>
        <w:tc>
          <w:tcPr>
            <w:tcW w:w="708" w:type="pct"/>
          </w:tcPr>
          <w:p w:rsidRPr="00AD4F6B" w:rsidR="0014665D" w:rsidRDefault="0014665D" w14:paraId="0339C47D"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Subgroup 1</w:t>
            </w:r>
          </w:p>
          <w:p w:rsidRPr="00AD4F6B" w:rsidR="0014665D" w:rsidRDefault="0014665D" w14:paraId="5A338EF4"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8.5-13 kg</w:t>
            </w:r>
          </w:p>
          <w:p w:rsidRPr="00AD4F6B" w:rsidR="0014665D" w:rsidRDefault="0014665D" w14:paraId="0700128B"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N=7</w:t>
            </w:r>
          </w:p>
          <w:p w:rsidRPr="00AD4F6B" w:rsidR="0014665D" w:rsidRDefault="0014665D" w14:paraId="28D41831"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 (%)</w:t>
            </w:r>
          </w:p>
        </w:tc>
        <w:tc>
          <w:tcPr>
            <w:tcW w:w="707" w:type="pct"/>
          </w:tcPr>
          <w:p w:rsidRPr="00AD4F6B" w:rsidR="0014665D" w:rsidRDefault="0014665D" w14:paraId="6BB0E464"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Subgroup 2</w:t>
            </w:r>
          </w:p>
          <w:p w:rsidRPr="00AD4F6B" w:rsidR="0014665D" w:rsidRDefault="0014665D" w14:paraId="7C36D34D"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&gt;13-17 kg</w:t>
            </w:r>
          </w:p>
          <w:p w:rsidRPr="00AD4F6B" w:rsidR="0014665D" w:rsidRDefault="0014665D" w14:paraId="5E551E4B"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N=8</w:t>
            </w:r>
          </w:p>
          <w:p w:rsidRPr="00AD4F6B" w:rsidR="0014665D" w:rsidRDefault="0014665D" w14:paraId="0277FDB0"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 (%)</w:t>
            </w:r>
          </w:p>
        </w:tc>
        <w:tc>
          <w:tcPr>
            <w:tcW w:w="708" w:type="pct"/>
          </w:tcPr>
          <w:p w:rsidRPr="00AD4F6B" w:rsidR="0014665D" w:rsidRDefault="0014665D" w14:paraId="504C05A1"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Subgroup 3</w:t>
            </w:r>
          </w:p>
          <w:p w:rsidRPr="00AD4F6B" w:rsidR="0014665D" w:rsidRDefault="0014665D" w14:paraId="0F80D047"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&gt;17-21 kg</w:t>
            </w:r>
          </w:p>
          <w:p w:rsidRPr="00AD4F6B" w:rsidR="0014665D" w:rsidRDefault="0014665D" w14:paraId="5BC2F5A7"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N=9</w:t>
            </w:r>
          </w:p>
          <w:p w:rsidRPr="00AD4F6B" w:rsidR="0014665D" w:rsidRDefault="0014665D" w14:paraId="6156FAE8"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 (%)</w:t>
            </w:r>
          </w:p>
        </w:tc>
        <w:tc>
          <w:tcPr>
            <w:tcW w:w="834" w:type="pct"/>
          </w:tcPr>
          <w:p w:rsidRPr="00AD4F6B" w:rsidR="0014665D" w:rsidRDefault="0014665D" w14:paraId="60E47E0E"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Overall</w:t>
            </w:r>
          </w:p>
          <w:p w:rsidRPr="00AD4F6B" w:rsidR="0014665D" w:rsidRDefault="0014665D" w14:paraId="38C4CEE1"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N=24</w:t>
            </w:r>
          </w:p>
          <w:p w:rsidRPr="00AD4F6B" w:rsidR="0014665D" w:rsidRDefault="0014665D" w14:paraId="714167E0" w14:textId="77777777">
            <w:pPr>
              <w:keepNext/>
              <w:keepLines/>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n (%)</w:t>
            </w:r>
          </w:p>
        </w:tc>
      </w:tr>
      <w:tr w:rsidRPr="00AD4F6B" w:rsidR="00AD4F6B" w:rsidTr="00EA35AC" w14:paraId="19F765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pct"/>
          </w:tcPr>
          <w:p w:rsidRPr="00AD4F6B" w:rsidR="0014665D" w:rsidRDefault="0014665D" w14:paraId="702CCBC9" w14:textId="77777777">
            <w:pPr>
              <w:keepNext/>
              <w:keepLines/>
              <w:rPr>
                <w:rFonts w:ascii="Arial Narrow" w:hAnsi="Arial Narrow"/>
                <w:b w:val="0"/>
                <w:bCs w:val="0"/>
                <w:sz w:val="20"/>
                <w:szCs w:val="20"/>
              </w:rPr>
            </w:pPr>
            <w:r w:rsidRPr="00AD4F6B">
              <w:rPr>
                <w:rFonts w:ascii="Arial Narrow" w:hAnsi="Arial Narrow"/>
                <w:b w:val="0"/>
                <w:bCs w:val="0"/>
                <w:sz w:val="20"/>
                <w:szCs w:val="20"/>
              </w:rPr>
              <w:t>Hepatotoxicity</w:t>
            </w:r>
          </w:p>
        </w:tc>
        <w:tc>
          <w:tcPr>
            <w:tcW w:w="708" w:type="pct"/>
          </w:tcPr>
          <w:p w:rsidRPr="00AD4F6B" w:rsidR="0014665D" w:rsidRDefault="0014665D" w14:paraId="0192E21F"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6 (85.7)</w:t>
            </w:r>
          </w:p>
        </w:tc>
        <w:tc>
          <w:tcPr>
            <w:tcW w:w="707" w:type="pct"/>
          </w:tcPr>
          <w:p w:rsidRPr="00AD4F6B" w:rsidR="0014665D" w:rsidRDefault="0014665D" w14:paraId="7AF97BBA"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5 (62.5)</w:t>
            </w:r>
          </w:p>
        </w:tc>
        <w:tc>
          <w:tcPr>
            <w:tcW w:w="708" w:type="pct"/>
          </w:tcPr>
          <w:p w:rsidRPr="00AD4F6B" w:rsidR="0014665D" w:rsidRDefault="0014665D" w14:paraId="500C7ED0"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9 (100.0)</w:t>
            </w:r>
          </w:p>
        </w:tc>
        <w:tc>
          <w:tcPr>
            <w:tcW w:w="834" w:type="pct"/>
          </w:tcPr>
          <w:p w:rsidRPr="00AD4F6B" w:rsidR="0014665D" w:rsidRDefault="0014665D" w14:paraId="0A69DAB1"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20 (83.3)</w:t>
            </w:r>
          </w:p>
        </w:tc>
      </w:tr>
      <w:tr w:rsidRPr="00AD4F6B" w:rsidR="00AD4F6B" w:rsidTr="00EA35AC" w14:paraId="5D60722B" w14:textId="77777777">
        <w:tc>
          <w:tcPr>
            <w:cnfStyle w:val="001000000000" w:firstRow="0" w:lastRow="0" w:firstColumn="1" w:lastColumn="0" w:oddVBand="0" w:evenVBand="0" w:oddHBand="0" w:evenHBand="0" w:firstRowFirstColumn="0" w:firstRowLastColumn="0" w:lastRowFirstColumn="0" w:lastRowLastColumn="0"/>
            <w:tcW w:w="2044" w:type="pct"/>
          </w:tcPr>
          <w:p w:rsidRPr="00AD4F6B" w:rsidR="0014665D" w:rsidRDefault="0014665D" w14:paraId="4305AD71" w14:textId="77777777">
            <w:pPr>
              <w:keepNext/>
              <w:keepLines/>
              <w:rPr>
                <w:rFonts w:ascii="Arial Narrow" w:hAnsi="Arial Narrow"/>
                <w:b w:val="0"/>
                <w:bCs w:val="0"/>
                <w:sz w:val="20"/>
                <w:szCs w:val="20"/>
              </w:rPr>
            </w:pPr>
            <w:r w:rsidRPr="00AD4F6B">
              <w:rPr>
                <w:rFonts w:ascii="Arial Narrow" w:hAnsi="Arial Narrow"/>
                <w:b w:val="0"/>
                <w:bCs w:val="0"/>
                <w:sz w:val="20"/>
                <w:szCs w:val="20"/>
              </w:rPr>
              <w:t>Transient thrombocytopenia</w:t>
            </w:r>
          </w:p>
        </w:tc>
        <w:tc>
          <w:tcPr>
            <w:tcW w:w="708" w:type="pct"/>
          </w:tcPr>
          <w:p w:rsidRPr="00AD4F6B" w:rsidR="0014665D" w:rsidRDefault="0014665D" w14:paraId="4BDB95F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4 (57.1)</w:t>
            </w:r>
          </w:p>
        </w:tc>
        <w:tc>
          <w:tcPr>
            <w:tcW w:w="707" w:type="pct"/>
          </w:tcPr>
          <w:p w:rsidRPr="00AD4F6B" w:rsidR="0014665D" w:rsidRDefault="0014665D" w14:paraId="42156E10"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6 (75.0)</w:t>
            </w:r>
          </w:p>
        </w:tc>
        <w:tc>
          <w:tcPr>
            <w:tcW w:w="708" w:type="pct"/>
          </w:tcPr>
          <w:p w:rsidRPr="00AD4F6B" w:rsidR="0014665D" w:rsidRDefault="0014665D" w14:paraId="4B2C3846"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7 (77.8)</w:t>
            </w:r>
          </w:p>
        </w:tc>
        <w:tc>
          <w:tcPr>
            <w:tcW w:w="834" w:type="pct"/>
          </w:tcPr>
          <w:p w:rsidRPr="00AD4F6B" w:rsidR="0014665D" w:rsidRDefault="0014665D" w14:paraId="7A77B4C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17 (70.8)</w:t>
            </w:r>
          </w:p>
        </w:tc>
      </w:tr>
      <w:tr w:rsidRPr="00AD4F6B" w:rsidR="00AD4F6B" w:rsidTr="00EA35AC" w14:paraId="36DFD5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pct"/>
          </w:tcPr>
          <w:p w:rsidRPr="00AD4F6B" w:rsidR="0014665D" w:rsidRDefault="0014665D" w14:paraId="5808B6F5" w14:textId="77777777">
            <w:pPr>
              <w:keepNext/>
              <w:keepLines/>
              <w:rPr>
                <w:rFonts w:ascii="Arial Narrow" w:hAnsi="Arial Narrow"/>
                <w:b w:val="0"/>
                <w:bCs w:val="0"/>
                <w:sz w:val="20"/>
                <w:szCs w:val="20"/>
              </w:rPr>
            </w:pPr>
            <w:r w:rsidRPr="00AD4F6B">
              <w:rPr>
                <w:rFonts w:ascii="Arial Narrow" w:hAnsi="Arial Narrow"/>
                <w:b w:val="0"/>
                <w:bCs w:val="0"/>
                <w:sz w:val="20"/>
                <w:szCs w:val="20"/>
              </w:rPr>
              <w:t>Cardiac adverse events</w:t>
            </w:r>
          </w:p>
        </w:tc>
        <w:tc>
          <w:tcPr>
            <w:tcW w:w="708" w:type="pct"/>
          </w:tcPr>
          <w:p w:rsidRPr="00AD4F6B" w:rsidR="0014665D" w:rsidRDefault="0014665D" w14:paraId="615FBEF3"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707" w:type="pct"/>
          </w:tcPr>
          <w:p w:rsidRPr="00AD4F6B" w:rsidR="0014665D" w:rsidRDefault="0014665D" w14:paraId="312D6A56"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2 (25.0)</w:t>
            </w:r>
          </w:p>
        </w:tc>
        <w:tc>
          <w:tcPr>
            <w:tcW w:w="708" w:type="pct"/>
          </w:tcPr>
          <w:p w:rsidRPr="00AD4F6B" w:rsidR="0014665D" w:rsidRDefault="0014665D" w14:paraId="36553AF6"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1 (11.1)</w:t>
            </w:r>
          </w:p>
        </w:tc>
        <w:tc>
          <w:tcPr>
            <w:tcW w:w="834" w:type="pct"/>
          </w:tcPr>
          <w:p w:rsidRPr="00AD4F6B" w:rsidR="0014665D" w:rsidRDefault="0014665D" w14:paraId="7EC3C169"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3 (12.5)</w:t>
            </w:r>
          </w:p>
        </w:tc>
      </w:tr>
      <w:tr w:rsidRPr="00AD4F6B" w:rsidR="00AD4F6B" w:rsidTr="00EA35AC" w14:paraId="55054F90" w14:textId="77777777">
        <w:tc>
          <w:tcPr>
            <w:cnfStyle w:val="001000000000" w:firstRow="0" w:lastRow="0" w:firstColumn="1" w:lastColumn="0" w:oddVBand="0" w:evenVBand="0" w:oddHBand="0" w:evenHBand="0" w:firstRowFirstColumn="0" w:firstRowLastColumn="0" w:lastRowFirstColumn="0" w:lastRowLastColumn="0"/>
            <w:tcW w:w="2044" w:type="pct"/>
          </w:tcPr>
          <w:p w:rsidRPr="00AD4F6B" w:rsidR="0014665D" w:rsidRDefault="0014665D" w14:paraId="4409A402" w14:textId="77777777">
            <w:pPr>
              <w:keepNext/>
              <w:keepLines/>
              <w:rPr>
                <w:rFonts w:ascii="Arial Narrow" w:hAnsi="Arial Narrow"/>
                <w:b w:val="0"/>
                <w:bCs w:val="0"/>
                <w:sz w:val="20"/>
                <w:szCs w:val="20"/>
              </w:rPr>
            </w:pPr>
            <w:r w:rsidRPr="00AD4F6B">
              <w:rPr>
                <w:rFonts w:ascii="Arial Narrow" w:hAnsi="Arial Narrow"/>
                <w:b w:val="0"/>
                <w:bCs w:val="0"/>
                <w:sz w:val="20"/>
                <w:szCs w:val="20"/>
              </w:rPr>
              <w:t>Thrombotic microangiopathy</w:t>
            </w:r>
          </w:p>
        </w:tc>
        <w:tc>
          <w:tcPr>
            <w:tcW w:w="708" w:type="pct"/>
          </w:tcPr>
          <w:p w:rsidRPr="00AD4F6B" w:rsidR="0014665D" w:rsidRDefault="0014665D" w14:paraId="40E5BC4A"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707" w:type="pct"/>
          </w:tcPr>
          <w:p w:rsidRPr="00AD4F6B" w:rsidR="0014665D" w:rsidRDefault="0014665D" w14:paraId="48753B5F"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708" w:type="pct"/>
          </w:tcPr>
          <w:p w:rsidRPr="00AD4F6B" w:rsidR="0014665D" w:rsidRDefault="0014665D" w14:paraId="54739935"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834" w:type="pct"/>
          </w:tcPr>
          <w:p w:rsidRPr="00AD4F6B" w:rsidR="0014665D" w:rsidRDefault="0014665D" w14:paraId="71C95D18" w14:textId="77777777">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r>
      <w:tr w:rsidRPr="00AD4F6B" w:rsidR="00AD4F6B" w:rsidTr="00EA35AC" w14:paraId="0E75F8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4" w:type="pct"/>
          </w:tcPr>
          <w:p w:rsidRPr="00AD4F6B" w:rsidR="0014665D" w:rsidRDefault="0014665D" w14:paraId="47CA2C3E" w14:textId="77777777">
            <w:pPr>
              <w:keepNext/>
              <w:keepLines/>
              <w:rPr>
                <w:rFonts w:ascii="Arial Narrow" w:hAnsi="Arial Narrow"/>
                <w:b w:val="0"/>
                <w:bCs w:val="0"/>
                <w:sz w:val="20"/>
                <w:szCs w:val="20"/>
              </w:rPr>
            </w:pPr>
            <w:r w:rsidRPr="00AD4F6B">
              <w:rPr>
                <w:rFonts w:ascii="Arial Narrow" w:hAnsi="Arial Narrow"/>
                <w:b w:val="0"/>
                <w:bCs w:val="0"/>
                <w:sz w:val="20"/>
                <w:szCs w:val="20"/>
              </w:rPr>
              <w:t>Dorsal root ganglion cell inflammation</w:t>
            </w:r>
          </w:p>
        </w:tc>
        <w:tc>
          <w:tcPr>
            <w:tcW w:w="708" w:type="pct"/>
          </w:tcPr>
          <w:p w:rsidRPr="00AD4F6B" w:rsidR="0014665D" w:rsidRDefault="0014665D" w14:paraId="321013B3"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707" w:type="pct"/>
          </w:tcPr>
          <w:p w:rsidRPr="00AD4F6B" w:rsidR="0014665D" w:rsidRDefault="0014665D" w14:paraId="2DD09751"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708" w:type="pct"/>
          </w:tcPr>
          <w:p w:rsidRPr="00AD4F6B" w:rsidR="0014665D" w:rsidRDefault="0014665D" w14:paraId="3649B75F"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c>
          <w:tcPr>
            <w:tcW w:w="834" w:type="pct"/>
          </w:tcPr>
          <w:p w:rsidRPr="00AD4F6B" w:rsidR="0014665D" w:rsidRDefault="0014665D" w14:paraId="450C9326" w14:textId="77777777">
            <w:pPr>
              <w:keepNext/>
              <w:keepLines/>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D4F6B">
              <w:rPr>
                <w:rFonts w:ascii="Arial Narrow" w:hAnsi="Arial Narrow"/>
                <w:sz w:val="20"/>
                <w:szCs w:val="20"/>
              </w:rPr>
              <w:t>0</w:t>
            </w:r>
          </w:p>
        </w:tc>
      </w:tr>
    </w:tbl>
    <w:p w:rsidRPr="00AD4F6B" w:rsidR="0014665D" w:rsidP="0014665D" w:rsidRDefault="0014665D" w14:paraId="5EC20BEA" w14:textId="77777777">
      <w:pPr>
        <w:pStyle w:val="TableFooter"/>
        <w:keepNext/>
        <w:keepLines/>
      </w:pPr>
      <w:r w:rsidRPr="00AD4F6B">
        <w:t xml:space="preserve">Source: Table 2.33, p73 of the submission. </w:t>
      </w:r>
    </w:p>
    <w:p w:rsidRPr="00AD4F6B" w:rsidR="00C40A42" w:rsidP="00F05564" w:rsidRDefault="0014665D" w14:paraId="00DFF9C3" w14:textId="4FC0155A">
      <w:pPr>
        <w:pStyle w:val="TableFooter"/>
        <w:keepNext/>
        <w:keepLines/>
      </w:pPr>
      <w:r w:rsidRPr="00AD4F6B">
        <w:t>kg= kilogram</w:t>
      </w:r>
    </w:p>
    <w:p w:rsidRPr="00AD4F6B" w:rsidR="00EC03CC" w:rsidP="00EC03CC" w:rsidRDefault="00AB314C" w14:paraId="0BC1EDF7" w14:textId="0E86B8CA">
      <w:pPr>
        <w:pStyle w:val="3-BodyText"/>
      </w:pPr>
      <w:r w:rsidRPr="00AD4F6B">
        <w:t>AESI</w:t>
      </w:r>
      <w:r w:rsidRPr="00AD4F6B" w:rsidR="005B0F59">
        <w:t>s</w:t>
      </w:r>
      <w:r w:rsidRPr="00AD4F6B">
        <w:t xml:space="preserve"> in the hepatotoxicity category were reported in 83.3% (20/24) of patients</w:t>
      </w:r>
      <w:r w:rsidRPr="00AD4F6B" w:rsidR="00FA66E9">
        <w:t xml:space="preserve"> in SMART</w:t>
      </w:r>
      <w:r w:rsidRPr="00AD4F6B">
        <w:t xml:space="preserve">; most frequently reported preferred terms were </w:t>
      </w:r>
      <w:proofErr w:type="spellStart"/>
      <w:r w:rsidRPr="00AD4F6B">
        <w:t>hypertransaminas</w:t>
      </w:r>
      <w:r w:rsidRPr="00AD4F6B" w:rsidR="003833C7">
        <w:t>a</w:t>
      </w:r>
      <w:r w:rsidRPr="00AD4F6B">
        <w:t>emia</w:t>
      </w:r>
      <w:proofErr w:type="spellEnd"/>
      <w:r w:rsidRPr="00AD4F6B">
        <w:t xml:space="preserve"> and transaminases increased. All events were asymptomatic, and there were no cases of acute liver failure. </w:t>
      </w:r>
      <w:r w:rsidRPr="00AD4F6B" w:rsidR="004E3DFC">
        <w:t>Many patients had prolonged elevations in alanine aminotransferase (ALT)/aspartate aminotransferase (AST) post dosing.</w:t>
      </w:r>
      <w:r w:rsidRPr="00AD4F6B" w:rsidR="004E3DFC">
        <w:rPr>
          <w:i/>
          <w:iCs/>
        </w:rPr>
        <w:t xml:space="preserve"> </w:t>
      </w:r>
      <w:r w:rsidRPr="00AD4F6B">
        <w:t>It was noted the current Product Information (p1) includes a boxed warning for hepatoxicity.</w:t>
      </w:r>
    </w:p>
    <w:p w:rsidRPr="00AD4F6B" w:rsidR="00EC03CC" w:rsidP="00EC03CC" w:rsidRDefault="00D36321" w14:paraId="1197FC57" w14:textId="29F65098">
      <w:pPr>
        <w:pStyle w:val="3-BodyText"/>
      </w:pPr>
      <w:bookmarkStart w:name="_Ref208246285" w:id="40"/>
      <w:r w:rsidRPr="00AD4F6B">
        <w:t>H</w:t>
      </w:r>
      <w:r w:rsidRPr="00AD4F6B" w:rsidR="00EC03CC">
        <w:t xml:space="preserve">epatotoxicity events were managed by use of prednisolone (or equivalent), which was given prophylactically from Day -1. The mean total number of days of prednisolone administration </w:t>
      </w:r>
      <w:r w:rsidRPr="00AD4F6B" w:rsidR="00CA72F0">
        <w:t xml:space="preserve">in SMART </w:t>
      </w:r>
      <w:r w:rsidRPr="00AD4F6B" w:rsidR="00EC03CC">
        <w:t xml:space="preserve">was 218 (range: 80 - 444 days). </w:t>
      </w:r>
      <w:r w:rsidRPr="00AD4F6B" w:rsidR="009940E2">
        <w:t>By the end of the study (Week 52), six patients (25.0%) were still receiving prednisolone.</w:t>
      </w:r>
      <w:r w:rsidRPr="00AD4F6B" w:rsidR="00694F12">
        <w:t xml:space="preserve"> </w:t>
      </w:r>
      <w:r w:rsidRPr="00AD4F6B" w:rsidR="00EC03CC">
        <w:t xml:space="preserve">21 patients (87.5%) received a daily dose that was above 1 mg/kg prednisolone (or equivalent) at </w:t>
      </w:r>
      <w:r w:rsidRPr="00AD4F6B" w:rsidR="00EC03CC">
        <w:t>least once during the study, and nine patients (37.5%) received a daily dose that was above 2 mg/kg. These higher doses of prednisolone, and the longer duration of prednisolone administration compared to the protocol guidance, were based on Investigator’s judgment (more than half of all patients had ALT &gt;10x</w:t>
      </w:r>
      <w:r w:rsidRPr="00AD4F6B" w:rsidR="00E16F73">
        <w:t xml:space="preserve"> the upper limit of normal</w:t>
      </w:r>
      <w:r w:rsidRPr="00AD4F6B" w:rsidR="008D6AA0">
        <w:t xml:space="preserve"> (ULN)</w:t>
      </w:r>
      <w:r w:rsidRPr="00AD4F6B" w:rsidR="00EC03CC">
        <w:t>).</w:t>
      </w:r>
      <w:bookmarkEnd w:id="40"/>
      <w:r w:rsidRPr="00AD4F6B" w:rsidR="00EC03CC">
        <w:t xml:space="preserve"> </w:t>
      </w:r>
      <w:r w:rsidRPr="00AD4F6B" w:rsidR="00C05888">
        <w:t xml:space="preserve">The PBAC noted that input from clinicians suggested that in Australian practice patients are likely to be treated with </w:t>
      </w:r>
      <w:r w:rsidRPr="00AD4F6B" w:rsidR="00823423">
        <w:t>prednisolone for a shorter duration</w:t>
      </w:r>
      <w:r w:rsidRPr="00AD4F6B" w:rsidR="004A3D28">
        <w:t xml:space="preserve"> and </w:t>
      </w:r>
      <w:r w:rsidRPr="00AD4F6B" w:rsidR="00F831E7">
        <w:t xml:space="preserve">at a </w:t>
      </w:r>
      <w:r w:rsidRPr="00AD4F6B" w:rsidR="004A3D28">
        <w:t>lower dose than was used in the trials</w:t>
      </w:r>
      <w:r w:rsidRPr="00AD4F6B" w:rsidR="00F831E7">
        <w:t xml:space="preserve">, which may reduce the impact of AEs related to </w:t>
      </w:r>
      <w:r w:rsidRPr="00AD4F6B" w:rsidR="008505FE">
        <w:t>prolonged corticosteroid use</w:t>
      </w:r>
      <w:r w:rsidRPr="00AD4F6B" w:rsidR="004A3D28">
        <w:t xml:space="preserve">. </w:t>
      </w:r>
      <w:r w:rsidRPr="00AD4F6B" w:rsidR="00823423">
        <w:t xml:space="preserve"> </w:t>
      </w:r>
    </w:p>
    <w:p w:rsidRPr="00AD4F6B" w:rsidR="00A31B53" w:rsidP="00A31B53" w:rsidRDefault="00EC03CC" w14:paraId="4C3080AD" w14:textId="02EC3DC5">
      <w:pPr>
        <w:pStyle w:val="3-BodyText"/>
      </w:pPr>
      <w:r w:rsidRPr="00AD4F6B">
        <w:t>The submission claimed that because subgroup 2 spent the highest number of days receiving prophylactic prednisolone and had the highest mean total cumulative dose of prophylactic prednisolone, these indicated that increased weight does not correspond to increased prednisolone exposure. This was in direct contradiction to the findings from the TGA (TGA Clinical Evaluation Report) and Periodic Safety Update Report (PSUR; p5140)</w:t>
      </w:r>
      <w:r w:rsidRPr="00AD4F6B" w:rsidR="00C747C9">
        <w:t>; see paragraph</w:t>
      </w:r>
      <w:r w:rsidRPr="00AD4F6B" w:rsidR="00FB4D74">
        <w:t xml:space="preserve"> </w:t>
      </w:r>
      <w:r w:rsidRPr="00AD4F6B" w:rsidR="00C747C9">
        <w:fldChar w:fldCharType="begin"/>
      </w:r>
      <w:r w:rsidRPr="00AD4F6B" w:rsidR="00C747C9">
        <w:instrText xml:space="preserve"> REF _Ref208000320 \r \h </w:instrText>
      </w:r>
      <w:r w:rsidRPr="00AD4F6B" w:rsidR="00EC06C3">
        <w:instrText xml:space="preserve"> \* MERGEFORMAT </w:instrText>
      </w:r>
      <w:r w:rsidRPr="00AD4F6B" w:rsidR="00C747C9">
        <w:fldChar w:fldCharType="separate"/>
      </w:r>
      <w:r w:rsidR="00F0459B">
        <w:t>6.39</w:t>
      </w:r>
      <w:r w:rsidRPr="00AD4F6B" w:rsidR="00C747C9">
        <w:fldChar w:fldCharType="end"/>
      </w:r>
      <w:r w:rsidRPr="00AD4F6B">
        <w:t>. Moreover, given the small number of patients and misclassification of patients in subgroup 1 and 2</w:t>
      </w:r>
      <w:r w:rsidRPr="00AD4F6B" w:rsidR="00F336E6">
        <w:t xml:space="preserve"> (see paragraph </w:t>
      </w:r>
      <w:r w:rsidRPr="00AD4F6B" w:rsidR="00F336E6">
        <w:fldChar w:fldCharType="begin"/>
      </w:r>
      <w:r w:rsidRPr="00AD4F6B" w:rsidR="00F336E6">
        <w:instrText xml:space="preserve"> REF _Ref208246338 \r \h </w:instrText>
      </w:r>
      <w:r w:rsidRPr="00AD4F6B" w:rsidR="00EC06C3">
        <w:instrText xml:space="preserve"> \* MERGEFORMAT </w:instrText>
      </w:r>
      <w:r w:rsidRPr="00AD4F6B" w:rsidR="00F336E6">
        <w:fldChar w:fldCharType="separate"/>
      </w:r>
      <w:r w:rsidR="00F0459B">
        <w:t>6.22</w:t>
      </w:r>
      <w:r w:rsidRPr="00AD4F6B" w:rsidR="00F336E6">
        <w:fldChar w:fldCharType="end"/>
      </w:r>
      <w:r w:rsidRPr="00AD4F6B" w:rsidR="00F336E6">
        <w:t>)</w:t>
      </w:r>
      <w:r w:rsidRPr="00AD4F6B">
        <w:t xml:space="preserve">, any claims based on comparing the subgroups </w:t>
      </w:r>
      <w:r w:rsidRPr="00AD4F6B" w:rsidR="00BA47FE">
        <w:t xml:space="preserve">were </w:t>
      </w:r>
      <w:r w:rsidRPr="00AD4F6B">
        <w:t xml:space="preserve">highly uncertain and may not be reliable. </w:t>
      </w:r>
    </w:p>
    <w:p w:rsidRPr="00AD4F6B" w:rsidR="00741AF7" w:rsidP="00741AF7" w:rsidRDefault="00A31B53" w14:paraId="0D8C7F38" w14:textId="77777777">
      <w:pPr>
        <w:pStyle w:val="3-BodyText"/>
      </w:pPr>
      <w:r w:rsidRPr="00AD4F6B">
        <w:t>AESIs in the transient thrombocytopenia category were reported in 70.8% (17/24) of patients; the most frequent preferred terms were platelet count decreased and thrombocytopenia. Events that were considered related to study treatment by the investigator were reported in 58.3% (14/24) of patients (the preferred terms were thrombocytopenia, platelet count decreased, and platelet count abnormal).</w:t>
      </w:r>
    </w:p>
    <w:p w:rsidRPr="00AD4F6B" w:rsidR="009E3A23" w:rsidP="00741AF7" w:rsidRDefault="0008639C" w14:paraId="70AABD7B" w14:textId="514D7D2F">
      <w:pPr>
        <w:pStyle w:val="3-BodyText"/>
      </w:pPr>
      <w:bookmarkStart w:name="_Ref208000320" w:id="41"/>
      <w:r w:rsidRPr="00AD4F6B">
        <w:rPr>
          <w:iCs/>
        </w:rPr>
        <w:t xml:space="preserve">The submission provided an updated PSUR for ONA which covered the reporting interval from 24 May 2023 to 23 May 2024. </w:t>
      </w:r>
      <w:r w:rsidRPr="00AD4F6B">
        <w:t>The PSUR found that the overall benefit-risk profile of ONA remains favourable</w:t>
      </w:r>
      <w:r w:rsidRPr="00AD4F6B" w:rsidR="002C6B92">
        <w:t xml:space="preserve">. </w:t>
      </w:r>
      <w:r w:rsidRPr="00AD4F6B" w:rsidR="004C65A8">
        <w:t>Notably</w:t>
      </w:r>
      <w:r w:rsidRPr="00AD4F6B" w:rsidR="002C6B92">
        <w:t>,</w:t>
      </w:r>
      <w:r w:rsidRPr="00AD4F6B" w:rsidR="00035510">
        <w:t xml:space="preserve"> </w:t>
      </w:r>
      <w:r w:rsidRPr="00AD4F6B" w:rsidR="006F5CA6">
        <w:t xml:space="preserve">there were </w:t>
      </w:r>
      <w:r w:rsidRPr="00AD4F6B" w:rsidR="00A271A2">
        <w:t>signals related to “higher frequency of aminotransaminase elevations and platelet count decreases”</w:t>
      </w:r>
      <w:r w:rsidRPr="00AD4F6B" w:rsidR="003018D3">
        <w:t>– these</w:t>
      </w:r>
      <w:r w:rsidRPr="00AD4F6B" w:rsidR="006F5CA6">
        <w:t xml:space="preserve"> were based on the safety findings from </w:t>
      </w:r>
      <w:r w:rsidRPr="00AD4F6B" w:rsidR="00EA5086">
        <w:t xml:space="preserve">the </w:t>
      </w:r>
      <w:r w:rsidRPr="00AD4F6B" w:rsidR="006F5CA6">
        <w:t xml:space="preserve">SMART </w:t>
      </w:r>
      <w:r w:rsidRPr="00AD4F6B" w:rsidR="00DA158A">
        <w:t>study and</w:t>
      </w:r>
      <w:r w:rsidRPr="00AD4F6B" w:rsidR="006F5CA6">
        <w:t xml:space="preserve"> reflected the new aspects of known identified risks of hepatotoxicity and thrombocytopenia associated with ONA (p45 of the PSUR)</w:t>
      </w:r>
      <w:r w:rsidRPr="00AD4F6B" w:rsidR="00D21B81">
        <w:t>.</w:t>
      </w:r>
      <w:r w:rsidRPr="00AD4F6B" w:rsidR="00D21B81">
        <w:rPr>
          <w:i/>
          <w:iCs/>
        </w:rPr>
        <w:t xml:space="preserve"> </w:t>
      </w:r>
      <w:r w:rsidRPr="00AD4F6B" w:rsidR="00D21B81">
        <w:t>T</w:t>
      </w:r>
      <w:r w:rsidRPr="00AD4F6B" w:rsidR="00035510">
        <w:t xml:space="preserve">he </w:t>
      </w:r>
      <w:r w:rsidRPr="00AD4F6B" w:rsidR="000F790B">
        <w:t>core data sheet (</w:t>
      </w:r>
      <w:r w:rsidRPr="00AD4F6B" w:rsidR="009E3A23">
        <w:t>CDS</w:t>
      </w:r>
      <w:r w:rsidRPr="00AD4F6B" w:rsidR="000F790B">
        <w:t>)</w:t>
      </w:r>
      <w:r w:rsidRPr="00AD4F6B" w:rsidR="009E3A23">
        <w:t xml:space="preserve"> was updated to reflect </w:t>
      </w:r>
      <w:r w:rsidRPr="00AD4F6B" w:rsidR="00322B5A">
        <w:t xml:space="preserve">the </w:t>
      </w:r>
      <w:r w:rsidRPr="00AD4F6B" w:rsidR="009E3A23">
        <w:t>key safety findings from the SMART study:</w:t>
      </w:r>
      <w:bookmarkEnd w:id="41"/>
    </w:p>
    <w:p w:rsidRPr="00AD4F6B" w:rsidR="001A1520" w:rsidP="00DF6232" w:rsidRDefault="009E3A23" w14:paraId="6B1BEF57" w14:textId="77777777">
      <w:pPr>
        <w:pStyle w:val="3-BodyText"/>
        <w:numPr>
          <w:ilvl w:val="0"/>
          <w:numId w:val="6"/>
        </w:numPr>
        <w:spacing w:before="0" w:after="120"/>
        <w:ind w:left="1080"/>
      </w:pPr>
      <w:r w:rsidRPr="00AD4F6B">
        <w:t>Hepatoxicity: The incidence of hepatoxicity was reported in 83.3% patients in SMART, compared to 35.4% patients in five earlier clinical studies (SPR1NT, START, STR1VE-US, STR1VE-EU and STR1VE-AP</w:t>
      </w:r>
      <w:r w:rsidRPr="00AD4F6B">
        <w:rPr>
          <w:rStyle w:val="FootnoteReference"/>
        </w:rPr>
        <w:footnoteReference w:id="7"/>
      </w:r>
      <w:r w:rsidRPr="00AD4F6B">
        <w:t>). Elevations in ALT values were &gt;3xULN in 87.5%, 10xULN in 58.3%, and &gt;20xULN in 20.8% of patients in SMART, compared to &gt;3xULN in 19.2%, &gt;10xULN in 4.0%, and &gt;20xULN in 4.0% of patients in the earlier clinical studies (p5139 of the PSUR</w:t>
      </w:r>
      <w:proofErr w:type="gramStart"/>
      <w:r w:rsidRPr="00AD4F6B">
        <w:t>);</w:t>
      </w:r>
      <w:proofErr w:type="gramEnd"/>
    </w:p>
    <w:p w:rsidRPr="00AD4F6B" w:rsidR="009E3A23" w:rsidP="00DF6232" w:rsidRDefault="009E3A23" w14:paraId="2496C775" w14:textId="57F84094">
      <w:pPr>
        <w:pStyle w:val="3-BodyText"/>
        <w:numPr>
          <w:ilvl w:val="0"/>
          <w:numId w:val="6"/>
        </w:numPr>
        <w:spacing w:before="0" w:after="120"/>
        <w:ind w:left="1080"/>
      </w:pPr>
      <w:r w:rsidRPr="00AD4F6B">
        <w:t xml:space="preserve">Transient thrombocytopenia: Incidence of thrombocytopenia was reported in 70.8% of patients in SMART and 87.5% of patients had a platelet count value below </w:t>
      </w:r>
      <w:r w:rsidRPr="00AD4F6B" w:rsidR="00940BEF">
        <w:t>lower limit of normal (</w:t>
      </w:r>
      <w:r w:rsidRPr="00AD4F6B">
        <w:t>LLN</w:t>
      </w:r>
      <w:r w:rsidRPr="00AD4F6B" w:rsidR="00940BEF">
        <w:t>)</w:t>
      </w:r>
      <w:r w:rsidRPr="00AD4F6B">
        <w:t>. Comparatively, the incidence of thrombocytopenia was 22.2% in the five earlier clinical studies, and platelet count values below 75x109/L (i.e. the laboratory criteria for thrombocytopenia) were observed in 5.1% of patients (p5140 of the PSUR)</w:t>
      </w:r>
      <w:r w:rsidRPr="00AD4F6B" w:rsidR="002C6B92">
        <w:t>.</w:t>
      </w:r>
    </w:p>
    <w:p w:rsidRPr="00AD4F6B" w:rsidR="00525ACE" w:rsidP="00E171B6" w:rsidRDefault="00135F28" w14:paraId="49B84387" w14:textId="65DB67D7">
      <w:pPr>
        <w:pStyle w:val="3-BodyText"/>
      </w:pPr>
      <w:bookmarkStart w:name="_Ref211859776" w:id="42"/>
      <w:r w:rsidRPr="00AD4F6B">
        <w:t>T</w:t>
      </w:r>
      <w:r w:rsidRPr="00AD4F6B" w:rsidR="00E171B6">
        <w:t xml:space="preserve">he TGA evaluator </w:t>
      </w:r>
      <w:r w:rsidRPr="00AD4F6B" w:rsidR="005A51D0">
        <w:t xml:space="preserve">noted that </w:t>
      </w:r>
      <w:r w:rsidRPr="00AD4F6B" w:rsidR="00E201AE">
        <w:t>in heavier patients treated with ONA</w:t>
      </w:r>
      <w:r w:rsidRPr="00AD4F6B" w:rsidR="00525ACE">
        <w:t>:</w:t>
      </w:r>
      <w:bookmarkEnd w:id="42"/>
    </w:p>
    <w:p w:rsidRPr="00AD4F6B" w:rsidR="00D7543C" w:rsidP="00A843C8" w:rsidRDefault="00D7543C" w14:paraId="430E3FB4" w14:textId="77777777">
      <w:pPr>
        <w:pStyle w:val="Bulletpoints"/>
        <w:ind w:left="1080"/>
        <w:contextualSpacing w:val="0"/>
        <w:jc w:val="both"/>
      </w:pPr>
      <w:r w:rsidRPr="00AD4F6B">
        <w:rPr>
          <w:rFonts w:eastAsiaTheme="minorHAnsi" w:cstheme="minorBidi"/>
          <w:snapToGrid/>
          <w:szCs w:val="22"/>
        </w:rPr>
        <w:t>T</w:t>
      </w:r>
      <w:r w:rsidRPr="00AD4F6B" w:rsidR="00E201AE">
        <w:rPr>
          <w:rFonts w:eastAsiaTheme="minorHAnsi" w:cstheme="minorBidi"/>
          <w:snapToGrid/>
          <w:szCs w:val="22"/>
        </w:rPr>
        <w:t>here was a second peak in AST and/or ALT 4 to 6 weeks post-infusion</w:t>
      </w:r>
      <w:r w:rsidRPr="00AD4F6B" w:rsidR="006E45EE">
        <w:rPr>
          <w:rFonts w:eastAsiaTheme="minorHAnsi" w:cstheme="minorBidi"/>
          <w:snapToGrid/>
          <w:szCs w:val="22"/>
        </w:rPr>
        <w:t xml:space="preserve"> with ONA</w:t>
      </w:r>
      <w:r w:rsidRPr="00AD4F6B">
        <w:rPr>
          <w:rFonts w:eastAsiaTheme="minorHAnsi" w:cstheme="minorBidi"/>
          <w:snapToGrid/>
          <w:szCs w:val="22"/>
        </w:rPr>
        <w:t>.</w:t>
      </w:r>
    </w:p>
    <w:p w:rsidRPr="00AD4F6B" w:rsidR="00D7543C" w:rsidP="00A843C8" w:rsidRDefault="00D7543C" w14:paraId="34F08781" w14:textId="77777777">
      <w:pPr>
        <w:pStyle w:val="Bulletpoints"/>
        <w:ind w:left="1080"/>
        <w:contextualSpacing w:val="0"/>
        <w:jc w:val="both"/>
      </w:pPr>
      <w:r w:rsidRPr="00AD4F6B">
        <w:rPr>
          <w:rFonts w:eastAsiaTheme="minorHAnsi" w:cstheme="minorBidi"/>
          <w:snapToGrid/>
          <w:szCs w:val="22"/>
        </w:rPr>
        <w:t>I</w:t>
      </w:r>
      <w:r w:rsidRPr="00AD4F6B" w:rsidR="006E45EE">
        <w:rPr>
          <w:rFonts w:eastAsiaTheme="minorHAnsi" w:cstheme="minorBidi"/>
          <w:snapToGrid/>
          <w:szCs w:val="22"/>
        </w:rPr>
        <w:t>ncidence of transaminitis was correlated with both age and weight</w:t>
      </w:r>
      <w:r w:rsidRPr="00AD4F6B">
        <w:rPr>
          <w:rFonts w:eastAsiaTheme="minorHAnsi" w:cstheme="minorBidi"/>
          <w:snapToGrid/>
          <w:szCs w:val="22"/>
        </w:rPr>
        <w:t xml:space="preserve">. </w:t>
      </w:r>
    </w:p>
    <w:p w:rsidRPr="00AD4F6B" w:rsidR="00D7543C" w:rsidP="00A843C8" w:rsidRDefault="00D7543C" w14:paraId="46ACC1B4" w14:textId="77777777">
      <w:pPr>
        <w:pStyle w:val="Bulletpoints"/>
        <w:ind w:left="1080"/>
        <w:contextualSpacing w:val="0"/>
        <w:jc w:val="both"/>
      </w:pPr>
      <w:r w:rsidRPr="00AD4F6B">
        <w:rPr>
          <w:rFonts w:eastAsiaTheme="minorHAnsi" w:cstheme="minorBidi"/>
          <w:snapToGrid/>
          <w:szCs w:val="22"/>
        </w:rPr>
        <w:t>H</w:t>
      </w:r>
      <w:r w:rsidRPr="00AD4F6B" w:rsidR="009A20AD">
        <w:rPr>
          <w:rFonts w:eastAsiaTheme="minorHAnsi" w:cstheme="minorBidi"/>
          <w:snapToGrid/>
          <w:szCs w:val="22"/>
        </w:rPr>
        <w:t xml:space="preserve">igher doses of systemic corticosteroids are required; and for longer, based on age and weight. </w:t>
      </w:r>
    </w:p>
    <w:p w:rsidRPr="00AD4F6B" w:rsidR="00E171B6" w:rsidP="00BF191C" w:rsidRDefault="009A20AD" w14:paraId="663675F3" w14:textId="5290B9D7">
      <w:pPr>
        <w:pStyle w:val="Bulletpoints"/>
        <w:numPr>
          <w:ilvl w:val="0"/>
          <w:numId w:val="0"/>
        </w:numPr>
        <w:ind w:left="720"/>
        <w:jc w:val="both"/>
      </w:pPr>
      <w:r w:rsidRPr="00AD4F6B">
        <w:rPr>
          <w:rFonts w:eastAsiaTheme="minorHAnsi" w:cstheme="minorBidi"/>
          <w:snapToGrid/>
          <w:szCs w:val="22"/>
        </w:rPr>
        <w:t xml:space="preserve">The TGA evaluator </w:t>
      </w:r>
      <w:r w:rsidRPr="00AD4F6B" w:rsidR="00E171B6">
        <w:rPr>
          <w:rFonts w:eastAsiaTheme="minorHAnsi" w:cstheme="minorBidi"/>
          <w:snapToGrid/>
          <w:szCs w:val="22"/>
        </w:rPr>
        <w:t>concluded that “</w:t>
      </w:r>
      <w:r w:rsidRPr="00AD4F6B" w:rsidR="008C1E2B">
        <w:rPr>
          <w:rFonts w:eastAsiaTheme="minorHAnsi" w:cstheme="minorBidi"/>
          <w:snapToGrid/>
          <w:szCs w:val="22"/>
        </w:rPr>
        <w:t>based on the totality of the clinical data</w:t>
      </w:r>
      <w:r w:rsidRPr="00AD4F6B" w:rsidR="008C1E2B">
        <w:t xml:space="preserve"> presented in support of this application, the benefit-risk balance is positive for children with SMA aged up to 2 years of age to receive OAV101</w:t>
      </w:r>
      <w:r w:rsidRPr="00AD4F6B" w:rsidR="00241137">
        <w:t xml:space="preserve"> [ONA]</w:t>
      </w:r>
      <w:r w:rsidRPr="00AD4F6B" w:rsidR="008C1E2B">
        <w:t xml:space="preserve"> treatment, albeit management of transaminitis and hepatoxicity; as well as the side-effects from systemic corticosteroid usage would be expected to have a more negative impact on health compared to children aged &lt; 9 months-old. In older, heavier children, unless SMA is identified earlier and treated promptly, preferably pre-symptomatically, the most realistic goal of treatment with OAV101</w:t>
      </w:r>
      <w:r w:rsidRPr="00AD4F6B" w:rsidR="00241137">
        <w:t xml:space="preserve"> [ONA]</w:t>
      </w:r>
      <w:r w:rsidRPr="00AD4F6B" w:rsidR="008C1E2B">
        <w:t xml:space="preserve"> is to maintain motor function rather than achieve major improvements in function. In older, heavier children, there is also an expectation that treatment of transaminitis will be more protracted and more invasive; as well as development of more severe and serious sequelae from long-term corticosteroid use; which may require additional management/intervention</w:t>
      </w:r>
      <w:r w:rsidRPr="00AD4F6B" w:rsidR="00E171B6">
        <w:t>” (TGA Clinical Evaluation Report).</w:t>
      </w:r>
      <w:r w:rsidRPr="00AD4F6B" w:rsidR="006F068D">
        <w:t xml:space="preserve"> </w:t>
      </w:r>
      <w:r w:rsidRPr="00AD4F6B" w:rsidR="006F5922">
        <w:t>The ACM</w:t>
      </w:r>
      <w:r w:rsidRPr="00AD4F6B" w:rsidR="00BF191C">
        <w:t xml:space="preserve"> expressed concern that hepatic toxicity appears more frequently in individuals with greater body mass, and that toxicity may not always be reversible. As such, the ACM advised to restrict the weight limit to up to 21 kilograms and that the upper weight limit should be included in the wording of the indication.</w:t>
      </w:r>
      <w:r w:rsidRPr="00AD4F6B" w:rsidR="005531A4">
        <w:t xml:space="preserve"> </w:t>
      </w:r>
    </w:p>
    <w:p w:rsidRPr="00AD4F6B" w:rsidR="007F1017" w:rsidP="00D86231" w:rsidRDefault="007F1017" w14:paraId="04908C7F" w14:textId="415B9B7D">
      <w:pPr>
        <w:pStyle w:val="4-SubsectionHeading"/>
        <w:rPr>
          <w:color w:val="auto"/>
        </w:rPr>
      </w:pPr>
      <w:bookmarkStart w:name="_Toc22897643" w:id="43"/>
      <w:bookmarkStart w:name="_Toc209002911" w:id="44"/>
      <w:r w:rsidRPr="00AD4F6B">
        <w:rPr>
          <w:color w:val="auto"/>
        </w:rPr>
        <w:t>Benefits/harms</w:t>
      </w:r>
      <w:bookmarkEnd w:id="43"/>
      <w:bookmarkEnd w:id="44"/>
    </w:p>
    <w:p w:rsidRPr="00AD4F6B" w:rsidR="007A1345" w:rsidP="00D2155B" w:rsidRDefault="00311D9B" w14:paraId="02B9BDE3" w14:textId="3DBE2F6A">
      <w:pPr>
        <w:pStyle w:val="3-BodyText"/>
      </w:pPr>
      <w:r w:rsidRPr="00AD4F6B">
        <w:t>A benefits and harms table is not presented as the submission made a claim of non-inferiority.</w:t>
      </w:r>
      <w:r w:rsidRPr="00AD4F6B" w:rsidR="00E926A5">
        <w:t xml:space="preserve"> </w:t>
      </w:r>
    </w:p>
    <w:p w:rsidRPr="00AD4F6B" w:rsidR="00B60939" w:rsidP="00E9094A" w:rsidRDefault="00B60939" w14:paraId="7A1772B6" w14:textId="23BB3145">
      <w:pPr>
        <w:pStyle w:val="4-SubsectionHeading"/>
        <w:rPr>
          <w:color w:val="auto"/>
        </w:rPr>
      </w:pPr>
      <w:bookmarkStart w:name="_Toc22897644" w:id="45"/>
      <w:bookmarkStart w:name="_Toc209002912" w:id="46"/>
      <w:r w:rsidRPr="00AD4F6B">
        <w:rPr>
          <w:color w:val="auto"/>
        </w:rPr>
        <w:t>Clinical claim</w:t>
      </w:r>
      <w:bookmarkEnd w:id="45"/>
      <w:bookmarkEnd w:id="46"/>
    </w:p>
    <w:p w:rsidRPr="00AD4F6B" w:rsidR="001A1520" w:rsidP="001A1520" w:rsidRDefault="001A1520" w14:paraId="5EB93255" w14:textId="7657AAF4">
      <w:pPr>
        <w:pStyle w:val="3-BodyText"/>
      </w:pPr>
      <w:r w:rsidRPr="00AD4F6B">
        <w:t xml:space="preserve">The submission described ONA for the treatment of paediatric patients weighing up to 21kg as non-inferior in terms of effectiveness compared with ONA for the treatment of paediatric patients less than 9 months of age with (i) Type I SMA or pre-symptomatic SMA with 1-2 copies of the </w:t>
      </w:r>
      <w:r w:rsidRPr="00AD4F6B">
        <w:rPr>
          <w:i/>
          <w:iCs/>
        </w:rPr>
        <w:t>SMN2</w:t>
      </w:r>
      <w:r w:rsidRPr="00AD4F6B">
        <w:t xml:space="preserve"> gene and (ii) Pre-symptomatic SMA with </w:t>
      </w:r>
      <w:r w:rsidRPr="00AD4F6B" w:rsidR="00AA00A8">
        <w:t>three</w:t>
      </w:r>
      <w:r w:rsidRPr="00AD4F6B">
        <w:t xml:space="preserve"> copies of the </w:t>
      </w:r>
      <w:r w:rsidRPr="00AD4F6B">
        <w:rPr>
          <w:i/>
          <w:iCs/>
        </w:rPr>
        <w:t>SMN2</w:t>
      </w:r>
      <w:r w:rsidRPr="00AD4F6B">
        <w:t xml:space="preserve"> gene. The </w:t>
      </w:r>
      <w:r w:rsidRPr="00AD4F6B" w:rsidR="00414F56">
        <w:t xml:space="preserve">Commentary considered the </w:t>
      </w:r>
      <w:r w:rsidRPr="00AD4F6B">
        <w:t>therapeutic conclusion presented in the submission was not adequately supported by the evidence presented in the submission because:</w:t>
      </w:r>
    </w:p>
    <w:p w:rsidRPr="00AD4F6B" w:rsidR="00084E24" w:rsidP="00DF6232" w:rsidRDefault="001A1520" w14:paraId="56E2E24A" w14:textId="77777777">
      <w:pPr>
        <w:pStyle w:val="3-BodyText"/>
        <w:numPr>
          <w:ilvl w:val="0"/>
          <w:numId w:val="6"/>
        </w:numPr>
        <w:spacing w:before="0" w:after="120"/>
        <w:ind w:left="1080"/>
      </w:pPr>
      <w:r w:rsidRPr="00AD4F6B">
        <w:t>The results of SMART were limited by the study design and small number of patients enrolled which introduced a high risk of bias, and were likely confounded</w:t>
      </w:r>
      <w:r w:rsidRPr="00AD4F6B" w:rsidR="00084E24">
        <w:t xml:space="preserve"> as</w:t>
      </w:r>
      <w:r w:rsidRPr="00AD4F6B">
        <w:t xml:space="preserve">: </w:t>
      </w:r>
    </w:p>
    <w:p w:rsidRPr="00AD4F6B" w:rsidR="00084E24" w:rsidP="00DF6232" w:rsidRDefault="001A1520" w14:paraId="0F7B064D" w14:textId="29D786CA">
      <w:pPr>
        <w:pStyle w:val="3-BodyText"/>
        <w:numPr>
          <w:ilvl w:val="1"/>
          <w:numId w:val="6"/>
        </w:numPr>
        <w:spacing w:before="0" w:after="120"/>
        <w:ind w:left="1440"/>
      </w:pPr>
      <w:r w:rsidRPr="00AD4F6B">
        <w:t xml:space="preserve">weight, age and attainment of motor milestones are generally </w:t>
      </w:r>
      <w:proofErr w:type="gramStart"/>
      <w:r w:rsidRPr="00AD4F6B">
        <w:t>correlated</w:t>
      </w:r>
      <w:r w:rsidRPr="00AD4F6B" w:rsidR="00084E24">
        <w:t>;</w:t>
      </w:r>
      <w:proofErr w:type="gramEnd"/>
    </w:p>
    <w:p w:rsidRPr="00AD4F6B" w:rsidR="00084E24" w:rsidP="00DF6232" w:rsidRDefault="001A1520" w14:paraId="3F46BD70" w14:textId="1A54A9DA">
      <w:pPr>
        <w:pStyle w:val="3-BodyText"/>
        <w:numPr>
          <w:ilvl w:val="1"/>
          <w:numId w:val="6"/>
        </w:numPr>
        <w:spacing w:before="0" w:after="120"/>
        <w:ind w:left="1440"/>
      </w:pPr>
      <w:r w:rsidRPr="00AD4F6B">
        <w:t xml:space="preserve">differences </w:t>
      </w:r>
      <w:r w:rsidRPr="00AD4F6B" w:rsidR="00084E24">
        <w:t xml:space="preserve">exist </w:t>
      </w:r>
      <w:r w:rsidRPr="00AD4F6B">
        <w:t xml:space="preserve">between the subgroups at baseline, where patients in the heaviest subgroup (subgroup 3) were older, a higher proportion had less severe disease, and better motor </w:t>
      </w:r>
      <w:proofErr w:type="gramStart"/>
      <w:r w:rsidRPr="00AD4F6B">
        <w:t>function</w:t>
      </w:r>
      <w:r w:rsidRPr="00AD4F6B" w:rsidR="00084E24">
        <w:t>;</w:t>
      </w:r>
      <w:proofErr w:type="gramEnd"/>
    </w:p>
    <w:p w:rsidRPr="00AD4F6B" w:rsidR="00084E24" w:rsidP="00DF6232" w:rsidRDefault="00846156" w14:paraId="4B195F78" w14:textId="7E4260B7">
      <w:pPr>
        <w:pStyle w:val="3-BodyText"/>
        <w:numPr>
          <w:ilvl w:val="1"/>
          <w:numId w:val="6"/>
        </w:numPr>
        <w:spacing w:before="0" w:after="120"/>
        <w:ind w:left="1440"/>
      </w:pPr>
      <w:r w:rsidRPr="00AD4F6B">
        <w:t>t</w:t>
      </w:r>
      <w:r w:rsidRPr="00AD4F6B" w:rsidR="001A1520">
        <w:t xml:space="preserve">he vast majority (21/24; 87.5%) of patients enrolled were pre-treated with </w:t>
      </w:r>
      <w:r w:rsidRPr="00AD4F6B" w:rsidR="00FC5711">
        <w:t>NUSI</w:t>
      </w:r>
      <w:r w:rsidRPr="00AD4F6B" w:rsidR="001A1520">
        <w:t xml:space="preserve"> or </w:t>
      </w:r>
      <w:r w:rsidRPr="00AD4F6B" w:rsidR="00FC5711">
        <w:t>RIS</w:t>
      </w:r>
      <w:r w:rsidRPr="00AD4F6B" w:rsidR="00B33C4C">
        <w:t>, and it was unclear if prior treatment with other DMTs were treatment modifiers and in which direction (if any</w:t>
      </w:r>
      <w:proofErr w:type="gramStart"/>
      <w:r w:rsidRPr="00AD4F6B" w:rsidR="00B33C4C">
        <w:t>)</w:t>
      </w:r>
      <w:r w:rsidRPr="00AD4F6B" w:rsidR="00084E24">
        <w:t>;</w:t>
      </w:r>
      <w:proofErr w:type="gramEnd"/>
    </w:p>
    <w:p w:rsidRPr="00AD4F6B" w:rsidR="001A1520" w:rsidP="00DF6232" w:rsidRDefault="001A1520" w14:paraId="24B776CB" w14:textId="5AD68089">
      <w:pPr>
        <w:pStyle w:val="3-BodyText"/>
        <w:numPr>
          <w:ilvl w:val="0"/>
          <w:numId w:val="6"/>
        </w:numPr>
        <w:spacing w:before="0" w:after="120"/>
        <w:ind w:left="1080"/>
      </w:pPr>
      <w:r w:rsidRPr="00AD4F6B">
        <w:t>The SMART study did not enrol any patients with pre-symptomatic SMA, and only eight (33%; 8/24) patients enrolled in SMART were diagnosed with SMA Type I</w:t>
      </w:r>
      <w:r w:rsidRPr="00AD4F6B" w:rsidR="00EF6684">
        <w:t>; and</w:t>
      </w:r>
      <w:r w:rsidRPr="00AD4F6B">
        <w:t xml:space="preserve"> </w:t>
      </w:r>
    </w:p>
    <w:p w:rsidRPr="00AD4F6B" w:rsidR="001A1520" w:rsidP="00DF6232" w:rsidRDefault="001A1520" w14:paraId="58F46638" w14:textId="58302585">
      <w:pPr>
        <w:pStyle w:val="3-BodyText"/>
        <w:numPr>
          <w:ilvl w:val="0"/>
          <w:numId w:val="6"/>
        </w:numPr>
        <w:spacing w:before="0" w:after="120"/>
        <w:ind w:left="1080"/>
      </w:pPr>
      <w:r w:rsidRPr="00AD4F6B">
        <w:t xml:space="preserve">Although overall survival and event free survival in the SMART study was comparable between the included studies (nominated comparator represented by the SPR1NT, START, STR1VE-US and STR1VE-EU studies), key differences between the patient population (with respect to disease severity and previous SMA treatment) across the included studies and the short duration of follow-up in SMART (of 52 weeks) made it difficult to draw meaningful or reliable comparisons. </w:t>
      </w:r>
    </w:p>
    <w:p w:rsidRPr="00AD4F6B" w:rsidR="00DC5588" w:rsidP="00DC5588" w:rsidRDefault="00DC5588" w14:paraId="5C17BD2E" w14:textId="693EECD7">
      <w:pPr>
        <w:pStyle w:val="3-BodyText"/>
      </w:pPr>
      <w:r w:rsidRPr="00AD4F6B">
        <w:t xml:space="preserve">The submission described ONA for the treatment of paediatric patients weighing up to 21kg as non-inferior in terms of safety compared with ONA for the treatment of paediatric patients less than 9 months of age with (i) Type I SMA or pre-symptomatic SMA with 1-2 copies of the </w:t>
      </w:r>
      <w:r w:rsidRPr="00AD4F6B">
        <w:rPr>
          <w:i/>
          <w:iCs/>
        </w:rPr>
        <w:t>SMN2</w:t>
      </w:r>
      <w:r w:rsidRPr="00AD4F6B">
        <w:t xml:space="preserve"> gene and (ii) Pre-symptomatic SMA with three copies of the </w:t>
      </w:r>
      <w:r w:rsidRPr="00AD4F6B">
        <w:rPr>
          <w:i/>
          <w:iCs/>
        </w:rPr>
        <w:t>SMN2</w:t>
      </w:r>
      <w:r w:rsidRPr="00AD4F6B">
        <w:t xml:space="preserve"> gene. The </w:t>
      </w:r>
      <w:r w:rsidRPr="00AD4F6B" w:rsidR="00241EF2">
        <w:t xml:space="preserve">ESC considered the </w:t>
      </w:r>
      <w:r w:rsidRPr="00AD4F6B">
        <w:t>therapeutic conclusion presented in the submission was not supported</w:t>
      </w:r>
      <w:r w:rsidRPr="00AD4F6B" w:rsidR="0060543A">
        <w:t xml:space="preserve"> and was not consistent with TGA </w:t>
      </w:r>
      <w:r w:rsidRPr="00AD4F6B">
        <w:t xml:space="preserve">Clinical Evaluation Report </w:t>
      </w:r>
      <w:r w:rsidRPr="00AD4F6B" w:rsidR="007C466D">
        <w:t xml:space="preserve"> and</w:t>
      </w:r>
      <w:r w:rsidRPr="00AD4F6B">
        <w:t xml:space="preserve"> the findings in the PSUR</w:t>
      </w:r>
      <w:r w:rsidRPr="00AD4F6B" w:rsidR="007918F2">
        <w:t>. H</w:t>
      </w:r>
      <w:r w:rsidRPr="00AD4F6B">
        <w:t xml:space="preserve">epatoxicity was found to have occurred in majority of patients enrolled in SMART, but the same was not observed in earlier clinical studies (SPR1NT, START, STR1VE-US, STR1VE-EU and STR1VE-AP); this was also the case for the incidence of thrombocytopenia. </w:t>
      </w:r>
    </w:p>
    <w:p w:rsidRPr="00AD4F6B" w:rsidR="00DC5588" w:rsidP="00E9094A" w:rsidRDefault="00E871F3" w14:paraId="4DA85E0E" w14:textId="7C6B27DD">
      <w:pPr>
        <w:pStyle w:val="3-BodyText"/>
      </w:pPr>
      <w:r w:rsidRPr="00AD4F6B">
        <w:t>The submission did not present any evidence on the safety and efficacy of ONA in patients older than nine months but weighing less than 21 kg with pre-symptomatic SMA with 1-3 copies of SMN2 and as such, it was unclear on what basis a claim of non-inferior efficacy or safety in this extended population could be supported.</w:t>
      </w:r>
    </w:p>
    <w:p w:rsidRPr="00AD4F6B" w:rsidR="00970C7C" w:rsidP="00970C7C" w:rsidRDefault="00E871F3" w14:paraId="33447438" w14:textId="685B81DA">
      <w:pPr>
        <w:pStyle w:val="3-BodyText"/>
      </w:pPr>
      <w:r w:rsidRPr="00AD4F6B">
        <w:t xml:space="preserve">The efficacy of ONA compared to </w:t>
      </w:r>
      <w:r w:rsidRPr="00AD4F6B" w:rsidR="00FC5711">
        <w:t>NUSI</w:t>
      </w:r>
      <w:r w:rsidRPr="00AD4F6B">
        <w:t xml:space="preserve"> or </w:t>
      </w:r>
      <w:r w:rsidRPr="00AD4F6B" w:rsidR="00FC5711">
        <w:t>RIS</w:t>
      </w:r>
      <w:r w:rsidRPr="00AD4F6B">
        <w:t xml:space="preserve"> (the appropriate comparator/s) in patients with Type I SMA or</w:t>
      </w:r>
      <w:r w:rsidRPr="00AD4F6B" w:rsidR="00B4670A">
        <w:t xml:space="preserve"> patients younger than 36 months with</w:t>
      </w:r>
      <w:r w:rsidRPr="00AD4F6B">
        <w:t xml:space="preserve"> pre-symptomatic SMA with 1-3 copies of the SMN2 gene,</w:t>
      </w:r>
      <w:r w:rsidRPr="00AD4F6B" w:rsidR="00AE56C3">
        <w:t xml:space="preserve"> weighing less than 21kg,</w:t>
      </w:r>
      <w:r w:rsidRPr="00AD4F6B">
        <w:t xml:space="preserve"> was not considered by the submission and remains uncertain. It was noted in their previous consideration of ONA versus </w:t>
      </w:r>
      <w:r w:rsidRPr="00AD4F6B" w:rsidR="00FC5711">
        <w:t>NUSI</w:t>
      </w:r>
      <w:r w:rsidRPr="00AD4F6B">
        <w:t xml:space="preserve"> in patients (less than two years of age) with SMA Type I, “the PBAC concluded that, on balance ONA would likely deliver similar clinical outcomes to NUSI </w:t>
      </w:r>
      <w:r w:rsidRPr="00AD4F6B">
        <w:t>in matched patients” (paragraph 7.1, onasemnogene abeparvovec PSD, November 2020 PBAC meeting).</w:t>
      </w:r>
    </w:p>
    <w:p w:rsidRPr="00AD4F6B" w:rsidR="00970C7C" w:rsidP="00970C7C" w:rsidRDefault="0010337C" w14:paraId="31E89843" w14:textId="7B8CEC5E">
      <w:pPr>
        <w:pStyle w:val="3-BodyText"/>
      </w:pPr>
      <w:bookmarkStart w:name="_Ref214010285" w:id="47"/>
      <w:r w:rsidRPr="00AD4F6B">
        <w:t>Regarding</w:t>
      </w:r>
      <w:r w:rsidRPr="00AD4F6B" w:rsidR="00970C7C">
        <w:t xml:space="preserve"> evidence on comparative safety of ONA versus </w:t>
      </w:r>
      <w:r w:rsidRPr="00AD4F6B" w:rsidR="00FC5711">
        <w:t>NUSI</w:t>
      </w:r>
      <w:r w:rsidRPr="00AD4F6B" w:rsidR="00970C7C">
        <w:t xml:space="preserve"> or </w:t>
      </w:r>
      <w:r w:rsidRPr="00AD4F6B" w:rsidR="00FC5711">
        <w:t>RIS</w:t>
      </w:r>
      <w:r w:rsidRPr="00AD4F6B" w:rsidR="00C657F0">
        <w:t xml:space="preserve"> the PBAC previously</w:t>
      </w:r>
      <w:r w:rsidRPr="00AD4F6B">
        <w:t>:</w:t>
      </w:r>
      <w:bookmarkEnd w:id="47"/>
    </w:p>
    <w:p w:rsidRPr="00AD4F6B" w:rsidR="00911606" w:rsidP="00DF6232" w:rsidRDefault="00970C7C" w14:paraId="53BE6FD1" w14:textId="16A9B461">
      <w:pPr>
        <w:pStyle w:val="3-BodyText"/>
        <w:numPr>
          <w:ilvl w:val="0"/>
          <w:numId w:val="6"/>
        </w:numPr>
        <w:spacing w:before="0" w:after="120"/>
        <w:ind w:left="1080"/>
      </w:pPr>
      <w:r w:rsidRPr="00AD4F6B">
        <w:t xml:space="preserve">did not accept the claim of superior safety for ONA versus </w:t>
      </w:r>
      <w:r w:rsidRPr="00AD4F6B" w:rsidR="00FC5711">
        <w:t>NUSI</w:t>
      </w:r>
      <w:r w:rsidRPr="00AD4F6B">
        <w:t xml:space="preserve"> (paragraph 6.50, onasemnogene abeparvovec PSD, November 2020 PBAC meeting), noting this was not consistent with the presented evidence, where safety data indicated ONA had a similar or greater proportion of patients with any AE, SAEs, and treatment related SAEs compared with </w:t>
      </w:r>
      <w:r w:rsidRPr="00AD4F6B" w:rsidR="00FC5711">
        <w:t>NUSI</w:t>
      </w:r>
      <w:r w:rsidRPr="00AD4F6B">
        <w:t xml:space="preserve"> (paragraph 6.46, onasemnogene abeparvovec PSD, November 2020 PBAC meeting); and</w:t>
      </w:r>
    </w:p>
    <w:p w:rsidRPr="00AD4F6B" w:rsidR="00970C7C" w:rsidP="00DF6232" w:rsidRDefault="00970C7C" w14:paraId="246DAC6A" w14:textId="36AAD494">
      <w:pPr>
        <w:pStyle w:val="3-BodyText"/>
        <w:numPr>
          <w:ilvl w:val="0"/>
          <w:numId w:val="6"/>
        </w:numPr>
        <w:spacing w:before="0" w:after="120"/>
        <w:ind w:left="1080"/>
      </w:pPr>
      <w:r w:rsidRPr="00AD4F6B">
        <w:t xml:space="preserve">found that it was difficult to make an informed conclusion with respect to the safety profile of ONA compared to </w:t>
      </w:r>
      <w:r w:rsidRPr="00AD4F6B" w:rsidR="00FC5711">
        <w:t>RIS</w:t>
      </w:r>
      <w:r w:rsidRPr="00AD4F6B">
        <w:t xml:space="preserve"> (paragraph 6.28, onasemnogene abeparvovec PSD, July 2023 PBAC meeting). The PBAC has previously considered that </w:t>
      </w:r>
      <w:r w:rsidRPr="00AD4F6B" w:rsidR="00FC5711">
        <w:t>RIS</w:t>
      </w:r>
      <w:r w:rsidRPr="00AD4F6B">
        <w:t xml:space="preserve"> had a more favourable safety profile than </w:t>
      </w:r>
      <w:r w:rsidRPr="00AD4F6B" w:rsidR="00FC5711">
        <w:t>NUSI</w:t>
      </w:r>
      <w:r w:rsidRPr="00AD4F6B">
        <w:t xml:space="preserve"> in some patients, whereas the PBAC rejected a superior safety claim of ONA compared to </w:t>
      </w:r>
      <w:r w:rsidRPr="00AD4F6B" w:rsidR="00FC5711">
        <w:t>NUSI</w:t>
      </w:r>
      <w:r w:rsidRPr="00AD4F6B">
        <w:t xml:space="preserve"> (as above), preventing a transitivity argument for non-inferior safety between ONA and </w:t>
      </w:r>
      <w:r w:rsidRPr="00AD4F6B" w:rsidR="00FC5711">
        <w:t>RIS</w:t>
      </w:r>
      <w:r w:rsidRPr="00AD4F6B">
        <w:t xml:space="preserve"> (paragraph 6.28, onasemnogene abeparvovec PSD, July 2023 PBAC meeting).</w:t>
      </w:r>
    </w:p>
    <w:p w:rsidRPr="00AD4F6B" w:rsidR="00A01D0E" w:rsidP="00A01D0E" w:rsidRDefault="00A01D0E" w14:paraId="5A009302" w14:textId="3D654CD2">
      <w:pPr>
        <w:widowControl w:val="0"/>
        <w:numPr>
          <w:ilvl w:val="1"/>
          <w:numId w:val="1"/>
        </w:numPr>
        <w:shd w:val="clear" w:color="auto" w:fill="FFFFFF" w:themeFill="background1"/>
        <w:spacing w:after="120"/>
        <w:rPr>
          <w:rFonts w:asciiTheme="minorHAnsi" w:hAnsiTheme="minorHAnsi"/>
          <w:snapToGrid w:val="0"/>
          <w:szCs w:val="20"/>
        </w:rPr>
      </w:pPr>
      <w:bookmarkStart w:name="_Hlk76376200" w:id="48"/>
      <w:r w:rsidRPr="00AD4F6B">
        <w:rPr>
          <w:rFonts w:asciiTheme="minorHAnsi" w:hAnsiTheme="minorHAnsi"/>
          <w:snapToGrid w:val="0"/>
          <w:szCs w:val="20"/>
        </w:rPr>
        <w:t>The PBAC considered that although the evidence available was limited, the eff</w:t>
      </w:r>
      <w:r w:rsidRPr="00AD4F6B" w:rsidR="00B424DB">
        <w:rPr>
          <w:rFonts w:asciiTheme="minorHAnsi" w:hAnsiTheme="minorHAnsi"/>
          <w:snapToGrid w:val="0"/>
          <w:szCs w:val="20"/>
        </w:rPr>
        <w:t>ectiveness</w:t>
      </w:r>
      <w:r w:rsidRPr="00AD4F6B">
        <w:rPr>
          <w:rFonts w:asciiTheme="minorHAnsi" w:hAnsiTheme="minorHAnsi"/>
          <w:snapToGrid w:val="0"/>
          <w:szCs w:val="20"/>
        </w:rPr>
        <w:t xml:space="preserve"> of ONA in patients older than 9 months appears similar to that in patients younger than 9 months based on supportive data</w:t>
      </w:r>
      <w:r w:rsidRPr="00AD4F6B">
        <w:rPr>
          <w:rFonts w:asciiTheme="minorHAnsi" w:hAnsiTheme="minorHAnsi"/>
          <w:iCs/>
          <w:snapToGrid w:val="0"/>
        </w:rPr>
        <w:t xml:space="preserve"> from the SMART trial. The</w:t>
      </w:r>
      <w:r w:rsidRPr="00AD4F6B">
        <w:rPr>
          <w:rFonts w:asciiTheme="minorHAnsi" w:hAnsiTheme="minorHAnsi"/>
          <w:snapToGrid w:val="0"/>
          <w:szCs w:val="20"/>
        </w:rPr>
        <w:t xml:space="preserve"> PBAC considered the claim of non-inferior comparative effectiveness for ONA compared with NUSI/RIS was not well supported, particularly for non-symptomatic patients &gt;36 months (but &lt; 21 kg). </w:t>
      </w:r>
    </w:p>
    <w:p w:rsidRPr="00AD4F6B" w:rsidR="00F24091" w:rsidP="00F24091" w:rsidRDefault="00F30201" w14:paraId="68C53AFD" w14:textId="779EF7CD">
      <w:pPr>
        <w:widowControl w:val="0"/>
        <w:numPr>
          <w:ilvl w:val="1"/>
          <w:numId w:val="1"/>
        </w:numPr>
        <w:shd w:val="clear" w:color="auto" w:fill="FFFFFF" w:themeFill="background1"/>
        <w:spacing w:after="120"/>
        <w:rPr>
          <w:rFonts w:asciiTheme="minorHAnsi" w:hAnsiTheme="minorHAnsi"/>
          <w:snapToGrid w:val="0"/>
          <w:szCs w:val="20"/>
        </w:rPr>
      </w:pPr>
      <w:r w:rsidRPr="00AD4F6B">
        <w:rPr>
          <w:rFonts w:asciiTheme="minorHAnsi" w:hAnsiTheme="minorHAnsi"/>
          <w:snapToGrid w:val="0"/>
          <w:szCs w:val="20"/>
        </w:rPr>
        <w:t xml:space="preserve">The PBAC considered that the claim of non-inferior safety </w:t>
      </w:r>
      <w:r w:rsidRPr="00AD4F6B" w:rsidR="00D51A8E">
        <w:rPr>
          <w:rFonts w:asciiTheme="minorHAnsi" w:hAnsiTheme="minorHAnsi"/>
          <w:snapToGrid w:val="0"/>
          <w:szCs w:val="20"/>
        </w:rPr>
        <w:t xml:space="preserve">compared with NUSI/RIS </w:t>
      </w:r>
      <w:r w:rsidRPr="00AD4F6B">
        <w:rPr>
          <w:rFonts w:asciiTheme="minorHAnsi" w:hAnsiTheme="minorHAnsi"/>
          <w:snapToGrid w:val="0"/>
          <w:szCs w:val="20"/>
        </w:rPr>
        <w:t xml:space="preserve">was </w:t>
      </w:r>
      <w:r w:rsidRPr="00AD4F6B" w:rsidR="00F41A83">
        <w:rPr>
          <w:rFonts w:asciiTheme="minorHAnsi" w:hAnsiTheme="minorHAnsi"/>
          <w:snapToGrid w:val="0"/>
          <w:szCs w:val="20"/>
        </w:rPr>
        <w:t>uncertain</w:t>
      </w:r>
      <w:r w:rsidRPr="00AD4F6B" w:rsidR="007C75D5">
        <w:rPr>
          <w:rFonts w:asciiTheme="minorHAnsi" w:hAnsiTheme="minorHAnsi"/>
          <w:snapToGrid w:val="0"/>
          <w:szCs w:val="20"/>
        </w:rPr>
        <w:t xml:space="preserve"> (as per paragraph </w:t>
      </w:r>
      <w:r w:rsidRPr="00AD4F6B" w:rsidR="007C75D5">
        <w:rPr>
          <w:rFonts w:asciiTheme="minorHAnsi" w:hAnsiTheme="minorHAnsi"/>
          <w:snapToGrid w:val="0"/>
          <w:szCs w:val="20"/>
        </w:rPr>
        <w:fldChar w:fldCharType="begin"/>
      </w:r>
      <w:r w:rsidRPr="00AD4F6B" w:rsidR="007C75D5">
        <w:rPr>
          <w:rFonts w:asciiTheme="minorHAnsi" w:hAnsiTheme="minorHAnsi"/>
          <w:snapToGrid w:val="0"/>
          <w:szCs w:val="20"/>
        </w:rPr>
        <w:instrText xml:space="preserve"> REF _Ref214010285 \r \h </w:instrText>
      </w:r>
      <w:r w:rsidRPr="00AD4F6B" w:rsidR="007C75D5">
        <w:rPr>
          <w:rFonts w:asciiTheme="minorHAnsi" w:hAnsiTheme="minorHAnsi"/>
          <w:snapToGrid w:val="0"/>
          <w:szCs w:val="20"/>
        </w:rPr>
      </w:r>
      <w:r w:rsidRPr="00AD4F6B" w:rsidR="007C75D5">
        <w:rPr>
          <w:rFonts w:asciiTheme="minorHAnsi" w:hAnsiTheme="minorHAnsi"/>
          <w:snapToGrid w:val="0"/>
          <w:szCs w:val="20"/>
        </w:rPr>
        <w:fldChar w:fldCharType="separate"/>
      </w:r>
      <w:r w:rsidR="00F0459B">
        <w:rPr>
          <w:rFonts w:asciiTheme="minorHAnsi" w:hAnsiTheme="minorHAnsi"/>
          <w:snapToGrid w:val="0"/>
          <w:szCs w:val="20"/>
        </w:rPr>
        <w:t>6.46</w:t>
      </w:r>
      <w:r w:rsidRPr="00AD4F6B" w:rsidR="007C75D5">
        <w:rPr>
          <w:rFonts w:asciiTheme="minorHAnsi" w:hAnsiTheme="minorHAnsi"/>
          <w:snapToGrid w:val="0"/>
          <w:szCs w:val="20"/>
        </w:rPr>
        <w:fldChar w:fldCharType="end"/>
      </w:r>
      <w:r w:rsidRPr="00AD4F6B" w:rsidR="007C75D5">
        <w:rPr>
          <w:rFonts w:asciiTheme="minorHAnsi" w:hAnsiTheme="minorHAnsi"/>
          <w:snapToGrid w:val="0"/>
          <w:szCs w:val="20"/>
        </w:rPr>
        <w:t>)</w:t>
      </w:r>
      <w:r w:rsidRPr="00AD4F6B" w:rsidR="00E03B67">
        <w:rPr>
          <w:rFonts w:asciiTheme="minorHAnsi" w:hAnsiTheme="minorHAnsi"/>
          <w:snapToGrid w:val="0"/>
          <w:szCs w:val="20"/>
        </w:rPr>
        <w:t xml:space="preserve"> but noted the ACM </w:t>
      </w:r>
      <w:r w:rsidRPr="00AD4F6B" w:rsidR="00737516">
        <w:rPr>
          <w:rFonts w:asciiTheme="minorHAnsi" w:hAnsiTheme="minorHAnsi"/>
          <w:snapToGrid w:val="0"/>
          <w:szCs w:val="20"/>
        </w:rPr>
        <w:t>advice that ONA appears safe in patients up to 21 kg and 9 years of age</w:t>
      </w:r>
      <w:r w:rsidRPr="00AD4F6B">
        <w:rPr>
          <w:rFonts w:asciiTheme="minorHAnsi" w:hAnsiTheme="minorHAnsi"/>
          <w:snapToGrid w:val="0"/>
          <w:szCs w:val="20"/>
        </w:rPr>
        <w:t>.</w:t>
      </w:r>
      <w:r w:rsidRPr="00AD4F6B" w:rsidR="00F24091">
        <w:rPr>
          <w:rFonts w:asciiTheme="minorHAnsi" w:hAnsiTheme="minorHAnsi"/>
          <w:snapToGrid w:val="0"/>
          <w:szCs w:val="20"/>
        </w:rPr>
        <w:t xml:space="preserve"> </w:t>
      </w:r>
    </w:p>
    <w:p w:rsidRPr="00AD4F6B" w:rsidR="00F30201" w:rsidP="00F24091" w:rsidRDefault="00F24091" w14:paraId="411BBBCD" w14:textId="43A1D8E9">
      <w:pPr>
        <w:widowControl w:val="0"/>
        <w:numPr>
          <w:ilvl w:val="1"/>
          <w:numId w:val="1"/>
        </w:numPr>
        <w:shd w:val="clear" w:color="auto" w:fill="FFFFFF" w:themeFill="background1"/>
        <w:spacing w:after="120"/>
        <w:rPr>
          <w:rFonts w:asciiTheme="minorHAnsi" w:hAnsiTheme="minorHAnsi"/>
          <w:snapToGrid w:val="0"/>
          <w:szCs w:val="20"/>
        </w:rPr>
      </w:pPr>
      <w:r w:rsidRPr="00AD4F6B">
        <w:rPr>
          <w:rFonts w:asciiTheme="minorHAnsi" w:hAnsiTheme="minorHAnsi"/>
          <w:snapToGrid w:val="0"/>
          <w:szCs w:val="20"/>
        </w:rPr>
        <w:t>Although the clinical claims were based on very limited supportive data, the PBAC noted that this was consistent with other considerations for SMA as a rare disease.</w:t>
      </w:r>
    </w:p>
    <w:bookmarkEnd w:id="48"/>
    <w:p w:rsidRPr="00AD4F6B" w:rsidR="00F30201" w:rsidP="00F30201" w:rsidRDefault="00F30201" w14:paraId="1FAE06FB" w14:textId="77777777">
      <w:pPr>
        <w:pStyle w:val="3-BodyText"/>
        <w:numPr>
          <w:ilvl w:val="0"/>
          <w:numId w:val="0"/>
        </w:numPr>
        <w:spacing w:before="0" w:after="120"/>
        <w:ind w:left="720" w:hanging="720"/>
      </w:pPr>
    </w:p>
    <w:p w:rsidRPr="00AD4F6B" w:rsidR="00B60939" w:rsidP="00E9094A" w:rsidRDefault="00B60939" w14:paraId="74A1172E" w14:textId="128C170E">
      <w:pPr>
        <w:pStyle w:val="4-SubsectionHeading"/>
        <w:rPr>
          <w:color w:val="auto"/>
        </w:rPr>
      </w:pPr>
      <w:bookmarkStart w:name="_Toc22897645" w:id="49"/>
      <w:bookmarkStart w:name="_Toc209002913" w:id="50"/>
      <w:r w:rsidRPr="00AD4F6B">
        <w:rPr>
          <w:color w:val="auto"/>
        </w:rPr>
        <w:t>Economic analysis</w:t>
      </w:r>
      <w:bookmarkEnd w:id="49"/>
      <w:bookmarkEnd w:id="50"/>
      <w:r w:rsidRPr="00AD4F6B" w:rsidR="00491B3A">
        <w:rPr>
          <w:color w:val="auto"/>
        </w:rPr>
        <w:t xml:space="preserve"> </w:t>
      </w:r>
    </w:p>
    <w:p w:rsidRPr="00AD4F6B" w:rsidR="00104A6C" w:rsidP="00104A6C" w:rsidRDefault="00104A6C" w14:paraId="456744CD" w14:textId="5C5227C1">
      <w:pPr>
        <w:pStyle w:val="3-BodyText"/>
        <w:rPr>
          <w:b/>
          <w:bCs/>
        </w:rPr>
      </w:pPr>
      <w:r w:rsidRPr="00AD4F6B">
        <w:t xml:space="preserve">The submission presented </w:t>
      </w:r>
      <w:r w:rsidRPr="00AD4F6B" w:rsidR="00E2063B">
        <w:t xml:space="preserve">a </w:t>
      </w:r>
      <w:r w:rsidRPr="00AD4F6B">
        <w:t xml:space="preserve">cost </w:t>
      </w:r>
      <w:r w:rsidRPr="00AD4F6B" w:rsidR="00C37334">
        <w:t>comparison</w:t>
      </w:r>
      <w:r w:rsidRPr="00AD4F6B">
        <w:t xml:space="preserve"> which compared ONA in paediatric patients with bi-allelic mutations in the </w:t>
      </w:r>
      <w:r w:rsidRPr="00AD4F6B">
        <w:rPr>
          <w:i/>
          <w:iCs/>
        </w:rPr>
        <w:t>SMN1</w:t>
      </w:r>
      <w:r w:rsidRPr="00AD4F6B">
        <w:t xml:space="preserve"> gene weighing up to 21kg (the proposed population) with ONA in paediatric patients less than 9 months of age (as currently listed on the PBS). The approach </w:t>
      </w:r>
      <w:r w:rsidRPr="00AD4F6B" w:rsidR="001A5555">
        <w:t>w</w:t>
      </w:r>
      <w:r w:rsidRPr="00AD4F6B" w:rsidR="00E2063B">
        <w:t>as</w:t>
      </w:r>
      <w:r w:rsidRPr="00AD4F6B" w:rsidR="001A5555">
        <w:t xml:space="preserve"> not</w:t>
      </w:r>
      <w:r w:rsidRPr="00AD4F6B" w:rsidR="00E2063B">
        <w:t xml:space="preserve"> consistent with the</w:t>
      </w:r>
      <w:r w:rsidRPr="00AD4F6B">
        <w:t xml:space="preserve"> </w:t>
      </w:r>
      <w:r w:rsidRPr="00AD4F6B" w:rsidR="00DD51F8">
        <w:t xml:space="preserve">relevant </w:t>
      </w:r>
      <w:r w:rsidRPr="00AD4F6B">
        <w:t>comparator</w:t>
      </w:r>
      <w:r w:rsidRPr="00AD4F6B" w:rsidR="00DD51F8">
        <w:t>s (NUSI and RIS)</w:t>
      </w:r>
      <w:r w:rsidRPr="00AD4F6B" w:rsidR="003B6D78">
        <w:t xml:space="preserve">. </w:t>
      </w:r>
      <w:r w:rsidRPr="00AD4F6B" w:rsidR="0005394A">
        <w:t>However,</w:t>
      </w:r>
      <w:r w:rsidRPr="00AD4F6B" w:rsidR="00CA7FA9">
        <w:t xml:space="preserve"> </w:t>
      </w:r>
      <w:r w:rsidRPr="00AD4F6B" w:rsidR="006F56EB">
        <w:t>ONA was recommended</w:t>
      </w:r>
      <w:r w:rsidRPr="00AD4F6B" w:rsidR="00F31B32">
        <w:t xml:space="preserve"> based on </w:t>
      </w:r>
      <w:r w:rsidRPr="00AD4F6B" w:rsidR="003174BE">
        <w:t xml:space="preserve">it </w:t>
      </w:r>
      <w:r w:rsidRPr="00AD4F6B" w:rsidR="00F31B32">
        <w:t xml:space="preserve">being no more costly than </w:t>
      </w:r>
      <w:r w:rsidRPr="00AD4F6B" w:rsidR="00723A39">
        <w:t>RIS</w:t>
      </w:r>
      <w:r w:rsidRPr="00AD4F6B" w:rsidR="00AA3BC9">
        <w:t>, over a period of 11 years with costs discounted at 5% annually</w:t>
      </w:r>
      <w:r w:rsidRPr="00AD4F6B" w:rsidR="00FE5C94">
        <w:t xml:space="preserve"> (paragraph 9.2, onasemnogene abeparvovec PSD, November 2020 PBAC meeting with May 2021 Addendum and September 2021 Addendum).</w:t>
      </w:r>
      <w:r w:rsidRPr="00AD4F6B" w:rsidR="00421BF1">
        <w:t xml:space="preserve"> As such, </w:t>
      </w:r>
      <w:r w:rsidRPr="00AD4F6B" w:rsidR="00723A39">
        <w:t xml:space="preserve">ONA is </w:t>
      </w:r>
      <w:r w:rsidRPr="00AD4F6B" w:rsidR="00AB458F">
        <w:t xml:space="preserve">likely to </w:t>
      </w:r>
      <w:r w:rsidRPr="00AD4F6B" w:rsidR="00AC529C">
        <w:t>be cost saving</w:t>
      </w:r>
      <w:r w:rsidRPr="00AD4F6B" w:rsidR="00E20003">
        <w:t xml:space="preserve"> compared to NUSI or RIS</w:t>
      </w:r>
      <w:r w:rsidRPr="00AD4F6B" w:rsidR="00A4185C">
        <w:t>,</w:t>
      </w:r>
      <w:r w:rsidRPr="00AD4F6B" w:rsidR="00E20003">
        <w:t xml:space="preserve"> given ONA is a </w:t>
      </w:r>
      <w:r w:rsidRPr="00AD4F6B" w:rsidR="00E522DD">
        <w:t>once in a lifetime</w:t>
      </w:r>
      <w:r w:rsidRPr="00AD4F6B" w:rsidR="00E20003">
        <w:t xml:space="preserve"> treatment </w:t>
      </w:r>
      <w:r w:rsidRPr="00AD4F6B" w:rsidR="00922E51">
        <w:t>whereas NUSI or RIS are lifelong</w:t>
      </w:r>
      <w:r w:rsidRPr="00AD4F6B" w:rsidR="009533E3">
        <w:t xml:space="preserve"> treatments</w:t>
      </w:r>
      <w:r w:rsidRPr="00AD4F6B" w:rsidR="00922E51">
        <w:t>.</w:t>
      </w:r>
      <w:r w:rsidRPr="00AD4F6B" w:rsidR="00B25137">
        <w:t xml:space="preserve"> </w:t>
      </w:r>
    </w:p>
    <w:p w:rsidRPr="00AD4F6B" w:rsidR="005E52A0" w:rsidP="00302FB4" w:rsidRDefault="00637AF2" w14:paraId="578F909F" w14:textId="7A3B20A3">
      <w:pPr>
        <w:pStyle w:val="3-BodyText"/>
        <w:rPr>
          <w:b/>
          <w:bCs/>
        </w:rPr>
      </w:pPr>
      <w:r w:rsidRPr="00AD4F6B">
        <w:rPr>
          <w:rFonts w:cstheme="minorHAnsi"/>
          <w:b/>
          <w:bCs/>
          <w:szCs w:val="24"/>
        </w:rPr>
        <w:fldChar w:fldCharType="begin"/>
      </w:r>
      <w:r w:rsidRPr="00AD4F6B">
        <w:rPr>
          <w:rFonts w:cstheme="minorHAnsi"/>
          <w:b/>
          <w:bCs/>
          <w:szCs w:val="24"/>
        </w:rPr>
        <w:instrText xml:space="preserve"> REF _Ref208004334 \h  \* MERGEFORMAT </w:instrText>
      </w:r>
      <w:r w:rsidRPr="00AD4F6B">
        <w:rPr>
          <w:rFonts w:cstheme="minorHAnsi"/>
          <w:b/>
          <w:bCs/>
          <w:szCs w:val="24"/>
        </w:rPr>
      </w:r>
      <w:r w:rsidRPr="00AD4F6B">
        <w:rPr>
          <w:rFonts w:cstheme="minorHAnsi"/>
          <w:b/>
          <w:bCs/>
          <w:szCs w:val="24"/>
        </w:rPr>
        <w:fldChar w:fldCharType="separate"/>
      </w:r>
      <w:r w:rsidRPr="00F0459B" w:rsidR="00F0459B">
        <w:rPr>
          <w:rStyle w:val="CommentReference"/>
          <w:rFonts w:asciiTheme="minorHAnsi" w:hAnsiTheme="minorHAnsi" w:cstheme="minorHAnsi"/>
          <w:b w:val="0"/>
          <w:bCs/>
          <w:sz w:val="24"/>
          <w:szCs w:val="24"/>
        </w:rPr>
        <w:t xml:space="preserve">Table </w:t>
      </w:r>
      <w:r w:rsidRPr="00F0459B" w:rsidR="00F0459B">
        <w:rPr>
          <w:rStyle w:val="CommentReference"/>
          <w:rFonts w:asciiTheme="minorHAnsi" w:hAnsiTheme="minorHAnsi" w:cstheme="minorHAnsi"/>
          <w:b w:val="0"/>
          <w:bCs/>
          <w:noProof/>
          <w:sz w:val="24"/>
          <w:szCs w:val="24"/>
        </w:rPr>
        <w:t>11</w:t>
      </w:r>
      <w:r w:rsidRPr="00AD4F6B">
        <w:rPr>
          <w:rFonts w:cstheme="minorHAnsi"/>
          <w:b/>
          <w:bCs/>
          <w:szCs w:val="24"/>
        </w:rPr>
        <w:fldChar w:fldCharType="end"/>
      </w:r>
      <w:r w:rsidRPr="00AD4F6B">
        <w:rPr>
          <w:rFonts w:cstheme="minorHAnsi"/>
          <w:szCs w:val="24"/>
        </w:rPr>
        <w:t xml:space="preserve"> </w:t>
      </w:r>
      <w:r w:rsidRPr="00AD4F6B" w:rsidR="005E52A0">
        <w:rPr>
          <w:rFonts w:cstheme="minorHAnsi"/>
          <w:szCs w:val="24"/>
        </w:rPr>
        <w:t>provides</w:t>
      </w:r>
      <w:r w:rsidRPr="00AD4F6B" w:rsidR="005E52A0">
        <w:t xml:space="preserve"> a summary of the</w:t>
      </w:r>
      <w:r w:rsidRPr="00AD4F6B" w:rsidR="00B10EC7">
        <w:t xml:space="preserve"> key assumptions of the</w:t>
      </w:r>
      <w:r w:rsidRPr="00AD4F6B" w:rsidR="005E52A0">
        <w:t xml:space="preserve"> cost</w:t>
      </w:r>
      <w:r w:rsidRPr="00AD4F6B" w:rsidR="00EC20ED">
        <w:t xml:space="preserve"> comparison</w:t>
      </w:r>
      <w:r w:rsidRPr="00AD4F6B" w:rsidR="005E52A0">
        <w:t>.</w:t>
      </w:r>
    </w:p>
    <w:p w:rsidRPr="00AD4F6B" w:rsidR="005B4B80" w:rsidP="00637AF2" w:rsidRDefault="005B4B80" w14:paraId="0E023D2C" w14:textId="3BDDAEDB">
      <w:pPr>
        <w:pStyle w:val="Caption"/>
        <w:rPr>
          <w:rStyle w:val="CommentReference"/>
          <w:b/>
          <w:szCs w:val="24"/>
        </w:rPr>
      </w:pPr>
      <w:bookmarkStart w:name="_Ref208004334" w:id="51"/>
      <w:r w:rsidRPr="00AD4F6B">
        <w:rPr>
          <w:rStyle w:val="CommentReference"/>
          <w:b/>
          <w:szCs w:val="24"/>
        </w:rPr>
        <w:t xml:space="preserve">Table </w:t>
      </w:r>
      <w:r w:rsidRPr="00AD4F6B" w:rsidR="00637AF2">
        <w:rPr>
          <w:rStyle w:val="CommentReference"/>
          <w:b/>
          <w:szCs w:val="24"/>
        </w:rPr>
        <w:fldChar w:fldCharType="begin"/>
      </w:r>
      <w:r w:rsidRPr="00AD4F6B" w:rsidR="00637AF2">
        <w:rPr>
          <w:rStyle w:val="CommentReference"/>
          <w:b/>
          <w:szCs w:val="24"/>
        </w:rPr>
        <w:instrText xml:space="preserve"> SEQ Table \* ARABIC </w:instrText>
      </w:r>
      <w:r w:rsidRPr="00AD4F6B" w:rsidR="00637AF2">
        <w:rPr>
          <w:rStyle w:val="CommentReference"/>
          <w:b/>
          <w:szCs w:val="24"/>
        </w:rPr>
        <w:fldChar w:fldCharType="separate"/>
      </w:r>
      <w:r w:rsidR="00F0459B">
        <w:rPr>
          <w:rStyle w:val="CommentReference"/>
          <w:b/>
          <w:noProof/>
          <w:szCs w:val="24"/>
        </w:rPr>
        <w:t>11</w:t>
      </w:r>
      <w:r w:rsidRPr="00AD4F6B" w:rsidR="00637AF2">
        <w:rPr>
          <w:rStyle w:val="CommentReference"/>
          <w:b/>
          <w:szCs w:val="24"/>
        </w:rPr>
        <w:fldChar w:fldCharType="end"/>
      </w:r>
      <w:bookmarkEnd w:id="51"/>
      <w:r w:rsidRPr="00AD4F6B">
        <w:rPr>
          <w:rStyle w:val="CommentReference"/>
          <w:b/>
          <w:szCs w:val="24"/>
        </w:rPr>
        <w:t>: Key components and assumptions of the cost</w:t>
      </w:r>
      <w:r w:rsidRPr="00AD4F6B" w:rsidR="00EC20ED">
        <w:rPr>
          <w:rStyle w:val="CommentReference"/>
          <w:b/>
          <w:szCs w:val="24"/>
        </w:rPr>
        <w:t xml:space="preserve"> comparison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11: Key components and assumptions of the cost comparison"/>
      </w:tblPr>
      <w:tblGrid>
        <w:gridCol w:w="1389"/>
        <w:gridCol w:w="7628"/>
      </w:tblGrid>
      <w:tr w:rsidRPr="00AD4F6B" w:rsidR="00AD4F6B" w:rsidTr="00EA35AC" w14:paraId="11787AFD" w14:textId="77777777">
        <w:tc>
          <w:tcPr>
            <w:tcW w:w="770" w:type="pct"/>
            <w:vAlign w:val="center"/>
          </w:tcPr>
          <w:p w:rsidRPr="00AD4F6B" w:rsidR="005B4B80" w:rsidRDefault="005B4B80" w14:paraId="06F16720" w14:textId="77777777">
            <w:pPr>
              <w:pStyle w:val="In-tableHeading"/>
              <w:rPr>
                <w:lang w:val="en-AU"/>
              </w:rPr>
            </w:pPr>
            <w:r w:rsidRPr="00AD4F6B">
              <w:rPr>
                <w:lang w:val="en-AU"/>
              </w:rPr>
              <w:t>Component</w:t>
            </w:r>
          </w:p>
        </w:tc>
        <w:tc>
          <w:tcPr>
            <w:tcW w:w="4230" w:type="pct"/>
            <w:vAlign w:val="center"/>
          </w:tcPr>
          <w:p w:rsidRPr="00AD4F6B" w:rsidR="005B4B80" w:rsidRDefault="005B4B80" w14:paraId="760DFB8E" w14:textId="77777777">
            <w:pPr>
              <w:pStyle w:val="In-tableHeading"/>
              <w:rPr>
                <w:lang w:val="en-AU"/>
              </w:rPr>
            </w:pPr>
            <w:r w:rsidRPr="00AD4F6B">
              <w:rPr>
                <w:lang w:val="en-AU"/>
              </w:rPr>
              <w:t>Claim or assumption</w:t>
            </w:r>
          </w:p>
        </w:tc>
      </w:tr>
      <w:tr w:rsidRPr="00AD4F6B" w:rsidR="00AD4F6B" w:rsidTr="00EA35AC" w14:paraId="51CB52CA" w14:textId="77777777">
        <w:tc>
          <w:tcPr>
            <w:tcW w:w="770" w:type="pct"/>
            <w:vAlign w:val="center"/>
          </w:tcPr>
          <w:p w:rsidRPr="00AD4F6B" w:rsidR="005B4B80" w:rsidRDefault="005B4B80" w14:paraId="5612EDE3" w14:textId="77777777">
            <w:pPr>
              <w:pStyle w:val="TableText0"/>
            </w:pPr>
            <w:r w:rsidRPr="00AD4F6B">
              <w:t>Therapeutic claim: effectiveness</w:t>
            </w:r>
          </w:p>
        </w:tc>
        <w:tc>
          <w:tcPr>
            <w:tcW w:w="4230" w:type="pct"/>
            <w:vAlign w:val="center"/>
          </w:tcPr>
          <w:p w:rsidRPr="00AD4F6B" w:rsidR="005B4B80" w:rsidRDefault="005B4B80" w14:paraId="2F3CFD39" w14:textId="571D50E8">
            <w:pPr>
              <w:pStyle w:val="TableText0"/>
            </w:pPr>
            <w:r w:rsidRPr="00AD4F6B">
              <w:t xml:space="preserve">Based on evidence presented in Section 2, ONA for patients weighing up to 21kg is clinically non-inferior in terms of efficacy to ONA for patients less than 9 months of age for Type I and pre-symptomatic 1-2 and three SMN2 copy babies. </w:t>
            </w:r>
          </w:p>
        </w:tc>
      </w:tr>
      <w:tr w:rsidRPr="00AD4F6B" w:rsidR="00AD4F6B" w:rsidTr="00EA35AC" w14:paraId="24FD0D88" w14:textId="77777777">
        <w:tc>
          <w:tcPr>
            <w:tcW w:w="770" w:type="pct"/>
            <w:vAlign w:val="center"/>
          </w:tcPr>
          <w:p w:rsidRPr="00AD4F6B" w:rsidR="005B4B80" w:rsidRDefault="005B4B80" w14:paraId="0033FC7C" w14:textId="77777777">
            <w:pPr>
              <w:pStyle w:val="TableText0"/>
            </w:pPr>
            <w:r w:rsidRPr="00AD4F6B">
              <w:t>Therapeutic claim: safety</w:t>
            </w:r>
          </w:p>
        </w:tc>
        <w:tc>
          <w:tcPr>
            <w:tcW w:w="4230" w:type="pct"/>
            <w:vAlign w:val="center"/>
          </w:tcPr>
          <w:p w:rsidRPr="00AD4F6B" w:rsidR="005B4B80" w:rsidRDefault="005B4B80" w14:paraId="6569C024" w14:textId="4CA8F7A7">
            <w:pPr>
              <w:pStyle w:val="TableText0"/>
            </w:pPr>
            <w:r w:rsidRPr="00AD4F6B">
              <w:t xml:space="preserve">Based on evidence presented in Section 2, ONA for patients weighing up to 21kg has a non-inferior safety profile to ONA for patients less than 9 months of age for Type I and pre-symptomatic 1-2 and three SMN2 copy babies. </w:t>
            </w:r>
          </w:p>
        </w:tc>
      </w:tr>
      <w:tr w:rsidRPr="00AD4F6B" w:rsidR="00AD4F6B" w:rsidTr="00EA35AC" w14:paraId="0DE750BD" w14:textId="77777777">
        <w:tc>
          <w:tcPr>
            <w:tcW w:w="770" w:type="pct"/>
            <w:vAlign w:val="center"/>
          </w:tcPr>
          <w:p w:rsidRPr="00AD4F6B" w:rsidR="005B4B80" w:rsidRDefault="005B4B80" w14:paraId="1AFCE437" w14:textId="77777777">
            <w:pPr>
              <w:pStyle w:val="TableText0"/>
            </w:pPr>
            <w:r w:rsidRPr="00AD4F6B">
              <w:t>Evidence base</w:t>
            </w:r>
          </w:p>
        </w:tc>
        <w:tc>
          <w:tcPr>
            <w:tcW w:w="4230" w:type="pct"/>
            <w:vAlign w:val="center"/>
          </w:tcPr>
          <w:p w:rsidRPr="00AD4F6B" w:rsidR="005B4B80" w:rsidRDefault="005B4B80" w14:paraId="72CBC23B" w14:textId="04C449CB">
            <w:pPr>
              <w:pStyle w:val="TableText0"/>
            </w:pPr>
            <w:r w:rsidRPr="00AD4F6B">
              <w:t xml:space="preserve">Comparisons of developmental milestones achieved and safety profile in patients weighing up to 21kg and patients less than 9 months of age. </w:t>
            </w:r>
          </w:p>
        </w:tc>
      </w:tr>
      <w:tr w:rsidRPr="00AD4F6B" w:rsidR="00AD4F6B" w:rsidTr="00EA35AC" w14:paraId="0784D365" w14:textId="77777777">
        <w:tc>
          <w:tcPr>
            <w:tcW w:w="770" w:type="pct"/>
            <w:vAlign w:val="center"/>
          </w:tcPr>
          <w:p w:rsidRPr="00AD4F6B" w:rsidR="005B4B80" w:rsidRDefault="005B4B80" w14:paraId="7E112D83" w14:textId="77777777">
            <w:pPr>
              <w:pStyle w:val="TableText0"/>
            </w:pPr>
            <w:r w:rsidRPr="00AD4F6B">
              <w:t>Equi-effective doses</w:t>
            </w:r>
          </w:p>
        </w:tc>
        <w:tc>
          <w:tcPr>
            <w:tcW w:w="4230" w:type="pct"/>
            <w:vAlign w:val="center"/>
          </w:tcPr>
          <w:p w:rsidRPr="00AD4F6B" w:rsidR="005B4B80" w:rsidRDefault="005B4B80" w14:paraId="740BE609" w14:textId="794FAE55">
            <w:pPr>
              <w:pStyle w:val="TableText0"/>
            </w:pPr>
            <w:r w:rsidRPr="00AD4F6B">
              <w:t>ONA dosed once per lifetime for patients weighing up to 21kg is equivalent to ONA dosed once per lifetime for patients less than 9 months of age.</w:t>
            </w:r>
            <w:r w:rsidRPr="00AD4F6B" w:rsidR="00C52D2C">
              <w:t xml:space="preserve"> This was consistent with the draft Product Information.</w:t>
            </w:r>
          </w:p>
        </w:tc>
      </w:tr>
      <w:tr w:rsidRPr="00AD4F6B" w:rsidR="00AD4F6B" w:rsidTr="00EA35AC" w14:paraId="3FB9BC83" w14:textId="77777777">
        <w:tc>
          <w:tcPr>
            <w:tcW w:w="770" w:type="pct"/>
            <w:vAlign w:val="center"/>
          </w:tcPr>
          <w:p w:rsidRPr="00AD4F6B" w:rsidR="005B4B80" w:rsidRDefault="005B4B80" w14:paraId="0DAE815E" w14:textId="77777777">
            <w:pPr>
              <w:pStyle w:val="TableText0"/>
            </w:pPr>
            <w:r w:rsidRPr="00AD4F6B">
              <w:t>Direct medicine costs</w:t>
            </w:r>
          </w:p>
        </w:tc>
        <w:tc>
          <w:tcPr>
            <w:tcW w:w="4230" w:type="pct"/>
            <w:vAlign w:val="center"/>
          </w:tcPr>
          <w:p w:rsidRPr="00AD4F6B" w:rsidR="005B4B80" w:rsidRDefault="005B4B80" w14:paraId="7AA5A50C" w14:textId="00DFFEED">
            <w:pPr>
              <w:pStyle w:val="TableText0"/>
            </w:pPr>
            <w:r w:rsidRPr="00AD4F6B">
              <w:t>The direct medicine cost of ONA for patients weighing up to 21kg was equivalent to ONA for patients less than 9 months of age over a lifetime horizon. Discounting was not considered.</w:t>
            </w:r>
          </w:p>
        </w:tc>
      </w:tr>
      <w:tr w:rsidRPr="00AD4F6B" w:rsidR="00AD4F6B" w:rsidTr="00EA35AC" w14:paraId="6EB07676" w14:textId="77777777">
        <w:trPr>
          <w:trHeight w:val="428"/>
        </w:trPr>
        <w:tc>
          <w:tcPr>
            <w:tcW w:w="770" w:type="pct"/>
            <w:vAlign w:val="center"/>
          </w:tcPr>
          <w:p w:rsidRPr="00AD4F6B" w:rsidR="005B4B80" w:rsidRDefault="005B4B80" w14:paraId="5381D0DE" w14:textId="77777777">
            <w:pPr>
              <w:pStyle w:val="TableText0"/>
            </w:pPr>
            <w:r w:rsidRPr="00AD4F6B">
              <w:t>Other costs or cost offsets</w:t>
            </w:r>
          </w:p>
        </w:tc>
        <w:tc>
          <w:tcPr>
            <w:tcW w:w="4230" w:type="pct"/>
            <w:vAlign w:val="center"/>
          </w:tcPr>
          <w:p w:rsidRPr="00AD4F6B" w:rsidR="005B4B80" w:rsidRDefault="005B4B80" w14:paraId="3636C857" w14:textId="1F6D0708">
            <w:pPr>
              <w:pStyle w:val="TableText0"/>
            </w:pPr>
            <w:r w:rsidRPr="00AD4F6B">
              <w:t xml:space="preserve">None; no difference in MBS costs between patients weighing up to 21kg and patients less than 9 months of age was assumed by the submission. No adverse event costs were included. This may not be reasonable given the likely inferior safety of ONA in older (and heavier) patients compared to younger patients, where a higher incidence of hepatoxicity and thrombocytopenia were reported. The cost of subsequent therapy was not </w:t>
            </w:r>
            <w:r w:rsidRPr="00AD4F6B" w:rsidR="0093261A">
              <w:t>considered;</w:t>
            </w:r>
            <w:r w:rsidRPr="00AD4F6B">
              <w:t xml:space="preserve"> </w:t>
            </w:r>
            <w:r w:rsidRPr="00AD4F6B" w:rsidR="00E457CD">
              <w:t>however,</w:t>
            </w:r>
            <w:r w:rsidRPr="00AD4F6B">
              <w:t xml:space="preserve"> the submission proposed any subsequent DMT for SMA for the expanded population to be captured by the existing outcomes-based R</w:t>
            </w:r>
            <w:r w:rsidRPr="00AD4F6B" w:rsidR="00637AF2">
              <w:t>SA</w:t>
            </w:r>
            <w:r w:rsidRPr="00AD4F6B">
              <w:t xml:space="preserve">. </w:t>
            </w:r>
          </w:p>
        </w:tc>
      </w:tr>
    </w:tbl>
    <w:p w:rsidRPr="00AD4F6B" w:rsidR="005B4B80" w:rsidP="005B4B80" w:rsidRDefault="005B4B80" w14:paraId="02BD8A4D" w14:textId="77777777">
      <w:pPr>
        <w:pStyle w:val="FooterTableFigure"/>
        <w:spacing w:after="0"/>
      </w:pPr>
      <w:r w:rsidRPr="00AD4F6B">
        <w:t>Source: Table 3.1, p96 of the submission.</w:t>
      </w:r>
    </w:p>
    <w:p w:rsidRPr="00AD4F6B" w:rsidR="005B4B80" w:rsidP="005B4B80" w:rsidRDefault="005B4B80" w14:paraId="3C6F6225" w14:textId="77777777">
      <w:pPr>
        <w:pStyle w:val="FooterTableFigure"/>
        <w:spacing w:after="0"/>
      </w:pPr>
      <w:r w:rsidRPr="00AD4F6B">
        <w:rPr>
          <w:szCs w:val="18"/>
        </w:rPr>
        <w:t xml:space="preserve">DMT= disease modifying treatment; kg= kilogram; MBS= Medicare Benefits Schedule; ONA= onasemnogene abeparvovec; PBS= Pharmaceutical Benefits Scheme; SMA = spinal muscular atrophy; </w:t>
      </w:r>
      <w:r w:rsidRPr="00AD4F6B">
        <w:rPr>
          <w:i/>
          <w:szCs w:val="18"/>
        </w:rPr>
        <w:t>SMN2</w:t>
      </w:r>
      <w:r w:rsidRPr="00AD4F6B">
        <w:rPr>
          <w:szCs w:val="18"/>
        </w:rPr>
        <w:t>= survival motor neuron 2; RSA = risk sharing arrangement</w:t>
      </w:r>
    </w:p>
    <w:p w:rsidRPr="00AD4F6B" w:rsidR="00302FB4" w:rsidP="008D1DFF" w:rsidRDefault="00A54697" w14:paraId="00E5E752" w14:textId="53C6D7B1">
      <w:pPr>
        <w:pStyle w:val="3-BodyText"/>
        <w:spacing w:after="120"/>
        <w:rPr>
          <w:b/>
          <w:bCs/>
        </w:rPr>
      </w:pPr>
      <w:r w:rsidRPr="00AD4F6B">
        <w:rPr>
          <w:rFonts w:cstheme="minorHAnsi"/>
          <w:szCs w:val="24"/>
        </w:rPr>
        <w:fldChar w:fldCharType="begin"/>
      </w:r>
      <w:r w:rsidRPr="00AD4F6B">
        <w:rPr>
          <w:rFonts w:cstheme="minorHAnsi"/>
          <w:szCs w:val="24"/>
        </w:rPr>
        <w:instrText xml:space="preserve"> REF _Ref208005038 \h  \* MERGEFORMAT </w:instrText>
      </w:r>
      <w:r w:rsidRPr="00AD4F6B">
        <w:rPr>
          <w:rFonts w:cstheme="minorHAnsi"/>
          <w:szCs w:val="24"/>
        </w:rPr>
      </w:r>
      <w:r w:rsidRPr="00AD4F6B">
        <w:rPr>
          <w:rFonts w:cstheme="minorHAnsi"/>
          <w:szCs w:val="24"/>
        </w:rPr>
        <w:fldChar w:fldCharType="separate"/>
      </w:r>
      <w:r w:rsidRPr="00F0459B" w:rsidR="00F0459B">
        <w:rPr>
          <w:rStyle w:val="CommentReference"/>
          <w:rFonts w:asciiTheme="minorHAnsi" w:hAnsiTheme="minorHAnsi" w:cstheme="minorHAnsi"/>
          <w:b w:val="0"/>
          <w:bCs/>
          <w:sz w:val="24"/>
          <w:szCs w:val="24"/>
        </w:rPr>
        <w:t>Table</w:t>
      </w:r>
      <w:r w:rsidRPr="00F0459B" w:rsidR="00F0459B">
        <w:rPr>
          <w:rStyle w:val="CommentReference"/>
          <w:rFonts w:asciiTheme="minorHAnsi" w:hAnsiTheme="minorHAnsi" w:cstheme="minorHAnsi"/>
          <w:sz w:val="24"/>
          <w:szCs w:val="24"/>
        </w:rPr>
        <w:t xml:space="preserve"> </w:t>
      </w:r>
      <w:r w:rsidRPr="00F0459B" w:rsidR="00F0459B">
        <w:rPr>
          <w:rStyle w:val="CommentReference"/>
          <w:rFonts w:asciiTheme="minorHAnsi" w:hAnsiTheme="minorHAnsi" w:cstheme="minorHAnsi"/>
          <w:b w:val="0"/>
          <w:noProof/>
          <w:sz w:val="24"/>
          <w:szCs w:val="24"/>
        </w:rPr>
        <w:t>12</w:t>
      </w:r>
      <w:r w:rsidRPr="00AD4F6B">
        <w:rPr>
          <w:rFonts w:cstheme="minorHAnsi"/>
          <w:szCs w:val="24"/>
        </w:rPr>
        <w:fldChar w:fldCharType="end"/>
      </w:r>
      <w:r w:rsidRPr="00AD4F6B">
        <w:rPr>
          <w:rFonts w:cstheme="minorHAnsi"/>
          <w:szCs w:val="24"/>
        </w:rPr>
        <w:t xml:space="preserve"> and </w:t>
      </w:r>
      <w:r w:rsidRPr="00AD4F6B">
        <w:rPr>
          <w:rFonts w:cstheme="minorHAnsi"/>
          <w:szCs w:val="24"/>
        </w:rPr>
        <w:fldChar w:fldCharType="begin"/>
      </w:r>
      <w:r w:rsidRPr="00AD4F6B">
        <w:rPr>
          <w:rFonts w:cstheme="minorHAnsi"/>
          <w:szCs w:val="24"/>
        </w:rPr>
        <w:instrText xml:space="preserve"> REF _Ref208005041 \h  \* MERGEFORMAT </w:instrText>
      </w:r>
      <w:r w:rsidRPr="00AD4F6B">
        <w:rPr>
          <w:rFonts w:cstheme="minorHAnsi"/>
          <w:szCs w:val="24"/>
        </w:rPr>
      </w:r>
      <w:r w:rsidRPr="00AD4F6B">
        <w:rPr>
          <w:rFonts w:cstheme="minorHAnsi"/>
          <w:szCs w:val="24"/>
        </w:rPr>
        <w:fldChar w:fldCharType="separate"/>
      </w:r>
      <w:r w:rsidRPr="00F0459B" w:rsidR="00F0459B">
        <w:rPr>
          <w:rStyle w:val="CommentReference"/>
          <w:rFonts w:asciiTheme="minorHAnsi" w:hAnsiTheme="minorHAnsi" w:cstheme="minorHAnsi"/>
          <w:b w:val="0"/>
          <w:bCs/>
          <w:sz w:val="24"/>
          <w:szCs w:val="24"/>
        </w:rPr>
        <w:t>Table</w:t>
      </w:r>
      <w:r w:rsidRPr="00F0459B" w:rsidR="00F0459B">
        <w:rPr>
          <w:rStyle w:val="CommentReference"/>
          <w:rFonts w:asciiTheme="minorHAnsi" w:hAnsiTheme="minorHAnsi" w:cstheme="minorHAnsi"/>
          <w:sz w:val="24"/>
          <w:szCs w:val="24"/>
        </w:rPr>
        <w:t xml:space="preserve"> </w:t>
      </w:r>
      <w:r w:rsidRPr="00F0459B" w:rsidR="00F0459B">
        <w:rPr>
          <w:rStyle w:val="CommentReference"/>
          <w:rFonts w:asciiTheme="minorHAnsi" w:hAnsiTheme="minorHAnsi" w:cstheme="minorHAnsi"/>
          <w:b w:val="0"/>
          <w:noProof/>
          <w:sz w:val="24"/>
          <w:szCs w:val="24"/>
        </w:rPr>
        <w:t>13</w:t>
      </w:r>
      <w:r w:rsidRPr="00AD4F6B">
        <w:rPr>
          <w:rFonts w:cstheme="minorHAnsi"/>
          <w:szCs w:val="24"/>
        </w:rPr>
        <w:fldChar w:fldCharType="end"/>
      </w:r>
      <w:r w:rsidRPr="00AD4F6B">
        <w:t xml:space="preserve"> </w:t>
      </w:r>
      <w:r w:rsidRPr="00AD4F6B" w:rsidR="00A74FEB">
        <w:t xml:space="preserve">present the results of the cost </w:t>
      </w:r>
      <w:r w:rsidRPr="00AD4F6B" w:rsidR="00A729D5">
        <w:t>comparisons</w:t>
      </w:r>
      <w:r w:rsidRPr="00AD4F6B" w:rsidR="00923D90">
        <w:t xml:space="preserve"> for </w:t>
      </w:r>
      <w:r w:rsidRPr="00AD4F6B" w:rsidR="005629AD">
        <w:t xml:space="preserve">patients with </w:t>
      </w:r>
      <w:r w:rsidRPr="00AD4F6B" w:rsidR="00923D90">
        <w:t xml:space="preserve">i) Type I SMA and pre-symptomatic SMA with 1-2 copies of the </w:t>
      </w:r>
      <w:r w:rsidRPr="00AD4F6B" w:rsidR="00923D90">
        <w:rPr>
          <w:i/>
          <w:iCs/>
        </w:rPr>
        <w:t>SMN2</w:t>
      </w:r>
      <w:r w:rsidRPr="00AD4F6B" w:rsidR="00923D90">
        <w:t xml:space="preserve"> gene and ii) pre-symptomatic SMA with three copies of the </w:t>
      </w:r>
      <w:r w:rsidRPr="00AD4F6B" w:rsidR="00923D90">
        <w:rPr>
          <w:i/>
          <w:iCs/>
        </w:rPr>
        <w:t>SMN2</w:t>
      </w:r>
      <w:r w:rsidRPr="00AD4F6B" w:rsidR="00923D90">
        <w:t xml:space="preserve"> gene</w:t>
      </w:r>
      <w:r w:rsidRPr="00AD4F6B" w:rsidR="005629AD">
        <w:t>, respectively</w:t>
      </w:r>
      <w:r w:rsidRPr="00AD4F6B" w:rsidR="00A74FEB">
        <w:t>.</w:t>
      </w:r>
      <w:r w:rsidRPr="00AD4F6B" w:rsidR="00301079">
        <w:t xml:space="preserve"> The submission assumed there were no differences in the proposed MBS costs or healthcare utilisation due to the extension to 21kg in the current indication. </w:t>
      </w:r>
      <w:r w:rsidRPr="00AD4F6B" w:rsidR="00B56F55">
        <w:t xml:space="preserve">This may not be reasonable as a higher incidence of </w:t>
      </w:r>
      <w:proofErr w:type="gramStart"/>
      <w:r w:rsidRPr="00AD4F6B" w:rsidR="00B56F55">
        <w:t>hepatoxicity</w:t>
      </w:r>
      <w:proofErr w:type="gramEnd"/>
      <w:r w:rsidRPr="00AD4F6B" w:rsidR="00B56F55">
        <w:t xml:space="preserve"> and thrombocytopenia were reported in older (and heavier) patients. </w:t>
      </w:r>
      <w:r w:rsidRPr="00AD4F6B" w:rsidR="00E555D9">
        <w:t xml:space="preserve">The ESC considered that inclusion of additional costs for </w:t>
      </w:r>
      <w:r w:rsidRPr="00AD4F6B" w:rsidR="00E976B7">
        <w:t xml:space="preserve">treatment or prevention of AEs may be </w:t>
      </w:r>
      <w:r w:rsidRPr="00AD4F6B" w:rsidR="009C55C4">
        <w:t>reasonable but</w:t>
      </w:r>
      <w:r w:rsidRPr="00AD4F6B" w:rsidR="00E976B7">
        <w:t xml:space="preserve"> noted that these costs are likely to be minimal relative to the cost of treatment with ONA.</w:t>
      </w:r>
    </w:p>
    <w:p w:rsidRPr="00AD4F6B" w:rsidR="00301079" w:rsidP="00A54697" w:rsidRDefault="00301079" w14:paraId="7866626B" w14:textId="43F9B927">
      <w:pPr>
        <w:pStyle w:val="Caption"/>
        <w:rPr>
          <w:rStyle w:val="CommentReference"/>
          <w:b/>
          <w:szCs w:val="24"/>
        </w:rPr>
      </w:pPr>
      <w:bookmarkStart w:name="_Ref208005038" w:id="52"/>
      <w:r w:rsidRPr="00AD4F6B">
        <w:rPr>
          <w:rStyle w:val="CommentReference"/>
          <w:b/>
          <w:szCs w:val="24"/>
        </w:rPr>
        <w:t xml:space="preserve">Table </w:t>
      </w:r>
      <w:r w:rsidRPr="00AD4F6B" w:rsidR="00A54697">
        <w:rPr>
          <w:rStyle w:val="CommentReference"/>
          <w:b/>
          <w:szCs w:val="24"/>
        </w:rPr>
        <w:fldChar w:fldCharType="begin"/>
      </w:r>
      <w:r w:rsidRPr="00AD4F6B" w:rsidR="00A54697">
        <w:rPr>
          <w:rStyle w:val="CommentReference"/>
          <w:b/>
          <w:szCs w:val="24"/>
        </w:rPr>
        <w:instrText xml:space="preserve"> SEQ Table \* ARABIC </w:instrText>
      </w:r>
      <w:r w:rsidRPr="00AD4F6B" w:rsidR="00A54697">
        <w:rPr>
          <w:rStyle w:val="CommentReference"/>
          <w:b/>
          <w:szCs w:val="24"/>
        </w:rPr>
        <w:fldChar w:fldCharType="separate"/>
      </w:r>
      <w:r w:rsidR="00F0459B">
        <w:rPr>
          <w:rStyle w:val="CommentReference"/>
          <w:b/>
          <w:noProof/>
          <w:szCs w:val="24"/>
        </w:rPr>
        <w:t>12</w:t>
      </w:r>
      <w:r w:rsidRPr="00AD4F6B" w:rsidR="00A54697">
        <w:rPr>
          <w:rStyle w:val="CommentReference"/>
          <w:b/>
          <w:szCs w:val="24"/>
        </w:rPr>
        <w:fldChar w:fldCharType="end"/>
      </w:r>
      <w:bookmarkEnd w:id="52"/>
      <w:r w:rsidRPr="00AD4F6B">
        <w:rPr>
          <w:rStyle w:val="CommentReference"/>
          <w:b/>
          <w:szCs w:val="24"/>
        </w:rPr>
        <w:t>: Results of the cost</w:t>
      </w:r>
      <w:r w:rsidRPr="00AD4F6B" w:rsidR="004C6053">
        <w:rPr>
          <w:rStyle w:val="CommentReference"/>
          <w:b/>
          <w:szCs w:val="24"/>
        </w:rPr>
        <w:t xml:space="preserve"> comparison</w:t>
      </w:r>
      <w:r w:rsidRPr="00AD4F6B">
        <w:rPr>
          <w:rStyle w:val="CommentReference"/>
          <w:b/>
          <w:szCs w:val="24"/>
        </w:rPr>
        <w:t xml:space="preserve"> (Type I SMA or pre-symptomatic SMA with 1-2 </w:t>
      </w:r>
      <w:r w:rsidRPr="00AD4F6B">
        <w:rPr>
          <w:rStyle w:val="CommentReference"/>
          <w:b/>
          <w:i/>
          <w:iCs/>
          <w:szCs w:val="24"/>
        </w:rPr>
        <w:t>SMN2</w:t>
      </w:r>
      <w:r w:rsidRPr="00AD4F6B">
        <w:rPr>
          <w:rStyle w:val="CommentReference"/>
          <w:b/>
          <w:szCs w:val="24"/>
        </w:rPr>
        <w:t xml:space="preserve"> copies)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12: Results of the cost comparison (Type I SMA or pre-symptomatic SMA with 1-2 SMN2 copies)"/>
      </w:tblPr>
      <w:tblGrid>
        <w:gridCol w:w="2545"/>
        <w:gridCol w:w="1618"/>
        <w:gridCol w:w="1618"/>
        <w:gridCol w:w="1618"/>
        <w:gridCol w:w="1618"/>
      </w:tblGrid>
      <w:tr w:rsidRPr="00AD4F6B" w:rsidR="00AD4F6B" w:rsidTr="00EA35AC" w14:paraId="7AFA82C2" w14:textId="77777777">
        <w:tc>
          <w:tcPr>
            <w:tcW w:w="1412" w:type="pct"/>
          </w:tcPr>
          <w:p w:rsidRPr="00AD4F6B" w:rsidR="00301079" w:rsidRDefault="00301079" w14:paraId="0ADAAB2B" w14:textId="77777777">
            <w:pPr>
              <w:pStyle w:val="In-tableHeading"/>
              <w:rPr>
                <w:lang w:val="en-AU"/>
              </w:rPr>
            </w:pPr>
          </w:p>
        </w:tc>
        <w:tc>
          <w:tcPr>
            <w:tcW w:w="1794" w:type="pct"/>
            <w:gridSpan w:val="2"/>
          </w:tcPr>
          <w:p w:rsidRPr="00AD4F6B" w:rsidR="00301079" w:rsidRDefault="00301079" w14:paraId="01E553B0" w14:textId="77777777">
            <w:pPr>
              <w:pStyle w:val="In-tableHeading"/>
              <w:jc w:val="center"/>
              <w:rPr>
                <w:lang w:val="en-AU"/>
              </w:rPr>
            </w:pPr>
            <w:r w:rsidRPr="00AD4F6B">
              <w:rPr>
                <w:lang w:val="en-AU"/>
              </w:rPr>
              <w:t>ONA published price (AEMP)</w:t>
            </w:r>
          </w:p>
        </w:tc>
        <w:tc>
          <w:tcPr>
            <w:tcW w:w="1794" w:type="pct"/>
            <w:gridSpan w:val="2"/>
          </w:tcPr>
          <w:p w:rsidRPr="00AD4F6B" w:rsidR="00301079" w:rsidRDefault="00301079" w14:paraId="55C829DA" w14:textId="77777777">
            <w:pPr>
              <w:pStyle w:val="In-tableHeading"/>
              <w:jc w:val="center"/>
              <w:rPr>
                <w:lang w:val="en-AU"/>
              </w:rPr>
            </w:pPr>
            <w:r w:rsidRPr="00AD4F6B">
              <w:rPr>
                <w:lang w:val="en-AU"/>
              </w:rPr>
              <w:t>ONA effective price</w:t>
            </w:r>
          </w:p>
        </w:tc>
      </w:tr>
      <w:tr w:rsidRPr="00AD4F6B" w:rsidR="00AD4F6B" w:rsidTr="00EA35AC" w14:paraId="6C6AC9F1" w14:textId="77777777">
        <w:tc>
          <w:tcPr>
            <w:tcW w:w="1412" w:type="pct"/>
          </w:tcPr>
          <w:p w:rsidRPr="00AD4F6B" w:rsidR="00301079" w:rsidRDefault="00301079" w14:paraId="77775944" w14:textId="77777777">
            <w:pPr>
              <w:pStyle w:val="In-tableHeading"/>
              <w:rPr>
                <w:lang w:val="en-AU"/>
              </w:rPr>
            </w:pPr>
            <w:r w:rsidRPr="00AD4F6B">
              <w:rPr>
                <w:lang w:val="en-AU"/>
              </w:rPr>
              <w:t>Component</w:t>
            </w:r>
          </w:p>
        </w:tc>
        <w:tc>
          <w:tcPr>
            <w:tcW w:w="897" w:type="pct"/>
          </w:tcPr>
          <w:p w:rsidRPr="00AD4F6B" w:rsidR="00301079" w:rsidRDefault="00301079" w14:paraId="38A86B3B" w14:textId="77777777">
            <w:pPr>
              <w:pStyle w:val="In-tableHeading"/>
              <w:jc w:val="center"/>
              <w:rPr>
                <w:lang w:val="en-AU"/>
              </w:rPr>
            </w:pPr>
            <w:r w:rsidRPr="00AD4F6B">
              <w:rPr>
                <w:lang w:val="en-AU"/>
              </w:rPr>
              <w:t>Up to 21 kg</w:t>
            </w:r>
          </w:p>
        </w:tc>
        <w:tc>
          <w:tcPr>
            <w:tcW w:w="897" w:type="pct"/>
          </w:tcPr>
          <w:p w:rsidRPr="00AD4F6B" w:rsidR="00301079" w:rsidRDefault="00301079" w14:paraId="30269512" w14:textId="77777777">
            <w:pPr>
              <w:pStyle w:val="In-tableHeading"/>
              <w:jc w:val="center"/>
              <w:rPr>
                <w:lang w:val="en-AU"/>
              </w:rPr>
            </w:pPr>
            <w:r w:rsidRPr="00AD4F6B">
              <w:rPr>
                <w:lang w:val="en-AU"/>
              </w:rPr>
              <w:t>≤9 months of age</w:t>
            </w:r>
          </w:p>
        </w:tc>
        <w:tc>
          <w:tcPr>
            <w:tcW w:w="897" w:type="pct"/>
          </w:tcPr>
          <w:p w:rsidRPr="00AD4F6B" w:rsidR="00301079" w:rsidRDefault="00301079" w14:paraId="533196D3" w14:textId="77777777">
            <w:pPr>
              <w:pStyle w:val="In-tableHeading"/>
              <w:jc w:val="center"/>
              <w:rPr>
                <w:lang w:val="en-AU"/>
              </w:rPr>
            </w:pPr>
            <w:r w:rsidRPr="00AD4F6B">
              <w:rPr>
                <w:lang w:val="en-AU"/>
              </w:rPr>
              <w:t>Up to 21 kg</w:t>
            </w:r>
          </w:p>
        </w:tc>
        <w:tc>
          <w:tcPr>
            <w:tcW w:w="897" w:type="pct"/>
          </w:tcPr>
          <w:p w:rsidRPr="00AD4F6B" w:rsidR="00301079" w:rsidRDefault="00301079" w14:paraId="3073FAD7" w14:textId="77777777">
            <w:pPr>
              <w:pStyle w:val="In-tableHeading"/>
              <w:jc w:val="center"/>
              <w:rPr>
                <w:lang w:val="en-AU"/>
              </w:rPr>
            </w:pPr>
            <w:r w:rsidRPr="00AD4F6B">
              <w:rPr>
                <w:lang w:val="en-AU"/>
              </w:rPr>
              <w:t>≤9 months of age</w:t>
            </w:r>
          </w:p>
        </w:tc>
      </w:tr>
      <w:tr w:rsidRPr="00AD4F6B" w:rsidR="00AD4F6B" w:rsidTr="00EA35AC" w14:paraId="11B24CA7" w14:textId="77777777">
        <w:tc>
          <w:tcPr>
            <w:tcW w:w="1412" w:type="pct"/>
          </w:tcPr>
          <w:p w:rsidRPr="00AD4F6B" w:rsidR="00301079" w:rsidRDefault="00301079" w14:paraId="57D21976" w14:textId="77777777">
            <w:pPr>
              <w:pStyle w:val="TableText0"/>
            </w:pPr>
            <w:r w:rsidRPr="00AD4F6B">
              <w:t>Cost per dose</w:t>
            </w:r>
          </w:p>
        </w:tc>
        <w:tc>
          <w:tcPr>
            <w:tcW w:w="897" w:type="pct"/>
          </w:tcPr>
          <w:p w:rsidRPr="00E55046" w:rsidR="00301079" w:rsidRDefault="00301079" w14:paraId="3227A7E6" w14:textId="4EE2BBAA">
            <w:pPr>
              <w:pStyle w:val="TableText0"/>
              <w:jc w:val="center"/>
            </w:pPr>
            <w:r w:rsidRPr="00E55046">
              <w:t>$2,527,773.87</w:t>
            </w:r>
          </w:p>
        </w:tc>
        <w:tc>
          <w:tcPr>
            <w:tcW w:w="897" w:type="pct"/>
          </w:tcPr>
          <w:p w:rsidRPr="00E55046" w:rsidR="00301079" w:rsidRDefault="00301079" w14:paraId="3660E8D7" w14:textId="6B464EF5">
            <w:pPr>
              <w:pStyle w:val="TableText0"/>
              <w:jc w:val="center"/>
            </w:pPr>
            <w:r w:rsidRPr="00E55046">
              <w:t>$2,527,773.87</w:t>
            </w:r>
          </w:p>
        </w:tc>
        <w:tc>
          <w:tcPr>
            <w:tcW w:w="897" w:type="pct"/>
          </w:tcPr>
          <w:p w:rsidRPr="00E55046" w:rsidR="00301079" w:rsidRDefault="00301079" w14:paraId="3ED1421E" w14:textId="06BA1726">
            <w:pPr>
              <w:pStyle w:val="TableText0"/>
              <w:jc w:val="center"/>
            </w:pPr>
            <w:r w:rsidRPr="00426BDC">
              <w:t>$</w:t>
            </w:r>
            <w:r w:rsidRPr="00C554FC" w:rsidR="00C554FC">
              <w:rPr>
                <w:highlight w:val="black"/>
              </w:rPr>
              <w:t>&amp;&amp;&amp;&amp;</w:t>
            </w:r>
          </w:p>
        </w:tc>
        <w:tc>
          <w:tcPr>
            <w:tcW w:w="897" w:type="pct"/>
          </w:tcPr>
          <w:p w:rsidRPr="00E55046" w:rsidR="00301079" w:rsidRDefault="00301079" w14:paraId="7CE253B5" w14:textId="7D51B90D">
            <w:pPr>
              <w:pStyle w:val="TableText0"/>
              <w:jc w:val="center"/>
            </w:pPr>
            <w:r w:rsidRPr="00426BDC">
              <w:t>$</w:t>
            </w:r>
            <w:r w:rsidRPr="00C554FC" w:rsidR="00C554FC">
              <w:rPr>
                <w:highlight w:val="black"/>
              </w:rPr>
              <w:t>&amp;&amp;&amp;&amp;</w:t>
            </w:r>
          </w:p>
        </w:tc>
      </w:tr>
      <w:tr w:rsidRPr="00AD4F6B" w:rsidR="00AD4F6B" w:rsidTr="00EA35AC" w14:paraId="608ABFD2" w14:textId="77777777">
        <w:tc>
          <w:tcPr>
            <w:tcW w:w="1412" w:type="pct"/>
          </w:tcPr>
          <w:p w:rsidRPr="00AD4F6B" w:rsidR="00301079" w:rsidRDefault="00301079" w14:paraId="00336CED" w14:textId="77777777">
            <w:pPr>
              <w:pStyle w:val="TableText0"/>
            </w:pPr>
            <w:r w:rsidRPr="00AD4F6B">
              <w:t>Total number of doses (lifetime)</w:t>
            </w:r>
          </w:p>
        </w:tc>
        <w:tc>
          <w:tcPr>
            <w:tcW w:w="897" w:type="pct"/>
          </w:tcPr>
          <w:p w:rsidRPr="00E55046" w:rsidR="00301079" w:rsidRDefault="00301079" w14:paraId="4FE673CC" w14:textId="77777777">
            <w:pPr>
              <w:pStyle w:val="TableText0"/>
              <w:jc w:val="center"/>
            </w:pPr>
            <w:r w:rsidRPr="00E55046">
              <w:t>1</w:t>
            </w:r>
          </w:p>
        </w:tc>
        <w:tc>
          <w:tcPr>
            <w:tcW w:w="897" w:type="pct"/>
          </w:tcPr>
          <w:p w:rsidRPr="00E55046" w:rsidR="00301079" w:rsidRDefault="00301079" w14:paraId="56F53FB0" w14:textId="77777777">
            <w:pPr>
              <w:pStyle w:val="TableText0"/>
              <w:jc w:val="center"/>
            </w:pPr>
            <w:r w:rsidRPr="00E55046">
              <w:t>1</w:t>
            </w:r>
          </w:p>
        </w:tc>
        <w:tc>
          <w:tcPr>
            <w:tcW w:w="897" w:type="pct"/>
          </w:tcPr>
          <w:p w:rsidRPr="00E55046" w:rsidR="00301079" w:rsidRDefault="00301079" w14:paraId="19991E5A" w14:textId="77777777">
            <w:pPr>
              <w:pStyle w:val="TableText0"/>
              <w:jc w:val="center"/>
            </w:pPr>
            <w:r w:rsidRPr="00E55046">
              <w:t>1</w:t>
            </w:r>
          </w:p>
        </w:tc>
        <w:tc>
          <w:tcPr>
            <w:tcW w:w="897" w:type="pct"/>
          </w:tcPr>
          <w:p w:rsidRPr="00E55046" w:rsidR="00301079" w:rsidRDefault="00301079" w14:paraId="222E2D40" w14:textId="77777777">
            <w:pPr>
              <w:pStyle w:val="TableText0"/>
              <w:jc w:val="center"/>
            </w:pPr>
            <w:r w:rsidRPr="00E55046">
              <w:t>1</w:t>
            </w:r>
          </w:p>
        </w:tc>
      </w:tr>
      <w:tr w:rsidRPr="00AD4F6B" w:rsidR="00AD4F6B" w:rsidTr="00EA35AC" w14:paraId="516B9F55" w14:textId="77777777">
        <w:tc>
          <w:tcPr>
            <w:tcW w:w="1412" w:type="pct"/>
          </w:tcPr>
          <w:p w:rsidRPr="00AD4F6B" w:rsidR="00301079" w:rsidRDefault="00301079" w14:paraId="45EDD7BF" w14:textId="77777777">
            <w:pPr>
              <w:pStyle w:val="TableText0"/>
            </w:pPr>
            <w:r w:rsidRPr="00AD4F6B">
              <w:t>Total medicine cost per lifetime</w:t>
            </w:r>
          </w:p>
        </w:tc>
        <w:tc>
          <w:tcPr>
            <w:tcW w:w="897" w:type="pct"/>
          </w:tcPr>
          <w:p w:rsidRPr="00E55046" w:rsidR="00301079" w:rsidRDefault="00301079" w14:paraId="507A88E9" w14:textId="02E1A1EC">
            <w:pPr>
              <w:pStyle w:val="TableText0"/>
              <w:jc w:val="center"/>
            </w:pPr>
            <w:r w:rsidRPr="00E55046">
              <w:t>$2,527,773</w:t>
            </w:r>
            <w:r w:rsidRPr="00E55046" w:rsidR="00C82CE8">
              <w:t>.</w:t>
            </w:r>
            <w:r w:rsidRPr="00E55046">
              <w:t>87</w:t>
            </w:r>
          </w:p>
        </w:tc>
        <w:tc>
          <w:tcPr>
            <w:tcW w:w="897" w:type="pct"/>
          </w:tcPr>
          <w:p w:rsidRPr="00E55046" w:rsidR="00301079" w:rsidRDefault="00301079" w14:paraId="07E33A46" w14:textId="250D8D63">
            <w:pPr>
              <w:pStyle w:val="TableText0"/>
              <w:jc w:val="center"/>
            </w:pPr>
            <w:r w:rsidRPr="00E55046">
              <w:t>$2,527,773</w:t>
            </w:r>
            <w:r w:rsidRPr="00E55046" w:rsidR="00C82CE8">
              <w:t>.</w:t>
            </w:r>
            <w:r w:rsidRPr="00E55046">
              <w:t>87</w:t>
            </w:r>
          </w:p>
        </w:tc>
        <w:tc>
          <w:tcPr>
            <w:tcW w:w="897" w:type="pct"/>
          </w:tcPr>
          <w:p w:rsidRPr="00F03AD6" w:rsidR="00301079" w:rsidRDefault="00301079" w14:paraId="333F4AED" w14:textId="6AD06F41">
            <w:pPr>
              <w:pStyle w:val="TableText0"/>
              <w:jc w:val="center"/>
              <w:rPr>
                <w:highlight w:val="darkGray"/>
              </w:rPr>
            </w:pPr>
            <w:r w:rsidRPr="00426BDC">
              <w:t>$</w:t>
            </w:r>
            <w:r w:rsidRPr="00C554FC" w:rsidR="00C554FC">
              <w:rPr>
                <w:highlight w:val="black"/>
              </w:rPr>
              <w:t>&amp;&amp;&amp;&amp;</w:t>
            </w:r>
          </w:p>
        </w:tc>
        <w:tc>
          <w:tcPr>
            <w:tcW w:w="897" w:type="pct"/>
          </w:tcPr>
          <w:p w:rsidRPr="00F03AD6" w:rsidR="00301079" w:rsidRDefault="00301079" w14:paraId="1E2A221E" w14:textId="609030D8">
            <w:pPr>
              <w:pStyle w:val="TableText0"/>
              <w:jc w:val="center"/>
              <w:rPr>
                <w:highlight w:val="darkGray"/>
              </w:rPr>
            </w:pPr>
            <w:r w:rsidRPr="00426BDC">
              <w:t>$</w:t>
            </w:r>
            <w:r w:rsidRPr="00C554FC" w:rsidR="00C554FC">
              <w:rPr>
                <w:highlight w:val="black"/>
              </w:rPr>
              <w:t>&amp;&amp;&amp;&amp;</w:t>
            </w:r>
          </w:p>
        </w:tc>
      </w:tr>
    </w:tbl>
    <w:p w:rsidRPr="00AD4F6B" w:rsidR="00301079" w:rsidP="00301079" w:rsidRDefault="00301079" w14:paraId="28CC4FD4" w14:textId="77777777">
      <w:pPr>
        <w:pStyle w:val="FooterTableFigure"/>
        <w:spacing w:after="0"/>
      </w:pPr>
      <w:r w:rsidRPr="00AD4F6B">
        <w:t>Source: Table 3.2, p97 of the submission.</w:t>
      </w:r>
    </w:p>
    <w:p w:rsidR="00301079" w:rsidP="00301079" w:rsidRDefault="00301079" w14:paraId="411F4A96" w14:textId="77777777">
      <w:pPr>
        <w:pStyle w:val="FooterTableFigure"/>
        <w:spacing w:after="0"/>
      </w:pPr>
      <w:r w:rsidRPr="00AD4F6B">
        <w:t xml:space="preserve">AEMP= approved ex-manufacturer price; ONA= onasemnogene abeparvovec; SMA= spinal muscular atrophy; </w:t>
      </w:r>
      <w:r w:rsidRPr="00AD4F6B">
        <w:rPr>
          <w:i/>
          <w:iCs/>
        </w:rPr>
        <w:t>SMN2</w:t>
      </w:r>
      <w:r w:rsidRPr="00AD4F6B">
        <w:t>= survival of motor neuron 2</w:t>
      </w:r>
    </w:p>
    <w:p w:rsidRPr="00AD4F6B" w:rsidR="00301079" w:rsidP="00301079" w:rsidRDefault="00301079" w14:paraId="687D3CC6" w14:textId="77777777"/>
    <w:p w:rsidRPr="00AD4F6B" w:rsidR="00301079" w:rsidP="00CD1F3B" w:rsidRDefault="00301079" w14:paraId="2791616E" w14:textId="505E8807">
      <w:pPr>
        <w:pStyle w:val="Caption"/>
        <w:rPr>
          <w:rStyle w:val="CommentReference"/>
          <w:b/>
          <w:szCs w:val="24"/>
        </w:rPr>
      </w:pPr>
      <w:bookmarkStart w:name="_Ref208005041" w:id="53"/>
      <w:r w:rsidRPr="00AD4F6B">
        <w:rPr>
          <w:rStyle w:val="CommentReference"/>
          <w:b/>
          <w:szCs w:val="24"/>
        </w:rPr>
        <w:t xml:space="preserve">Table </w:t>
      </w:r>
      <w:r w:rsidRPr="00AD4F6B" w:rsidR="00A54697">
        <w:rPr>
          <w:rStyle w:val="CommentReference"/>
          <w:b/>
          <w:szCs w:val="24"/>
        </w:rPr>
        <w:fldChar w:fldCharType="begin"/>
      </w:r>
      <w:r w:rsidRPr="00AD4F6B" w:rsidR="00A54697">
        <w:rPr>
          <w:rStyle w:val="CommentReference"/>
          <w:b/>
          <w:szCs w:val="24"/>
        </w:rPr>
        <w:instrText xml:space="preserve"> SEQ Table \* ARABIC </w:instrText>
      </w:r>
      <w:r w:rsidRPr="00AD4F6B" w:rsidR="00A54697">
        <w:rPr>
          <w:rStyle w:val="CommentReference"/>
          <w:b/>
          <w:szCs w:val="24"/>
        </w:rPr>
        <w:fldChar w:fldCharType="separate"/>
      </w:r>
      <w:r w:rsidR="00F0459B">
        <w:rPr>
          <w:rStyle w:val="CommentReference"/>
          <w:b/>
          <w:noProof/>
          <w:szCs w:val="24"/>
        </w:rPr>
        <w:t>13</w:t>
      </w:r>
      <w:r w:rsidRPr="00AD4F6B" w:rsidR="00A54697">
        <w:rPr>
          <w:rStyle w:val="CommentReference"/>
          <w:b/>
          <w:szCs w:val="24"/>
        </w:rPr>
        <w:fldChar w:fldCharType="end"/>
      </w:r>
      <w:bookmarkEnd w:id="53"/>
      <w:r w:rsidRPr="00AD4F6B">
        <w:rPr>
          <w:rStyle w:val="CommentReference"/>
          <w:b/>
          <w:szCs w:val="24"/>
        </w:rPr>
        <w:t>: Results of the cost</w:t>
      </w:r>
      <w:r w:rsidRPr="00AD4F6B" w:rsidR="00AD2289">
        <w:rPr>
          <w:rStyle w:val="CommentReference"/>
          <w:b/>
          <w:szCs w:val="24"/>
        </w:rPr>
        <w:t xml:space="preserve"> comparison</w:t>
      </w:r>
      <w:r w:rsidRPr="00AD4F6B">
        <w:rPr>
          <w:rStyle w:val="CommentReference"/>
          <w:b/>
          <w:szCs w:val="24"/>
        </w:rPr>
        <w:t xml:space="preserve"> (Pre-symptomatic SMA with 3 copies of </w:t>
      </w:r>
      <w:r w:rsidRPr="00AD4F6B">
        <w:rPr>
          <w:rStyle w:val="CommentReference"/>
          <w:b/>
          <w:i/>
          <w:iCs/>
          <w:szCs w:val="24"/>
        </w:rPr>
        <w:t>SMN2</w:t>
      </w:r>
      <w:r w:rsidRPr="00AD4F6B">
        <w:rPr>
          <w:rStyle w:val="CommentReference"/>
          <w:b/>
          <w:szCs w:val="24"/>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13: Results of the cost comparison (Pre-symptomatic SMA with 3 copies of SMN2)"/>
      </w:tblPr>
      <w:tblGrid>
        <w:gridCol w:w="2545"/>
        <w:gridCol w:w="1618"/>
        <w:gridCol w:w="1618"/>
        <w:gridCol w:w="1618"/>
        <w:gridCol w:w="1618"/>
      </w:tblGrid>
      <w:tr w:rsidRPr="00AD4F6B" w:rsidR="00AD4F6B" w:rsidTr="00EA35AC" w14:paraId="624E27A6" w14:textId="77777777">
        <w:tc>
          <w:tcPr>
            <w:tcW w:w="1412" w:type="pct"/>
          </w:tcPr>
          <w:p w:rsidRPr="00AD4F6B" w:rsidR="00301079" w:rsidP="00CD1F3B" w:rsidRDefault="00301079" w14:paraId="0F538936" w14:textId="77777777">
            <w:pPr>
              <w:pStyle w:val="In-tableHeading"/>
              <w:rPr>
                <w:lang w:val="en-AU"/>
              </w:rPr>
            </w:pPr>
          </w:p>
        </w:tc>
        <w:tc>
          <w:tcPr>
            <w:tcW w:w="1794" w:type="pct"/>
            <w:gridSpan w:val="2"/>
          </w:tcPr>
          <w:p w:rsidRPr="00AD4F6B" w:rsidR="00301079" w:rsidP="00CD1F3B" w:rsidRDefault="00301079" w14:paraId="12C3A4B4" w14:textId="77777777">
            <w:pPr>
              <w:pStyle w:val="In-tableHeading"/>
              <w:jc w:val="center"/>
              <w:rPr>
                <w:lang w:val="en-AU"/>
              </w:rPr>
            </w:pPr>
            <w:r w:rsidRPr="00AD4F6B">
              <w:rPr>
                <w:lang w:val="en-AU"/>
              </w:rPr>
              <w:t>ONA published price (AEMP)</w:t>
            </w:r>
          </w:p>
        </w:tc>
        <w:tc>
          <w:tcPr>
            <w:tcW w:w="1794" w:type="pct"/>
            <w:gridSpan w:val="2"/>
          </w:tcPr>
          <w:p w:rsidRPr="00AD4F6B" w:rsidR="00301079" w:rsidP="00CD1F3B" w:rsidRDefault="00301079" w14:paraId="769236D3" w14:textId="77777777">
            <w:pPr>
              <w:pStyle w:val="In-tableHeading"/>
              <w:jc w:val="center"/>
              <w:rPr>
                <w:lang w:val="en-AU"/>
              </w:rPr>
            </w:pPr>
            <w:r w:rsidRPr="00AD4F6B">
              <w:rPr>
                <w:lang w:val="en-AU"/>
              </w:rPr>
              <w:t>ONA effective price</w:t>
            </w:r>
          </w:p>
        </w:tc>
      </w:tr>
      <w:tr w:rsidRPr="00AD4F6B" w:rsidR="00AD4F6B" w:rsidTr="00EA35AC" w14:paraId="6F581E53" w14:textId="77777777">
        <w:tc>
          <w:tcPr>
            <w:tcW w:w="1412" w:type="pct"/>
          </w:tcPr>
          <w:p w:rsidRPr="00AD4F6B" w:rsidR="00301079" w:rsidP="00CD1F3B" w:rsidRDefault="00301079" w14:paraId="6B53F3D4" w14:textId="77777777">
            <w:pPr>
              <w:pStyle w:val="In-tableHeading"/>
              <w:rPr>
                <w:lang w:val="en-AU"/>
              </w:rPr>
            </w:pPr>
            <w:r w:rsidRPr="00AD4F6B">
              <w:rPr>
                <w:lang w:val="en-AU"/>
              </w:rPr>
              <w:t>Component</w:t>
            </w:r>
          </w:p>
        </w:tc>
        <w:tc>
          <w:tcPr>
            <w:tcW w:w="897" w:type="pct"/>
          </w:tcPr>
          <w:p w:rsidRPr="00AD4F6B" w:rsidR="00301079" w:rsidP="00CD1F3B" w:rsidRDefault="00301079" w14:paraId="0EBDF4C5" w14:textId="77777777">
            <w:pPr>
              <w:pStyle w:val="In-tableHeading"/>
              <w:jc w:val="center"/>
              <w:rPr>
                <w:lang w:val="en-AU"/>
              </w:rPr>
            </w:pPr>
            <w:r w:rsidRPr="00AD4F6B">
              <w:rPr>
                <w:lang w:val="en-AU"/>
              </w:rPr>
              <w:t>Up to 21 kg</w:t>
            </w:r>
          </w:p>
        </w:tc>
        <w:tc>
          <w:tcPr>
            <w:tcW w:w="897" w:type="pct"/>
          </w:tcPr>
          <w:p w:rsidRPr="00AD4F6B" w:rsidR="00301079" w:rsidP="00CD1F3B" w:rsidRDefault="00301079" w14:paraId="2863DAA5" w14:textId="77777777">
            <w:pPr>
              <w:pStyle w:val="In-tableHeading"/>
              <w:jc w:val="center"/>
              <w:rPr>
                <w:lang w:val="en-AU"/>
              </w:rPr>
            </w:pPr>
            <w:r w:rsidRPr="00AD4F6B">
              <w:rPr>
                <w:lang w:val="en-AU"/>
              </w:rPr>
              <w:t>≤9 months of age</w:t>
            </w:r>
          </w:p>
        </w:tc>
        <w:tc>
          <w:tcPr>
            <w:tcW w:w="897" w:type="pct"/>
          </w:tcPr>
          <w:p w:rsidRPr="00AD4F6B" w:rsidR="00301079" w:rsidP="00CD1F3B" w:rsidRDefault="00301079" w14:paraId="19C7C4CF" w14:textId="77777777">
            <w:pPr>
              <w:pStyle w:val="In-tableHeading"/>
              <w:jc w:val="center"/>
              <w:rPr>
                <w:lang w:val="en-AU"/>
              </w:rPr>
            </w:pPr>
            <w:r w:rsidRPr="00AD4F6B">
              <w:rPr>
                <w:lang w:val="en-AU"/>
              </w:rPr>
              <w:t>Up to 21 kg</w:t>
            </w:r>
          </w:p>
        </w:tc>
        <w:tc>
          <w:tcPr>
            <w:tcW w:w="897" w:type="pct"/>
          </w:tcPr>
          <w:p w:rsidRPr="00AD4F6B" w:rsidR="00301079" w:rsidP="00CD1F3B" w:rsidRDefault="00301079" w14:paraId="1FD5FD03" w14:textId="77777777">
            <w:pPr>
              <w:pStyle w:val="In-tableHeading"/>
              <w:jc w:val="center"/>
              <w:rPr>
                <w:lang w:val="en-AU"/>
              </w:rPr>
            </w:pPr>
            <w:r w:rsidRPr="00AD4F6B">
              <w:rPr>
                <w:lang w:val="en-AU"/>
              </w:rPr>
              <w:t>≤9 months of age</w:t>
            </w:r>
          </w:p>
        </w:tc>
      </w:tr>
      <w:tr w:rsidRPr="00AD4F6B" w:rsidR="00AD4F6B" w:rsidTr="00EA35AC" w14:paraId="7802F312" w14:textId="77777777">
        <w:tc>
          <w:tcPr>
            <w:tcW w:w="1412" w:type="pct"/>
          </w:tcPr>
          <w:p w:rsidRPr="00AD4F6B" w:rsidR="00301079" w:rsidP="00CD1F3B" w:rsidRDefault="00301079" w14:paraId="229045DF" w14:textId="77777777">
            <w:pPr>
              <w:pStyle w:val="TableText0"/>
            </w:pPr>
            <w:r w:rsidRPr="00AD4F6B">
              <w:t>Cost per dose</w:t>
            </w:r>
          </w:p>
        </w:tc>
        <w:tc>
          <w:tcPr>
            <w:tcW w:w="897" w:type="pct"/>
          </w:tcPr>
          <w:p w:rsidRPr="00E55046" w:rsidR="00301079" w:rsidP="00CD1F3B" w:rsidRDefault="00301079" w14:paraId="13D54F43" w14:textId="7DD8052E">
            <w:pPr>
              <w:pStyle w:val="TableText0"/>
              <w:jc w:val="center"/>
            </w:pPr>
            <w:r w:rsidRPr="00E55046">
              <w:t>$2,527,773.87</w:t>
            </w:r>
          </w:p>
        </w:tc>
        <w:tc>
          <w:tcPr>
            <w:tcW w:w="897" w:type="pct"/>
          </w:tcPr>
          <w:p w:rsidRPr="00E55046" w:rsidR="00301079" w:rsidP="00CD1F3B" w:rsidRDefault="00301079" w14:paraId="794E693F" w14:textId="634BBBE8">
            <w:pPr>
              <w:pStyle w:val="TableText0"/>
              <w:jc w:val="center"/>
            </w:pPr>
            <w:r w:rsidRPr="00E55046">
              <w:t>$2,527,773.87</w:t>
            </w:r>
          </w:p>
        </w:tc>
        <w:tc>
          <w:tcPr>
            <w:tcW w:w="897" w:type="pct"/>
          </w:tcPr>
          <w:p w:rsidRPr="00F03AD6" w:rsidR="00301079" w:rsidP="00CD1F3B" w:rsidRDefault="00301079" w14:paraId="502880A9" w14:textId="487B2DD7">
            <w:pPr>
              <w:pStyle w:val="TableText0"/>
              <w:jc w:val="center"/>
              <w:rPr>
                <w:highlight w:val="darkGray"/>
              </w:rPr>
            </w:pPr>
            <w:r w:rsidRPr="00426BDC">
              <w:t>$</w:t>
            </w:r>
            <w:r w:rsidRPr="00C554FC" w:rsidR="00C554FC">
              <w:rPr>
                <w:highlight w:val="black"/>
              </w:rPr>
              <w:t>&amp;&amp;&amp;&amp;</w:t>
            </w:r>
          </w:p>
        </w:tc>
        <w:tc>
          <w:tcPr>
            <w:tcW w:w="897" w:type="pct"/>
          </w:tcPr>
          <w:p w:rsidRPr="00F03AD6" w:rsidR="00301079" w:rsidP="00CD1F3B" w:rsidRDefault="00301079" w14:paraId="3CDCA717" w14:textId="18C8E349">
            <w:pPr>
              <w:pStyle w:val="TableText0"/>
              <w:jc w:val="center"/>
              <w:rPr>
                <w:highlight w:val="darkGray"/>
              </w:rPr>
            </w:pPr>
            <w:r w:rsidRPr="00426BDC">
              <w:t>$</w:t>
            </w:r>
            <w:r w:rsidRPr="00C554FC" w:rsidR="00C554FC">
              <w:rPr>
                <w:highlight w:val="black"/>
              </w:rPr>
              <w:t>&amp;&amp;&amp;&amp;</w:t>
            </w:r>
          </w:p>
        </w:tc>
      </w:tr>
      <w:tr w:rsidRPr="00AD4F6B" w:rsidR="00AD4F6B" w:rsidTr="00EA35AC" w14:paraId="03A82EF0" w14:textId="77777777">
        <w:tc>
          <w:tcPr>
            <w:tcW w:w="1412" w:type="pct"/>
          </w:tcPr>
          <w:p w:rsidRPr="00AD4F6B" w:rsidR="00301079" w:rsidP="00CD1F3B" w:rsidRDefault="00301079" w14:paraId="2433F1F3" w14:textId="77777777">
            <w:pPr>
              <w:pStyle w:val="TableText0"/>
            </w:pPr>
            <w:r w:rsidRPr="00AD4F6B">
              <w:t>Total number of doses (lifetime)</w:t>
            </w:r>
          </w:p>
        </w:tc>
        <w:tc>
          <w:tcPr>
            <w:tcW w:w="897" w:type="pct"/>
          </w:tcPr>
          <w:p w:rsidRPr="00E55046" w:rsidR="00301079" w:rsidP="00CD1F3B" w:rsidRDefault="00301079" w14:paraId="77D5CD38" w14:textId="77777777">
            <w:pPr>
              <w:pStyle w:val="TableText0"/>
              <w:jc w:val="center"/>
            </w:pPr>
            <w:r w:rsidRPr="00E55046">
              <w:t>1</w:t>
            </w:r>
          </w:p>
        </w:tc>
        <w:tc>
          <w:tcPr>
            <w:tcW w:w="897" w:type="pct"/>
          </w:tcPr>
          <w:p w:rsidRPr="00E55046" w:rsidR="00301079" w:rsidP="00CD1F3B" w:rsidRDefault="00301079" w14:paraId="602EC44B" w14:textId="77777777">
            <w:pPr>
              <w:pStyle w:val="TableText0"/>
              <w:jc w:val="center"/>
            </w:pPr>
            <w:r w:rsidRPr="00E55046">
              <w:t>1</w:t>
            </w:r>
          </w:p>
        </w:tc>
        <w:tc>
          <w:tcPr>
            <w:tcW w:w="897" w:type="pct"/>
          </w:tcPr>
          <w:p w:rsidRPr="00E55046" w:rsidR="00301079" w:rsidP="00CD1F3B" w:rsidRDefault="00301079" w14:paraId="7D2D6143" w14:textId="77777777">
            <w:pPr>
              <w:pStyle w:val="TableText0"/>
              <w:jc w:val="center"/>
            </w:pPr>
            <w:r w:rsidRPr="00E55046">
              <w:t>1</w:t>
            </w:r>
          </w:p>
        </w:tc>
        <w:tc>
          <w:tcPr>
            <w:tcW w:w="897" w:type="pct"/>
          </w:tcPr>
          <w:p w:rsidRPr="00E55046" w:rsidR="00301079" w:rsidP="00CD1F3B" w:rsidRDefault="00301079" w14:paraId="50F93662" w14:textId="77777777">
            <w:pPr>
              <w:pStyle w:val="TableText0"/>
              <w:jc w:val="center"/>
            </w:pPr>
            <w:r w:rsidRPr="00E55046">
              <w:t>1</w:t>
            </w:r>
          </w:p>
        </w:tc>
      </w:tr>
      <w:tr w:rsidRPr="00AD4F6B" w:rsidR="00AD4F6B" w:rsidTr="00EA35AC" w14:paraId="451AC1BA" w14:textId="77777777">
        <w:tc>
          <w:tcPr>
            <w:tcW w:w="1412" w:type="pct"/>
          </w:tcPr>
          <w:p w:rsidRPr="00AD4F6B" w:rsidR="00301079" w:rsidP="00CD1F3B" w:rsidRDefault="00301079" w14:paraId="661D5ECA" w14:textId="77777777">
            <w:pPr>
              <w:pStyle w:val="TableText0"/>
            </w:pPr>
            <w:r w:rsidRPr="00AD4F6B">
              <w:t>Total medicine cost per lifetime</w:t>
            </w:r>
          </w:p>
        </w:tc>
        <w:tc>
          <w:tcPr>
            <w:tcW w:w="897" w:type="pct"/>
          </w:tcPr>
          <w:p w:rsidRPr="00E55046" w:rsidR="00301079" w:rsidP="00CD1F3B" w:rsidRDefault="00301079" w14:paraId="0FCA4EAB" w14:textId="4AC4136F">
            <w:pPr>
              <w:pStyle w:val="TableText0"/>
              <w:jc w:val="center"/>
            </w:pPr>
            <w:r w:rsidRPr="00E55046">
              <w:t>$2,527,773</w:t>
            </w:r>
            <w:r w:rsidRPr="00E55046" w:rsidR="00C82CE8">
              <w:t>.</w:t>
            </w:r>
            <w:r w:rsidRPr="00E55046">
              <w:t>87</w:t>
            </w:r>
          </w:p>
        </w:tc>
        <w:tc>
          <w:tcPr>
            <w:tcW w:w="897" w:type="pct"/>
          </w:tcPr>
          <w:p w:rsidRPr="00E55046" w:rsidR="00301079" w:rsidP="00CD1F3B" w:rsidRDefault="00301079" w14:paraId="5F389D15" w14:textId="5F2A5646">
            <w:pPr>
              <w:pStyle w:val="TableText0"/>
              <w:jc w:val="center"/>
            </w:pPr>
            <w:r w:rsidRPr="00E55046">
              <w:t>$2,527,773</w:t>
            </w:r>
            <w:r w:rsidRPr="00E55046" w:rsidR="00C82CE8">
              <w:t>.</w:t>
            </w:r>
            <w:r w:rsidRPr="00E55046">
              <w:t>87</w:t>
            </w:r>
          </w:p>
        </w:tc>
        <w:tc>
          <w:tcPr>
            <w:tcW w:w="897" w:type="pct"/>
          </w:tcPr>
          <w:p w:rsidRPr="00F03AD6" w:rsidR="00301079" w:rsidP="00CD1F3B" w:rsidRDefault="00301079" w14:paraId="19EF19DB" w14:textId="1801922A">
            <w:pPr>
              <w:pStyle w:val="TableText0"/>
              <w:jc w:val="center"/>
              <w:rPr>
                <w:highlight w:val="darkGray"/>
              </w:rPr>
            </w:pPr>
            <w:r w:rsidRPr="00426BDC">
              <w:t>$</w:t>
            </w:r>
            <w:r w:rsidRPr="00C554FC" w:rsidR="00C554FC">
              <w:rPr>
                <w:highlight w:val="black"/>
              </w:rPr>
              <w:t>&amp;&amp;&amp;&amp;</w:t>
            </w:r>
          </w:p>
        </w:tc>
        <w:tc>
          <w:tcPr>
            <w:tcW w:w="897" w:type="pct"/>
          </w:tcPr>
          <w:p w:rsidRPr="00F03AD6" w:rsidR="00301079" w:rsidP="00CD1F3B" w:rsidRDefault="00301079" w14:paraId="04BF9744" w14:textId="3410973A">
            <w:pPr>
              <w:pStyle w:val="TableText0"/>
              <w:jc w:val="center"/>
              <w:rPr>
                <w:highlight w:val="darkGray"/>
              </w:rPr>
            </w:pPr>
            <w:r w:rsidRPr="00426BDC">
              <w:t>$</w:t>
            </w:r>
            <w:r w:rsidRPr="00C554FC" w:rsidR="00C554FC">
              <w:rPr>
                <w:highlight w:val="black"/>
              </w:rPr>
              <w:t>&amp;&amp;&amp;&amp;</w:t>
            </w:r>
          </w:p>
        </w:tc>
      </w:tr>
    </w:tbl>
    <w:p w:rsidRPr="00AD4F6B" w:rsidR="00301079" w:rsidP="00CD1F3B" w:rsidRDefault="00301079" w14:paraId="2E86D4FD" w14:textId="77777777">
      <w:pPr>
        <w:pStyle w:val="FooterTableFigure"/>
        <w:keepNext/>
        <w:keepLines/>
        <w:spacing w:after="0"/>
      </w:pPr>
      <w:r w:rsidRPr="00AD4F6B">
        <w:t>Source: Table 3.2, p97 of the submission.</w:t>
      </w:r>
    </w:p>
    <w:p w:rsidR="00301079" w:rsidP="00CD1F3B" w:rsidRDefault="00301079" w14:paraId="0BFBD4B6" w14:textId="64293C29">
      <w:pPr>
        <w:pStyle w:val="FooterTableFigure"/>
        <w:keepNext/>
        <w:keepLines/>
        <w:spacing w:after="0"/>
      </w:pPr>
      <w:r w:rsidRPr="00AD4F6B">
        <w:t xml:space="preserve">AEMP= approved ex-manufacturer price; ONA= onasemnogene abeparvovec; SMA= spinal muscular atrophy; </w:t>
      </w:r>
      <w:r w:rsidRPr="00AD4F6B">
        <w:rPr>
          <w:i/>
          <w:iCs/>
        </w:rPr>
        <w:t>SMN2</w:t>
      </w:r>
      <w:r w:rsidRPr="00AD4F6B">
        <w:t>= survival of motor neuron 2</w:t>
      </w:r>
    </w:p>
    <w:p w:rsidRPr="00AD4F6B" w:rsidR="00DC1E6F" w:rsidP="00DC1E6F" w:rsidRDefault="00644561" w14:paraId="29EBD7E9" w14:textId="7722A633">
      <w:pPr>
        <w:pStyle w:val="3-BodyText"/>
        <w:numPr>
          <w:ilvl w:val="1"/>
          <w:numId w:val="1"/>
        </w:numPr>
      </w:pPr>
      <w:r w:rsidRPr="00AD4F6B">
        <w:t xml:space="preserve">The sponsor proposed the same effective price for the listing of ONA for patients weighing up to 21kg as is currently agreed upon for each indication. </w:t>
      </w:r>
      <w:bookmarkStart w:name="_Ref207960914" w:id="54"/>
      <w:r w:rsidRPr="00AD4F6B" w:rsidR="00DC1E6F">
        <w:t xml:space="preserve">The current listing of ONA for patients 9 months of age and younger has an effective price by way of a special pricing arrangement (SPA) for the two patient populations; i) Type I patients and pre-symptomatic SMA patients with 1-2 copies of the </w:t>
      </w:r>
      <w:r w:rsidRPr="00AD4F6B" w:rsidR="00DC1E6F">
        <w:rPr>
          <w:i/>
          <w:iCs/>
        </w:rPr>
        <w:t>SMN2</w:t>
      </w:r>
      <w:r w:rsidRPr="00AD4F6B" w:rsidR="00DC1E6F">
        <w:t xml:space="preserve"> gene (effective price of $</w:t>
      </w:r>
      <w:r w:rsidRPr="00C554FC" w:rsidR="00C554FC">
        <w:rPr>
          <w:highlight w:val="black"/>
        </w:rPr>
        <w:t>&amp;&amp;&amp;&amp;</w:t>
      </w:r>
      <w:r w:rsidRPr="00AD4F6B" w:rsidR="00DC1E6F">
        <w:t xml:space="preserve">) and ii) pre-symptomatic SMA patients with three copies of the </w:t>
      </w:r>
      <w:r w:rsidRPr="00AD4F6B" w:rsidR="00DC1E6F">
        <w:rPr>
          <w:i/>
          <w:iCs/>
        </w:rPr>
        <w:t>SMN2</w:t>
      </w:r>
      <w:r w:rsidRPr="00AD4F6B" w:rsidR="00DC1E6F">
        <w:t xml:space="preserve"> gene (effective price of $</w:t>
      </w:r>
      <w:r w:rsidRPr="00C554FC" w:rsidR="00C554FC">
        <w:rPr>
          <w:highlight w:val="black"/>
        </w:rPr>
        <w:t>&amp;&amp;&amp;&amp;</w:t>
      </w:r>
      <w:r w:rsidRPr="00AD4F6B" w:rsidR="00DC1E6F">
        <w:t>). The lower effective price for the pre-symptomatic treatment of patients with three copies of the SMN2 gene compared to pre-symptomatic treatment of patients with 1-2 copies, was reflective of the PBAC’s consideration that “the smaller clinical benefit for patients with 3 SMN2 copies would require the price of ONA to be lower than for the current listing for it to be similarly cost-effective” (paragraph 7.10, onasemnogene abeparvovec PSD, November 2022 PBAC meeting).</w:t>
      </w:r>
      <w:bookmarkEnd w:id="54"/>
      <w:r w:rsidRPr="00AD4F6B" w:rsidR="00DC1E6F">
        <w:t xml:space="preserve"> </w:t>
      </w:r>
    </w:p>
    <w:p w:rsidRPr="00AD4F6B" w:rsidR="0035768E" w:rsidRDefault="004802E1" w14:paraId="31515D09" w14:textId="5AF02B4F">
      <w:pPr>
        <w:pStyle w:val="3-BodyText"/>
      </w:pPr>
      <w:r w:rsidRPr="00AD4F6B">
        <w:t xml:space="preserve">The </w:t>
      </w:r>
      <w:r w:rsidRPr="00AD4F6B" w:rsidR="00E44D47">
        <w:t xml:space="preserve">cost effectiveness of any DMT in the </w:t>
      </w:r>
      <w:r w:rsidRPr="00AD4F6B" w:rsidR="00391167">
        <w:t xml:space="preserve">untreated </w:t>
      </w:r>
      <w:r w:rsidRPr="00AD4F6B" w:rsidR="00E44D47">
        <w:t xml:space="preserve">pre-symptomatic SMA </w:t>
      </w:r>
      <w:r w:rsidRPr="00AD4F6B" w:rsidR="009B52CA">
        <w:t xml:space="preserve">population aged &gt;36 months </w:t>
      </w:r>
      <w:r w:rsidRPr="00AD4F6B" w:rsidR="00E44D47">
        <w:t>has not been fully established</w:t>
      </w:r>
      <w:r w:rsidRPr="00AD4F6B" w:rsidR="00BC5BDC">
        <w:t xml:space="preserve"> </w:t>
      </w:r>
      <w:r w:rsidRPr="00AD4F6B" w:rsidR="00E44D47">
        <w:t>due to uncertainty in the magnitude of incremental benefit compared to symptomatic treatment</w:t>
      </w:r>
      <w:r w:rsidRPr="00AD4F6B" w:rsidR="00814A3B">
        <w:t xml:space="preserve">. </w:t>
      </w:r>
      <w:r w:rsidRPr="00AD4F6B" w:rsidR="0035768E">
        <w:t>The PSCR  stated “</w:t>
      </w:r>
      <w:r w:rsidRPr="00AD4F6B" w:rsidR="006C4789">
        <w:t>m</w:t>
      </w:r>
      <w:r w:rsidRPr="00AD4F6B" w:rsidR="0035768E">
        <w:t>aintaining the value in the same cost-minimisation boundaries as shown in the original submission against NUSI and RIS may mean that an age-limitation is appropriate”. The ESC agreed with the PSCR and considered that if the same cost for ONA as in the current listings is accepted for the proposed expanded population, it would be reasonable to align the restriction for ONA with the age restrictions for other DMT (&lt;36 months</w:t>
      </w:r>
      <w:r w:rsidRPr="00AD4F6B" w:rsidR="001627DA">
        <w:t xml:space="preserve"> at treatment initiation</w:t>
      </w:r>
      <w:r w:rsidRPr="00AD4F6B" w:rsidR="0035768E">
        <w:t>) for pre-symptomatic patients with 1-3 copies of SMN2.</w:t>
      </w:r>
    </w:p>
    <w:p w:rsidRPr="00AD4F6B" w:rsidR="00C0714F" w:rsidP="00C0714F" w:rsidRDefault="00C0714F" w14:paraId="1D20776F" w14:textId="360955D9">
      <w:pPr>
        <w:pStyle w:val="3-BodyText"/>
      </w:pPr>
      <w:r w:rsidRPr="00AD4F6B">
        <w:t xml:space="preserve">Cost minimisation approaches of ONA versus </w:t>
      </w:r>
      <w:r w:rsidRPr="00AD4F6B" w:rsidR="00FC5711">
        <w:t>NUSI</w:t>
      </w:r>
      <w:r w:rsidRPr="00AD4F6B">
        <w:t xml:space="preserve">, and ONA versus </w:t>
      </w:r>
      <w:r w:rsidRPr="00AD4F6B" w:rsidR="00FC5711">
        <w:t>RIS</w:t>
      </w:r>
      <w:r w:rsidRPr="00AD4F6B">
        <w:t xml:space="preserve"> (the appropriate comparators) </w:t>
      </w:r>
      <w:r w:rsidRPr="00AD4F6B" w:rsidR="00572CC3">
        <w:t xml:space="preserve">in the two proposed populations </w:t>
      </w:r>
      <w:r w:rsidRPr="00AD4F6B">
        <w:t>were performed during the evaluation.</w:t>
      </w:r>
      <w:r w:rsidRPr="00AD4F6B" w:rsidR="00087234">
        <w:t xml:space="preserve"> The</w:t>
      </w:r>
      <w:r w:rsidRPr="00AD4F6B" w:rsidR="00427374">
        <w:t xml:space="preserve"> PBAC noted that these analyses showed that ONA would be </w:t>
      </w:r>
      <w:r w:rsidRPr="00AD4F6B" w:rsidR="00373ED3">
        <w:t xml:space="preserve">cost-neutral or </w:t>
      </w:r>
      <w:r w:rsidRPr="00AD4F6B" w:rsidR="00427374">
        <w:t xml:space="preserve">cost-saving </w:t>
      </w:r>
      <w:r w:rsidRPr="00AD4F6B" w:rsidR="00533976">
        <w:t xml:space="preserve">compared with </w:t>
      </w:r>
      <w:r w:rsidRPr="00AD4F6B" w:rsidR="00073DEE">
        <w:t xml:space="preserve">NUSI or RIS </w:t>
      </w:r>
      <w:r w:rsidRPr="00AD4F6B" w:rsidR="0001678F">
        <w:t xml:space="preserve">(consistent with the </w:t>
      </w:r>
      <w:r w:rsidRPr="00AD4F6B" w:rsidR="00A02E9F">
        <w:t>CMA for ONA in patients &lt;9 months of age)</w:t>
      </w:r>
      <w:r w:rsidRPr="00AD4F6B" w:rsidR="00073DEE">
        <w:t>.</w:t>
      </w:r>
    </w:p>
    <w:p w:rsidRPr="00AD4F6B" w:rsidR="00293C58" w:rsidP="00293C58" w:rsidRDefault="00293C58" w14:paraId="6C152921" w14:textId="77777777">
      <w:pPr>
        <w:pStyle w:val="4-SubsectionHeading"/>
        <w:rPr>
          <w:color w:val="auto"/>
        </w:rPr>
      </w:pPr>
      <w:bookmarkStart w:name="_Toc209002914" w:id="55"/>
      <w:r w:rsidRPr="00AD4F6B">
        <w:rPr>
          <w:color w:val="auto"/>
        </w:rPr>
        <w:t>Drug cost/patient/course</w:t>
      </w:r>
      <w:bookmarkEnd w:id="55"/>
    </w:p>
    <w:p w:rsidRPr="00AD4F6B" w:rsidR="00293C58" w:rsidP="005A2BBF" w:rsidRDefault="00293C58" w14:paraId="02D7BD6B" w14:textId="7CE8DCDF">
      <w:pPr>
        <w:pStyle w:val="3-BodyText"/>
      </w:pPr>
      <w:r w:rsidRPr="00AD4F6B">
        <w:t xml:space="preserve">For SMA Type I patients and pre-symptomatic SMA patients with 1-2 copies of the </w:t>
      </w:r>
      <w:r w:rsidRPr="00AD4F6B">
        <w:rPr>
          <w:i/>
          <w:iCs/>
        </w:rPr>
        <w:t xml:space="preserve">SMN2 </w:t>
      </w:r>
      <w:r w:rsidRPr="00AD4F6B">
        <w:t>gene, the cost of ONA is $</w:t>
      </w:r>
      <w:r w:rsidRPr="00C554FC" w:rsidR="00C554FC">
        <w:rPr>
          <w:highlight w:val="black"/>
        </w:rPr>
        <w:t>&amp;&amp;&amp;&amp;</w:t>
      </w:r>
      <w:r w:rsidRPr="00AD4F6B">
        <w:t xml:space="preserve"> per patient (administered only once in a lifetime).</w:t>
      </w:r>
    </w:p>
    <w:p w:rsidRPr="00AD4F6B" w:rsidR="00293C58" w:rsidP="005A2BBF" w:rsidRDefault="00293C58" w14:paraId="298A710A" w14:textId="7E45DF9F">
      <w:pPr>
        <w:pStyle w:val="3-BodyText"/>
      </w:pPr>
      <w:r w:rsidRPr="00AD4F6B">
        <w:t xml:space="preserve">For pre-symptomatic SMA patients with three copies of the </w:t>
      </w:r>
      <w:r w:rsidRPr="00AD4F6B">
        <w:rPr>
          <w:i/>
          <w:iCs/>
        </w:rPr>
        <w:t>SMN2</w:t>
      </w:r>
      <w:r w:rsidRPr="00AD4F6B">
        <w:t xml:space="preserve"> gene, the cost of ONA is $</w:t>
      </w:r>
      <w:r w:rsidRPr="00C554FC" w:rsidR="00C554FC">
        <w:rPr>
          <w:highlight w:val="black"/>
        </w:rPr>
        <w:t>&amp;&amp;&amp;&amp;</w:t>
      </w:r>
      <w:r w:rsidRPr="00AD4F6B">
        <w:t xml:space="preserve"> per patient (administered only once in a lifetime). </w:t>
      </w:r>
    </w:p>
    <w:p w:rsidRPr="00AD4F6B" w:rsidR="00B60939" w:rsidP="002B05A1" w:rsidRDefault="00B60939" w14:paraId="268768EF" w14:textId="6D33CC13">
      <w:pPr>
        <w:pStyle w:val="4-SubsectionHeading"/>
        <w:rPr>
          <w:color w:val="auto"/>
        </w:rPr>
      </w:pPr>
      <w:bookmarkStart w:name="_Toc22897647" w:id="56"/>
      <w:bookmarkStart w:name="_Toc209002915" w:id="57"/>
      <w:r w:rsidRPr="00AD4F6B">
        <w:rPr>
          <w:color w:val="auto"/>
        </w:rPr>
        <w:t>Estimated PBS usage &amp; financial implications</w:t>
      </w:r>
      <w:bookmarkEnd w:id="56"/>
      <w:bookmarkEnd w:id="57"/>
    </w:p>
    <w:p w:rsidRPr="00AD4F6B" w:rsidR="00E8522B" w:rsidP="00E8522B" w:rsidRDefault="00C25D9C" w14:paraId="644210E4" w14:textId="48218E83">
      <w:pPr>
        <w:pStyle w:val="3-BodyText"/>
      </w:pPr>
      <w:r w:rsidRPr="00AD4F6B">
        <w:t xml:space="preserve">This submission </w:t>
      </w:r>
      <w:r w:rsidRPr="00AD4F6B" w:rsidR="00B201A4">
        <w:t>w</w:t>
      </w:r>
      <w:r w:rsidRPr="00AD4F6B" w:rsidR="0043407A">
        <w:t>as</w:t>
      </w:r>
      <w:r w:rsidRPr="00AD4F6B">
        <w:t xml:space="preserve"> not</w:t>
      </w:r>
      <w:r w:rsidRPr="00AD4F6B" w:rsidR="00D23D11">
        <w:t xml:space="preserve"> </w:t>
      </w:r>
      <w:r w:rsidRPr="00AD4F6B">
        <w:t>considered by DUSC.</w:t>
      </w:r>
      <w:r w:rsidRPr="00AD4F6B" w:rsidR="00E8522B">
        <w:t xml:space="preserve"> The submission took the following steps in estimating the utilisation and financial impact of extending the PBS listing for ONA for the treatment of paediatric SMA patients weighing up to 21kg:</w:t>
      </w:r>
    </w:p>
    <w:p w:rsidRPr="00AD4F6B" w:rsidR="00911606" w:rsidP="00DF6232" w:rsidRDefault="00E8522B" w14:paraId="2C3D813C" w14:textId="77777777">
      <w:pPr>
        <w:pStyle w:val="3-BodyText"/>
        <w:numPr>
          <w:ilvl w:val="0"/>
          <w:numId w:val="6"/>
        </w:numPr>
        <w:spacing w:before="0" w:after="120"/>
        <w:ind w:left="1080"/>
      </w:pPr>
      <w:r w:rsidRPr="00AD4F6B">
        <w:t xml:space="preserve">Estimated the eligible population based on data from the sponsor’s internal </w:t>
      </w:r>
      <w:proofErr w:type="gramStart"/>
      <w:r w:rsidRPr="00AD4F6B">
        <w:t>database;</w:t>
      </w:r>
      <w:proofErr w:type="gramEnd"/>
      <w:r w:rsidRPr="00AD4F6B">
        <w:t xml:space="preserve"> </w:t>
      </w:r>
    </w:p>
    <w:p w:rsidRPr="00AD4F6B" w:rsidR="00911606" w:rsidP="00DF6232" w:rsidRDefault="00E8522B" w14:paraId="51F403E1" w14:textId="77777777">
      <w:pPr>
        <w:pStyle w:val="3-BodyText"/>
        <w:numPr>
          <w:ilvl w:val="0"/>
          <w:numId w:val="6"/>
        </w:numPr>
        <w:spacing w:before="0" w:after="120"/>
        <w:ind w:left="1080"/>
      </w:pPr>
      <w:r w:rsidRPr="00AD4F6B">
        <w:t xml:space="preserve">Implicitly estimated the uptake of ONA; and </w:t>
      </w:r>
    </w:p>
    <w:p w:rsidRPr="00AD4F6B" w:rsidR="00E8522B" w:rsidP="00DF6232" w:rsidRDefault="00E8522B" w14:paraId="0FDFEB55" w14:textId="6AAF47E9">
      <w:pPr>
        <w:pStyle w:val="3-BodyText"/>
        <w:numPr>
          <w:ilvl w:val="0"/>
          <w:numId w:val="6"/>
        </w:numPr>
        <w:spacing w:before="0" w:after="120"/>
        <w:ind w:left="1080"/>
      </w:pPr>
      <w:r w:rsidRPr="00AD4F6B">
        <w:t xml:space="preserve">Applied relevant prices to estimate the cost of ONA (at published and effective prices), </w:t>
      </w:r>
      <w:r w:rsidRPr="00AD4F6B" w:rsidR="00846BFF">
        <w:t xml:space="preserve">and </w:t>
      </w:r>
      <w:r w:rsidRPr="00AD4F6B">
        <w:t>the net cost for the PBS/RPBS and the Commonwealth health budget.</w:t>
      </w:r>
    </w:p>
    <w:p w:rsidRPr="00AD4F6B" w:rsidR="004F7281" w:rsidP="00D41863" w:rsidRDefault="004818C3" w14:paraId="79DC4A8B" w14:textId="5898E23C">
      <w:pPr>
        <w:pStyle w:val="3-BodyText"/>
      </w:pPr>
      <w:r w:rsidRPr="00AD4F6B">
        <w:t xml:space="preserve">The submission did not apply any cost offsets for the expected treatments estimated to be substituted for by ONA. This approach </w:t>
      </w:r>
      <w:r w:rsidRPr="00AD4F6B" w:rsidR="00D0175B">
        <w:t>overestimate</w:t>
      </w:r>
      <w:r w:rsidRPr="00AD4F6B" w:rsidR="00D41863">
        <w:t>d</w:t>
      </w:r>
      <w:r w:rsidRPr="00AD4F6B" w:rsidR="00D0175B">
        <w:t xml:space="preserve"> the impact of listing</w:t>
      </w:r>
      <w:r w:rsidRPr="00AD4F6B" w:rsidR="00B23C42">
        <w:t xml:space="preserve"> as with exclusion of pre-symptomatic patients </w:t>
      </w:r>
      <w:r w:rsidRPr="00AD4F6B" w:rsidR="002303B1">
        <w:t>&gt;36 months untreated with DMTs, all patients would otherwise be eligible for treatment with NUSI or RIS</w:t>
      </w:r>
      <w:r w:rsidRPr="00AD4F6B" w:rsidR="003E55BA">
        <w:t xml:space="preserve">. </w:t>
      </w:r>
      <w:r w:rsidRPr="00AD4F6B" w:rsidR="00D41863">
        <w:t>G</w:t>
      </w:r>
      <w:r w:rsidRPr="00AD4F6B">
        <w:t xml:space="preserve">iven </w:t>
      </w:r>
      <w:r w:rsidRPr="00AD4F6B" w:rsidR="00FC5711">
        <w:t>RIS</w:t>
      </w:r>
      <w:r w:rsidRPr="00AD4F6B">
        <w:t xml:space="preserve"> was recommended on a cost minimisation basis to </w:t>
      </w:r>
      <w:r w:rsidRPr="00AD4F6B" w:rsidR="00FC5711">
        <w:t>NUSI</w:t>
      </w:r>
      <w:r w:rsidRPr="00AD4F6B">
        <w:t xml:space="preserve"> (paragraph 7.1, risdiplam PSD, March 2021 meeting), and ONA was cost minimised against </w:t>
      </w:r>
      <w:r w:rsidRPr="00AD4F6B" w:rsidR="00FC5711">
        <w:t>RIS</w:t>
      </w:r>
      <w:r w:rsidRPr="00AD4F6B">
        <w:t xml:space="preserve"> (paragraph 9.1, onasemnogene abeparvovec PSD, September 2021 PBAC meeting)</w:t>
      </w:r>
      <w:r w:rsidRPr="00AD4F6B" w:rsidR="00B563BA">
        <w:t xml:space="preserve"> </w:t>
      </w:r>
      <w:r w:rsidRPr="00AD4F6B">
        <w:t>overall, the costs of expanding the listing of ONA in this population should be at least cost neutral</w:t>
      </w:r>
      <w:r w:rsidRPr="00AD4F6B" w:rsidR="00BC43A2">
        <w:t>, though upfront costs for ONA are higher</w:t>
      </w:r>
      <w:r w:rsidRPr="00AD4F6B" w:rsidR="00B563BA">
        <w:t xml:space="preserve">. </w:t>
      </w:r>
      <w:r w:rsidRPr="00AD4F6B">
        <w:t xml:space="preserve"> </w:t>
      </w:r>
      <w:r w:rsidRPr="00AD4F6B" w:rsidR="00BC43A2">
        <w:t>T</w:t>
      </w:r>
      <w:r w:rsidRPr="00AD4F6B" w:rsidR="00B563BA">
        <w:t xml:space="preserve">he outcomes-based RSA (see paragraph </w:t>
      </w:r>
      <w:r w:rsidRPr="00AD4F6B" w:rsidR="00B563BA">
        <w:fldChar w:fldCharType="begin"/>
      </w:r>
      <w:r w:rsidRPr="00AD4F6B" w:rsidR="00B563BA">
        <w:instrText xml:space="preserve"> REF _Ref208069802 \r \h  \* MERGEFORMAT </w:instrText>
      </w:r>
      <w:r w:rsidRPr="00AD4F6B" w:rsidR="00B563BA">
        <w:fldChar w:fldCharType="separate"/>
      </w:r>
      <w:r w:rsidR="00F0459B">
        <w:t>6.67</w:t>
      </w:r>
      <w:r w:rsidRPr="00AD4F6B" w:rsidR="00B563BA">
        <w:fldChar w:fldCharType="end"/>
      </w:r>
      <w:r w:rsidRPr="00AD4F6B" w:rsidR="00B563BA">
        <w:t>)</w:t>
      </w:r>
      <w:r w:rsidRPr="00AD4F6B" w:rsidR="00BC43A2">
        <w:t xml:space="preserve"> </w:t>
      </w:r>
      <w:r w:rsidRPr="00AD4F6B" w:rsidR="009A188C">
        <w:t>would maintain this cost-neutrality</w:t>
      </w:r>
      <w:r w:rsidRPr="00AD4F6B" w:rsidR="00B563BA">
        <w:t xml:space="preserve">, </w:t>
      </w:r>
      <w:r w:rsidRPr="00AD4F6B">
        <w:t xml:space="preserve">unless </w:t>
      </w:r>
      <w:r w:rsidRPr="00C554FC" w:rsidR="00C554FC">
        <w:rPr>
          <w:highlight w:val="black"/>
        </w:rPr>
        <w:t>&amp;&amp;&amp;&amp;</w:t>
      </w:r>
      <w:r w:rsidRPr="00C554FC" w:rsidR="00C554FC">
        <w:t xml:space="preserve"> </w:t>
      </w:r>
      <w:r w:rsidRPr="00C554FC" w:rsidR="00C554FC">
        <w:rPr>
          <w:highlight w:val="black"/>
        </w:rPr>
        <w:t>&amp;&amp;&amp;&amp;</w:t>
      </w:r>
      <w:r w:rsidRPr="00C554FC" w:rsidR="00C554FC">
        <w:t xml:space="preserve"> </w:t>
      </w:r>
      <w:r w:rsidRPr="00C554FC" w:rsidR="00C554FC">
        <w:rPr>
          <w:highlight w:val="black"/>
        </w:rPr>
        <w:t>&amp;&amp;&amp;&amp;</w:t>
      </w:r>
      <w:r w:rsidRPr="00C554FC" w:rsidR="00C554FC">
        <w:t xml:space="preserve"> </w:t>
      </w:r>
      <w:r w:rsidRPr="00C554FC" w:rsidR="00C554FC">
        <w:rPr>
          <w:highlight w:val="black"/>
        </w:rPr>
        <w:t>&amp;&amp;&amp;&amp;</w:t>
      </w:r>
      <w:r w:rsidRPr="00C554FC" w:rsidR="00C554FC">
        <w:t xml:space="preserve"> </w:t>
      </w:r>
      <w:r w:rsidRPr="00C554FC" w:rsidR="00C554FC">
        <w:rPr>
          <w:highlight w:val="black"/>
        </w:rPr>
        <w:t>&amp;&amp;&amp;&amp;</w:t>
      </w:r>
      <w:r w:rsidRPr="00C554FC" w:rsidR="00C554FC">
        <w:t xml:space="preserve"> </w:t>
      </w:r>
      <w:r w:rsidRPr="00C554FC" w:rsidR="00C554FC">
        <w:rPr>
          <w:highlight w:val="black"/>
        </w:rPr>
        <w:t>&amp;&amp;&amp;&amp;</w:t>
      </w:r>
      <w:r w:rsidRPr="006A0DEB">
        <w:t xml:space="preserve"> </w:t>
      </w:r>
      <w:r w:rsidRPr="00AD4F6B">
        <w:t>and is not covered by the RSA</w:t>
      </w:r>
      <w:r w:rsidRPr="00AD4F6B" w:rsidR="00B319A9">
        <w:t>.</w:t>
      </w:r>
      <w:r w:rsidRPr="00AD4F6B" w:rsidR="00B563BA">
        <w:t xml:space="preserve"> </w:t>
      </w:r>
    </w:p>
    <w:p w:rsidRPr="00AD4F6B" w:rsidR="00DB11CB" w:rsidP="00B3078C" w:rsidRDefault="00E44433" w14:paraId="7ECA6FC8" w14:textId="69CB22C5">
      <w:pPr>
        <w:pStyle w:val="3-BodyText"/>
      </w:pPr>
      <w:r w:rsidRPr="00AD4F6B">
        <w:t xml:space="preserve">The submission utilised information from the sponsor’s internal patient tracking database (IPTD) and medical experts to estimate the </w:t>
      </w:r>
      <w:r w:rsidRPr="00AD4F6B" w:rsidR="0055027A">
        <w:t xml:space="preserve">number of </w:t>
      </w:r>
      <w:r w:rsidRPr="00AD4F6B" w:rsidR="00436E00">
        <w:t xml:space="preserve">paediatric SMA patients weighing up to 21kg </w:t>
      </w:r>
      <w:r w:rsidRPr="00AD4F6B" w:rsidR="0055027A">
        <w:t>likely to be treated with</w:t>
      </w:r>
      <w:r w:rsidRPr="00AD4F6B">
        <w:t xml:space="preserve"> ONA. </w:t>
      </w:r>
      <w:r w:rsidRPr="00AD4F6B" w:rsidR="00D57C3C">
        <w:t xml:space="preserve">The pre-PBAC response noted that the IPTD has tracked all potential ONA patients, </w:t>
      </w:r>
      <w:r w:rsidRPr="00F47860" w:rsidR="00D57C3C">
        <w:t xml:space="preserve">with </w:t>
      </w:r>
      <w:r w:rsidRPr="00F47860" w:rsidR="00F46008">
        <w:t>&lt;</w:t>
      </w:r>
      <w:r w:rsidRPr="00F47860" w:rsidR="00425B54">
        <w:t xml:space="preserve"> </w:t>
      </w:r>
      <w:r w:rsidRPr="00F47860" w:rsidR="00F46008">
        <w:t>500</w:t>
      </w:r>
      <w:r w:rsidRPr="00F47860" w:rsidR="00D57C3C">
        <w:t xml:space="preserve"> not treated (</w:t>
      </w:r>
      <w:r w:rsidRPr="00F47860" w:rsidR="00F46008">
        <w:t>&lt;</w:t>
      </w:r>
      <w:r w:rsidRPr="00F47860" w:rsidR="00425B54">
        <w:t xml:space="preserve"> </w:t>
      </w:r>
      <w:r w:rsidRPr="00F47860" w:rsidR="00F46008">
        <w:t>500</w:t>
      </w:r>
      <w:r w:rsidR="0009039E">
        <w:t xml:space="preserve"> </w:t>
      </w:r>
      <w:r w:rsidRPr="00F47860" w:rsidR="00D57C3C">
        <w:t xml:space="preserve">declined, </w:t>
      </w:r>
      <w:r w:rsidRPr="00F47860" w:rsidR="00F46008">
        <w:t>&lt;</w:t>
      </w:r>
      <w:r w:rsidRPr="00F47860" w:rsidR="00425B54">
        <w:t xml:space="preserve"> </w:t>
      </w:r>
      <w:r w:rsidRPr="00F47860" w:rsidR="00F46008">
        <w:t>500</w:t>
      </w:r>
      <w:r w:rsidRPr="00F47860" w:rsidR="00D57C3C">
        <w:t xml:space="preserve"> had a high anti-AAV9 titre, and </w:t>
      </w:r>
      <w:r w:rsidRPr="00F47860" w:rsidR="00D87D55">
        <w:t>&lt;</w:t>
      </w:r>
      <w:r w:rsidRPr="00F47860" w:rsidR="00425B54">
        <w:t xml:space="preserve"> </w:t>
      </w:r>
      <w:r w:rsidRPr="00F47860" w:rsidR="00D87D55">
        <w:t>500</w:t>
      </w:r>
      <w:r w:rsidRPr="00F47860" w:rsidR="00D57C3C">
        <w:t xml:space="preserve"> we</w:t>
      </w:r>
      <w:r w:rsidRPr="00AD4F6B" w:rsidR="00D57C3C">
        <w:t xml:space="preserve">re diagnosed after 9 months). </w:t>
      </w:r>
      <w:r w:rsidRPr="00AD4F6B" w:rsidR="007300C7">
        <w:t xml:space="preserve">The ESC noted that some Australian patients eligible for treatment may have already been treated with ONA via the SMART trial. </w:t>
      </w:r>
      <w:r w:rsidRPr="00AD4F6B" w:rsidR="00F72FF6">
        <w:t xml:space="preserve">The ESC </w:t>
      </w:r>
      <w:r w:rsidRPr="00AD4F6B" w:rsidR="001C551D">
        <w:t xml:space="preserve">also </w:t>
      </w:r>
      <w:r w:rsidRPr="00AD4F6B" w:rsidR="00F72FF6">
        <w:t xml:space="preserve">noted that the </w:t>
      </w:r>
      <w:r w:rsidRPr="00AD4F6B" w:rsidR="007C115F">
        <w:t xml:space="preserve">population identified with </w:t>
      </w:r>
      <w:r w:rsidRPr="00AD4F6B" w:rsidR="00F72FF6">
        <w:t xml:space="preserve">pre-symptomatic </w:t>
      </w:r>
      <w:r w:rsidRPr="00AD4F6B" w:rsidR="007C115F">
        <w:t>SMA</w:t>
      </w:r>
      <w:r w:rsidRPr="00AD4F6B" w:rsidR="00F72FF6">
        <w:t xml:space="preserve"> is increasing over time as patients are identified via NBS</w:t>
      </w:r>
      <w:r w:rsidRPr="00AD4F6B" w:rsidR="00B11493">
        <w:t>.</w:t>
      </w:r>
      <w:r w:rsidRPr="00AD4F6B" w:rsidR="00DB11CB">
        <w:t xml:space="preserve"> </w:t>
      </w:r>
    </w:p>
    <w:p w:rsidRPr="00AD4F6B" w:rsidR="00E44433" w:rsidP="006D41B9" w:rsidRDefault="00AD39BD" w14:paraId="716399E4" w14:textId="671E1EF0">
      <w:pPr>
        <w:pStyle w:val="3-BodyText"/>
        <w:rPr>
          <w:rFonts w:cstheme="minorHAnsi"/>
          <w:szCs w:val="24"/>
        </w:rPr>
      </w:pPr>
      <w:r w:rsidRPr="00AD4F6B">
        <w:t xml:space="preserve">Key inputs </w:t>
      </w:r>
      <w:r w:rsidRPr="00AD4F6B" w:rsidR="00A61DFB">
        <w:t xml:space="preserve">used to estimate the financial impact are summarised </w:t>
      </w:r>
      <w:r w:rsidRPr="00AD4F6B" w:rsidR="00A61DFB">
        <w:rPr>
          <w:rFonts w:cstheme="minorHAnsi"/>
        </w:rPr>
        <w:t>in</w:t>
      </w:r>
      <w:r w:rsidRPr="00AD4F6B" w:rsidR="00A61DFB">
        <w:rPr>
          <w:rFonts w:cstheme="minorHAnsi"/>
          <w:szCs w:val="24"/>
        </w:rPr>
        <w:t xml:space="preserve"> </w:t>
      </w:r>
      <w:r w:rsidRPr="00AD4F6B" w:rsidR="00A61DFB">
        <w:rPr>
          <w:rFonts w:cstheme="minorHAnsi"/>
          <w:szCs w:val="24"/>
        </w:rPr>
        <w:fldChar w:fldCharType="begin"/>
      </w:r>
      <w:r w:rsidRPr="00AD4F6B" w:rsidR="00A61DFB">
        <w:rPr>
          <w:rFonts w:cstheme="minorHAnsi"/>
          <w:szCs w:val="24"/>
        </w:rPr>
        <w:instrText xml:space="preserve"> REF _Ref208008337 \h  \* MERGEFORMAT </w:instrText>
      </w:r>
      <w:r w:rsidRPr="00AD4F6B" w:rsidR="00A61DFB">
        <w:rPr>
          <w:rFonts w:cstheme="minorHAnsi"/>
          <w:szCs w:val="24"/>
        </w:rPr>
      </w:r>
      <w:r w:rsidRPr="00AD4F6B" w:rsidR="00A61DFB">
        <w:rPr>
          <w:rFonts w:cstheme="minorHAnsi"/>
          <w:szCs w:val="24"/>
        </w:rPr>
        <w:fldChar w:fldCharType="separate"/>
      </w:r>
      <w:r w:rsidRPr="00F0459B" w:rsidR="00F0459B">
        <w:rPr>
          <w:rStyle w:val="CommentReference"/>
          <w:rFonts w:asciiTheme="minorHAnsi" w:hAnsiTheme="minorHAnsi" w:cstheme="minorHAnsi"/>
          <w:b w:val="0"/>
          <w:bCs/>
          <w:sz w:val="24"/>
          <w:szCs w:val="24"/>
        </w:rPr>
        <w:t xml:space="preserve">Table </w:t>
      </w:r>
      <w:r w:rsidRPr="00F0459B" w:rsidR="00F0459B">
        <w:rPr>
          <w:rStyle w:val="CommentReference"/>
          <w:rFonts w:asciiTheme="minorHAnsi" w:hAnsiTheme="minorHAnsi" w:cstheme="minorHAnsi"/>
          <w:b w:val="0"/>
          <w:noProof/>
          <w:sz w:val="24"/>
          <w:szCs w:val="24"/>
        </w:rPr>
        <w:t>14</w:t>
      </w:r>
      <w:r w:rsidRPr="00AD4F6B" w:rsidR="00A61DFB">
        <w:rPr>
          <w:rFonts w:cstheme="minorHAnsi"/>
          <w:szCs w:val="24"/>
        </w:rPr>
        <w:fldChar w:fldCharType="end"/>
      </w:r>
      <w:r w:rsidRPr="00AD4F6B" w:rsidR="00A61DFB">
        <w:rPr>
          <w:rFonts w:cstheme="minorHAnsi"/>
          <w:szCs w:val="24"/>
        </w:rPr>
        <w:t>.</w:t>
      </w:r>
      <w:r w:rsidRPr="00AD4F6B" w:rsidR="006D41B9">
        <w:rPr>
          <w:rFonts w:cstheme="minorHAnsi"/>
          <w:szCs w:val="24"/>
        </w:rPr>
        <w:t xml:space="preserve"> </w:t>
      </w:r>
    </w:p>
    <w:p w:rsidRPr="00AD4F6B" w:rsidR="00A61DFB" w:rsidP="0032280A" w:rsidRDefault="00A61DFB" w14:paraId="4DE37C86" w14:textId="27976EF5">
      <w:pPr>
        <w:pStyle w:val="Caption"/>
        <w:keepLines w:val="0"/>
        <w:rPr>
          <w:rStyle w:val="CommentReference"/>
          <w:b/>
          <w:szCs w:val="24"/>
        </w:rPr>
      </w:pPr>
      <w:bookmarkStart w:name="_Ref208008337" w:id="58"/>
      <w:r w:rsidRPr="00AD4F6B">
        <w:rPr>
          <w:rStyle w:val="CommentReference"/>
          <w:b/>
          <w:szCs w:val="24"/>
        </w:rPr>
        <w:t xml:space="preserve">Table </w:t>
      </w:r>
      <w:r w:rsidRPr="00AD4F6B">
        <w:rPr>
          <w:rStyle w:val="CommentReference"/>
          <w:b/>
          <w:szCs w:val="24"/>
        </w:rPr>
        <w:fldChar w:fldCharType="begin"/>
      </w:r>
      <w:r w:rsidRPr="00AD4F6B">
        <w:rPr>
          <w:rStyle w:val="CommentReference"/>
          <w:b/>
          <w:szCs w:val="24"/>
        </w:rPr>
        <w:instrText xml:space="preserve"> SEQ Table \* ARABIC </w:instrText>
      </w:r>
      <w:r w:rsidRPr="00AD4F6B">
        <w:rPr>
          <w:rStyle w:val="CommentReference"/>
          <w:b/>
          <w:szCs w:val="24"/>
        </w:rPr>
        <w:fldChar w:fldCharType="separate"/>
      </w:r>
      <w:r w:rsidR="00F0459B">
        <w:rPr>
          <w:rStyle w:val="CommentReference"/>
          <w:b/>
          <w:noProof/>
          <w:szCs w:val="24"/>
        </w:rPr>
        <w:t>14</w:t>
      </w:r>
      <w:r w:rsidRPr="00AD4F6B">
        <w:rPr>
          <w:rStyle w:val="CommentReference"/>
          <w:b/>
          <w:szCs w:val="24"/>
        </w:rPr>
        <w:fldChar w:fldCharType="end"/>
      </w:r>
      <w:bookmarkEnd w:id="58"/>
      <w:r w:rsidRPr="00AD4F6B">
        <w:rPr>
          <w:rStyle w:val="CommentReference"/>
          <w:b/>
          <w:szCs w:val="24"/>
        </w:rPr>
        <w:t xml:space="preserve">: </w:t>
      </w:r>
      <w:r w:rsidRPr="00AD4F6B" w:rsidR="00AD39BD">
        <w:rPr>
          <w:rStyle w:val="CommentReference"/>
          <w:b/>
          <w:szCs w:val="24"/>
        </w:rPr>
        <w:t>Key inputs for financial estimates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14: Key inputs for financial estimates"/>
      </w:tblPr>
      <w:tblGrid>
        <w:gridCol w:w="1248"/>
        <w:gridCol w:w="3621"/>
        <w:gridCol w:w="4148"/>
      </w:tblGrid>
      <w:tr w:rsidRPr="00AD4F6B" w:rsidR="00AD4F6B" w:rsidTr="00EA35AC" w14:paraId="4537AB18" w14:textId="77777777">
        <w:trPr>
          <w:tblHeader/>
        </w:trPr>
        <w:tc>
          <w:tcPr>
            <w:tcW w:w="692" w:type="pct"/>
            <w:tcMar>
              <w:left w:w="20" w:type="dxa"/>
              <w:right w:w="20" w:type="dxa"/>
            </w:tcMar>
            <w:vAlign w:val="center"/>
          </w:tcPr>
          <w:p w:rsidRPr="00AD4F6B" w:rsidR="00A61DFB" w:rsidP="0032280A" w:rsidRDefault="00A61DFB" w14:paraId="2B2D0D54" w14:textId="77777777">
            <w:pPr>
              <w:pStyle w:val="In-tableHeading"/>
              <w:keepLines w:val="0"/>
              <w:jc w:val="center"/>
              <w:rPr>
                <w:lang w:val="en-AU"/>
              </w:rPr>
            </w:pPr>
            <w:r w:rsidRPr="00AD4F6B">
              <w:rPr>
                <w:lang w:val="en-AU"/>
              </w:rPr>
              <w:t>Data</w:t>
            </w:r>
          </w:p>
        </w:tc>
        <w:tc>
          <w:tcPr>
            <w:tcW w:w="2008" w:type="pct"/>
            <w:tcMar>
              <w:left w:w="20" w:type="dxa"/>
              <w:right w:w="20" w:type="dxa"/>
            </w:tcMar>
            <w:vAlign w:val="center"/>
          </w:tcPr>
          <w:p w:rsidRPr="00AD4F6B" w:rsidR="00A61DFB" w:rsidP="0032280A" w:rsidRDefault="00A61DFB" w14:paraId="7A651186" w14:textId="77777777">
            <w:pPr>
              <w:pStyle w:val="In-tableHeading"/>
              <w:keepLines w:val="0"/>
              <w:jc w:val="center"/>
              <w:rPr>
                <w:lang w:val="en-AU"/>
              </w:rPr>
            </w:pPr>
            <w:r w:rsidRPr="00AD4F6B">
              <w:rPr>
                <w:lang w:val="en-AU"/>
              </w:rPr>
              <w:t>Value &amp; Source</w:t>
            </w:r>
          </w:p>
        </w:tc>
        <w:tc>
          <w:tcPr>
            <w:tcW w:w="2300" w:type="pct"/>
            <w:tcMar>
              <w:left w:w="20" w:type="dxa"/>
              <w:right w:w="20" w:type="dxa"/>
            </w:tcMar>
            <w:vAlign w:val="center"/>
          </w:tcPr>
          <w:p w:rsidRPr="00AD4F6B" w:rsidR="00A61DFB" w:rsidP="0032280A" w:rsidRDefault="00A61DFB" w14:paraId="125E42DC" w14:textId="77777777">
            <w:pPr>
              <w:pStyle w:val="In-tableHeading"/>
              <w:keepLines w:val="0"/>
              <w:jc w:val="center"/>
              <w:rPr>
                <w:lang w:val="en-AU"/>
              </w:rPr>
            </w:pPr>
            <w:r w:rsidRPr="00AD4F6B">
              <w:rPr>
                <w:lang w:val="en-AU"/>
              </w:rPr>
              <w:t>Comment</w:t>
            </w:r>
          </w:p>
        </w:tc>
      </w:tr>
      <w:tr w:rsidRPr="00AD4F6B" w:rsidR="00AD4F6B" w:rsidTr="00EA35AC" w14:paraId="65A327A6" w14:textId="77777777">
        <w:tc>
          <w:tcPr>
            <w:tcW w:w="5000" w:type="pct"/>
            <w:gridSpan w:val="3"/>
            <w:tcMar>
              <w:left w:w="20" w:type="dxa"/>
              <w:right w:w="20" w:type="dxa"/>
            </w:tcMar>
            <w:vAlign w:val="center"/>
          </w:tcPr>
          <w:p w:rsidRPr="00AD4F6B" w:rsidR="00A61DFB" w:rsidP="0032280A" w:rsidRDefault="00A61DFB" w14:paraId="03AB81E7" w14:textId="77777777">
            <w:pPr>
              <w:pStyle w:val="In-tableHeading"/>
              <w:keepLines w:val="0"/>
              <w:rPr>
                <w:lang w:val="en-AU"/>
              </w:rPr>
            </w:pPr>
            <w:r w:rsidRPr="00AD4F6B">
              <w:rPr>
                <w:lang w:val="en-AU"/>
              </w:rPr>
              <w:t>Eligible population</w:t>
            </w:r>
          </w:p>
        </w:tc>
      </w:tr>
      <w:tr w:rsidRPr="00AD4F6B" w:rsidR="00AD4F6B" w:rsidTr="00EA35AC" w14:paraId="7B5C6FEF" w14:textId="77777777">
        <w:tc>
          <w:tcPr>
            <w:tcW w:w="692" w:type="pct"/>
            <w:tcMar>
              <w:left w:w="20" w:type="dxa"/>
              <w:right w:w="20" w:type="dxa"/>
            </w:tcMar>
            <w:vAlign w:val="center"/>
          </w:tcPr>
          <w:p w:rsidRPr="00AD4F6B" w:rsidR="00A61DFB" w:rsidP="0032280A" w:rsidRDefault="00A61DFB" w14:paraId="3BF552FA" w14:textId="77777777">
            <w:pPr>
              <w:pStyle w:val="TableText0"/>
              <w:keepLines w:val="0"/>
            </w:pPr>
            <w:r w:rsidRPr="00AD4F6B">
              <w:t>Total patients</w:t>
            </w:r>
          </w:p>
        </w:tc>
        <w:tc>
          <w:tcPr>
            <w:tcW w:w="2008" w:type="pct"/>
            <w:tcMar>
              <w:left w:w="20" w:type="dxa"/>
              <w:right w:w="20" w:type="dxa"/>
            </w:tcMar>
            <w:vAlign w:val="center"/>
          </w:tcPr>
          <w:p w:rsidRPr="000B12C8" w:rsidR="00A61DFB" w:rsidP="0032280A" w:rsidRDefault="00A61DFB" w14:paraId="4D7D178D" w14:textId="7459F921">
            <w:pPr>
              <w:pStyle w:val="TableText0"/>
              <w:keepLines w:val="0"/>
              <w:rPr>
                <w:vertAlign w:val="superscript"/>
              </w:rPr>
            </w:pPr>
            <w:r w:rsidRPr="00AD4F6B">
              <w:t xml:space="preserve">Yr 1: </w:t>
            </w:r>
            <w:r w:rsidRPr="00C554FC" w:rsidR="00C554FC">
              <w:rPr>
                <w:highlight w:val="black"/>
              </w:rPr>
              <w:t>&amp;&amp;&amp;&amp;</w:t>
            </w:r>
            <w:r w:rsidRPr="000B12C8" w:rsidR="006C6D03">
              <w:rPr>
                <w:vertAlign w:val="superscript"/>
              </w:rPr>
              <w:t>1</w:t>
            </w:r>
          </w:p>
          <w:p w:rsidRPr="00AD4F6B" w:rsidR="00A61DFB" w:rsidP="0032280A" w:rsidRDefault="00A61DFB" w14:paraId="52FD4C65" w14:textId="26AE6F31">
            <w:pPr>
              <w:pStyle w:val="TableText0"/>
              <w:keepLines w:val="0"/>
            </w:pPr>
            <w:r w:rsidRPr="00AD4F6B">
              <w:t xml:space="preserve">Yr 2: </w:t>
            </w:r>
            <w:r w:rsidRPr="00C554FC" w:rsidR="00C554FC">
              <w:rPr>
                <w:highlight w:val="black"/>
              </w:rPr>
              <w:t>&amp;&amp;&amp;&amp;</w:t>
            </w:r>
            <w:r w:rsidRPr="000B12C8" w:rsidR="006C6D03">
              <w:rPr>
                <w:vertAlign w:val="superscript"/>
              </w:rPr>
              <w:t>1</w:t>
            </w:r>
          </w:p>
          <w:p w:rsidRPr="00AD4F6B" w:rsidR="00A61DFB" w:rsidP="0032280A" w:rsidRDefault="00A61DFB" w14:paraId="5A68A62B" w14:textId="64A167AD">
            <w:pPr>
              <w:pStyle w:val="TableText0"/>
              <w:keepLines w:val="0"/>
            </w:pPr>
            <w:r w:rsidRPr="00AD4F6B">
              <w:t xml:space="preserve">Yr 3: </w:t>
            </w:r>
            <w:r w:rsidRPr="00C554FC" w:rsidR="00C554FC">
              <w:rPr>
                <w:highlight w:val="black"/>
              </w:rPr>
              <w:t>&amp;&amp;&amp;&amp;</w:t>
            </w:r>
            <w:r w:rsidR="006C6D03">
              <w:rPr>
                <w:vertAlign w:val="superscript"/>
              </w:rPr>
              <w:t>1</w:t>
            </w:r>
          </w:p>
          <w:p w:rsidRPr="00AD4F6B" w:rsidR="00A61DFB" w:rsidP="0032280A" w:rsidRDefault="00A61DFB" w14:paraId="7BBB938A" w14:textId="41937A03">
            <w:pPr>
              <w:pStyle w:val="TableText0"/>
              <w:keepLines w:val="0"/>
            </w:pPr>
            <w:r w:rsidRPr="00AD4F6B">
              <w:t xml:space="preserve">Yr 4: </w:t>
            </w:r>
            <w:r w:rsidRPr="00C554FC" w:rsidR="00C554FC">
              <w:rPr>
                <w:highlight w:val="black"/>
              </w:rPr>
              <w:t>&amp;&amp;&amp;&amp;</w:t>
            </w:r>
            <w:r w:rsidR="006C6D03">
              <w:rPr>
                <w:vertAlign w:val="superscript"/>
              </w:rPr>
              <w:t>1</w:t>
            </w:r>
          </w:p>
          <w:p w:rsidRPr="00AD4F6B" w:rsidR="00A61DFB" w:rsidP="0032280A" w:rsidRDefault="00A61DFB" w14:paraId="6617FFC1" w14:textId="49CB5D6C">
            <w:pPr>
              <w:pStyle w:val="TableText0"/>
              <w:keepLines w:val="0"/>
            </w:pPr>
            <w:r w:rsidRPr="00AD4F6B">
              <w:t xml:space="preserve">Yr 5: </w:t>
            </w:r>
            <w:r w:rsidRPr="00C554FC" w:rsidR="00C554FC">
              <w:rPr>
                <w:highlight w:val="black"/>
              </w:rPr>
              <w:t>&amp;&amp;&amp;&amp;</w:t>
            </w:r>
            <w:r w:rsidR="006C6D03">
              <w:rPr>
                <w:vertAlign w:val="superscript"/>
              </w:rPr>
              <w:t>1</w:t>
            </w:r>
          </w:p>
          <w:p w:rsidRPr="00AD4F6B" w:rsidR="00A61DFB" w:rsidP="0032280A" w:rsidRDefault="00A61DFB" w14:paraId="41BB7B3C" w14:textId="394A2B77">
            <w:pPr>
              <w:pStyle w:val="TableText0"/>
              <w:keepLines w:val="0"/>
            </w:pPr>
            <w:r w:rsidRPr="00AD4F6B">
              <w:t xml:space="preserve">Yr 6: </w:t>
            </w:r>
            <w:r w:rsidRPr="00C554FC" w:rsidR="00C554FC">
              <w:rPr>
                <w:highlight w:val="black"/>
              </w:rPr>
              <w:t>&amp;&amp;&amp;&amp;</w:t>
            </w:r>
            <w:r w:rsidR="006C6D03">
              <w:rPr>
                <w:vertAlign w:val="superscript"/>
              </w:rPr>
              <w:t>1</w:t>
            </w:r>
          </w:p>
          <w:p w:rsidRPr="00AD4F6B" w:rsidR="00A61DFB" w:rsidP="0032280A" w:rsidRDefault="00A61DFB" w14:paraId="50738AC2" w14:textId="552CBA15">
            <w:pPr>
              <w:pStyle w:val="TableText0"/>
              <w:keepLines w:val="0"/>
            </w:pPr>
            <w:r w:rsidRPr="00AD4F6B">
              <w:t xml:space="preserve">Source: Based on the </w:t>
            </w:r>
            <w:r w:rsidRPr="00C554FC" w:rsidR="00C554FC">
              <w:rPr>
                <w:highlight w:val="black"/>
              </w:rPr>
              <w:t>&amp;&amp;&amp;&amp;</w:t>
            </w:r>
            <w:r w:rsidR="00ED548E">
              <w:rPr>
                <w:vertAlign w:val="superscript"/>
              </w:rPr>
              <w:t>1</w:t>
            </w:r>
            <w:r w:rsidRPr="00AD4F6B">
              <w:t xml:space="preserve"> patients identified as not treated with ONA in the </w:t>
            </w:r>
            <w:r w:rsidRPr="00AD4F6B" w:rsidR="00747B8F">
              <w:t>sponsor’s</w:t>
            </w:r>
            <w:r w:rsidRPr="00AD4F6B">
              <w:t xml:space="preserve"> IPTD over a period of three years, it was estimated there may continue to be a similar number of patients in the future.</w:t>
            </w:r>
          </w:p>
        </w:tc>
        <w:tc>
          <w:tcPr>
            <w:tcW w:w="2300" w:type="pct"/>
            <w:tcMar>
              <w:left w:w="20" w:type="dxa"/>
              <w:right w:w="20" w:type="dxa"/>
            </w:tcMar>
            <w:vAlign w:val="center"/>
          </w:tcPr>
          <w:p w:rsidRPr="00AD4F6B" w:rsidR="00A61DFB" w:rsidP="0032280A" w:rsidRDefault="00DB11CB" w14:paraId="7B9F05C5" w14:textId="7A8C0206">
            <w:pPr>
              <w:pStyle w:val="TableText0"/>
              <w:keepLines w:val="0"/>
            </w:pPr>
            <w:r w:rsidRPr="00AD4F6B">
              <w:t>I</w:t>
            </w:r>
            <w:r w:rsidRPr="00AD4F6B" w:rsidR="00A61DFB">
              <w:t xml:space="preserve">t was assumed there </w:t>
            </w:r>
            <w:r w:rsidRPr="00F0659C" w:rsidR="00A61DFB">
              <w:t xml:space="preserve">would be </w:t>
            </w:r>
            <w:r w:rsidRPr="00C554FC" w:rsidR="00C554FC">
              <w:rPr>
                <w:highlight w:val="black"/>
              </w:rPr>
              <w:t>&amp;&amp;&amp;&amp;</w:t>
            </w:r>
            <w:r w:rsidR="00ED548E">
              <w:rPr>
                <w:vertAlign w:val="superscript"/>
              </w:rPr>
              <w:t>1</w:t>
            </w:r>
            <w:r w:rsidRPr="00F0659C" w:rsidR="00A61DFB">
              <w:t xml:space="preserve"> patients</w:t>
            </w:r>
            <w:r w:rsidRPr="00AD4F6B" w:rsidR="00A61DFB">
              <w:t xml:space="preserve"> over the six-year financial estimate period. </w:t>
            </w:r>
          </w:p>
          <w:p w:rsidRPr="00AD4F6B" w:rsidR="00A61DFB" w:rsidP="0032280A" w:rsidRDefault="00295C87" w14:paraId="1EAD59D8" w14:textId="01CCA220">
            <w:pPr>
              <w:pStyle w:val="TableText0"/>
              <w:keepLines w:val="0"/>
            </w:pPr>
            <w:r w:rsidRPr="00AD4F6B">
              <w:t>I</w:t>
            </w:r>
            <w:r w:rsidRPr="00AD4F6B" w:rsidR="00A61DFB">
              <w:t xml:space="preserve">t was unclear what proportion of patients were estimated to be treatment naïve versus pre-treated; and if pre-symptomatic – what proportion of patients would be younger than 36 months vs aged 36 months and older (and weighing less than 21 kg). In the submission it was assumed that all patients would be pre-symptomatic SMA patients with 2 copies or 3 copies of the SMN2 </w:t>
            </w:r>
            <w:r w:rsidRPr="004F31A3" w:rsidR="00A61DFB">
              <w:t>gene with a 50:50 split (</w:t>
            </w:r>
            <w:r w:rsidRPr="00AD4F6B" w:rsidR="00A61DFB">
              <w:t xml:space="preserve">though due to an odd number of patients being treated this was </w:t>
            </w:r>
            <w:proofErr w:type="gramStart"/>
            <w:r w:rsidRPr="00AD4F6B" w:rsidR="00A61DFB">
              <w:t>actually a</w:t>
            </w:r>
            <w:proofErr w:type="gramEnd"/>
            <w:r w:rsidRPr="00AD4F6B" w:rsidR="00A61DFB">
              <w:t xml:space="preserve"> 43:57 split).</w:t>
            </w:r>
          </w:p>
        </w:tc>
      </w:tr>
      <w:tr w:rsidRPr="00AD4F6B" w:rsidR="00AD4F6B" w:rsidTr="00EA35AC" w14:paraId="22F1ADEA" w14:textId="77777777">
        <w:tc>
          <w:tcPr>
            <w:tcW w:w="5000" w:type="pct"/>
            <w:gridSpan w:val="3"/>
            <w:tcMar>
              <w:left w:w="20" w:type="dxa"/>
              <w:right w:w="20" w:type="dxa"/>
            </w:tcMar>
            <w:vAlign w:val="center"/>
          </w:tcPr>
          <w:p w:rsidRPr="00AD4F6B" w:rsidR="00A61DFB" w:rsidP="0032280A" w:rsidRDefault="00A61DFB" w14:paraId="243F1412" w14:textId="77777777">
            <w:pPr>
              <w:pStyle w:val="In-tableHeading"/>
              <w:keepLines w:val="0"/>
              <w:rPr>
                <w:lang w:val="en-AU"/>
              </w:rPr>
            </w:pPr>
            <w:r w:rsidRPr="00AD4F6B">
              <w:rPr>
                <w:lang w:val="en-AU"/>
              </w:rPr>
              <w:t>Treatment utilisation</w:t>
            </w:r>
          </w:p>
        </w:tc>
      </w:tr>
      <w:tr w:rsidRPr="00AD4F6B" w:rsidR="00AD4F6B" w:rsidTr="00EA35AC" w14:paraId="776EE1D7" w14:textId="77777777">
        <w:tc>
          <w:tcPr>
            <w:tcW w:w="692" w:type="pct"/>
            <w:tcMar>
              <w:left w:w="20" w:type="dxa"/>
              <w:right w:w="20" w:type="dxa"/>
            </w:tcMar>
            <w:vAlign w:val="center"/>
          </w:tcPr>
          <w:p w:rsidRPr="00AD4F6B" w:rsidR="00A61DFB" w:rsidP="0032280A" w:rsidRDefault="00A61DFB" w14:paraId="2CA9A667" w14:textId="77777777">
            <w:pPr>
              <w:pStyle w:val="TableText0"/>
              <w:keepLines w:val="0"/>
            </w:pPr>
            <w:r w:rsidRPr="00AD4F6B">
              <w:t>Uptake rate</w:t>
            </w:r>
          </w:p>
        </w:tc>
        <w:tc>
          <w:tcPr>
            <w:tcW w:w="2008" w:type="pct"/>
            <w:tcMar>
              <w:left w:w="20" w:type="dxa"/>
              <w:right w:w="20" w:type="dxa"/>
            </w:tcMar>
            <w:vAlign w:val="center"/>
          </w:tcPr>
          <w:p w:rsidRPr="00AD4F6B" w:rsidR="00A61DFB" w:rsidP="0032280A" w:rsidRDefault="00A61DFB" w14:paraId="03618055" w14:textId="77777777">
            <w:pPr>
              <w:pStyle w:val="TableText0"/>
              <w:keepLines w:val="0"/>
            </w:pPr>
            <w:r w:rsidRPr="00AD4F6B">
              <w:t>100%</w:t>
            </w:r>
          </w:p>
          <w:p w:rsidRPr="00AD4F6B" w:rsidR="00A61DFB" w:rsidP="0032280A" w:rsidRDefault="00A61DFB" w14:paraId="4E84F839" w14:textId="77777777">
            <w:pPr>
              <w:pStyle w:val="TableText0"/>
              <w:keepLines w:val="0"/>
            </w:pPr>
            <w:r w:rsidRPr="00AD4F6B">
              <w:t>Source: Implicitly assumed by the submission.</w:t>
            </w:r>
          </w:p>
        </w:tc>
        <w:tc>
          <w:tcPr>
            <w:tcW w:w="2300" w:type="pct"/>
            <w:tcMar>
              <w:left w:w="20" w:type="dxa"/>
              <w:right w:w="20" w:type="dxa"/>
            </w:tcMar>
            <w:vAlign w:val="center"/>
          </w:tcPr>
          <w:p w:rsidRPr="00AD4F6B" w:rsidR="00A61DFB" w:rsidP="0032280A" w:rsidRDefault="00A61DFB" w14:paraId="5E337726" w14:textId="77777777">
            <w:pPr>
              <w:pStyle w:val="TableText0"/>
              <w:keepLines w:val="0"/>
            </w:pPr>
            <w:r w:rsidRPr="00AD4F6B">
              <w:t xml:space="preserve">The uptake rate of ONA was implicitly assumed by the submission to be equal to the total number of eligible patients. </w:t>
            </w:r>
          </w:p>
        </w:tc>
      </w:tr>
      <w:tr w:rsidRPr="00AD4F6B" w:rsidR="00AD4F6B" w:rsidTr="00EA35AC" w14:paraId="30697BD0" w14:textId="77777777">
        <w:tc>
          <w:tcPr>
            <w:tcW w:w="5000" w:type="pct"/>
            <w:gridSpan w:val="3"/>
            <w:tcMar>
              <w:left w:w="20" w:type="dxa"/>
              <w:right w:w="20" w:type="dxa"/>
            </w:tcMar>
            <w:vAlign w:val="center"/>
          </w:tcPr>
          <w:p w:rsidRPr="00AD4F6B" w:rsidR="00A61DFB" w:rsidP="0032280A" w:rsidRDefault="00A61DFB" w14:paraId="73DAEAAA" w14:textId="77777777">
            <w:pPr>
              <w:pStyle w:val="In-tableHeading"/>
              <w:keepLines w:val="0"/>
              <w:rPr>
                <w:lang w:val="en-AU"/>
              </w:rPr>
            </w:pPr>
            <w:r w:rsidRPr="00AD4F6B">
              <w:rPr>
                <w:lang w:val="en-AU"/>
              </w:rPr>
              <w:t>Costs</w:t>
            </w:r>
          </w:p>
        </w:tc>
      </w:tr>
      <w:tr w:rsidRPr="00AD4F6B" w:rsidR="00AD4F6B" w:rsidTr="00EA35AC" w14:paraId="5BE2C5DD" w14:textId="77777777">
        <w:tc>
          <w:tcPr>
            <w:tcW w:w="692" w:type="pct"/>
            <w:tcMar>
              <w:left w:w="20" w:type="dxa"/>
              <w:right w:w="20" w:type="dxa"/>
            </w:tcMar>
            <w:vAlign w:val="center"/>
          </w:tcPr>
          <w:p w:rsidRPr="00AD4F6B" w:rsidR="00A61DFB" w:rsidP="0031314B" w:rsidRDefault="00A61DFB" w14:paraId="59BF9E5F" w14:textId="77777777">
            <w:pPr>
              <w:pStyle w:val="TableText0"/>
              <w:keepNext w:val="0"/>
              <w:keepLines w:val="0"/>
            </w:pPr>
            <w:r w:rsidRPr="00AD4F6B">
              <w:t>Proposed medicine</w:t>
            </w:r>
          </w:p>
        </w:tc>
        <w:tc>
          <w:tcPr>
            <w:tcW w:w="2008" w:type="pct"/>
            <w:tcMar>
              <w:left w:w="20" w:type="dxa"/>
              <w:right w:w="20" w:type="dxa"/>
            </w:tcMar>
            <w:vAlign w:val="center"/>
          </w:tcPr>
          <w:p w:rsidRPr="00AD4F6B" w:rsidR="00A61DFB" w:rsidP="0031314B" w:rsidRDefault="00A61DFB" w14:paraId="272B8B1D" w14:textId="77777777">
            <w:pPr>
              <w:pStyle w:val="TableText0"/>
              <w:keepNext w:val="0"/>
              <w:keepLines w:val="0"/>
            </w:pPr>
            <w:r w:rsidRPr="00AD4F6B">
              <w:t>Published: $2,527,774</w:t>
            </w:r>
          </w:p>
          <w:p w:rsidRPr="00AD4F6B" w:rsidR="00A61DFB" w:rsidP="0031314B" w:rsidRDefault="00A61DFB" w14:paraId="4C84A0E4" w14:textId="07247C9B">
            <w:pPr>
              <w:pStyle w:val="TableText0"/>
              <w:keepNext w:val="0"/>
              <w:keepLines w:val="0"/>
            </w:pPr>
            <w:r w:rsidRPr="00AD4F6B">
              <w:t>Effective: $</w:t>
            </w:r>
            <w:r w:rsidRPr="00C554FC" w:rsidR="00C554FC">
              <w:rPr>
                <w:highlight w:val="black"/>
              </w:rPr>
              <w:t>&amp;&amp;&amp;&amp;</w:t>
            </w:r>
            <w:r w:rsidRPr="00AD4F6B">
              <w:t xml:space="preserve"> (SMA Type 1 and pre-symptomatic SMA with 1-2 copies of SMN2 gene); $</w:t>
            </w:r>
            <w:r w:rsidRPr="00C554FC" w:rsidR="00C554FC">
              <w:rPr>
                <w:highlight w:val="black"/>
              </w:rPr>
              <w:t>&amp;&amp;&amp;&amp;</w:t>
            </w:r>
            <w:r w:rsidRPr="00AD4F6B">
              <w:t xml:space="preserve"> (Pre-symptomatic SMA with 3 copies of the SMN2 gene)</w:t>
            </w:r>
          </w:p>
          <w:p w:rsidRPr="00AD4F6B" w:rsidR="00A61DFB" w:rsidP="0031314B" w:rsidRDefault="00A61DFB" w14:paraId="171D1E00" w14:textId="77777777">
            <w:pPr>
              <w:pStyle w:val="TableText0"/>
              <w:keepNext w:val="0"/>
              <w:keepLines w:val="0"/>
            </w:pPr>
            <w:r w:rsidRPr="00AD4F6B">
              <w:t>Source: Requested price; the submission expected there will be an “even” distribution of patients that have 2 SMN2 copy numbers, and 3 SMN2 copy numbers by alternating the number of patients with 2 versus 3 SMN2 copies, commencing first with 3 SMN2 copies.</w:t>
            </w:r>
          </w:p>
        </w:tc>
        <w:tc>
          <w:tcPr>
            <w:tcW w:w="2300" w:type="pct"/>
            <w:tcMar>
              <w:left w:w="20" w:type="dxa"/>
              <w:right w:w="20" w:type="dxa"/>
            </w:tcMar>
            <w:vAlign w:val="center"/>
          </w:tcPr>
          <w:p w:rsidRPr="00AD4F6B" w:rsidR="00A61DFB" w:rsidP="0031314B" w:rsidRDefault="00A61DFB" w14:paraId="5314B14D" w14:textId="56D3D0AA">
            <w:pPr>
              <w:pStyle w:val="TableText0"/>
              <w:keepNext w:val="0"/>
              <w:keepLines w:val="0"/>
            </w:pPr>
            <w:r w:rsidRPr="00AD4F6B">
              <w:t xml:space="preserve">It appeared the submission assumed only pre-symptomatic patients (with 2 copies or 3 copies of the SMN2 gene) would receive treatment with ONA in their financial estimates (patients with </w:t>
            </w:r>
            <w:r w:rsidRPr="00AD4F6B" w:rsidR="0023134C">
              <w:t>symptomatic</w:t>
            </w:r>
            <w:r w:rsidRPr="00AD4F6B">
              <w:t xml:space="preserve"> and pre-symptomatic SMA with 1 copy of the SMN2 gene were not mentioned). The submission assumed </w:t>
            </w:r>
            <w:r w:rsidRPr="00C554FC" w:rsidR="00C554FC">
              <w:rPr>
                <w:highlight w:val="black"/>
              </w:rPr>
              <w:t>&amp;&amp;&amp;&amp;</w:t>
            </w:r>
            <w:r w:rsidR="00423334">
              <w:rPr>
                <w:vertAlign w:val="superscript"/>
              </w:rPr>
              <w:t>1</w:t>
            </w:r>
            <w:r w:rsidRPr="00AD4F6B">
              <w:t xml:space="preserve"> patients </w:t>
            </w:r>
            <w:r w:rsidRPr="0079544F">
              <w:t xml:space="preserve">(43%; </w:t>
            </w:r>
            <w:r w:rsidRPr="00C554FC" w:rsidR="00C554FC">
              <w:rPr>
                <w:highlight w:val="black"/>
              </w:rPr>
              <w:t>&amp;&amp;&amp;&amp;</w:t>
            </w:r>
            <w:r w:rsidRPr="0079544F">
              <w:t>)</w:t>
            </w:r>
            <w:r w:rsidRPr="00AD4F6B">
              <w:t xml:space="preserve"> had 2</w:t>
            </w:r>
            <w:r w:rsidRPr="00AD4F6B" w:rsidR="00C3361E">
              <w:t xml:space="preserve"> </w:t>
            </w:r>
            <w:r w:rsidRPr="00AD4F6B">
              <w:rPr>
                <w:i/>
                <w:iCs/>
              </w:rPr>
              <w:t>SMN2</w:t>
            </w:r>
            <w:r w:rsidRPr="00AD4F6B">
              <w:t xml:space="preserve"> copies </w:t>
            </w:r>
            <w:r w:rsidRPr="0079544F">
              <w:t xml:space="preserve">and </w:t>
            </w:r>
            <w:r w:rsidRPr="00C554FC" w:rsidR="00C554FC">
              <w:rPr>
                <w:highlight w:val="black"/>
              </w:rPr>
              <w:t>&amp;&amp;&amp;&amp;</w:t>
            </w:r>
            <w:r w:rsidR="0079544F">
              <w:rPr>
                <w:vertAlign w:val="superscript"/>
              </w:rPr>
              <w:t>1</w:t>
            </w:r>
            <w:r w:rsidRPr="0079544F">
              <w:t xml:space="preserve"> </w:t>
            </w:r>
            <w:r w:rsidRPr="00AD4F6B">
              <w:t xml:space="preserve">patients </w:t>
            </w:r>
            <w:r w:rsidRPr="0079544F">
              <w:t xml:space="preserve">(57%; </w:t>
            </w:r>
            <w:r w:rsidRPr="00C554FC" w:rsidR="00C554FC">
              <w:rPr>
                <w:highlight w:val="black"/>
              </w:rPr>
              <w:t>&amp;&amp;&amp;&amp;</w:t>
            </w:r>
            <w:r w:rsidRPr="0079544F">
              <w:t>)</w:t>
            </w:r>
            <w:r w:rsidRPr="00AD4F6B">
              <w:t xml:space="preserve"> had 3</w:t>
            </w:r>
            <w:r w:rsidRPr="00AD4F6B" w:rsidR="00C3361E">
              <w:t xml:space="preserve"> </w:t>
            </w:r>
            <w:r w:rsidRPr="00AD4F6B">
              <w:rPr>
                <w:i/>
                <w:iCs/>
              </w:rPr>
              <w:t>SMN2</w:t>
            </w:r>
            <w:r w:rsidRPr="00AD4F6B">
              <w:t xml:space="preserve"> copies. </w:t>
            </w:r>
            <w:r w:rsidRPr="00AD4F6B" w:rsidR="00D57B7F">
              <w:t xml:space="preserve">This </w:t>
            </w:r>
            <w:proofErr w:type="gramStart"/>
            <w:r w:rsidRPr="00AD4F6B" w:rsidR="00D57B7F">
              <w:t>was based on a</w:t>
            </w:r>
            <w:r w:rsidRPr="00AD4F6B" w:rsidR="004340C8">
              <w:t>n assumption</w:t>
            </w:r>
            <w:proofErr w:type="gramEnd"/>
            <w:r w:rsidRPr="00AD4F6B" w:rsidR="004340C8">
              <w:t xml:space="preserve"> </w:t>
            </w:r>
            <w:r w:rsidRPr="00FC1299" w:rsidR="004340C8">
              <w:t xml:space="preserve">of </w:t>
            </w:r>
            <w:r w:rsidRPr="00F536CB" w:rsidR="004340C8">
              <w:t>a 50:50 split</w:t>
            </w:r>
            <w:r w:rsidRPr="00FC1299" w:rsidR="004340C8">
              <w:t xml:space="preserve"> between</w:t>
            </w:r>
            <w:r w:rsidRPr="00AD4F6B" w:rsidR="004340C8">
              <w:t xml:space="preserve"> 2 and 3 copies (with more in the 3 copies due to there being an odd number of patients) but the </w:t>
            </w:r>
            <w:r w:rsidRPr="00FC1299" w:rsidR="004340C8">
              <w:t xml:space="preserve">justification </w:t>
            </w:r>
            <w:r w:rsidRPr="00F536CB" w:rsidR="004340C8">
              <w:t xml:space="preserve">for 50:50 </w:t>
            </w:r>
            <w:r w:rsidRPr="00AD4F6B" w:rsidR="004340C8">
              <w:t xml:space="preserve">splits was not provided. </w:t>
            </w:r>
          </w:p>
        </w:tc>
      </w:tr>
      <w:tr w:rsidRPr="00AD4F6B" w:rsidR="00AD4F6B" w:rsidTr="00EA35AC" w14:paraId="2216BF33" w14:textId="77777777">
        <w:tc>
          <w:tcPr>
            <w:tcW w:w="692" w:type="pct"/>
            <w:tcMar>
              <w:left w:w="20" w:type="dxa"/>
              <w:right w:w="20" w:type="dxa"/>
            </w:tcMar>
            <w:vAlign w:val="center"/>
          </w:tcPr>
          <w:p w:rsidRPr="00AD4F6B" w:rsidR="00A61DFB" w:rsidP="0031314B" w:rsidRDefault="00A61DFB" w14:paraId="25CDA8E5" w14:textId="77777777">
            <w:pPr>
              <w:pStyle w:val="TableText0"/>
              <w:keepNext w:val="0"/>
              <w:keepLines w:val="0"/>
            </w:pPr>
            <w:r w:rsidRPr="00AD4F6B">
              <w:t>Comparator</w:t>
            </w:r>
          </w:p>
        </w:tc>
        <w:tc>
          <w:tcPr>
            <w:tcW w:w="2008" w:type="pct"/>
            <w:tcMar>
              <w:left w:w="20" w:type="dxa"/>
              <w:right w:w="20" w:type="dxa"/>
            </w:tcMar>
            <w:vAlign w:val="center"/>
          </w:tcPr>
          <w:p w:rsidRPr="00AD4F6B" w:rsidR="00A61DFB" w:rsidP="0031314B" w:rsidRDefault="00A61DFB" w14:paraId="5DD52B76" w14:textId="77777777">
            <w:pPr>
              <w:pStyle w:val="TableText0"/>
              <w:keepNext w:val="0"/>
              <w:keepLines w:val="0"/>
            </w:pPr>
            <w:r w:rsidRPr="00AD4F6B">
              <w:t xml:space="preserve">None assumed by the submission. </w:t>
            </w:r>
          </w:p>
        </w:tc>
        <w:tc>
          <w:tcPr>
            <w:tcW w:w="2300" w:type="pct"/>
            <w:tcMar>
              <w:left w:w="20" w:type="dxa"/>
              <w:right w:w="20" w:type="dxa"/>
            </w:tcMar>
            <w:vAlign w:val="center"/>
          </w:tcPr>
          <w:p w:rsidRPr="00AD4F6B" w:rsidR="00A61DFB" w:rsidP="0031314B" w:rsidRDefault="00A61DFB" w14:paraId="55F138A4" w14:textId="35DEC8A0">
            <w:pPr>
              <w:pStyle w:val="TableText0"/>
              <w:keepNext w:val="0"/>
              <w:keepLines w:val="0"/>
            </w:pPr>
            <w:r w:rsidRPr="00AD4F6B">
              <w:t>No cost offsets were applied by the submission. This was inappropriate given NUSI/RIS would likely be substituted by ONA in prevalent patients. This overestimate</w:t>
            </w:r>
            <w:r w:rsidRPr="00AD4F6B" w:rsidR="00C3361E">
              <w:t>s the</w:t>
            </w:r>
            <w:r w:rsidRPr="00AD4F6B">
              <w:t xml:space="preserve"> financial impact in patients who would have otherwise been treated with NUSI/RIS. </w:t>
            </w:r>
          </w:p>
        </w:tc>
      </w:tr>
    </w:tbl>
    <w:p w:rsidRPr="00AD4F6B" w:rsidR="00A61DFB" w:rsidP="0031314B" w:rsidRDefault="00A61DFB" w14:paraId="305EC7BF" w14:textId="77777777">
      <w:pPr>
        <w:pStyle w:val="FooterTableFigure"/>
        <w:spacing w:after="0"/>
      </w:pPr>
      <w:r w:rsidRPr="00AD4F6B">
        <w:t>Source: Table 4.2, 4.4 &amp; 4.5, pp100-101 of the submission.</w:t>
      </w:r>
    </w:p>
    <w:p w:rsidR="00A61DFB" w:rsidP="0031314B" w:rsidRDefault="00A95F49" w14:paraId="30674484" w14:textId="1B78914A">
      <w:pPr>
        <w:pStyle w:val="FooterTableFigure"/>
        <w:spacing w:after="0"/>
      </w:pPr>
      <w:r w:rsidRPr="00AD4F6B">
        <w:t xml:space="preserve">IPTD= internal patient tracking database; </w:t>
      </w:r>
      <w:r w:rsidRPr="00AD4F6B" w:rsidR="00A61DFB">
        <w:t xml:space="preserve">MBS= Medicare Benefits Schedule; NUSI= nusinersen, ONA= onasemnogene abeparvovec; PBS= Pharmaceutical Benefits Scheme; RIS= risdiplam; </w:t>
      </w:r>
      <w:r w:rsidRPr="00AD4F6B">
        <w:t xml:space="preserve">SMA= spinal muscular atrophy; </w:t>
      </w:r>
      <w:r w:rsidRPr="00AD4F6B" w:rsidR="00A61DFB">
        <w:rPr>
          <w:i/>
          <w:iCs/>
        </w:rPr>
        <w:t>SMN2</w:t>
      </w:r>
      <w:r w:rsidRPr="00AD4F6B" w:rsidR="00A61DFB">
        <w:t>= survival of motor neuron 2; yr= year</w:t>
      </w:r>
    </w:p>
    <w:p w:rsidRPr="00DE2C17" w:rsidR="006C6D03" w:rsidP="0031314B" w:rsidRDefault="006C6D03" w14:paraId="31EB0836" w14:textId="06CF087F">
      <w:pPr>
        <w:pStyle w:val="FooterTableFigure"/>
        <w:spacing w:after="0"/>
        <w:rPr>
          <w:i/>
          <w:iCs/>
        </w:rPr>
      </w:pPr>
      <w:r w:rsidRPr="00DE2C17">
        <w:rPr>
          <w:i/>
          <w:iCs/>
        </w:rPr>
        <w:t>The redacted values correspond to the following ranges:</w:t>
      </w:r>
    </w:p>
    <w:p w:rsidRPr="00DE2C17" w:rsidR="00D37EF3" w:rsidP="0031314B" w:rsidRDefault="006C6D03" w14:paraId="287554D4" w14:textId="41B14D9D">
      <w:pPr>
        <w:pStyle w:val="FooterTableFigure"/>
        <w:spacing w:after="0"/>
        <w:rPr>
          <w:i/>
          <w:iCs/>
        </w:rPr>
      </w:pPr>
      <w:r w:rsidRPr="00DE2C17">
        <w:rPr>
          <w:i/>
          <w:iCs/>
          <w:vertAlign w:val="superscript"/>
        </w:rPr>
        <w:t>1</w:t>
      </w:r>
      <w:r w:rsidRPr="00DE2C17" w:rsidR="00D37EF3">
        <w:rPr>
          <w:i/>
          <w:iCs/>
        </w:rPr>
        <w:t>&lt; 500</w:t>
      </w:r>
    </w:p>
    <w:p w:rsidRPr="00AD4F6B" w:rsidR="00AD39BD" w:rsidP="00AD39BD" w:rsidRDefault="00AD39BD" w14:paraId="3A6760EE" w14:textId="4CC9A43E">
      <w:pPr>
        <w:pStyle w:val="3-BodyText"/>
      </w:pPr>
      <w:r w:rsidRPr="00AD4F6B">
        <w:fldChar w:fldCharType="begin"/>
      </w:r>
      <w:r w:rsidRPr="00AD4F6B">
        <w:instrText xml:space="preserve"> REF _Ref104805295 \h </w:instrText>
      </w:r>
      <w:r w:rsidRPr="00AD4F6B">
        <w:fldChar w:fldCharType="separate"/>
      </w:r>
      <w:r w:rsidRPr="00AD4F6B" w:rsidR="00F0459B">
        <w:t xml:space="preserve">Table </w:t>
      </w:r>
      <w:r w:rsidR="00F0459B">
        <w:rPr>
          <w:noProof/>
        </w:rPr>
        <w:t>15</w:t>
      </w:r>
      <w:r w:rsidRPr="00AD4F6B">
        <w:fldChar w:fldCharType="end"/>
      </w:r>
      <w:r w:rsidRPr="00AD4F6B">
        <w:t xml:space="preserve"> presents the estimated net financial implications for the proposed listing of ONA for the pre-symptomatic</w:t>
      </w:r>
      <w:r w:rsidRPr="00AD4F6B">
        <w:rPr>
          <w:i/>
          <w:iCs/>
        </w:rPr>
        <w:t xml:space="preserve"> </w:t>
      </w:r>
      <w:r w:rsidRPr="00AD4F6B">
        <w:t>treatment of SMA patients with two copies and three copies of the SMN2 gene</w:t>
      </w:r>
      <w:r w:rsidRPr="00AD4F6B">
        <w:rPr>
          <w:i/>
          <w:iCs/>
        </w:rPr>
        <w:t xml:space="preserve"> </w:t>
      </w:r>
      <w:r w:rsidRPr="00AD4F6B">
        <w:t xml:space="preserve">over the first </w:t>
      </w:r>
      <w:r w:rsidRPr="00AD4F6B" w:rsidR="00310C8F">
        <w:t>six</w:t>
      </w:r>
      <w:r w:rsidRPr="00AD4F6B">
        <w:t xml:space="preserve"> years.  </w:t>
      </w:r>
    </w:p>
    <w:p w:rsidRPr="00AD4F6B" w:rsidR="00BA006F" w:rsidP="004340C8" w:rsidRDefault="00E16AD8" w14:paraId="37AB5384" w14:textId="7CC6FBBF">
      <w:pPr>
        <w:pStyle w:val="Caption"/>
        <w:rPr>
          <w:szCs w:val="24"/>
        </w:rPr>
      </w:pPr>
      <w:bookmarkStart w:name="_Ref104805295" w:id="59"/>
      <w:r w:rsidRPr="00AD4F6B">
        <w:t xml:space="preserve">Table </w:t>
      </w:r>
      <w:r w:rsidRPr="00AD4F6B" w:rsidR="004A4B0A">
        <w:fldChar w:fldCharType="begin"/>
      </w:r>
      <w:r w:rsidRPr="00AD4F6B" w:rsidR="004A4B0A">
        <w:instrText xml:space="preserve"> SEQ Table \* ARABIC </w:instrText>
      </w:r>
      <w:r w:rsidRPr="00AD4F6B" w:rsidR="004A4B0A">
        <w:fldChar w:fldCharType="separate"/>
      </w:r>
      <w:r w:rsidR="00F0459B">
        <w:rPr>
          <w:noProof/>
        </w:rPr>
        <w:t>15</w:t>
      </w:r>
      <w:r w:rsidRPr="00AD4F6B" w:rsidR="004A4B0A">
        <w:rPr>
          <w:noProof/>
        </w:rPr>
        <w:fldChar w:fldCharType="end"/>
      </w:r>
      <w:bookmarkEnd w:id="59"/>
      <w:r w:rsidRPr="00AD4F6B">
        <w:t>:</w:t>
      </w:r>
      <w:r w:rsidRPr="00AD4F6B" w:rsidR="002A2F50">
        <w:rPr>
          <w:rStyle w:val="CommentReference"/>
          <w:b/>
          <w:szCs w:val="24"/>
        </w:rPr>
        <w:t xml:space="preserve"> Estimated use and financial implications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4A0" w:firstRow="1" w:lastRow="0" w:firstColumn="1" w:lastColumn="0" w:noHBand="0" w:noVBand="1"/>
        <w:tblCaption w:val="Table 15: Estimated use and financial implications"/>
      </w:tblPr>
      <w:tblGrid>
        <w:gridCol w:w="2816"/>
        <w:gridCol w:w="1033"/>
        <w:gridCol w:w="1035"/>
        <w:gridCol w:w="1033"/>
        <w:gridCol w:w="1035"/>
        <w:gridCol w:w="1033"/>
        <w:gridCol w:w="1032"/>
      </w:tblGrid>
      <w:tr w:rsidRPr="00AD4F6B" w:rsidR="00AD4F6B" w:rsidTr="00EA35AC" w14:paraId="7A012FB6" w14:textId="77777777">
        <w:trPr>
          <w:tblHeader/>
        </w:trPr>
        <w:tc>
          <w:tcPr>
            <w:tcW w:w="1561" w:type="pct"/>
            <w:vAlign w:val="center"/>
          </w:tcPr>
          <w:p w:rsidRPr="00AD4F6B" w:rsidR="00BA006F" w:rsidP="004340C8" w:rsidRDefault="00BA006F" w14:paraId="42AFB084" w14:textId="77777777">
            <w:pPr>
              <w:pStyle w:val="Tabletext"/>
              <w:keepNext/>
              <w:keepLines/>
              <w:rPr>
                <w:rStyle w:val="CommentReference"/>
                <w:b w:val="0"/>
                <w:szCs w:val="20"/>
              </w:rPr>
            </w:pPr>
          </w:p>
        </w:tc>
        <w:tc>
          <w:tcPr>
            <w:tcW w:w="573" w:type="pct"/>
            <w:vAlign w:val="center"/>
          </w:tcPr>
          <w:p w:rsidRPr="00AD4F6B" w:rsidR="00BA006F" w:rsidP="004340C8" w:rsidRDefault="00BA006F" w14:paraId="69138F51" w14:textId="77777777">
            <w:pPr>
              <w:pStyle w:val="Tabletext"/>
              <w:keepNext/>
              <w:keepLines/>
              <w:jc w:val="center"/>
              <w:rPr>
                <w:rStyle w:val="CommentReference"/>
                <w:szCs w:val="20"/>
              </w:rPr>
            </w:pPr>
            <w:r w:rsidRPr="00AD4F6B">
              <w:rPr>
                <w:rStyle w:val="CommentReference"/>
                <w:szCs w:val="20"/>
              </w:rPr>
              <w:t>Year 1</w:t>
            </w:r>
          </w:p>
        </w:tc>
        <w:tc>
          <w:tcPr>
            <w:tcW w:w="574" w:type="pct"/>
            <w:vAlign w:val="center"/>
          </w:tcPr>
          <w:p w:rsidRPr="00AD4F6B" w:rsidR="00BA006F" w:rsidP="004340C8" w:rsidRDefault="00BA006F" w14:paraId="2E6E0EB0" w14:textId="77777777">
            <w:pPr>
              <w:pStyle w:val="Tabletext"/>
              <w:keepNext/>
              <w:keepLines/>
              <w:jc w:val="center"/>
              <w:rPr>
                <w:rStyle w:val="CommentReference"/>
                <w:szCs w:val="20"/>
              </w:rPr>
            </w:pPr>
            <w:r w:rsidRPr="00AD4F6B">
              <w:rPr>
                <w:rStyle w:val="CommentReference"/>
                <w:szCs w:val="20"/>
              </w:rPr>
              <w:t>Year 2</w:t>
            </w:r>
          </w:p>
        </w:tc>
        <w:tc>
          <w:tcPr>
            <w:tcW w:w="573" w:type="pct"/>
            <w:vAlign w:val="center"/>
          </w:tcPr>
          <w:p w:rsidRPr="00AD4F6B" w:rsidR="00BA006F" w:rsidP="004340C8" w:rsidRDefault="00BA006F" w14:paraId="4F363DDE" w14:textId="77777777">
            <w:pPr>
              <w:pStyle w:val="Tabletext"/>
              <w:keepNext/>
              <w:keepLines/>
              <w:jc w:val="center"/>
              <w:rPr>
                <w:rStyle w:val="CommentReference"/>
                <w:szCs w:val="20"/>
              </w:rPr>
            </w:pPr>
            <w:r w:rsidRPr="00AD4F6B">
              <w:rPr>
                <w:rStyle w:val="CommentReference"/>
                <w:szCs w:val="20"/>
              </w:rPr>
              <w:t>Year 3</w:t>
            </w:r>
          </w:p>
        </w:tc>
        <w:tc>
          <w:tcPr>
            <w:tcW w:w="574" w:type="pct"/>
            <w:vAlign w:val="center"/>
          </w:tcPr>
          <w:p w:rsidRPr="00AD4F6B" w:rsidR="00BA006F" w:rsidP="004340C8" w:rsidRDefault="00BA006F" w14:paraId="6EF055DF" w14:textId="77777777">
            <w:pPr>
              <w:pStyle w:val="Tabletext"/>
              <w:keepNext/>
              <w:keepLines/>
              <w:jc w:val="center"/>
              <w:rPr>
                <w:rStyle w:val="CommentReference"/>
                <w:szCs w:val="20"/>
              </w:rPr>
            </w:pPr>
            <w:r w:rsidRPr="00AD4F6B">
              <w:rPr>
                <w:rStyle w:val="CommentReference"/>
                <w:szCs w:val="20"/>
              </w:rPr>
              <w:t>Year 4</w:t>
            </w:r>
          </w:p>
        </w:tc>
        <w:tc>
          <w:tcPr>
            <w:tcW w:w="573" w:type="pct"/>
            <w:vAlign w:val="center"/>
          </w:tcPr>
          <w:p w:rsidRPr="00AD4F6B" w:rsidR="00BA006F" w:rsidP="004340C8" w:rsidRDefault="00BA006F" w14:paraId="151B3F41" w14:textId="77777777">
            <w:pPr>
              <w:pStyle w:val="Tabletext"/>
              <w:keepNext/>
              <w:keepLines/>
              <w:jc w:val="center"/>
              <w:rPr>
                <w:rStyle w:val="CommentReference"/>
                <w:szCs w:val="20"/>
              </w:rPr>
            </w:pPr>
            <w:r w:rsidRPr="00AD4F6B">
              <w:rPr>
                <w:rStyle w:val="CommentReference"/>
                <w:szCs w:val="20"/>
              </w:rPr>
              <w:t>Year 5</w:t>
            </w:r>
          </w:p>
        </w:tc>
        <w:tc>
          <w:tcPr>
            <w:tcW w:w="574" w:type="pct"/>
            <w:vAlign w:val="center"/>
          </w:tcPr>
          <w:p w:rsidRPr="00AD4F6B" w:rsidR="00BA006F" w:rsidP="004340C8" w:rsidRDefault="00BA006F" w14:paraId="5156622D" w14:textId="77777777">
            <w:pPr>
              <w:pStyle w:val="Tabletext"/>
              <w:keepNext/>
              <w:keepLines/>
              <w:jc w:val="center"/>
              <w:rPr>
                <w:rStyle w:val="CommentReference"/>
                <w:szCs w:val="20"/>
              </w:rPr>
            </w:pPr>
            <w:r w:rsidRPr="00AD4F6B">
              <w:rPr>
                <w:rStyle w:val="CommentReference"/>
                <w:szCs w:val="20"/>
              </w:rPr>
              <w:t>Year 6</w:t>
            </w:r>
          </w:p>
        </w:tc>
      </w:tr>
      <w:tr w:rsidRPr="00AD4F6B" w:rsidR="00AD4F6B" w:rsidTr="00EA35AC" w14:paraId="2D8EBE3F" w14:textId="77777777">
        <w:tc>
          <w:tcPr>
            <w:tcW w:w="5000" w:type="pct"/>
            <w:gridSpan w:val="7"/>
            <w:vAlign w:val="center"/>
          </w:tcPr>
          <w:p w:rsidRPr="00AD4F6B" w:rsidR="00BA006F" w:rsidP="004340C8" w:rsidRDefault="00BA006F" w14:paraId="1A905161" w14:textId="2A48AE96">
            <w:pPr>
              <w:pStyle w:val="Tabletext"/>
              <w:keepNext/>
              <w:keepLines/>
              <w:rPr>
                <w:rStyle w:val="CommentReference"/>
                <w:szCs w:val="20"/>
              </w:rPr>
            </w:pPr>
            <w:r w:rsidRPr="00AD4F6B">
              <w:rPr>
                <w:rStyle w:val="CommentReference"/>
                <w:szCs w:val="20"/>
              </w:rPr>
              <w:t>Estimated extent of use</w:t>
            </w:r>
          </w:p>
        </w:tc>
      </w:tr>
      <w:tr w:rsidRPr="00AD4F6B" w:rsidR="00AD4F6B" w:rsidTr="00EA35AC" w14:paraId="3102DD1F" w14:textId="77777777">
        <w:tc>
          <w:tcPr>
            <w:tcW w:w="1561" w:type="pct"/>
            <w:vAlign w:val="center"/>
          </w:tcPr>
          <w:p w:rsidRPr="00AD4F6B" w:rsidR="00BA006F" w:rsidP="004340C8" w:rsidRDefault="00BA006F" w14:paraId="58253FB7" w14:textId="77777777">
            <w:pPr>
              <w:pStyle w:val="Tabletext"/>
              <w:keepNext/>
              <w:keepLines/>
              <w:rPr>
                <w:szCs w:val="20"/>
              </w:rPr>
            </w:pPr>
            <w:r w:rsidRPr="00AD4F6B">
              <w:rPr>
                <w:szCs w:val="20"/>
              </w:rPr>
              <w:t xml:space="preserve">Patients with two </w:t>
            </w:r>
            <w:r w:rsidRPr="00AD4F6B">
              <w:rPr>
                <w:i/>
                <w:iCs/>
                <w:szCs w:val="20"/>
              </w:rPr>
              <w:t>SMN2</w:t>
            </w:r>
            <w:r w:rsidRPr="00AD4F6B">
              <w:rPr>
                <w:szCs w:val="20"/>
              </w:rPr>
              <w:t xml:space="preserve"> copies </w:t>
            </w:r>
          </w:p>
        </w:tc>
        <w:tc>
          <w:tcPr>
            <w:tcW w:w="573" w:type="pct"/>
            <w:vAlign w:val="center"/>
          </w:tcPr>
          <w:p w:rsidRPr="00E20FA0" w:rsidR="00BA006F" w:rsidP="004340C8" w:rsidRDefault="00C554FC" w14:paraId="280A3E9A" w14:textId="66E9A31D">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cs="Times New Roman"/>
                <w:snapToGrid w:val="0"/>
                <w:sz w:val="20"/>
                <w:szCs w:val="20"/>
                <w:vertAlign w:val="superscript"/>
              </w:rPr>
              <w:t>1</w:t>
            </w:r>
          </w:p>
        </w:tc>
        <w:tc>
          <w:tcPr>
            <w:tcW w:w="574" w:type="pct"/>
            <w:vAlign w:val="center"/>
          </w:tcPr>
          <w:p w:rsidRPr="00E20FA0" w:rsidR="00BA006F" w:rsidP="004340C8" w:rsidRDefault="00C554FC" w14:paraId="2C105BBC" w14:textId="66129399">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3" w:type="pct"/>
            <w:vAlign w:val="center"/>
          </w:tcPr>
          <w:p w:rsidRPr="00E20FA0" w:rsidR="00BA006F" w:rsidP="004340C8" w:rsidRDefault="00C554FC" w14:paraId="0A9C0135" w14:textId="4F07B3CD">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1DE713CA" w14:textId="3D2CC851">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3" w:type="pct"/>
            <w:vAlign w:val="center"/>
          </w:tcPr>
          <w:p w:rsidRPr="00E20FA0" w:rsidR="00BA006F" w:rsidP="004340C8" w:rsidRDefault="00C554FC" w14:paraId="44EEF570" w14:textId="79CBE4E3">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1E4AA75A" w14:textId="3A036C74">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r>
      <w:tr w:rsidRPr="00AD4F6B" w:rsidR="00AD4F6B" w:rsidTr="00EA35AC" w14:paraId="1E034017" w14:textId="77777777">
        <w:tc>
          <w:tcPr>
            <w:tcW w:w="1561" w:type="pct"/>
            <w:vAlign w:val="center"/>
          </w:tcPr>
          <w:p w:rsidRPr="00AD4F6B" w:rsidR="00BA006F" w:rsidP="004340C8" w:rsidRDefault="00BA006F" w14:paraId="55E9B54B" w14:textId="77777777">
            <w:pPr>
              <w:pStyle w:val="Tabletext"/>
              <w:keepNext/>
              <w:keepLines/>
              <w:rPr>
                <w:szCs w:val="20"/>
              </w:rPr>
            </w:pPr>
            <w:r w:rsidRPr="00AD4F6B">
              <w:rPr>
                <w:szCs w:val="20"/>
              </w:rPr>
              <w:t xml:space="preserve">Patients with three </w:t>
            </w:r>
            <w:r w:rsidRPr="00AD4F6B">
              <w:rPr>
                <w:i/>
                <w:iCs/>
                <w:szCs w:val="20"/>
              </w:rPr>
              <w:t>SMN2</w:t>
            </w:r>
            <w:r w:rsidRPr="00AD4F6B">
              <w:rPr>
                <w:szCs w:val="20"/>
              </w:rPr>
              <w:t xml:space="preserve"> copies</w:t>
            </w:r>
          </w:p>
        </w:tc>
        <w:tc>
          <w:tcPr>
            <w:tcW w:w="573" w:type="pct"/>
            <w:vAlign w:val="center"/>
          </w:tcPr>
          <w:p w:rsidRPr="00E20FA0" w:rsidR="00BA006F" w:rsidP="004340C8" w:rsidRDefault="00C554FC" w14:paraId="01DCDF95" w14:textId="1B3034C7">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117A08BC" w14:textId="0757BC8F">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3" w:type="pct"/>
            <w:vAlign w:val="center"/>
          </w:tcPr>
          <w:p w:rsidRPr="00E20FA0" w:rsidR="00BA006F" w:rsidP="004340C8" w:rsidRDefault="00C554FC" w14:paraId="11ADD138" w14:textId="5331F620">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54400F4F" w14:textId="4EAF9476">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3" w:type="pct"/>
            <w:vAlign w:val="center"/>
          </w:tcPr>
          <w:p w:rsidRPr="00E20FA0" w:rsidR="00BA006F" w:rsidP="004340C8" w:rsidRDefault="00C554FC" w14:paraId="38982BDB" w14:textId="526623BA">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40D74873" w14:textId="3B01A258">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r>
      <w:tr w:rsidRPr="00AD4F6B" w:rsidR="00AD4F6B" w:rsidTr="00EA35AC" w14:paraId="4CC5F9EF" w14:textId="77777777">
        <w:tc>
          <w:tcPr>
            <w:tcW w:w="1561" w:type="pct"/>
            <w:vAlign w:val="center"/>
          </w:tcPr>
          <w:p w:rsidRPr="00AD4F6B" w:rsidR="00BA006F" w:rsidP="004340C8" w:rsidRDefault="00BA006F" w14:paraId="7DBE83CD" w14:textId="77777777">
            <w:pPr>
              <w:pStyle w:val="Tabletext"/>
              <w:keepNext/>
              <w:keepLines/>
              <w:rPr>
                <w:szCs w:val="20"/>
              </w:rPr>
            </w:pPr>
            <w:r w:rsidRPr="00AD4F6B">
              <w:rPr>
                <w:szCs w:val="20"/>
              </w:rPr>
              <w:t>Total patients treated with ONA</w:t>
            </w:r>
          </w:p>
        </w:tc>
        <w:tc>
          <w:tcPr>
            <w:tcW w:w="573" w:type="pct"/>
            <w:vAlign w:val="center"/>
          </w:tcPr>
          <w:p w:rsidRPr="00E20FA0" w:rsidR="00BA006F" w:rsidP="004340C8" w:rsidRDefault="00C554FC" w14:paraId="10D33A53" w14:textId="36667E8E">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12713688" w14:textId="6A04FC7C">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3" w:type="pct"/>
            <w:vAlign w:val="center"/>
          </w:tcPr>
          <w:p w:rsidRPr="00E20FA0" w:rsidR="00BA006F" w:rsidP="004340C8" w:rsidRDefault="00C554FC" w14:paraId="1C45B19C" w14:textId="129E28B7">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38BB7BF9" w14:textId="266A9B4F">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3" w:type="pct"/>
            <w:vAlign w:val="center"/>
          </w:tcPr>
          <w:p w:rsidRPr="00E20FA0" w:rsidR="00BA006F" w:rsidP="004340C8" w:rsidRDefault="00C554FC" w14:paraId="0B8FD22E" w14:textId="1C7C6F6D">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277EF692" w14:textId="50DFF357">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r>
      <w:tr w:rsidRPr="00AD4F6B" w:rsidR="00AD4F6B" w:rsidTr="00EA35AC" w14:paraId="56263293" w14:textId="77777777">
        <w:tc>
          <w:tcPr>
            <w:tcW w:w="1561" w:type="pct"/>
            <w:vAlign w:val="center"/>
          </w:tcPr>
          <w:p w:rsidRPr="00AD4F6B" w:rsidR="00BA006F" w:rsidP="004340C8" w:rsidRDefault="00BA006F" w14:paraId="621216D2" w14:textId="77777777">
            <w:pPr>
              <w:pStyle w:val="Tabletext"/>
              <w:keepNext/>
              <w:keepLines/>
              <w:rPr>
                <w:szCs w:val="20"/>
                <w:vertAlign w:val="superscript"/>
              </w:rPr>
            </w:pPr>
            <w:r w:rsidRPr="00AD4F6B">
              <w:rPr>
                <w:szCs w:val="20"/>
              </w:rPr>
              <w:t>Total number of scripts dispensed</w:t>
            </w:r>
          </w:p>
        </w:tc>
        <w:tc>
          <w:tcPr>
            <w:tcW w:w="573" w:type="pct"/>
            <w:vAlign w:val="center"/>
          </w:tcPr>
          <w:p w:rsidRPr="00E20FA0" w:rsidR="00BA006F" w:rsidP="004340C8" w:rsidRDefault="00C554FC" w14:paraId="6B025DB0" w14:textId="703494E9">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54D11C40" w14:textId="6A70FF88">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3" w:type="pct"/>
            <w:vAlign w:val="center"/>
          </w:tcPr>
          <w:p w:rsidRPr="00E20FA0" w:rsidR="00BA006F" w:rsidP="004340C8" w:rsidRDefault="00C554FC" w14:paraId="7535B211" w14:textId="27BD27D7">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27FD28D1" w14:textId="1C4E0E22">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3" w:type="pct"/>
            <w:vAlign w:val="center"/>
          </w:tcPr>
          <w:p w:rsidRPr="00E20FA0" w:rsidR="00BA006F" w:rsidP="004340C8" w:rsidRDefault="00C554FC" w14:paraId="3613B078" w14:textId="62BD18A8">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c>
          <w:tcPr>
            <w:tcW w:w="574" w:type="pct"/>
            <w:vAlign w:val="center"/>
          </w:tcPr>
          <w:p w:rsidRPr="00E20FA0" w:rsidR="00BA006F" w:rsidP="004340C8" w:rsidRDefault="00C554FC" w14:paraId="2C65BD91" w14:textId="292B9EFE">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530FB">
              <w:rPr>
                <w:rFonts w:ascii="Arial Narrow" w:hAnsi="Arial Narrow"/>
                <w:sz w:val="20"/>
                <w:szCs w:val="20"/>
                <w:vertAlign w:val="superscript"/>
              </w:rPr>
              <w:t>1</w:t>
            </w:r>
          </w:p>
        </w:tc>
      </w:tr>
      <w:tr w:rsidRPr="00AD4F6B" w:rsidR="00AD4F6B" w:rsidTr="00EA35AC" w14:paraId="4A98E97A" w14:textId="77777777">
        <w:tc>
          <w:tcPr>
            <w:tcW w:w="5000" w:type="pct"/>
            <w:gridSpan w:val="7"/>
            <w:vAlign w:val="center"/>
          </w:tcPr>
          <w:p w:rsidRPr="00AD4F6B" w:rsidR="00BA006F" w:rsidP="004340C8" w:rsidRDefault="00BA006F" w14:paraId="126F1582" w14:textId="441F238D">
            <w:pPr>
              <w:keepNext/>
              <w:keepLines/>
              <w:rPr>
                <w:rFonts w:ascii="Arial Narrow" w:hAnsi="Arial Narrow"/>
                <w:sz w:val="20"/>
                <w:szCs w:val="20"/>
              </w:rPr>
            </w:pPr>
            <w:r w:rsidRPr="00AD4F6B">
              <w:rPr>
                <w:rStyle w:val="CommentReference"/>
                <w:rFonts w:cs="Times New Roman"/>
                <w:snapToGrid w:val="0"/>
                <w:szCs w:val="20"/>
              </w:rPr>
              <w:t>Estimated financial imp</w:t>
            </w:r>
            <w:r w:rsidRPr="00AD4F6B" w:rsidR="00FF3C74">
              <w:rPr>
                <w:rStyle w:val="CommentReference"/>
                <w:rFonts w:cs="Times New Roman"/>
                <w:snapToGrid w:val="0"/>
                <w:szCs w:val="20"/>
              </w:rPr>
              <w:t>act of use</w:t>
            </w:r>
            <w:r w:rsidRPr="00AD4F6B">
              <w:rPr>
                <w:rStyle w:val="CommentReference"/>
                <w:rFonts w:cs="Times New Roman"/>
                <w:snapToGrid w:val="0"/>
                <w:szCs w:val="20"/>
              </w:rPr>
              <w:t xml:space="preserve"> </w:t>
            </w:r>
            <w:r w:rsidRPr="00AD4F6B" w:rsidR="00FF3C74">
              <w:rPr>
                <w:rStyle w:val="CommentReference"/>
                <w:rFonts w:cs="Times New Roman"/>
                <w:snapToGrid w:val="0"/>
                <w:szCs w:val="20"/>
              </w:rPr>
              <w:t>for the</w:t>
            </w:r>
            <w:r w:rsidRPr="00AD4F6B">
              <w:rPr>
                <w:rStyle w:val="CommentReference"/>
                <w:rFonts w:cs="Times New Roman"/>
                <w:snapToGrid w:val="0"/>
                <w:szCs w:val="20"/>
              </w:rPr>
              <w:t xml:space="preserve"> PBS</w:t>
            </w:r>
            <w:r w:rsidRPr="00AD4F6B">
              <w:rPr>
                <w:rFonts w:ascii="Arial Narrow" w:hAnsi="Arial Narrow"/>
                <w:sz w:val="20"/>
                <w:szCs w:val="20"/>
              </w:rPr>
              <w:t xml:space="preserve"> (not adjusted for co-pay)</w:t>
            </w:r>
          </w:p>
        </w:tc>
      </w:tr>
      <w:tr w:rsidRPr="00AD4F6B" w:rsidR="00AD4F6B" w:rsidTr="00EA35AC" w14:paraId="065ADA1C" w14:textId="77777777">
        <w:tc>
          <w:tcPr>
            <w:tcW w:w="1561" w:type="pct"/>
            <w:vAlign w:val="center"/>
          </w:tcPr>
          <w:p w:rsidRPr="00AD4F6B" w:rsidR="00BA006F" w:rsidP="004340C8" w:rsidRDefault="00BA006F" w14:paraId="4D25631B" w14:textId="77777777">
            <w:pPr>
              <w:pStyle w:val="Tabletext"/>
              <w:keepNext/>
              <w:keepLines/>
              <w:rPr>
                <w:szCs w:val="20"/>
              </w:rPr>
            </w:pPr>
            <w:r w:rsidRPr="00AD4F6B">
              <w:rPr>
                <w:szCs w:val="20"/>
              </w:rPr>
              <w:t>Total (eff)</w:t>
            </w:r>
          </w:p>
        </w:tc>
        <w:tc>
          <w:tcPr>
            <w:tcW w:w="573" w:type="pct"/>
          </w:tcPr>
          <w:p w:rsidRPr="00AD4F6B" w:rsidR="00BA006F" w:rsidP="004340C8" w:rsidRDefault="00BA006F" w14:paraId="2E57F1C7" w14:textId="7065A5EB">
            <w:pPr>
              <w:keepNext/>
              <w:keepLines/>
              <w:jc w:val="center"/>
              <w:rPr>
                <w:rFonts w:ascii="Arial Narrow" w:hAnsi="Arial Narrow"/>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20FA0" w:rsidR="00D5621D">
              <w:rPr>
                <w:rFonts w:ascii="Arial Narrow" w:hAnsi="Arial Narrow" w:cs="Times New Roman"/>
                <w:snapToGrid w:val="0"/>
                <w:sz w:val="20"/>
                <w:szCs w:val="20"/>
                <w:vertAlign w:val="superscript"/>
              </w:rPr>
              <w:t>2</w:t>
            </w:r>
          </w:p>
        </w:tc>
        <w:tc>
          <w:tcPr>
            <w:tcW w:w="574" w:type="pct"/>
          </w:tcPr>
          <w:p w:rsidRPr="00AD4F6B" w:rsidR="00BA006F" w:rsidP="004340C8" w:rsidRDefault="00BA006F" w14:paraId="7EE33981" w14:textId="05658FB6">
            <w:pPr>
              <w:keepNext/>
              <w:keepLines/>
              <w:jc w:val="center"/>
              <w:rPr>
                <w:rFonts w:ascii="Arial Narrow" w:hAnsi="Arial Narrow"/>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20FA0" w:rsidR="00D5621D">
              <w:rPr>
                <w:rFonts w:ascii="Arial Narrow" w:hAnsi="Arial Narrow" w:cs="Times New Roman"/>
                <w:snapToGrid w:val="0"/>
                <w:sz w:val="20"/>
                <w:szCs w:val="20"/>
                <w:vertAlign w:val="superscript"/>
              </w:rPr>
              <w:t>2</w:t>
            </w:r>
          </w:p>
        </w:tc>
        <w:tc>
          <w:tcPr>
            <w:tcW w:w="573" w:type="pct"/>
          </w:tcPr>
          <w:p w:rsidRPr="00AD4F6B" w:rsidR="00BA006F" w:rsidP="004340C8" w:rsidRDefault="00BA006F" w14:paraId="6E21FE60" w14:textId="4F067F5E">
            <w:pPr>
              <w:keepNext/>
              <w:keepLines/>
              <w:jc w:val="center"/>
              <w:rPr>
                <w:rFonts w:ascii="Arial Narrow" w:hAnsi="Arial Narrow"/>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20FA0" w:rsidR="00D5621D">
              <w:rPr>
                <w:rFonts w:ascii="Arial Narrow" w:hAnsi="Arial Narrow" w:cs="Times New Roman"/>
                <w:snapToGrid w:val="0"/>
                <w:sz w:val="20"/>
                <w:szCs w:val="20"/>
                <w:vertAlign w:val="superscript"/>
              </w:rPr>
              <w:t>2</w:t>
            </w:r>
          </w:p>
        </w:tc>
        <w:tc>
          <w:tcPr>
            <w:tcW w:w="574" w:type="pct"/>
          </w:tcPr>
          <w:p w:rsidRPr="00AD4F6B" w:rsidR="00BA006F" w:rsidP="004340C8" w:rsidRDefault="00BA006F" w14:paraId="29289419" w14:textId="0A893A26">
            <w:pPr>
              <w:keepNext/>
              <w:keepLines/>
              <w:jc w:val="center"/>
              <w:rPr>
                <w:rFonts w:ascii="Arial Narrow" w:hAnsi="Arial Narrow"/>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20FA0" w:rsidR="00D5621D">
              <w:rPr>
                <w:rFonts w:ascii="Arial Narrow" w:hAnsi="Arial Narrow" w:cs="Times New Roman"/>
                <w:snapToGrid w:val="0"/>
                <w:sz w:val="20"/>
                <w:szCs w:val="20"/>
                <w:vertAlign w:val="superscript"/>
              </w:rPr>
              <w:t>2</w:t>
            </w:r>
          </w:p>
        </w:tc>
        <w:tc>
          <w:tcPr>
            <w:tcW w:w="573" w:type="pct"/>
          </w:tcPr>
          <w:p w:rsidRPr="00AD4F6B" w:rsidR="00BA006F" w:rsidP="004340C8" w:rsidRDefault="00BA006F" w14:paraId="14C65A3A" w14:textId="07B9724E">
            <w:pPr>
              <w:keepNext/>
              <w:keepLines/>
              <w:jc w:val="center"/>
              <w:rPr>
                <w:rFonts w:ascii="Arial Narrow" w:hAnsi="Arial Narrow"/>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20FA0" w:rsidR="00D5621D">
              <w:rPr>
                <w:rFonts w:ascii="Arial Narrow" w:hAnsi="Arial Narrow" w:cs="Times New Roman"/>
                <w:snapToGrid w:val="0"/>
                <w:sz w:val="20"/>
                <w:szCs w:val="20"/>
                <w:vertAlign w:val="superscript"/>
              </w:rPr>
              <w:t>2</w:t>
            </w:r>
          </w:p>
        </w:tc>
        <w:tc>
          <w:tcPr>
            <w:tcW w:w="574" w:type="pct"/>
          </w:tcPr>
          <w:p w:rsidRPr="00AD4F6B" w:rsidR="00BA006F" w:rsidP="004340C8" w:rsidRDefault="00BA006F" w14:paraId="18802011" w14:textId="1ACEC71B">
            <w:pPr>
              <w:keepNext/>
              <w:keepLines/>
              <w:jc w:val="center"/>
              <w:rPr>
                <w:rFonts w:ascii="Arial Narrow" w:hAnsi="Arial Narrow"/>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20FA0" w:rsidR="00D5621D">
              <w:rPr>
                <w:rFonts w:ascii="Arial Narrow" w:hAnsi="Arial Narrow" w:cs="Times New Roman"/>
                <w:snapToGrid w:val="0"/>
                <w:sz w:val="20"/>
                <w:szCs w:val="20"/>
                <w:vertAlign w:val="superscript"/>
              </w:rPr>
              <w:t>2</w:t>
            </w:r>
          </w:p>
        </w:tc>
      </w:tr>
      <w:tr w:rsidRPr="00AD4F6B" w:rsidR="00AD4F6B" w:rsidTr="00EA35AC" w14:paraId="2A8AD616" w14:textId="77777777">
        <w:tc>
          <w:tcPr>
            <w:tcW w:w="5000" w:type="pct"/>
            <w:gridSpan w:val="7"/>
            <w:vAlign w:val="center"/>
          </w:tcPr>
          <w:p w:rsidRPr="00AD4F6B" w:rsidR="00BA006F" w:rsidP="004340C8" w:rsidRDefault="00BA006F" w14:paraId="666E24E8" w14:textId="502CB76A">
            <w:pPr>
              <w:pStyle w:val="Tabletext"/>
              <w:keepNext/>
              <w:keepLines/>
              <w:rPr>
                <w:rStyle w:val="CommentReference"/>
                <w:szCs w:val="20"/>
              </w:rPr>
            </w:pPr>
            <w:r w:rsidRPr="00AD4F6B">
              <w:rPr>
                <w:rStyle w:val="CommentReference"/>
                <w:szCs w:val="20"/>
              </w:rPr>
              <w:t>Estimation of changes in use and financial impact of other medicines (PBS)</w:t>
            </w:r>
          </w:p>
        </w:tc>
      </w:tr>
      <w:tr w:rsidRPr="00AD4F6B" w:rsidR="00AD4F6B" w:rsidTr="00EA35AC" w14:paraId="14D12115" w14:textId="77777777">
        <w:tc>
          <w:tcPr>
            <w:tcW w:w="1561" w:type="pct"/>
          </w:tcPr>
          <w:p w:rsidRPr="00AD4F6B" w:rsidR="00BA006F" w:rsidP="004340C8" w:rsidRDefault="00BA006F" w14:paraId="2B43E2DC" w14:textId="77777777">
            <w:pPr>
              <w:pStyle w:val="Tabletext"/>
              <w:keepNext/>
              <w:keepLines/>
              <w:rPr>
                <w:szCs w:val="20"/>
              </w:rPr>
            </w:pPr>
            <w:r w:rsidRPr="00AD4F6B">
              <w:rPr>
                <w:szCs w:val="20"/>
              </w:rPr>
              <w:t>Total initiating patients (first year)</w:t>
            </w:r>
          </w:p>
        </w:tc>
        <w:tc>
          <w:tcPr>
            <w:tcW w:w="573" w:type="pct"/>
            <w:tcBorders>
              <w:top w:val="single" w:color="auto" w:sz="4" w:space="0"/>
              <w:bottom w:val="single" w:color="auto" w:sz="4" w:space="0"/>
            </w:tcBorders>
            <w:vAlign w:val="center"/>
          </w:tcPr>
          <w:p w:rsidRPr="00E20FA0" w:rsidR="00BA006F" w:rsidP="004340C8" w:rsidRDefault="00C554FC" w14:paraId="6662D5BB" w14:textId="1D394842">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bottom w:val="single" w:color="auto" w:sz="4" w:space="0"/>
            </w:tcBorders>
            <w:vAlign w:val="center"/>
          </w:tcPr>
          <w:p w:rsidRPr="00E20FA0" w:rsidR="00BA006F" w:rsidP="004340C8" w:rsidRDefault="00C554FC" w14:paraId="78AE4F88" w14:textId="456222D3">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3" w:type="pct"/>
            <w:tcBorders>
              <w:top w:val="single" w:color="auto" w:sz="4" w:space="0"/>
              <w:bottom w:val="single" w:color="auto" w:sz="4" w:space="0"/>
            </w:tcBorders>
            <w:vAlign w:val="center"/>
          </w:tcPr>
          <w:p w:rsidRPr="00E20FA0" w:rsidR="00BA006F" w:rsidP="004340C8" w:rsidRDefault="00C554FC" w14:paraId="522E0420" w14:textId="5E1E8A60">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bottom w:val="single" w:color="auto" w:sz="4" w:space="0"/>
            </w:tcBorders>
            <w:vAlign w:val="center"/>
          </w:tcPr>
          <w:p w:rsidRPr="00E20FA0" w:rsidR="00BA006F" w:rsidP="004340C8" w:rsidRDefault="00C554FC" w14:paraId="4A6112DF" w14:textId="6B0473C8">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3" w:type="pct"/>
            <w:tcBorders>
              <w:top w:val="single" w:color="auto" w:sz="4" w:space="0"/>
              <w:bottom w:val="single" w:color="auto" w:sz="4" w:space="0"/>
            </w:tcBorders>
            <w:vAlign w:val="center"/>
          </w:tcPr>
          <w:p w:rsidRPr="00E20FA0" w:rsidR="00BA006F" w:rsidP="004340C8" w:rsidRDefault="00C554FC" w14:paraId="091DC749" w14:textId="75EB3915">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bottom w:val="single" w:color="auto" w:sz="4" w:space="0"/>
            </w:tcBorders>
            <w:vAlign w:val="center"/>
          </w:tcPr>
          <w:p w:rsidRPr="00E20FA0" w:rsidR="00BA006F" w:rsidP="004340C8" w:rsidRDefault="00C554FC" w14:paraId="5672FFEE" w14:textId="1853317A">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r>
      <w:tr w:rsidRPr="00AD4F6B" w:rsidR="00AD4F6B" w:rsidTr="00EA35AC" w14:paraId="1563F2A2" w14:textId="77777777">
        <w:tc>
          <w:tcPr>
            <w:tcW w:w="1561" w:type="pct"/>
          </w:tcPr>
          <w:p w:rsidRPr="00AD4F6B" w:rsidR="00BA006F" w:rsidP="004340C8" w:rsidRDefault="00BA006F" w14:paraId="35EEF161" w14:textId="77777777">
            <w:pPr>
              <w:pStyle w:val="Tabletext"/>
              <w:keepNext/>
              <w:keepLines/>
              <w:rPr>
                <w:szCs w:val="20"/>
              </w:rPr>
            </w:pPr>
            <w:r w:rsidRPr="00AD4F6B">
              <w:rPr>
                <w:szCs w:val="20"/>
              </w:rPr>
              <w:t>Total continuing patients (second yr+)</w:t>
            </w:r>
          </w:p>
        </w:tc>
        <w:tc>
          <w:tcPr>
            <w:tcW w:w="573" w:type="pct"/>
            <w:tcBorders>
              <w:top w:val="single" w:color="auto" w:sz="4" w:space="0"/>
              <w:bottom w:val="single" w:color="auto" w:sz="4" w:space="0"/>
            </w:tcBorders>
            <w:vAlign w:val="center"/>
          </w:tcPr>
          <w:p w:rsidRPr="00E20FA0" w:rsidR="00BA006F" w:rsidP="004340C8" w:rsidRDefault="00C554FC" w14:paraId="2AAEEC68" w14:textId="2121B7D0">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bottom w:val="single" w:color="auto" w:sz="4" w:space="0"/>
            </w:tcBorders>
            <w:vAlign w:val="center"/>
          </w:tcPr>
          <w:p w:rsidRPr="00E20FA0" w:rsidR="00BA006F" w:rsidP="004340C8" w:rsidRDefault="00C554FC" w14:paraId="13B02747" w14:textId="6D8C64BA">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3" w:type="pct"/>
            <w:tcBorders>
              <w:top w:val="single" w:color="auto" w:sz="4" w:space="0"/>
              <w:bottom w:val="single" w:color="auto" w:sz="4" w:space="0"/>
            </w:tcBorders>
            <w:vAlign w:val="center"/>
          </w:tcPr>
          <w:p w:rsidRPr="00E20FA0" w:rsidR="00BA006F" w:rsidP="004340C8" w:rsidRDefault="00C554FC" w14:paraId="67DF8BEF" w14:textId="4A665BB7">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bottom w:val="single" w:color="auto" w:sz="4" w:space="0"/>
            </w:tcBorders>
            <w:vAlign w:val="center"/>
          </w:tcPr>
          <w:p w:rsidRPr="00E20FA0" w:rsidR="00BA006F" w:rsidP="004340C8" w:rsidRDefault="00C554FC" w14:paraId="0608320F" w14:textId="53B39C12">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3" w:type="pct"/>
            <w:tcBorders>
              <w:top w:val="single" w:color="auto" w:sz="4" w:space="0"/>
              <w:bottom w:val="single" w:color="auto" w:sz="4" w:space="0"/>
            </w:tcBorders>
            <w:vAlign w:val="center"/>
          </w:tcPr>
          <w:p w:rsidRPr="00E20FA0" w:rsidR="00BA006F" w:rsidP="004340C8" w:rsidRDefault="00C554FC" w14:paraId="037521F3" w14:textId="788EE6CF">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bottom w:val="single" w:color="auto" w:sz="4" w:space="0"/>
            </w:tcBorders>
            <w:vAlign w:val="center"/>
          </w:tcPr>
          <w:p w:rsidRPr="00E20FA0" w:rsidR="00BA006F" w:rsidP="004340C8" w:rsidRDefault="00C554FC" w14:paraId="3FA4191B" w14:textId="4126F2CA">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r>
      <w:tr w:rsidRPr="00AD4F6B" w:rsidR="00AD4F6B" w:rsidTr="00EA35AC" w14:paraId="4C496A74" w14:textId="77777777">
        <w:tc>
          <w:tcPr>
            <w:tcW w:w="1561" w:type="pct"/>
          </w:tcPr>
          <w:p w:rsidRPr="00AD4F6B" w:rsidR="00BA006F" w:rsidP="004340C8" w:rsidRDefault="00BA006F" w14:paraId="365FF1D1" w14:textId="77777777">
            <w:pPr>
              <w:pStyle w:val="Tabletext"/>
              <w:keepNext/>
              <w:keepLines/>
              <w:rPr>
                <w:szCs w:val="20"/>
              </w:rPr>
            </w:pPr>
            <w:r w:rsidRPr="00AD4F6B">
              <w:rPr>
                <w:szCs w:val="20"/>
              </w:rPr>
              <w:t>Total changes in number of scripts</w:t>
            </w:r>
          </w:p>
        </w:tc>
        <w:tc>
          <w:tcPr>
            <w:tcW w:w="573" w:type="pct"/>
            <w:vAlign w:val="center"/>
          </w:tcPr>
          <w:p w:rsidRPr="00E20FA0" w:rsidR="00BA006F" w:rsidP="004340C8" w:rsidRDefault="00C554FC" w14:paraId="19CCA4E9" w14:textId="54D455AF">
            <w:pPr>
              <w:pStyle w:val="Tabletext"/>
              <w:keepNext/>
              <w:keepLines/>
              <w:jc w:val="center"/>
              <w:rPr>
                <w:rFonts w:cs="Arial"/>
                <w:bCs/>
                <w:szCs w:val="20"/>
                <w:highlight w:val="darkGray"/>
              </w:rPr>
            </w:pPr>
            <w:r w:rsidRPr="00C554FC">
              <w:rPr>
                <w:rFonts w:cs="Arial"/>
                <w:bCs/>
                <w:szCs w:val="20"/>
                <w:highlight w:val="black"/>
              </w:rPr>
              <w:t>&amp;&amp;&amp;&amp;</w:t>
            </w:r>
            <w:r w:rsidRPr="00E20FA0" w:rsidR="0056415C">
              <w:rPr>
                <w:szCs w:val="20"/>
                <w:vertAlign w:val="superscript"/>
              </w:rPr>
              <w:t>1</w:t>
            </w:r>
          </w:p>
        </w:tc>
        <w:tc>
          <w:tcPr>
            <w:tcW w:w="574" w:type="pct"/>
            <w:vAlign w:val="center"/>
          </w:tcPr>
          <w:p w:rsidRPr="00E20FA0" w:rsidR="00BA006F" w:rsidP="004340C8" w:rsidRDefault="00C554FC" w14:paraId="5ADF4B25" w14:textId="0CC0C1E2">
            <w:pPr>
              <w:pStyle w:val="Tabletext"/>
              <w:keepNext/>
              <w:keepLines/>
              <w:jc w:val="center"/>
              <w:rPr>
                <w:rFonts w:cs="Arial"/>
                <w:bCs/>
                <w:szCs w:val="20"/>
                <w:highlight w:val="darkGray"/>
              </w:rPr>
            </w:pPr>
            <w:r w:rsidRPr="00C554FC">
              <w:rPr>
                <w:rFonts w:cs="Arial"/>
                <w:bCs/>
                <w:szCs w:val="20"/>
                <w:highlight w:val="black"/>
              </w:rPr>
              <w:t>&amp;&amp;&amp;&amp;</w:t>
            </w:r>
            <w:r w:rsidRPr="00E20FA0" w:rsidR="0056415C">
              <w:rPr>
                <w:szCs w:val="20"/>
                <w:vertAlign w:val="superscript"/>
              </w:rPr>
              <w:t>1</w:t>
            </w:r>
          </w:p>
        </w:tc>
        <w:tc>
          <w:tcPr>
            <w:tcW w:w="573" w:type="pct"/>
            <w:vAlign w:val="center"/>
          </w:tcPr>
          <w:p w:rsidRPr="00E20FA0" w:rsidR="00BA006F" w:rsidP="004340C8" w:rsidRDefault="00C554FC" w14:paraId="4352B5BD" w14:textId="35AD3256">
            <w:pPr>
              <w:pStyle w:val="Tabletext"/>
              <w:keepNext/>
              <w:keepLines/>
              <w:jc w:val="center"/>
              <w:rPr>
                <w:rFonts w:cs="Arial"/>
                <w:bCs/>
                <w:szCs w:val="20"/>
                <w:highlight w:val="darkGray"/>
              </w:rPr>
            </w:pPr>
            <w:r w:rsidRPr="00C554FC">
              <w:rPr>
                <w:rFonts w:cs="Arial"/>
                <w:bCs/>
                <w:szCs w:val="20"/>
                <w:highlight w:val="black"/>
              </w:rPr>
              <w:t>&amp;&amp;&amp;&amp;</w:t>
            </w:r>
            <w:r w:rsidRPr="00E20FA0" w:rsidR="0056415C">
              <w:rPr>
                <w:szCs w:val="20"/>
                <w:vertAlign w:val="superscript"/>
              </w:rPr>
              <w:t>1</w:t>
            </w:r>
          </w:p>
        </w:tc>
        <w:tc>
          <w:tcPr>
            <w:tcW w:w="574" w:type="pct"/>
            <w:vAlign w:val="center"/>
          </w:tcPr>
          <w:p w:rsidRPr="00E20FA0" w:rsidR="00BA006F" w:rsidP="004340C8" w:rsidRDefault="00C554FC" w14:paraId="5712F1B2" w14:textId="12F9C95C">
            <w:pPr>
              <w:pStyle w:val="Tabletext"/>
              <w:keepNext/>
              <w:keepLines/>
              <w:jc w:val="center"/>
              <w:rPr>
                <w:rFonts w:cs="Arial"/>
                <w:bCs/>
                <w:szCs w:val="20"/>
                <w:highlight w:val="darkGray"/>
              </w:rPr>
            </w:pPr>
            <w:r w:rsidRPr="00C554FC">
              <w:rPr>
                <w:rFonts w:cs="Arial"/>
                <w:bCs/>
                <w:szCs w:val="20"/>
                <w:highlight w:val="black"/>
              </w:rPr>
              <w:t>&amp;&amp;&amp;&amp;</w:t>
            </w:r>
            <w:r w:rsidRPr="00E20FA0" w:rsidR="0056415C">
              <w:rPr>
                <w:szCs w:val="20"/>
                <w:vertAlign w:val="superscript"/>
              </w:rPr>
              <w:t>1</w:t>
            </w:r>
          </w:p>
        </w:tc>
        <w:tc>
          <w:tcPr>
            <w:tcW w:w="573" w:type="pct"/>
            <w:vAlign w:val="center"/>
          </w:tcPr>
          <w:p w:rsidRPr="00E20FA0" w:rsidR="00BA006F" w:rsidP="004340C8" w:rsidRDefault="00C554FC" w14:paraId="0CCF11EF" w14:textId="2B3289C7">
            <w:pPr>
              <w:pStyle w:val="Tabletext"/>
              <w:keepNext/>
              <w:keepLines/>
              <w:jc w:val="center"/>
              <w:rPr>
                <w:rFonts w:cs="Arial"/>
                <w:bCs/>
                <w:szCs w:val="20"/>
                <w:highlight w:val="darkGray"/>
              </w:rPr>
            </w:pPr>
            <w:r w:rsidRPr="00C554FC">
              <w:rPr>
                <w:rFonts w:cs="Arial"/>
                <w:bCs/>
                <w:szCs w:val="20"/>
                <w:highlight w:val="black"/>
              </w:rPr>
              <w:t>&amp;&amp;&amp;&amp;</w:t>
            </w:r>
            <w:r w:rsidRPr="00E20FA0" w:rsidR="0056415C">
              <w:rPr>
                <w:szCs w:val="20"/>
                <w:vertAlign w:val="superscript"/>
              </w:rPr>
              <w:t>1</w:t>
            </w:r>
          </w:p>
        </w:tc>
        <w:tc>
          <w:tcPr>
            <w:tcW w:w="574" w:type="pct"/>
            <w:vAlign w:val="center"/>
          </w:tcPr>
          <w:p w:rsidRPr="00E20FA0" w:rsidR="00BA006F" w:rsidP="004340C8" w:rsidRDefault="00C554FC" w14:paraId="7EEFB03F" w14:textId="3C3861B4">
            <w:pPr>
              <w:pStyle w:val="Tabletext"/>
              <w:keepNext/>
              <w:keepLines/>
              <w:jc w:val="center"/>
              <w:rPr>
                <w:rFonts w:cs="Arial"/>
                <w:bCs/>
                <w:szCs w:val="20"/>
                <w:highlight w:val="darkGray"/>
              </w:rPr>
            </w:pPr>
            <w:r w:rsidRPr="00C554FC">
              <w:rPr>
                <w:rFonts w:cs="Arial"/>
                <w:bCs/>
                <w:szCs w:val="20"/>
                <w:highlight w:val="black"/>
              </w:rPr>
              <w:t>&amp;&amp;&amp;&amp;</w:t>
            </w:r>
            <w:r w:rsidRPr="00E20FA0" w:rsidR="0056415C">
              <w:rPr>
                <w:szCs w:val="20"/>
                <w:vertAlign w:val="superscript"/>
              </w:rPr>
              <w:t>1</w:t>
            </w:r>
          </w:p>
        </w:tc>
      </w:tr>
      <w:tr w:rsidRPr="00AD4F6B" w:rsidR="00AD4F6B" w:rsidTr="00EA35AC" w14:paraId="23AA7744" w14:textId="77777777">
        <w:tc>
          <w:tcPr>
            <w:tcW w:w="5000" w:type="pct"/>
            <w:gridSpan w:val="7"/>
          </w:tcPr>
          <w:p w:rsidRPr="00AD4F6B" w:rsidR="00BA006F" w:rsidP="004340C8" w:rsidRDefault="00BA006F" w14:paraId="3785D0DD" w14:textId="77777777">
            <w:pPr>
              <w:pStyle w:val="Tabletext"/>
              <w:keepNext/>
              <w:keepLines/>
              <w:rPr>
                <w:szCs w:val="20"/>
              </w:rPr>
            </w:pPr>
            <w:r w:rsidRPr="00AD4F6B">
              <w:rPr>
                <w:szCs w:val="20"/>
              </w:rPr>
              <w:t xml:space="preserve">PBS cost less co-pay </w:t>
            </w:r>
          </w:p>
        </w:tc>
      </w:tr>
      <w:tr w:rsidRPr="00AD4F6B" w:rsidR="00AD4F6B" w:rsidTr="00EA35AC" w14:paraId="32F08B4C" w14:textId="77777777">
        <w:tc>
          <w:tcPr>
            <w:tcW w:w="1561" w:type="pct"/>
            <w:vAlign w:val="center"/>
          </w:tcPr>
          <w:p w:rsidRPr="00AD4F6B" w:rsidR="00BA006F" w:rsidP="004340C8" w:rsidRDefault="00BA006F" w14:paraId="5FD9A868" w14:textId="7F9CDE73">
            <w:pPr>
              <w:pStyle w:val="Tabletext"/>
              <w:keepNext/>
              <w:keepLines/>
              <w:rPr>
                <w:szCs w:val="20"/>
              </w:rPr>
            </w:pPr>
            <w:r w:rsidRPr="00AD4F6B">
              <w:rPr>
                <w:szCs w:val="20"/>
              </w:rPr>
              <w:t>Total (eff)</w:t>
            </w:r>
            <w:r w:rsidR="007A651F">
              <w:rPr>
                <w:szCs w:val="20"/>
              </w:rPr>
              <w:t xml:space="preserve"> </w:t>
            </w:r>
          </w:p>
        </w:tc>
        <w:tc>
          <w:tcPr>
            <w:tcW w:w="573" w:type="pct"/>
            <w:tcBorders>
              <w:top w:val="single" w:color="auto" w:sz="4" w:space="0"/>
              <w:left w:val="single" w:color="auto" w:sz="4" w:space="0"/>
              <w:bottom w:val="single" w:color="auto" w:sz="4" w:space="0"/>
              <w:right w:val="single" w:color="auto" w:sz="4" w:space="0"/>
            </w:tcBorders>
            <w:vAlign w:val="center"/>
          </w:tcPr>
          <w:p w:rsidRPr="00E20FA0" w:rsidR="00BA006F" w:rsidP="004340C8" w:rsidRDefault="00C554FC" w14:paraId="3C1E98AA" w14:textId="25849E5A">
            <w:pPr>
              <w:keepNext/>
              <w:keepLines/>
              <w:jc w:val="center"/>
              <w:rPr>
                <w:rFonts w:ascii="Arial Narrow" w:hAnsi="Arial Narrow"/>
                <w:iCs/>
                <w:sz w:val="20"/>
                <w:szCs w:val="20"/>
                <w:highlight w:val="darkGray"/>
              </w:rPr>
            </w:pPr>
            <w:r w:rsidRPr="00C554FC">
              <w:rPr>
                <w:rFonts w:ascii="Arial Narrow" w:hAnsi="Arial Narrow"/>
                <w:iCs/>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left w:val="nil"/>
              <w:bottom w:val="single" w:color="auto" w:sz="4" w:space="0"/>
              <w:right w:val="single" w:color="auto" w:sz="4" w:space="0"/>
            </w:tcBorders>
            <w:vAlign w:val="center"/>
          </w:tcPr>
          <w:p w:rsidRPr="00E20FA0" w:rsidR="00BA006F" w:rsidP="004340C8" w:rsidRDefault="00C554FC" w14:paraId="7CD38766" w14:textId="1BCF6A5C">
            <w:pPr>
              <w:keepNext/>
              <w:keepLines/>
              <w:jc w:val="center"/>
              <w:rPr>
                <w:rFonts w:ascii="Arial Narrow" w:hAnsi="Arial Narrow"/>
                <w:iCs/>
                <w:sz w:val="20"/>
                <w:szCs w:val="20"/>
                <w:highlight w:val="darkGray"/>
              </w:rPr>
            </w:pPr>
            <w:r w:rsidRPr="00C554FC">
              <w:rPr>
                <w:rFonts w:ascii="Arial Narrow" w:hAnsi="Arial Narrow"/>
                <w:iCs/>
                <w:sz w:val="20"/>
                <w:szCs w:val="20"/>
                <w:highlight w:val="black"/>
              </w:rPr>
              <w:t>&amp;&amp;&amp;&amp;</w:t>
            </w:r>
            <w:r w:rsidRPr="00E20FA0" w:rsidR="0056415C">
              <w:rPr>
                <w:rFonts w:ascii="Arial Narrow" w:hAnsi="Arial Narrow"/>
                <w:sz w:val="20"/>
                <w:szCs w:val="20"/>
                <w:vertAlign w:val="superscript"/>
              </w:rPr>
              <w:t>1</w:t>
            </w:r>
          </w:p>
        </w:tc>
        <w:tc>
          <w:tcPr>
            <w:tcW w:w="573" w:type="pct"/>
            <w:tcBorders>
              <w:top w:val="single" w:color="auto" w:sz="4" w:space="0"/>
              <w:left w:val="nil"/>
              <w:bottom w:val="single" w:color="auto" w:sz="4" w:space="0"/>
              <w:right w:val="single" w:color="auto" w:sz="4" w:space="0"/>
            </w:tcBorders>
            <w:vAlign w:val="center"/>
          </w:tcPr>
          <w:p w:rsidRPr="00E20FA0" w:rsidR="00BA006F" w:rsidP="004340C8" w:rsidRDefault="00C554FC" w14:paraId="59FE457F" w14:textId="6FBA0A91">
            <w:pPr>
              <w:keepNext/>
              <w:keepLines/>
              <w:jc w:val="center"/>
              <w:rPr>
                <w:rFonts w:ascii="Arial Narrow" w:hAnsi="Arial Narrow"/>
                <w:iCs/>
                <w:sz w:val="20"/>
                <w:szCs w:val="20"/>
                <w:highlight w:val="darkGray"/>
              </w:rPr>
            </w:pPr>
            <w:r w:rsidRPr="00C554FC">
              <w:rPr>
                <w:rFonts w:ascii="Arial Narrow" w:hAnsi="Arial Narrow"/>
                <w:iCs/>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left w:val="nil"/>
              <w:bottom w:val="single" w:color="auto" w:sz="4" w:space="0"/>
              <w:right w:val="single" w:color="auto" w:sz="4" w:space="0"/>
            </w:tcBorders>
            <w:vAlign w:val="center"/>
          </w:tcPr>
          <w:p w:rsidRPr="00E20FA0" w:rsidR="00BA006F" w:rsidP="004340C8" w:rsidRDefault="00C554FC" w14:paraId="0ABCF347" w14:textId="2793ED36">
            <w:pPr>
              <w:keepNext/>
              <w:keepLines/>
              <w:jc w:val="center"/>
              <w:rPr>
                <w:rFonts w:ascii="Arial Narrow" w:hAnsi="Arial Narrow"/>
                <w:iCs/>
                <w:sz w:val="20"/>
                <w:szCs w:val="20"/>
                <w:highlight w:val="darkGray"/>
              </w:rPr>
            </w:pPr>
            <w:r w:rsidRPr="00C554FC">
              <w:rPr>
                <w:rFonts w:ascii="Arial Narrow" w:hAnsi="Arial Narrow"/>
                <w:iCs/>
                <w:sz w:val="20"/>
                <w:szCs w:val="20"/>
                <w:highlight w:val="black"/>
              </w:rPr>
              <w:t>&amp;&amp;&amp;&amp;</w:t>
            </w:r>
            <w:r w:rsidRPr="00E20FA0" w:rsidR="0056415C">
              <w:rPr>
                <w:rFonts w:ascii="Arial Narrow" w:hAnsi="Arial Narrow"/>
                <w:sz w:val="20"/>
                <w:szCs w:val="20"/>
                <w:vertAlign w:val="superscript"/>
              </w:rPr>
              <w:t>1</w:t>
            </w:r>
          </w:p>
        </w:tc>
        <w:tc>
          <w:tcPr>
            <w:tcW w:w="573" w:type="pct"/>
            <w:tcBorders>
              <w:top w:val="single" w:color="auto" w:sz="4" w:space="0"/>
              <w:left w:val="nil"/>
              <w:bottom w:val="single" w:color="auto" w:sz="4" w:space="0"/>
              <w:right w:val="single" w:color="auto" w:sz="4" w:space="0"/>
            </w:tcBorders>
            <w:vAlign w:val="center"/>
          </w:tcPr>
          <w:p w:rsidRPr="00E20FA0" w:rsidR="00BA006F" w:rsidP="004340C8" w:rsidRDefault="00C554FC" w14:paraId="0DCDB1FA" w14:textId="25904ADD">
            <w:pPr>
              <w:keepNext/>
              <w:keepLines/>
              <w:jc w:val="center"/>
              <w:rPr>
                <w:rFonts w:ascii="Arial Narrow" w:hAnsi="Arial Narrow"/>
                <w:iCs/>
                <w:sz w:val="20"/>
                <w:szCs w:val="20"/>
                <w:highlight w:val="darkGray"/>
              </w:rPr>
            </w:pPr>
            <w:r w:rsidRPr="00C554FC">
              <w:rPr>
                <w:rFonts w:ascii="Arial Narrow" w:hAnsi="Arial Narrow"/>
                <w:iCs/>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left w:val="nil"/>
              <w:bottom w:val="single" w:color="auto" w:sz="4" w:space="0"/>
              <w:right w:val="single" w:color="auto" w:sz="4" w:space="0"/>
            </w:tcBorders>
            <w:vAlign w:val="center"/>
          </w:tcPr>
          <w:p w:rsidRPr="00E20FA0" w:rsidR="00BA006F" w:rsidP="004340C8" w:rsidRDefault="00C554FC" w14:paraId="27318CBA" w14:textId="072D9E90">
            <w:pPr>
              <w:keepNext/>
              <w:keepLines/>
              <w:jc w:val="center"/>
              <w:rPr>
                <w:rFonts w:ascii="Arial Narrow" w:hAnsi="Arial Narrow"/>
                <w:iCs/>
                <w:sz w:val="20"/>
                <w:szCs w:val="20"/>
                <w:highlight w:val="darkGray"/>
              </w:rPr>
            </w:pPr>
            <w:r w:rsidRPr="00C554FC">
              <w:rPr>
                <w:rFonts w:ascii="Arial Narrow" w:hAnsi="Arial Narrow"/>
                <w:iCs/>
                <w:sz w:val="20"/>
                <w:szCs w:val="20"/>
                <w:highlight w:val="black"/>
              </w:rPr>
              <w:t>&amp;&amp;&amp;&amp;</w:t>
            </w:r>
            <w:r w:rsidRPr="00E20FA0" w:rsidR="0056415C">
              <w:rPr>
                <w:rFonts w:ascii="Arial Narrow" w:hAnsi="Arial Narrow"/>
                <w:sz w:val="20"/>
                <w:szCs w:val="20"/>
                <w:vertAlign w:val="superscript"/>
              </w:rPr>
              <w:t>1</w:t>
            </w:r>
          </w:p>
        </w:tc>
      </w:tr>
      <w:tr w:rsidRPr="00AD4F6B" w:rsidR="00AD4F6B" w:rsidTr="00EA35AC" w14:paraId="523D8A13" w14:textId="77777777">
        <w:tc>
          <w:tcPr>
            <w:tcW w:w="5000" w:type="pct"/>
            <w:gridSpan w:val="7"/>
            <w:vAlign w:val="center"/>
          </w:tcPr>
          <w:p w:rsidRPr="00AD4F6B" w:rsidR="00BA006F" w:rsidP="004340C8" w:rsidRDefault="00BA006F" w14:paraId="511CA046" w14:textId="1E7D83AD">
            <w:pPr>
              <w:pStyle w:val="Tabletext"/>
              <w:keepNext/>
              <w:keepLines/>
              <w:rPr>
                <w:rStyle w:val="CommentReference"/>
                <w:szCs w:val="20"/>
              </w:rPr>
            </w:pPr>
            <w:r w:rsidRPr="00AD4F6B">
              <w:rPr>
                <w:rStyle w:val="CommentReference"/>
                <w:szCs w:val="20"/>
              </w:rPr>
              <w:t xml:space="preserve">Estimated financial implications for the PBS </w:t>
            </w:r>
            <w:r w:rsidRPr="00AD4F6B">
              <w:rPr>
                <w:szCs w:val="20"/>
              </w:rPr>
              <w:t>(not adjusted for co-pay)</w:t>
            </w:r>
          </w:p>
        </w:tc>
      </w:tr>
      <w:tr w:rsidRPr="00AD4F6B" w:rsidR="00AD4F6B" w:rsidTr="00EA35AC" w14:paraId="30B3F1D6" w14:textId="77777777">
        <w:tc>
          <w:tcPr>
            <w:tcW w:w="1561" w:type="pct"/>
            <w:vAlign w:val="center"/>
          </w:tcPr>
          <w:p w:rsidRPr="00AD4F6B" w:rsidR="00BA006F" w:rsidP="004340C8" w:rsidRDefault="00BA006F" w14:paraId="2C9C0121" w14:textId="2B1FDE61">
            <w:pPr>
              <w:pStyle w:val="Tabletext"/>
              <w:keepNext/>
              <w:keepLines/>
              <w:rPr>
                <w:szCs w:val="20"/>
              </w:rPr>
            </w:pPr>
            <w:r w:rsidRPr="00AD4F6B">
              <w:rPr>
                <w:szCs w:val="20"/>
              </w:rPr>
              <w:t>Net cost to PBS (eff)</w:t>
            </w:r>
            <w:r w:rsidR="007A651F">
              <w:rPr>
                <w:szCs w:val="20"/>
              </w:rPr>
              <w:t xml:space="preserve"> ($)</w:t>
            </w:r>
          </w:p>
        </w:tc>
        <w:tc>
          <w:tcPr>
            <w:tcW w:w="573" w:type="pct"/>
          </w:tcPr>
          <w:p w:rsidRPr="00AD4F6B" w:rsidR="00BA006F" w:rsidP="004340C8" w:rsidRDefault="00BA006F" w14:paraId="77E427ED" w14:textId="3DB1864D">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165E96">
              <w:rPr>
                <w:rFonts w:ascii="Arial Narrow" w:hAnsi="Arial Narrow"/>
                <w:sz w:val="20"/>
                <w:szCs w:val="20"/>
                <w:vertAlign w:val="superscript"/>
              </w:rPr>
              <w:t>2</w:t>
            </w:r>
          </w:p>
        </w:tc>
        <w:tc>
          <w:tcPr>
            <w:tcW w:w="574" w:type="pct"/>
          </w:tcPr>
          <w:p w:rsidRPr="00AD4F6B" w:rsidR="00BA006F" w:rsidP="004340C8" w:rsidRDefault="00BA006F" w14:paraId="06DCA03E" w14:textId="08FC4D6A">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165E96">
              <w:rPr>
                <w:rFonts w:ascii="Arial Narrow" w:hAnsi="Arial Narrow"/>
                <w:sz w:val="20"/>
                <w:szCs w:val="20"/>
                <w:vertAlign w:val="superscript"/>
              </w:rPr>
              <w:t>2</w:t>
            </w:r>
          </w:p>
        </w:tc>
        <w:tc>
          <w:tcPr>
            <w:tcW w:w="573" w:type="pct"/>
          </w:tcPr>
          <w:p w:rsidRPr="00AD4F6B" w:rsidR="00BA006F" w:rsidP="004340C8" w:rsidRDefault="00BA006F" w14:paraId="58FC28CA" w14:textId="79D4DD82">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165E96">
              <w:rPr>
                <w:rFonts w:ascii="Arial Narrow" w:hAnsi="Arial Narrow"/>
                <w:sz w:val="20"/>
                <w:szCs w:val="20"/>
                <w:vertAlign w:val="superscript"/>
              </w:rPr>
              <w:t>2</w:t>
            </w:r>
          </w:p>
        </w:tc>
        <w:tc>
          <w:tcPr>
            <w:tcW w:w="574" w:type="pct"/>
          </w:tcPr>
          <w:p w:rsidRPr="00AD4F6B" w:rsidR="00BA006F" w:rsidP="004340C8" w:rsidRDefault="00BA006F" w14:paraId="5CB5A50C" w14:textId="782C1C16">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165E96">
              <w:rPr>
                <w:rFonts w:ascii="Arial Narrow" w:hAnsi="Arial Narrow"/>
                <w:sz w:val="20"/>
                <w:szCs w:val="20"/>
                <w:vertAlign w:val="superscript"/>
              </w:rPr>
              <w:t>2</w:t>
            </w:r>
          </w:p>
        </w:tc>
        <w:tc>
          <w:tcPr>
            <w:tcW w:w="573" w:type="pct"/>
          </w:tcPr>
          <w:p w:rsidRPr="00AD4F6B" w:rsidR="00BA006F" w:rsidP="004340C8" w:rsidRDefault="00BA006F" w14:paraId="3F89AB21" w14:textId="2B146239">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A32629">
              <w:rPr>
                <w:rFonts w:ascii="Arial Narrow" w:hAnsi="Arial Narrow"/>
                <w:sz w:val="20"/>
                <w:szCs w:val="20"/>
                <w:vertAlign w:val="superscript"/>
              </w:rPr>
              <w:t>2</w:t>
            </w:r>
          </w:p>
        </w:tc>
        <w:tc>
          <w:tcPr>
            <w:tcW w:w="574" w:type="pct"/>
          </w:tcPr>
          <w:p w:rsidRPr="00AD4F6B" w:rsidR="00BA006F" w:rsidP="004340C8" w:rsidRDefault="00BA006F" w14:paraId="1F76EECD" w14:textId="18E6D764">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A32629">
              <w:rPr>
                <w:rFonts w:ascii="Arial Narrow" w:hAnsi="Arial Narrow"/>
                <w:sz w:val="20"/>
                <w:szCs w:val="20"/>
                <w:vertAlign w:val="superscript"/>
              </w:rPr>
              <w:t>2</w:t>
            </w:r>
          </w:p>
        </w:tc>
      </w:tr>
      <w:tr w:rsidRPr="00AD4F6B" w:rsidR="00AD4F6B" w:rsidTr="00EA35AC" w14:paraId="067E0C7E" w14:textId="77777777">
        <w:tc>
          <w:tcPr>
            <w:tcW w:w="5000" w:type="pct"/>
            <w:gridSpan w:val="7"/>
            <w:vAlign w:val="center"/>
          </w:tcPr>
          <w:p w:rsidRPr="00AD4F6B" w:rsidR="00BA006F" w:rsidP="004340C8" w:rsidRDefault="00BA006F" w14:paraId="02515D89" w14:textId="39851D35">
            <w:pPr>
              <w:pStyle w:val="Tabletext"/>
              <w:keepNext/>
              <w:keepLines/>
              <w:rPr>
                <w:rStyle w:val="CommentReference"/>
                <w:szCs w:val="20"/>
              </w:rPr>
            </w:pPr>
            <w:r w:rsidRPr="00AD4F6B">
              <w:rPr>
                <w:rStyle w:val="CommentReference"/>
                <w:szCs w:val="20"/>
              </w:rPr>
              <w:t>Estimated financial implications for the health budget</w:t>
            </w:r>
          </w:p>
        </w:tc>
      </w:tr>
      <w:tr w:rsidRPr="00AD4F6B" w:rsidR="00AD4F6B" w:rsidTr="00EA35AC" w14:paraId="59EE89E2" w14:textId="77777777">
        <w:tc>
          <w:tcPr>
            <w:tcW w:w="1561" w:type="pct"/>
            <w:vAlign w:val="center"/>
          </w:tcPr>
          <w:p w:rsidRPr="00AD4F6B" w:rsidR="00BA006F" w:rsidP="004340C8" w:rsidRDefault="00BA006F" w14:paraId="2CB1E856" w14:textId="2FB0F498">
            <w:pPr>
              <w:pStyle w:val="Tabletext"/>
              <w:keepNext/>
              <w:keepLines/>
              <w:rPr>
                <w:szCs w:val="20"/>
              </w:rPr>
            </w:pPr>
            <w:r w:rsidRPr="00AD4F6B">
              <w:rPr>
                <w:szCs w:val="20"/>
              </w:rPr>
              <w:t>Net change in prescriptions</w:t>
            </w:r>
            <w:r w:rsidR="007A651F">
              <w:rPr>
                <w:szCs w:val="20"/>
              </w:rPr>
              <w:t xml:space="preserve"> </w:t>
            </w:r>
          </w:p>
        </w:tc>
        <w:tc>
          <w:tcPr>
            <w:tcW w:w="573" w:type="pct"/>
            <w:vAlign w:val="center"/>
          </w:tcPr>
          <w:p w:rsidRPr="00E20FA0" w:rsidR="00BA006F" w:rsidP="004340C8" w:rsidRDefault="00C554FC" w14:paraId="402AFC4E" w14:textId="76A64A8B">
            <w:pPr>
              <w:pStyle w:val="Tabletext"/>
              <w:keepNext/>
              <w:keepLines/>
              <w:jc w:val="center"/>
              <w:rPr>
                <w:szCs w:val="20"/>
                <w:highlight w:val="darkGray"/>
              </w:rPr>
            </w:pPr>
            <w:r w:rsidRPr="00C554FC">
              <w:rPr>
                <w:szCs w:val="20"/>
                <w:highlight w:val="black"/>
              </w:rPr>
              <w:t>&amp;&amp;&amp;&amp;</w:t>
            </w:r>
            <w:r w:rsidRPr="00E20FA0" w:rsidR="0056415C">
              <w:rPr>
                <w:szCs w:val="20"/>
                <w:vertAlign w:val="superscript"/>
              </w:rPr>
              <w:t>1</w:t>
            </w:r>
          </w:p>
        </w:tc>
        <w:tc>
          <w:tcPr>
            <w:tcW w:w="574" w:type="pct"/>
            <w:vAlign w:val="center"/>
          </w:tcPr>
          <w:p w:rsidRPr="00E20FA0" w:rsidR="00BA006F" w:rsidP="004340C8" w:rsidRDefault="00C554FC" w14:paraId="4C1E1B75" w14:textId="1DF0D03A">
            <w:pPr>
              <w:pStyle w:val="Tabletext"/>
              <w:keepNext/>
              <w:keepLines/>
              <w:jc w:val="center"/>
              <w:rPr>
                <w:szCs w:val="20"/>
                <w:highlight w:val="darkGray"/>
              </w:rPr>
            </w:pPr>
            <w:r w:rsidRPr="00C554FC">
              <w:rPr>
                <w:szCs w:val="20"/>
                <w:highlight w:val="black"/>
              </w:rPr>
              <w:t>&amp;&amp;&amp;&amp;</w:t>
            </w:r>
            <w:r w:rsidRPr="00E20FA0" w:rsidR="0056415C">
              <w:rPr>
                <w:szCs w:val="20"/>
                <w:vertAlign w:val="superscript"/>
              </w:rPr>
              <w:t>1</w:t>
            </w:r>
          </w:p>
        </w:tc>
        <w:tc>
          <w:tcPr>
            <w:tcW w:w="573" w:type="pct"/>
            <w:vAlign w:val="center"/>
          </w:tcPr>
          <w:p w:rsidRPr="00E20FA0" w:rsidR="00BA006F" w:rsidP="004340C8" w:rsidRDefault="00C554FC" w14:paraId="3A1034DE" w14:textId="1C5979E7">
            <w:pPr>
              <w:pStyle w:val="Tabletext"/>
              <w:keepNext/>
              <w:keepLines/>
              <w:jc w:val="center"/>
              <w:rPr>
                <w:szCs w:val="20"/>
                <w:highlight w:val="darkGray"/>
              </w:rPr>
            </w:pPr>
            <w:r w:rsidRPr="00C554FC">
              <w:rPr>
                <w:szCs w:val="20"/>
                <w:highlight w:val="black"/>
              </w:rPr>
              <w:t>&amp;&amp;&amp;&amp;</w:t>
            </w:r>
            <w:r w:rsidRPr="00E20FA0" w:rsidR="0056415C">
              <w:rPr>
                <w:szCs w:val="20"/>
                <w:vertAlign w:val="superscript"/>
              </w:rPr>
              <w:t>1</w:t>
            </w:r>
          </w:p>
        </w:tc>
        <w:tc>
          <w:tcPr>
            <w:tcW w:w="574" w:type="pct"/>
            <w:vAlign w:val="center"/>
          </w:tcPr>
          <w:p w:rsidRPr="00E20FA0" w:rsidR="00BA006F" w:rsidP="004340C8" w:rsidRDefault="00C554FC" w14:paraId="1AC8E891" w14:textId="19FE35D2">
            <w:pPr>
              <w:pStyle w:val="Tabletext"/>
              <w:keepNext/>
              <w:keepLines/>
              <w:jc w:val="center"/>
              <w:rPr>
                <w:szCs w:val="20"/>
                <w:highlight w:val="darkGray"/>
              </w:rPr>
            </w:pPr>
            <w:r w:rsidRPr="00C554FC">
              <w:rPr>
                <w:szCs w:val="20"/>
                <w:highlight w:val="black"/>
              </w:rPr>
              <w:t>&amp;&amp;&amp;&amp;</w:t>
            </w:r>
            <w:r w:rsidRPr="00E20FA0" w:rsidR="0056415C">
              <w:rPr>
                <w:szCs w:val="20"/>
                <w:vertAlign w:val="superscript"/>
              </w:rPr>
              <w:t>1</w:t>
            </w:r>
          </w:p>
        </w:tc>
        <w:tc>
          <w:tcPr>
            <w:tcW w:w="573" w:type="pct"/>
            <w:vAlign w:val="center"/>
          </w:tcPr>
          <w:p w:rsidRPr="00E20FA0" w:rsidR="00BA006F" w:rsidP="004340C8" w:rsidRDefault="00C554FC" w14:paraId="288EB3D5" w14:textId="2C94E73E">
            <w:pPr>
              <w:pStyle w:val="Tabletext"/>
              <w:keepNext/>
              <w:keepLines/>
              <w:jc w:val="center"/>
              <w:rPr>
                <w:szCs w:val="20"/>
                <w:highlight w:val="darkGray"/>
              </w:rPr>
            </w:pPr>
            <w:r w:rsidRPr="00C554FC">
              <w:rPr>
                <w:szCs w:val="20"/>
                <w:highlight w:val="black"/>
              </w:rPr>
              <w:t>&amp;&amp;&amp;&amp;</w:t>
            </w:r>
            <w:r w:rsidRPr="00E20FA0" w:rsidR="0056415C">
              <w:rPr>
                <w:szCs w:val="20"/>
                <w:vertAlign w:val="superscript"/>
              </w:rPr>
              <w:t>1</w:t>
            </w:r>
          </w:p>
        </w:tc>
        <w:tc>
          <w:tcPr>
            <w:tcW w:w="574" w:type="pct"/>
            <w:vAlign w:val="center"/>
          </w:tcPr>
          <w:p w:rsidRPr="00E20FA0" w:rsidR="00BA006F" w:rsidP="004340C8" w:rsidRDefault="00C554FC" w14:paraId="0595ABDA" w14:textId="0262A670">
            <w:pPr>
              <w:pStyle w:val="Tabletext"/>
              <w:keepNext/>
              <w:keepLines/>
              <w:jc w:val="center"/>
              <w:rPr>
                <w:szCs w:val="20"/>
                <w:highlight w:val="darkGray"/>
              </w:rPr>
            </w:pPr>
            <w:r w:rsidRPr="00C554FC">
              <w:rPr>
                <w:szCs w:val="20"/>
                <w:highlight w:val="black"/>
              </w:rPr>
              <w:t>&amp;&amp;&amp;&amp;</w:t>
            </w:r>
            <w:r w:rsidRPr="00E20FA0" w:rsidR="0056415C">
              <w:rPr>
                <w:szCs w:val="20"/>
                <w:vertAlign w:val="superscript"/>
              </w:rPr>
              <w:t>1</w:t>
            </w:r>
          </w:p>
        </w:tc>
      </w:tr>
      <w:tr w:rsidRPr="00AD4F6B" w:rsidR="00AD4F6B" w:rsidTr="00EA35AC" w14:paraId="3F033EB8" w14:textId="77777777">
        <w:tc>
          <w:tcPr>
            <w:tcW w:w="1561" w:type="pct"/>
            <w:vAlign w:val="center"/>
          </w:tcPr>
          <w:p w:rsidRPr="00AD4F6B" w:rsidR="00BA006F" w:rsidP="004340C8" w:rsidRDefault="00BA006F" w14:paraId="2F2C8C14" w14:textId="6CB1E597">
            <w:pPr>
              <w:pStyle w:val="Tabletext"/>
              <w:keepNext/>
              <w:keepLines/>
              <w:rPr>
                <w:szCs w:val="20"/>
              </w:rPr>
            </w:pPr>
            <w:r w:rsidRPr="00AD4F6B">
              <w:rPr>
                <w:szCs w:val="20"/>
              </w:rPr>
              <w:t>Net MBS costs</w:t>
            </w:r>
            <w:r w:rsidR="007A651F">
              <w:rPr>
                <w:szCs w:val="20"/>
              </w:rPr>
              <w:t xml:space="preserve"> </w:t>
            </w:r>
          </w:p>
        </w:tc>
        <w:tc>
          <w:tcPr>
            <w:tcW w:w="573" w:type="pct"/>
            <w:tcBorders>
              <w:top w:val="single" w:color="auto" w:sz="4" w:space="0"/>
              <w:left w:val="single" w:color="auto" w:sz="4" w:space="0"/>
              <w:bottom w:val="single" w:color="auto" w:sz="4" w:space="0"/>
              <w:right w:val="single" w:color="auto" w:sz="4" w:space="0"/>
            </w:tcBorders>
            <w:vAlign w:val="center"/>
          </w:tcPr>
          <w:p w:rsidRPr="00E20FA0" w:rsidR="00BA006F" w:rsidP="004340C8" w:rsidRDefault="00C554FC" w14:paraId="5B06A119" w14:textId="62BDA43C">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left w:val="nil"/>
              <w:bottom w:val="single" w:color="auto" w:sz="4" w:space="0"/>
              <w:right w:val="single" w:color="auto" w:sz="4" w:space="0"/>
            </w:tcBorders>
            <w:vAlign w:val="center"/>
          </w:tcPr>
          <w:p w:rsidRPr="00E20FA0" w:rsidR="00BA006F" w:rsidP="004340C8" w:rsidRDefault="00C554FC" w14:paraId="285F2103" w14:textId="14EC9E68">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3" w:type="pct"/>
            <w:tcBorders>
              <w:top w:val="single" w:color="auto" w:sz="4" w:space="0"/>
              <w:left w:val="nil"/>
              <w:bottom w:val="single" w:color="auto" w:sz="4" w:space="0"/>
              <w:right w:val="single" w:color="auto" w:sz="4" w:space="0"/>
            </w:tcBorders>
            <w:vAlign w:val="center"/>
          </w:tcPr>
          <w:p w:rsidRPr="00E20FA0" w:rsidR="00BA006F" w:rsidP="004340C8" w:rsidRDefault="00C554FC" w14:paraId="64823D44" w14:textId="2A086CF9">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left w:val="nil"/>
              <w:bottom w:val="single" w:color="auto" w:sz="4" w:space="0"/>
              <w:right w:val="single" w:color="auto" w:sz="4" w:space="0"/>
            </w:tcBorders>
            <w:vAlign w:val="center"/>
          </w:tcPr>
          <w:p w:rsidRPr="00E20FA0" w:rsidR="00BA006F" w:rsidP="004340C8" w:rsidRDefault="00C554FC" w14:paraId="737536FC" w14:textId="3AE64348">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3" w:type="pct"/>
            <w:tcBorders>
              <w:top w:val="single" w:color="auto" w:sz="4" w:space="0"/>
              <w:left w:val="nil"/>
              <w:bottom w:val="single" w:color="auto" w:sz="4" w:space="0"/>
              <w:right w:val="single" w:color="auto" w:sz="4" w:space="0"/>
            </w:tcBorders>
            <w:vAlign w:val="center"/>
          </w:tcPr>
          <w:p w:rsidRPr="00E20FA0" w:rsidR="00BA006F" w:rsidP="004340C8" w:rsidRDefault="00C554FC" w14:paraId="72CB6737" w14:textId="302B9B16">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c>
          <w:tcPr>
            <w:tcW w:w="574" w:type="pct"/>
            <w:tcBorders>
              <w:top w:val="single" w:color="auto" w:sz="4" w:space="0"/>
              <w:left w:val="nil"/>
              <w:bottom w:val="single" w:color="auto" w:sz="4" w:space="0"/>
              <w:right w:val="single" w:color="auto" w:sz="4" w:space="0"/>
            </w:tcBorders>
            <w:vAlign w:val="center"/>
          </w:tcPr>
          <w:p w:rsidRPr="00E20FA0" w:rsidR="00BA006F" w:rsidP="004340C8" w:rsidRDefault="00C554FC" w14:paraId="0043AAFC" w14:textId="7C17795C">
            <w:pPr>
              <w:keepNext/>
              <w:keepLines/>
              <w:jc w:val="center"/>
              <w:rPr>
                <w:rFonts w:ascii="Arial Narrow" w:hAnsi="Arial Narrow"/>
                <w:sz w:val="20"/>
                <w:szCs w:val="20"/>
                <w:highlight w:val="darkGray"/>
              </w:rPr>
            </w:pPr>
            <w:r w:rsidRPr="00C554FC">
              <w:rPr>
                <w:rFonts w:ascii="Arial Narrow" w:hAnsi="Arial Narrow"/>
                <w:sz w:val="20"/>
                <w:szCs w:val="20"/>
                <w:highlight w:val="black"/>
              </w:rPr>
              <w:t>&amp;&amp;&amp;&amp;</w:t>
            </w:r>
            <w:r w:rsidRPr="00E20FA0" w:rsidR="0056415C">
              <w:rPr>
                <w:rFonts w:ascii="Arial Narrow" w:hAnsi="Arial Narrow"/>
                <w:sz w:val="20"/>
                <w:szCs w:val="20"/>
                <w:vertAlign w:val="superscript"/>
              </w:rPr>
              <w:t>1</w:t>
            </w:r>
          </w:p>
        </w:tc>
      </w:tr>
      <w:tr w:rsidRPr="00AD4F6B" w:rsidR="00AD4F6B" w:rsidTr="00EA35AC" w14:paraId="7EE7D2DE" w14:textId="77777777">
        <w:tc>
          <w:tcPr>
            <w:tcW w:w="1561" w:type="pct"/>
            <w:vAlign w:val="center"/>
          </w:tcPr>
          <w:p w:rsidRPr="00AD4F6B" w:rsidR="00BA006F" w:rsidP="004340C8" w:rsidRDefault="00BA006F" w14:paraId="5665E220" w14:textId="78B23C3B">
            <w:pPr>
              <w:pStyle w:val="Tabletext"/>
              <w:keepNext/>
              <w:keepLines/>
              <w:rPr>
                <w:szCs w:val="20"/>
              </w:rPr>
            </w:pPr>
            <w:r w:rsidRPr="00AD4F6B">
              <w:rPr>
                <w:szCs w:val="20"/>
              </w:rPr>
              <w:t>Net cost to Govt health budget (eff)</w:t>
            </w:r>
            <w:r w:rsidR="007A651F">
              <w:rPr>
                <w:szCs w:val="20"/>
              </w:rPr>
              <w:t xml:space="preserve"> ($)</w:t>
            </w:r>
          </w:p>
        </w:tc>
        <w:tc>
          <w:tcPr>
            <w:tcW w:w="573" w:type="pct"/>
          </w:tcPr>
          <w:p w:rsidRPr="00AD4F6B" w:rsidR="00BA006F" w:rsidP="004340C8" w:rsidRDefault="00BA006F" w14:paraId="1DA0D2DF" w14:textId="788705B6">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FA7EB9">
              <w:rPr>
                <w:rFonts w:ascii="Arial Narrow" w:hAnsi="Arial Narrow" w:cs="Times New Roman"/>
                <w:snapToGrid w:val="0"/>
                <w:sz w:val="20"/>
                <w:szCs w:val="20"/>
                <w:vertAlign w:val="superscript"/>
              </w:rPr>
              <w:t>2</w:t>
            </w:r>
          </w:p>
        </w:tc>
        <w:tc>
          <w:tcPr>
            <w:tcW w:w="574" w:type="pct"/>
          </w:tcPr>
          <w:p w:rsidRPr="00AD4F6B" w:rsidR="00BA006F" w:rsidP="004340C8" w:rsidRDefault="00BA006F" w14:paraId="3DC68868" w14:textId="7F3CD1AC">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FA7EB9">
              <w:rPr>
                <w:rFonts w:ascii="Arial Narrow" w:hAnsi="Arial Narrow" w:cs="Times New Roman"/>
                <w:snapToGrid w:val="0"/>
                <w:sz w:val="20"/>
                <w:szCs w:val="20"/>
                <w:vertAlign w:val="superscript"/>
              </w:rPr>
              <w:t>2</w:t>
            </w:r>
          </w:p>
        </w:tc>
        <w:tc>
          <w:tcPr>
            <w:tcW w:w="573" w:type="pct"/>
          </w:tcPr>
          <w:p w:rsidRPr="00AD4F6B" w:rsidR="00BA006F" w:rsidP="004340C8" w:rsidRDefault="00BA006F" w14:paraId="046BDDFE" w14:textId="75C537A6">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FA7EB9">
              <w:rPr>
                <w:rFonts w:ascii="Arial Narrow" w:hAnsi="Arial Narrow" w:cs="Times New Roman"/>
                <w:snapToGrid w:val="0"/>
                <w:sz w:val="20"/>
                <w:szCs w:val="20"/>
                <w:vertAlign w:val="superscript"/>
              </w:rPr>
              <w:t>2</w:t>
            </w:r>
          </w:p>
        </w:tc>
        <w:tc>
          <w:tcPr>
            <w:tcW w:w="574" w:type="pct"/>
          </w:tcPr>
          <w:p w:rsidRPr="00AD4F6B" w:rsidR="00BA006F" w:rsidP="004340C8" w:rsidRDefault="00BA006F" w14:paraId="39301571" w14:textId="2D9F29B4">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FA7EB9">
              <w:rPr>
                <w:rFonts w:ascii="Arial Narrow" w:hAnsi="Arial Narrow" w:cs="Times New Roman"/>
                <w:snapToGrid w:val="0"/>
                <w:sz w:val="20"/>
                <w:szCs w:val="20"/>
                <w:vertAlign w:val="superscript"/>
              </w:rPr>
              <w:t>2</w:t>
            </w:r>
          </w:p>
        </w:tc>
        <w:tc>
          <w:tcPr>
            <w:tcW w:w="573" w:type="pct"/>
          </w:tcPr>
          <w:p w:rsidRPr="00AD4F6B" w:rsidR="00BA006F" w:rsidP="004340C8" w:rsidRDefault="00BA006F" w14:paraId="04B3646D" w14:textId="47EB5158">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FA7EB9">
              <w:rPr>
                <w:rFonts w:ascii="Arial Narrow" w:hAnsi="Arial Narrow" w:cs="Times New Roman"/>
                <w:snapToGrid w:val="0"/>
                <w:sz w:val="20"/>
                <w:szCs w:val="20"/>
                <w:vertAlign w:val="superscript"/>
              </w:rPr>
              <w:t>2</w:t>
            </w:r>
          </w:p>
        </w:tc>
        <w:tc>
          <w:tcPr>
            <w:tcW w:w="574" w:type="pct"/>
          </w:tcPr>
          <w:p w:rsidRPr="00AD4F6B" w:rsidR="00BA006F" w:rsidP="004340C8" w:rsidRDefault="00BA006F" w14:paraId="71204AF0" w14:textId="72DA111E">
            <w:pPr>
              <w:keepNext/>
              <w:keepLines/>
              <w:jc w:val="center"/>
              <w:rPr>
                <w:rFonts w:ascii="Arial Narrow" w:hAnsi="Arial Narrow"/>
                <w:i/>
                <w:sz w:val="20"/>
                <w:szCs w:val="20"/>
              </w:rPr>
            </w:pPr>
            <w:r w:rsidRPr="00AD4F6B">
              <w:rPr>
                <w:rFonts w:ascii="Arial Narrow" w:hAnsi="Arial Narrow"/>
                <w:sz w:val="20"/>
                <w:szCs w:val="20"/>
              </w:rPr>
              <w:t>$</w:t>
            </w:r>
            <w:r w:rsidRPr="00C554FC" w:rsidR="00C554FC">
              <w:rPr>
                <w:rFonts w:ascii="Arial Narrow" w:hAnsi="Arial Narrow"/>
                <w:sz w:val="20"/>
                <w:szCs w:val="20"/>
                <w:highlight w:val="black"/>
              </w:rPr>
              <w:t>&amp;&amp;&amp;&amp;</w:t>
            </w:r>
            <w:r w:rsidRPr="00E1513C" w:rsidR="00FA7EB9">
              <w:rPr>
                <w:rFonts w:ascii="Arial Narrow" w:hAnsi="Arial Narrow" w:cs="Times New Roman"/>
                <w:snapToGrid w:val="0"/>
                <w:sz w:val="20"/>
                <w:szCs w:val="20"/>
                <w:vertAlign w:val="superscript"/>
              </w:rPr>
              <w:t>2</w:t>
            </w:r>
          </w:p>
        </w:tc>
      </w:tr>
    </w:tbl>
    <w:p w:rsidRPr="00AD4F6B" w:rsidR="00BA006F" w:rsidP="004340C8" w:rsidRDefault="00BA006F" w14:paraId="1E918E41" w14:textId="77777777">
      <w:pPr>
        <w:pStyle w:val="TableFooter"/>
        <w:keepNext/>
        <w:keepLines/>
      </w:pPr>
      <w:r w:rsidRPr="00AD4F6B">
        <w:t xml:space="preserve">Source: Table 4.2, 4.4 &amp; 4.5, pp100-101 of the submission. </w:t>
      </w:r>
    </w:p>
    <w:p w:rsidR="00BA006F" w:rsidP="004340C8" w:rsidRDefault="00BA006F" w14:paraId="020CED11" w14:textId="4C774B56">
      <w:pPr>
        <w:pStyle w:val="TableFooter"/>
        <w:keepNext/>
        <w:keepLines/>
      </w:pPr>
      <w:r w:rsidRPr="00AD4F6B">
        <w:t xml:space="preserve">eff= effective; govt= government; SMA= spinal muscular atrophy; MBS= Medicare Benefits Schedule; ONA= onasemnogene abeparvovec; PBS= Pharmaceutical Benefits Scheme; </w:t>
      </w:r>
      <w:r w:rsidRPr="00AD4F6B">
        <w:rPr>
          <w:i/>
          <w:iCs/>
        </w:rPr>
        <w:t>SMN2</w:t>
      </w:r>
      <w:r w:rsidRPr="00AD4F6B">
        <w:t xml:space="preserve">= survival of motor neuron 2; </w:t>
      </w:r>
      <w:proofErr w:type="spellStart"/>
      <w:r w:rsidRPr="00AD4F6B">
        <w:t>trt</w:t>
      </w:r>
      <w:proofErr w:type="spellEnd"/>
      <w:r w:rsidRPr="00AD4F6B">
        <w:t xml:space="preserve"> = treatment</w:t>
      </w:r>
    </w:p>
    <w:p w:rsidR="009E1570" w:rsidP="004340C8" w:rsidRDefault="009E1570" w14:paraId="6969AE95" w14:textId="070262C3">
      <w:pPr>
        <w:pStyle w:val="TableFooter"/>
        <w:keepNext/>
        <w:keepLines/>
      </w:pPr>
      <w:r w:rsidRPr="009E1570">
        <w:rPr>
          <w:i/>
          <w:iCs/>
        </w:rPr>
        <w:t>The redacted values correspond to the following range:</w:t>
      </w:r>
    </w:p>
    <w:p w:rsidRPr="00B7451F" w:rsidR="005530FB" w:rsidP="004340C8" w:rsidRDefault="005530FB" w14:paraId="5F976F8C" w14:textId="76FB6F75">
      <w:pPr>
        <w:pStyle w:val="TableFooter"/>
        <w:keepNext/>
        <w:keepLines/>
        <w:rPr>
          <w:i/>
          <w:iCs/>
        </w:rPr>
      </w:pPr>
      <w:r w:rsidRPr="00B7451F">
        <w:rPr>
          <w:i/>
          <w:iCs/>
          <w:vertAlign w:val="superscript"/>
        </w:rPr>
        <w:t>1</w:t>
      </w:r>
      <w:r w:rsidRPr="00B7451F" w:rsidR="00B7451F">
        <w:rPr>
          <w:i/>
          <w:iCs/>
          <w:vertAlign w:val="superscript"/>
        </w:rPr>
        <w:t xml:space="preserve"> </w:t>
      </w:r>
      <w:r w:rsidRPr="00B7451F">
        <w:rPr>
          <w:i/>
          <w:iCs/>
        </w:rPr>
        <w:t>&lt; 500</w:t>
      </w:r>
    </w:p>
    <w:p w:rsidRPr="00B7451F" w:rsidR="00D5621D" w:rsidP="004340C8" w:rsidRDefault="00D5621D" w14:paraId="4F2C9870" w14:textId="26EFD6B0">
      <w:pPr>
        <w:pStyle w:val="TableFooter"/>
        <w:keepNext/>
        <w:keepLines/>
        <w:rPr>
          <w:i/>
          <w:iCs/>
        </w:rPr>
      </w:pPr>
      <w:r w:rsidRPr="00B7451F">
        <w:rPr>
          <w:i/>
          <w:iCs/>
          <w:vertAlign w:val="superscript"/>
        </w:rPr>
        <w:t>2</w:t>
      </w:r>
      <w:r w:rsidRPr="00B7451F" w:rsidR="00B7451F">
        <w:rPr>
          <w:i/>
          <w:iCs/>
          <w:vertAlign w:val="superscript"/>
        </w:rPr>
        <w:t xml:space="preserve"> </w:t>
      </w:r>
      <w:r w:rsidRPr="00B7451F">
        <w:rPr>
          <w:i/>
          <w:iCs/>
        </w:rPr>
        <w:t>$0 to &lt; $10 million</w:t>
      </w:r>
    </w:p>
    <w:p w:rsidRPr="00AD4F6B" w:rsidR="000902D9" w:rsidP="00D244B6" w:rsidRDefault="000902D9" w14:paraId="75586731" w14:textId="6B9F15F1">
      <w:pPr>
        <w:pStyle w:val="3-BodyText"/>
      </w:pPr>
      <w:r w:rsidRPr="00AD4F6B">
        <w:t xml:space="preserve">The </w:t>
      </w:r>
      <w:r w:rsidRPr="00AD4F6B" w:rsidR="008F7FCC">
        <w:t xml:space="preserve">estimated </w:t>
      </w:r>
      <w:r w:rsidRPr="00AD4F6B" w:rsidR="00AE486A">
        <w:t xml:space="preserve">net cost to the government budget </w:t>
      </w:r>
      <w:r w:rsidRPr="00AD4F6B">
        <w:t xml:space="preserve">of listing </w:t>
      </w:r>
      <w:r w:rsidRPr="00AD4F6B" w:rsidR="00315BB5">
        <w:t>ONA</w:t>
      </w:r>
      <w:r w:rsidRPr="00AD4F6B" w:rsidR="00AE486A">
        <w:t xml:space="preserve"> on the PBS/RPBS</w:t>
      </w:r>
      <w:r w:rsidRPr="00AD4F6B">
        <w:t xml:space="preserve"> </w:t>
      </w:r>
      <w:r w:rsidRPr="00AD4F6B" w:rsidR="001D02C6">
        <w:t xml:space="preserve">at the proposed effective price was </w:t>
      </w:r>
      <w:r w:rsidRPr="00C640EE" w:rsidR="00C640EE">
        <w:t>$0 to &lt; $10 million</w:t>
      </w:r>
      <w:r w:rsidR="005C5A79">
        <w:t xml:space="preserve"> </w:t>
      </w:r>
      <w:r w:rsidRPr="00AD4F6B" w:rsidR="001D02C6">
        <w:t>in Year 1</w:t>
      </w:r>
      <w:r w:rsidRPr="00AD4F6B" w:rsidR="00D739B3">
        <w:t xml:space="preserve"> and </w:t>
      </w:r>
      <w:r w:rsidRPr="00C640EE" w:rsidR="00C640EE">
        <w:t>$0 to &lt; $10 million</w:t>
      </w:r>
      <w:r w:rsidR="005C5A79">
        <w:t xml:space="preserve"> </w:t>
      </w:r>
      <w:r w:rsidRPr="00AD4F6B" w:rsidR="00D739B3">
        <w:t>in Year 6.</w:t>
      </w:r>
      <w:r w:rsidRPr="00AD4F6B" w:rsidR="003A4062">
        <w:t xml:space="preserve"> The</w:t>
      </w:r>
      <w:r w:rsidRPr="00AD4F6B">
        <w:t xml:space="preserve"> total </w:t>
      </w:r>
      <w:r w:rsidRPr="00AD4F6B" w:rsidR="003A4062">
        <w:t xml:space="preserve">cost </w:t>
      </w:r>
      <w:r w:rsidRPr="00AD4F6B" w:rsidR="00081ABF">
        <w:t xml:space="preserve">for ONA (excluding offsets for NUSI or RIS) </w:t>
      </w:r>
      <w:r w:rsidRPr="00AD4F6B" w:rsidR="003A4062">
        <w:t>over</w:t>
      </w:r>
      <w:r w:rsidRPr="00AD4F6B">
        <w:t xml:space="preserve"> the first 6 years of listing</w:t>
      </w:r>
      <w:r w:rsidRPr="00AD4F6B" w:rsidR="003A4062">
        <w:t xml:space="preserve"> was estimated to</w:t>
      </w:r>
      <w:r w:rsidRPr="00AD4F6B" w:rsidR="008F7FCC">
        <w:t xml:space="preserve"> </w:t>
      </w:r>
      <w:r w:rsidRPr="00AD4F6B" w:rsidR="00530085">
        <w:t xml:space="preserve">be </w:t>
      </w:r>
      <w:r w:rsidRPr="00AD4F6B" w:rsidR="008F7FCC">
        <w:t>$</w:t>
      </w:r>
      <w:r w:rsidRPr="00C524BC" w:rsidR="00C524BC">
        <w:t>10 million to &lt; $20 million</w:t>
      </w:r>
      <w:r w:rsidRPr="00C524BC" w:rsidDel="00C524BC" w:rsidR="00C524BC">
        <w:t xml:space="preserve"> </w:t>
      </w:r>
      <w:r w:rsidR="005C5A79">
        <w:t xml:space="preserve"> </w:t>
      </w:r>
      <w:r w:rsidRPr="00AD4F6B" w:rsidR="008F7FCC">
        <w:t>by the submission</w:t>
      </w:r>
      <w:r w:rsidRPr="00AD4F6B">
        <w:t xml:space="preserve">. </w:t>
      </w:r>
    </w:p>
    <w:p w:rsidRPr="00AD4F6B" w:rsidR="00BA3819" w:rsidP="00BA3819" w:rsidRDefault="00BA3819" w14:paraId="6C9C246A" w14:textId="0FAD9099">
      <w:pPr>
        <w:pStyle w:val="3-BodyText"/>
      </w:pPr>
      <w:r w:rsidRPr="00AD4F6B">
        <w:t>The financial estimates presented by the submission were uncertain and unreliable due to the following:</w:t>
      </w:r>
    </w:p>
    <w:p w:rsidRPr="00AD4F6B" w:rsidR="0076552D" w:rsidP="00DF6232" w:rsidRDefault="00BA3819" w14:paraId="7FD88CF7" w14:textId="66841A10">
      <w:pPr>
        <w:pStyle w:val="3-BodyText"/>
        <w:numPr>
          <w:ilvl w:val="0"/>
          <w:numId w:val="6"/>
        </w:numPr>
        <w:spacing w:before="0" w:after="120"/>
        <w:ind w:left="1080"/>
      </w:pPr>
      <w:r w:rsidRPr="00AD4F6B">
        <w:t xml:space="preserve">The number of additional patients to be treated </w:t>
      </w:r>
      <w:r w:rsidRPr="00AD4F6B" w:rsidR="007F4A5D">
        <w:t xml:space="preserve">with ONA </w:t>
      </w:r>
      <w:r w:rsidRPr="00AD4F6B">
        <w:t>under the expanded restriction</w:t>
      </w:r>
      <w:r w:rsidRPr="00AD4F6B" w:rsidR="0028408B">
        <w:t xml:space="preserve"> (based on IPTD) </w:t>
      </w:r>
      <w:r w:rsidRPr="00AD4F6B" w:rsidR="00A43592">
        <w:t>remains</w:t>
      </w:r>
      <w:r w:rsidRPr="00AD4F6B" w:rsidR="0028408B">
        <w:t xml:space="preserve"> </w:t>
      </w:r>
      <w:r w:rsidRPr="00AD4F6B" w:rsidR="00295C87">
        <w:t xml:space="preserve">somewhat </w:t>
      </w:r>
      <w:r w:rsidRPr="00AD4F6B" w:rsidR="0028408B">
        <w:t>uncertain</w:t>
      </w:r>
      <w:r w:rsidRPr="00AD4F6B" w:rsidR="00E71E64">
        <w:t>.</w:t>
      </w:r>
    </w:p>
    <w:p w:rsidRPr="00AD4F6B" w:rsidR="0076552D" w:rsidP="00DF6232" w:rsidRDefault="00BA3819" w14:paraId="327BE617" w14:textId="66CFE38D">
      <w:pPr>
        <w:pStyle w:val="3-BodyText"/>
        <w:numPr>
          <w:ilvl w:val="0"/>
          <w:numId w:val="6"/>
        </w:numPr>
        <w:spacing w:before="0" w:after="120"/>
        <w:ind w:left="1080"/>
      </w:pPr>
      <w:r w:rsidRPr="00AD4F6B">
        <w:t xml:space="preserve">It was unclear how many pre-symptomatic patients who are aged </w:t>
      </w:r>
      <w:r w:rsidRPr="00AD4F6B" w:rsidR="00AB4E8B">
        <w:t>&gt;</w:t>
      </w:r>
      <w:r w:rsidRPr="00AD4F6B">
        <w:t>36 months and weigh</w:t>
      </w:r>
      <w:r w:rsidRPr="00AD4F6B" w:rsidR="00AB4E8B">
        <w:t>ing</w:t>
      </w:r>
      <w:r w:rsidRPr="00AD4F6B">
        <w:t xml:space="preserve"> less than 21kg and previously </w:t>
      </w:r>
      <w:r w:rsidRPr="00AD4F6B" w:rsidR="009E0C0A">
        <w:t>un</w:t>
      </w:r>
      <w:r w:rsidRPr="00AD4F6B">
        <w:t xml:space="preserve">treated with DMTs </w:t>
      </w:r>
      <w:r w:rsidRPr="00AD4F6B" w:rsidR="00AB4E8B">
        <w:t>were included in the estimates – these patients should not be included in the financial estimates given the revisions to the proposed restrictions.</w:t>
      </w:r>
    </w:p>
    <w:p w:rsidRPr="00AD4F6B" w:rsidR="0076552D" w:rsidP="00DF6232" w:rsidRDefault="00BA3819" w14:paraId="63D06673" w14:textId="27F294E0">
      <w:pPr>
        <w:pStyle w:val="3-BodyText"/>
        <w:numPr>
          <w:ilvl w:val="0"/>
          <w:numId w:val="6"/>
        </w:numPr>
        <w:spacing w:before="0" w:after="120"/>
        <w:ind w:left="1080"/>
      </w:pPr>
      <w:r w:rsidRPr="00AD4F6B">
        <w:t xml:space="preserve">The submission assumed </w:t>
      </w:r>
      <w:r w:rsidRPr="005C5A79">
        <w:t>an even</w:t>
      </w:r>
      <w:r w:rsidRPr="005C5A79" w:rsidR="00241B35">
        <w:t xml:space="preserve"> 50:50</w:t>
      </w:r>
      <w:r w:rsidRPr="005C5A79">
        <w:t xml:space="preserve"> split between patients</w:t>
      </w:r>
      <w:r w:rsidRPr="00AD4F6B">
        <w:t xml:space="preserve"> with two </w:t>
      </w:r>
      <w:r w:rsidRPr="00AD4F6B">
        <w:rPr>
          <w:i/>
          <w:iCs/>
        </w:rPr>
        <w:t xml:space="preserve">SMN2 </w:t>
      </w:r>
      <w:r w:rsidRPr="00AD4F6B">
        <w:t xml:space="preserve">copies and patients with three </w:t>
      </w:r>
      <w:r w:rsidRPr="00AD4F6B">
        <w:rPr>
          <w:i/>
          <w:iCs/>
        </w:rPr>
        <w:t>SMN2</w:t>
      </w:r>
      <w:r w:rsidRPr="00AD4F6B">
        <w:t xml:space="preserve"> copies, </w:t>
      </w:r>
      <w:r w:rsidRPr="00AD4F6B" w:rsidR="009E0C0A">
        <w:t>but this was uncertain</w:t>
      </w:r>
      <w:r w:rsidRPr="00AD4F6B">
        <w:t xml:space="preserve">. If the proportion of patients with three </w:t>
      </w:r>
      <w:r w:rsidRPr="00AD4F6B">
        <w:rPr>
          <w:i/>
          <w:iCs/>
        </w:rPr>
        <w:t>SMN2</w:t>
      </w:r>
      <w:r w:rsidRPr="00AD4F6B">
        <w:t xml:space="preserve"> copies </w:t>
      </w:r>
      <w:r w:rsidRPr="00AD4F6B" w:rsidR="00190056">
        <w:t xml:space="preserve">is </w:t>
      </w:r>
      <w:r w:rsidRPr="00AD4F6B">
        <w:t>higher than proposed (which would be plausible given it is likely that older patients are being treated compared to the current ONA listing) then the financial estimates may be overestimated</w:t>
      </w:r>
      <w:r w:rsidRPr="00AD4F6B" w:rsidR="009E0C0A">
        <w:t xml:space="preserve">. </w:t>
      </w:r>
    </w:p>
    <w:p w:rsidRPr="00AD4F6B" w:rsidR="002A327F" w:rsidRDefault="00BA3819" w14:paraId="23288F6B" w14:textId="54727AFD">
      <w:pPr>
        <w:pStyle w:val="3-BodyText"/>
        <w:numPr>
          <w:ilvl w:val="0"/>
          <w:numId w:val="6"/>
        </w:numPr>
        <w:spacing w:before="0" w:after="120"/>
        <w:ind w:left="1080"/>
      </w:pPr>
      <w:r w:rsidRPr="00AD4F6B">
        <w:t xml:space="preserve">The submission inappropriately did not consider a range of </w:t>
      </w:r>
      <w:r w:rsidRPr="00AD4F6B" w:rsidR="005C4F42">
        <w:t>inputs in the financial estimates</w:t>
      </w:r>
      <w:r w:rsidRPr="00AD4F6B">
        <w:t xml:space="preserve">, such as comparators likely to be substituted (which would overestimate </w:t>
      </w:r>
      <w:r w:rsidRPr="00AD4F6B">
        <w:t xml:space="preserve">the financial impact), other </w:t>
      </w:r>
      <w:r w:rsidRPr="00AD4F6B" w:rsidR="00CB71B9">
        <w:t xml:space="preserve">concomitant </w:t>
      </w:r>
      <w:r w:rsidRPr="00AD4F6B">
        <w:t xml:space="preserve">PBS medicine use (prednisolone in conjunction with ONA, as per the </w:t>
      </w:r>
      <w:r w:rsidRPr="00AD4F6B" w:rsidR="00B44B8A">
        <w:t>Product</w:t>
      </w:r>
      <w:r w:rsidRPr="00AD4F6B">
        <w:t xml:space="preserve"> Information), patient copayments, MBS costs and the management of AEs. While not adjusting for the cost of other </w:t>
      </w:r>
      <w:r w:rsidRPr="00AD4F6B" w:rsidR="00CB71B9">
        <w:t xml:space="preserve">concomitant </w:t>
      </w:r>
      <w:r w:rsidRPr="00AD4F6B">
        <w:t>PBS medicine use, patient copayments, MBS items and AEs may underestimate the financial impact of ONA, the impact was likely to be limited given the relative low cost</w:t>
      </w:r>
      <w:r w:rsidRPr="00AD4F6B" w:rsidR="00867DF6">
        <w:t xml:space="preserve"> of these</w:t>
      </w:r>
      <w:r w:rsidRPr="00AD4F6B" w:rsidR="00CB71B9">
        <w:t xml:space="preserve"> inputs</w:t>
      </w:r>
      <w:r w:rsidRPr="00AD4F6B">
        <w:t xml:space="preserve"> in comparison to ONA.</w:t>
      </w:r>
      <w:r w:rsidRPr="00AD4F6B" w:rsidR="00A23A3B">
        <w:t xml:space="preserve"> </w:t>
      </w:r>
    </w:p>
    <w:p w:rsidRPr="00AD4F6B" w:rsidR="00101A75" w:rsidP="0019341B" w:rsidRDefault="00101A75" w14:paraId="19CFD969" w14:textId="28D0E3F4">
      <w:pPr>
        <w:pStyle w:val="3-BodyText"/>
      </w:pPr>
      <w:r w:rsidRPr="00AD4F6B">
        <w:t xml:space="preserve">Overall, the listing of ONA in </w:t>
      </w:r>
      <w:r w:rsidRPr="00AD4F6B" w:rsidR="002809C4">
        <w:t>the proposed expanded population</w:t>
      </w:r>
      <w:r w:rsidRPr="00AD4F6B">
        <w:t xml:space="preserve"> was likely to be at least budget neutral</w:t>
      </w:r>
      <w:r w:rsidRPr="00AD4F6B" w:rsidR="00132486">
        <w:t xml:space="preserve"> in the longer term</w:t>
      </w:r>
      <w:r w:rsidRPr="00AD4F6B" w:rsidR="0048716C">
        <w:t xml:space="preserve"> (beyond the </w:t>
      </w:r>
      <w:proofErr w:type="gramStart"/>
      <w:r w:rsidRPr="00AD4F6B" w:rsidR="0048716C">
        <w:t>6 year</w:t>
      </w:r>
      <w:proofErr w:type="gramEnd"/>
      <w:r w:rsidRPr="00AD4F6B" w:rsidR="0048716C">
        <w:t xml:space="preserve"> forecast in the estimates)</w:t>
      </w:r>
      <w:r w:rsidRPr="00AD4F6B">
        <w:t xml:space="preserve">, as these patients would otherwise have been eligible for nusinersen or </w:t>
      </w:r>
      <w:r w:rsidRPr="00AD4F6B" w:rsidR="00FC5711">
        <w:t>RIS</w:t>
      </w:r>
      <w:r w:rsidRPr="00AD4F6B">
        <w:t xml:space="preserve">. </w:t>
      </w:r>
    </w:p>
    <w:p w:rsidRPr="00AD4F6B" w:rsidR="00576972" w:rsidP="00606FBA" w:rsidRDefault="00576972" w14:paraId="6015A395" w14:textId="2EDB6A4E">
      <w:pPr>
        <w:pStyle w:val="4-SubsectionHeading"/>
        <w:rPr>
          <w:color w:val="auto"/>
        </w:rPr>
      </w:pPr>
      <w:bookmarkStart w:name="_Toc22897649" w:id="60"/>
      <w:bookmarkStart w:name="_Toc209002917" w:id="61"/>
      <w:r w:rsidRPr="00AD4F6B">
        <w:rPr>
          <w:color w:val="auto"/>
        </w:rPr>
        <w:t>Financial Management – Risk Sharing Arrangements</w:t>
      </w:r>
      <w:bookmarkEnd w:id="60"/>
      <w:bookmarkEnd w:id="61"/>
    </w:p>
    <w:p w:rsidRPr="00AD4F6B" w:rsidR="001F7E78" w:rsidP="001F7E78" w:rsidRDefault="001F7E78" w14:paraId="52A5FEBE" w14:textId="48C06DC2">
      <w:pPr>
        <w:pStyle w:val="3-BodyText"/>
        <w:rPr>
          <w:iCs/>
        </w:rPr>
      </w:pPr>
      <w:r w:rsidRPr="00AD4F6B">
        <w:rPr>
          <w:iCs/>
        </w:rPr>
        <w:t xml:space="preserve">The PBAC have previously noted the need to balance the requirement for access to subsequent treatments where they are needed, with the high cost of funding these treatments in addition to the full up-front cost of ONA, and therefore considered any access to subsequent DMTs needed to be accounted for in the RSA (paragraph 9.6, onasemnogene abeparvovec PSD, November 2020 PBAC meeting with May 2021 Addendum and September 2021 Addendum). </w:t>
      </w:r>
    </w:p>
    <w:p w:rsidRPr="00A94B7A" w:rsidR="00B54FB3" w:rsidP="00B54FB3" w:rsidRDefault="00B54FB3" w14:paraId="60098731" w14:textId="559961A4">
      <w:pPr>
        <w:pStyle w:val="3-BodyText"/>
      </w:pPr>
      <w:bookmarkStart w:name="_Ref208069802" w:id="62"/>
      <w:r w:rsidRPr="00AD4F6B">
        <w:t xml:space="preserve">The sponsor proposed for this expanded population to be covered by the existing outcomes-based RSA; the sponsor did not request for the RSA to be modified. </w:t>
      </w:r>
      <w:r w:rsidRPr="00AD4F6B" w:rsidR="00BC262D">
        <w:t xml:space="preserve">A current RSA is in place for </w:t>
      </w:r>
      <w:r w:rsidRPr="00AD4F6B">
        <w:t>ONA</w:t>
      </w:r>
      <w:r w:rsidRPr="00AD4F6B" w:rsidR="00BC262D">
        <w:t>,</w:t>
      </w:r>
      <w:r w:rsidRPr="00AD4F6B">
        <w:t xml:space="preserve"> for SMA Type I</w:t>
      </w:r>
      <w:r w:rsidRPr="00AD4F6B" w:rsidR="00BC262D">
        <w:t xml:space="preserve"> and</w:t>
      </w:r>
      <w:r w:rsidRPr="00AD4F6B">
        <w:t xml:space="preserve"> pre-symptomatic patients with 1-</w:t>
      </w:r>
      <w:r w:rsidRPr="00A94B7A">
        <w:t xml:space="preserve">3 copies of the </w:t>
      </w:r>
      <w:r w:rsidRPr="00A94B7A">
        <w:rPr>
          <w:i/>
          <w:iCs/>
        </w:rPr>
        <w:t>SMN2</w:t>
      </w:r>
      <w:r w:rsidRPr="00A94B7A">
        <w:t xml:space="preserve"> gene, whereby:</w:t>
      </w:r>
      <w:bookmarkEnd w:id="62"/>
    </w:p>
    <w:p w:rsidRPr="00A94B7A" w:rsidR="00B54FB3" w:rsidP="00DF6232" w:rsidRDefault="00C554FC" w14:paraId="7EF7C7AC" w14:textId="43018256">
      <w:pPr>
        <w:pStyle w:val="3-BodyText"/>
        <w:numPr>
          <w:ilvl w:val="0"/>
          <w:numId w:val="6"/>
        </w:numPr>
        <w:spacing w:before="0" w:after="120"/>
        <w:ind w:left="1080"/>
      </w:pP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A94B7A" w:rsidR="00B54FB3">
        <w:t xml:space="preserve"> </w:t>
      </w:r>
    </w:p>
    <w:p w:rsidRPr="00A94B7A" w:rsidR="00B54FB3" w:rsidP="00DF6232" w:rsidRDefault="00C554FC" w14:paraId="3E01143D" w14:textId="4D97F573">
      <w:pPr>
        <w:pStyle w:val="3-BodyText"/>
        <w:numPr>
          <w:ilvl w:val="0"/>
          <w:numId w:val="6"/>
        </w:numPr>
        <w:spacing w:before="0" w:after="120"/>
        <w:ind w:left="1080"/>
      </w:pP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A94B7A" w:rsidR="00B54FB3">
        <w:t xml:space="preserve"> </w:t>
      </w:r>
    </w:p>
    <w:p w:rsidRPr="00A94B7A" w:rsidR="00B54FB3" w:rsidP="00DF6232" w:rsidRDefault="00C554FC" w14:paraId="4ADDE077" w14:textId="2F71016F">
      <w:pPr>
        <w:pStyle w:val="3-BodyText"/>
        <w:numPr>
          <w:ilvl w:val="0"/>
          <w:numId w:val="6"/>
        </w:numPr>
        <w:spacing w:before="0" w:after="120"/>
        <w:ind w:left="1080"/>
      </w:pP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r w:rsidRPr="00C554FC">
        <w:rPr>
          <w:highlight w:val="black"/>
        </w:rPr>
        <w:t>&amp;&amp;&amp;&amp;</w:t>
      </w:r>
      <w:r w:rsidRPr="00C554FC">
        <w:t xml:space="preserve"> </w:t>
      </w:r>
    </w:p>
    <w:p w:rsidR="009F2D69" w:rsidP="003656BA" w:rsidRDefault="009F2D69" w14:paraId="4ED50AD8" w14:textId="29369F3C">
      <w:pPr>
        <w:pStyle w:val="3-BodyText"/>
      </w:pPr>
      <w:r w:rsidRPr="00AD4F6B">
        <w:t xml:space="preserve">The use of nusinersen (for Type I SMA or pre-symptomatic SMA) and </w:t>
      </w:r>
      <w:r w:rsidRPr="00AD4F6B" w:rsidR="00FC5711">
        <w:t>RIS</w:t>
      </w:r>
      <w:r w:rsidRPr="00AD4F6B">
        <w:t xml:space="preserve"> (for Type I SMA) following ONA therapy are captured under PBS item codes: 12959C, 12943F, and 12972R, which have been accessed six, six and one time(s) respectively during the 2021-2022 and 2022-2023 financial years</w:t>
      </w:r>
      <w:r w:rsidRPr="00AD4F6B">
        <w:rPr>
          <w:rStyle w:val="FootnoteReference"/>
        </w:rPr>
        <w:footnoteReference w:id="8"/>
      </w:r>
      <w:r w:rsidRPr="00AD4F6B">
        <w:t xml:space="preserve">. </w:t>
      </w:r>
      <w:r w:rsidRPr="00AD4F6B" w:rsidR="004C21B5">
        <w:t xml:space="preserve">The PBAC </w:t>
      </w:r>
      <w:r w:rsidRPr="00AD4F6B" w:rsidR="00772FED">
        <w:t xml:space="preserve">noted that input from clinicians indicated that the circumstances </w:t>
      </w:r>
      <w:r w:rsidRPr="00AD4F6B" w:rsidR="008A37DC">
        <w:t xml:space="preserve">allowing for </w:t>
      </w:r>
      <w:r w:rsidRPr="00AD4F6B" w:rsidR="00D95F96">
        <w:t xml:space="preserve">addition of a DMT following </w:t>
      </w:r>
      <w:r w:rsidRPr="00AD4F6B" w:rsidR="00BC7558">
        <w:t xml:space="preserve">ONA should be reviewed (see also paragraph </w:t>
      </w:r>
      <w:r w:rsidRPr="00AD4F6B" w:rsidR="00BC7558">
        <w:fldChar w:fldCharType="begin"/>
      </w:r>
      <w:r w:rsidRPr="00AD4F6B" w:rsidR="00BC7558">
        <w:instrText xml:space="preserve"> REF _Ref214013581 \r \h </w:instrText>
      </w:r>
      <w:r w:rsidRPr="00AD4F6B" w:rsidR="00BC7558">
        <w:fldChar w:fldCharType="separate"/>
      </w:r>
      <w:r w:rsidR="00F0459B">
        <w:t>6.3</w:t>
      </w:r>
      <w:r w:rsidRPr="00AD4F6B" w:rsidR="00BC7558">
        <w:fldChar w:fldCharType="end"/>
      </w:r>
      <w:r w:rsidRPr="00AD4F6B" w:rsidR="00BC7558">
        <w:t>).</w:t>
      </w:r>
    </w:p>
    <w:p w:rsidRPr="00AD4F6B" w:rsidR="003656BA" w:rsidP="003656BA" w:rsidRDefault="003656BA" w14:paraId="24BF014D" w14:textId="77777777">
      <w:pPr>
        <w:pStyle w:val="3-BodyText"/>
        <w:numPr>
          <w:ilvl w:val="0"/>
          <w:numId w:val="0"/>
        </w:numPr>
        <w:ind w:left="720"/>
      </w:pPr>
    </w:p>
    <w:p w:rsidRPr="00AD4F6B" w:rsidR="002B71CD" w:rsidP="003656BA" w:rsidRDefault="002B71CD" w14:paraId="7F30F4E9" w14:textId="51A0DD58">
      <w:pPr>
        <w:pStyle w:val="3-BodyText"/>
        <w:numPr>
          <w:ilvl w:val="0"/>
          <w:numId w:val="0"/>
        </w:numPr>
        <w:spacing w:after="120"/>
        <w:ind w:left="720"/>
      </w:pPr>
      <w:r w:rsidRPr="00AD4F6B">
        <w:rPr>
          <w:i/>
          <w:iCs/>
        </w:rPr>
        <w:t>For more detail on PBAC’s view, see section 7 PBAC outcome.</w:t>
      </w:r>
    </w:p>
    <w:p w:rsidRPr="00AD4F6B" w:rsidR="009F5626" w:rsidP="009F5626" w:rsidRDefault="009F5626" w14:paraId="482149CF" w14:textId="77777777">
      <w:pPr>
        <w:pStyle w:val="2-SectionHeading"/>
        <w:numPr>
          <w:ilvl w:val="0"/>
          <w:numId w:val="1"/>
        </w:numPr>
      </w:pPr>
      <w:bookmarkStart w:name="_Hlk76381249" w:id="63"/>
      <w:r w:rsidRPr="00AD4F6B">
        <w:t>PBAC Outcome</w:t>
      </w:r>
    </w:p>
    <w:p w:rsidRPr="00AD4F6B" w:rsidR="00764F93" w:rsidRDefault="009F5626" w14:paraId="5A7461D3" w14:textId="0E6C3B64">
      <w:pPr>
        <w:widowControl w:val="0"/>
        <w:numPr>
          <w:ilvl w:val="1"/>
          <w:numId w:val="1"/>
        </w:numPr>
        <w:spacing w:after="120"/>
        <w:rPr>
          <w:rFonts w:asciiTheme="minorHAnsi" w:hAnsiTheme="minorHAnsi"/>
          <w:snapToGrid w:val="0"/>
          <w:lang w:val="en-GB"/>
        </w:rPr>
      </w:pPr>
      <w:r w:rsidRPr="00AD4F6B">
        <w:rPr>
          <w:rFonts w:asciiTheme="minorHAnsi" w:hAnsiTheme="minorHAnsi"/>
          <w:snapToGrid w:val="0"/>
          <w:lang w:val="en-GB"/>
        </w:rPr>
        <w:t xml:space="preserve">The PBAC recommended </w:t>
      </w:r>
      <w:r w:rsidRPr="00AD4F6B" w:rsidR="00802FB2">
        <w:rPr>
          <w:rFonts w:asciiTheme="minorHAnsi" w:hAnsiTheme="minorHAnsi"/>
          <w:snapToGrid w:val="0"/>
          <w:lang w:val="en-GB"/>
        </w:rPr>
        <w:t>expanding</w:t>
      </w:r>
      <w:r w:rsidRPr="00AD4F6B" w:rsidR="00A611ED">
        <w:rPr>
          <w:rFonts w:asciiTheme="minorHAnsi" w:hAnsiTheme="minorHAnsi"/>
          <w:snapToGrid w:val="0"/>
          <w:lang w:val="en-GB"/>
        </w:rPr>
        <w:t xml:space="preserve"> the current </w:t>
      </w:r>
      <w:r w:rsidRPr="00AD4F6B">
        <w:rPr>
          <w:rFonts w:asciiTheme="minorHAnsi" w:hAnsiTheme="minorHAnsi"/>
          <w:snapToGrid w:val="0"/>
          <w:lang w:val="en-GB"/>
        </w:rPr>
        <w:t xml:space="preserve">listing of </w:t>
      </w:r>
      <w:r w:rsidRPr="00AD4F6B" w:rsidR="00497597">
        <w:rPr>
          <w:rFonts w:asciiTheme="minorHAnsi" w:hAnsiTheme="minorHAnsi"/>
          <w:snapToGrid w:val="0"/>
          <w:lang w:val="en-GB"/>
        </w:rPr>
        <w:t>onasemnogene abeparvovec (ONA)</w:t>
      </w:r>
      <w:r w:rsidRPr="00AD4F6B" w:rsidR="009227E3">
        <w:rPr>
          <w:rFonts w:asciiTheme="minorHAnsi" w:hAnsiTheme="minorHAnsi"/>
          <w:snapToGrid w:val="0"/>
          <w:lang w:val="en-GB"/>
        </w:rPr>
        <w:t xml:space="preserve"> which requires patients to be less than 9 months of age</w:t>
      </w:r>
      <w:r w:rsidRPr="00AD4F6B" w:rsidR="00A611ED">
        <w:rPr>
          <w:rFonts w:asciiTheme="minorHAnsi" w:hAnsiTheme="minorHAnsi"/>
          <w:snapToGrid w:val="0"/>
          <w:lang w:val="en-GB"/>
        </w:rPr>
        <w:t xml:space="preserve"> to include </w:t>
      </w:r>
      <w:r w:rsidRPr="00AD4F6B" w:rsidR="005260A8">
        <w:rPr>
          <w:rFonts w:asciiTheme="minorHAnsi" w:hAnsiTheme="minorHAnsi"/>
          <w:snapToGrid w:val="0"/>
          <w:lang w:val="en-GB"/>
        </w:rPr>
        <w:t xml:space="preserve">treatment of </w:t>
      </w:r>
      <w:r w:rsidRPr="00AD4F6B" w:rsidR="000044F3">
        <w:rPr>
          <w:rFonts w:asciiTheme="minorHAnsi" w:hAnsiTheme="minorHAnsi"/>
          <w:snapToGrid w:val="0"/>
          <w:lang w:val="en-GB"/>
        </w:rPr>
        <w:t xml:space="preserve">SMA </w:t>
      </w:r>
      <w:r w:rsidRPr="00AD4F6B" w:rsidR="005260A8">
        <w:rPr>
          <w:rFonts w:asciiTheme="minorHAnsi" w:hAnsiTheme="minorHAnsi"/>
          <w:snapToGrid w:val="0"/>
          <w:lang w:val="en-GB"/>
        </w:rPr>
        <w:t>patients</w:t>
      </w:r>
      <w:r w:rsidRPr="00AD4F6B" w:rsidR="006B06B4">
        <w:rPr>
          <w:rFonts w:asciiTheme="minorHAnsi" w:hAnsiTheme="minorHAnsi"/>
          <w:snapToGrid w:val="0"/>
          <w:lang w:val="en-GB"/>
        </w:rPr>
        <w:t xml:space="preserve"> with</w:t>
      </w:r>
      <w:r w:rsidRPr="00AD4F6B" w:rsidR="00764F93">
        <w:rPr>
          <w:rFonts w:asciiTheme="minorHAnsi" w:hAnsiTheme="minorHAnsi"/>
          <w:snapToGrid w:val="0"/>
          <w:lang w:val="en-GB"/>
        </w:rPr>
        <w:t>:</w:t>
      </w:r>
    </w:p>
    <w:p w:rsidRPr="00AD4F6B" w:rsidR="006B06B4" w:rsidP="00A424FA" w:rsidRDefault="004B53BA" w14:paraId="07BE6393" w14:textId="4E3BB332">
      <w:pPr>
        <w:pStyle w:val="Bulletpoints"/>
        <w:ind w:left="1037" w:hanging="357"/>
        <w:rPr>
          <w:lang w:val="en-GB"/>
        </w:rPr>
      </w:pPr>
      <w:r w:rsidRPr="00AD4F6B">
        <w:rPr>
          <w:lang w:val="en-GB"/>
        </w:rPr>
        <w:t>S</w:t>
      </w:r>
      <w:r w:rsidRPr="00AD4F6B" w:rsidR="005260A8">
        <w:rPr>
          <w:lang w:val="en-GB"/>
        </w:rPr>
        <w:t>ymptomatic Type I-IIIa SMA</w:t>
      </w:r>
      <w:r w:rsidRPr="00AD4F6B" w:rsidR="00E62207">
        <w:rPr>
          <w:lang w:val="en-GB"/>
        </w:rPr>
        <w:t>,</w:t>
      </w:r>
      <w:r w:rsidRPr="00AD4F6B" w:rsidR="00764F93">
        <w:rPr>
          <w:lang w:val="en-GB"/>
        </w:rPr>
        <w:t xml:space="preserve"> weighing up to 21 kg</w:t>
      </w:r>
      <w:r w:rsidRPr="00AD4F6B" w:rsidR="000044F3">
        <w:rPr>
          <w:lang w:val="en-GB"/>
        </w:rPr>
        <w:t>.</w:t>
      </w:r>
    </w:p>
    <w:p w:rsidRPr="00AD4F6B" w:rsidR="00360B74" w:rsidP="00A424FA" w:rsidRDefault="006B06B4" w14:paraId="707D719B" w14:textId="7FCE5779">
      <w:pPr>
        <w:pStyle w:val="Bulletpoints"/>
        <w:ind w:left="1037" w:hanging="357"/>
        <w:rPr>
          <w:lang w:val="en-GB"/>
        </w:rPr>
      </w:pPr>
      <w:r w:rsidRPr="00AD4F6B">
        <w:rPr>
          <w:lang w:val="en-GB"/>
        </w:rPr>
        <w:t xml:space="preserve">Pre-symptomatic </w:t>
      </w:r>
      <w:r w:rsidRPr="00AD4F6B" w:rsidR="004B53BA">
        <w:rPr>
          <w:lang w:val="en-GB"/>
        </w:rPr>
        <w:t xml:space="preserve">SMA with 1-3 copies </w:t>
      </w:r>
      <w:r w:rsidRPr="00AD4F6B" w:rsidR="004B53BA">
        <w:rPr>
          <w:i/>
          <w:iCs/>
          <w:lang w:val="en-GB"/>
        </w:rPr>
        <w:t>SMN2</w:t>
      </w:r>
      <w:r w:rsidRPr="00AD4F6B" w:rsidR="00E62207">
        <w:rPr>
          <w:i/>
          <w:iCs/>
          <w:lang w:val="en-GB"/>
        </w:rPr>
        <w:t>,</w:t>
      </w:r>
      <w:r w:rsidRPr="00AD4F6B" w:rsidR="004B53BA">
        <w:rPr>
          <w:lang w:val="en-GB"/>
        </w:rPr>
        <w:t xml:space="preserve"> </w:t>
      </w:r>
      <w:r w:rsidRPr="00AD4F6B" w:rsidR="00360B74">
        <w:rPr>
          <w:lang w:val="en-GB"/>
        </w:rPr>
        <w:t>weighing up to 21 kg</w:t>
      </w:r>
      <w:r w:rsidRPr="00AD4F6B" w:rsidR="00F90A5B">
        <w:rPr>
          <w:lang w:val="en-GB"/>
        </w:rPr>
        <w:t>,</w:t>
      </w:r>
      <w:r w:rsidRPr="00AD4F6B" w:rsidR="00360B74">
        <w:rPr>
          <w:lang w:val="en-GB"/>
        </w:rPr>
        <w:t xml:space="preserve"> where </w:t>
      </w:r>
      <w:r w:rsidRPr="00AD4F6B" w:rsidR="008008E1">
        <w:rPr>
          <w:lang w:val="en-GB"/>
        </w:rPr>
        <w:t xml:space="preserve">treatment with DMTs </w:t>
      </w:r>
      <w:r w:rsidRPr="00AD4F6B" w:rsidR="00360B74">
        <w:rPr>
          <w:lang w:val="en-GB"/>
        </w:rPr>
        <w:t xml:space="preserve">was initiated </w:t>
      </w:r>
      <w:r w:rsidRPr="00AD4F6B" w:rsidR="008008E1">
        <w:rPr>
          <w:lang w:val="en-GB"/>
        </w:rPr>
        <w:t xml:space="preserve">prior to </w:t>
      </w:r>
      <w:r w:rsidRPr="00AD4F6B" w:rsidR="00360B74">
        <w:rPr>
          <w:lang w:val="en-GB"/>
        </w:rPr>
        <w:t>36 months of age</w:t>
      </w:r>
      <w:r w:rsidRPr="00AD4F6B" w:rsidR="000044F3">
        <w:rPr>
          <w:lang w:val="en-GB"/>
        </w:rPr>
        <w:t>.</w:t>
      </w:r>
    </w:p>
    <w:p w:rsidRPr="00AD4F6B" w:rsidR="009F5626" w:rsidP="00A424FA" w:rsidRDefault="00360B74" w14:paraId="1EF4CBF7" w14:textId="03569D3D">
      <w:pPr>
        <w:pStyle w:val="Bulletpoints"/>
        <w:ind w:left="1037" w:hanging="357"/>
        <w:rPr>
          <w:lang w:val="en-GB"/>
        </w:rPr>
      </w:pPr>
      <w:r w:rsidRPr="00AD4F6B">
        <w:rPr>
          <w:lang w:val="en-GB"/>
        </w:rPr>
        <w:t xml:space="preserve">Pre-symptomatic SMA with 1-3 copies </w:t>
      </w:r>
      <w:r w:rsidRPr="00AD4F6B">
        <w:rPr>
          <w:i/>
          <w:iCs/>
          <w:lang w:val="en-GB"/>
        </w:rPr>
        <w:t>SMN2</w:t>
      </w:r>
      <w:r w:rsidRPr="00AD4F6B" w:rsidR="00F90A5B">
        <w:rPr>
          <w:i/>
          <w:iCs/>
          <w:lang w:val="en-GB"/>
        </w:rPr>
        <w:t>,</w:t>
      </w:r>
      <w:r w:rsidRPr="00AD4F6B">
        <w:rPr>
          <w:lang w:val="en-GB"/>
        </w:rPr>
        <w:t xml:space="preserve"> </w:t>
      </w:r>
      <w:r w:rsidRPr="00AD4F6B" w:rsidR="00A5275A">
        <w:rPr>
          <w:lang w:val="en-GB"/>
        </w:rPr>
        <w:t>up to 36 months of age</w:t>
      </w:r>
      <w:r w:rsidRPr="00AD4F6B" w:rsidR="00F90A5B">
        <w:rPr>
          <w:lang w:val="en-GB"/>
        </w:rPr>
        <w:t xml:space="preserve">, </w:t>
      </w:r>
      <w:r w:rsidRPr="00AD4F6B" w:rsidR="00A5275A">
        <w:rPr>
          <w:lang w:val="en-GB"/>
        </w:rPr>
        <w:t xml:space="preserve">where patients are untreated with </w:t>
      </w:r>
      <w:r w:rsidRPr="00AD4F6B" w:rsidR="000044F3">
        <w:rPr>
          <w:lang w:val="en-GB"/>
        </w:rPr>
        <w:t>DMTs.</w:t>
      </w:r>
      <w:r w:rsidRPr="00AD4F6B" w:rsidR="00B45ECC">
        <w:rPr>
          <w:lang w:val="en-GB"/>
        </w:rPr>
        <w:t xml:space="preserve"> </w:t>
      </w:r>
    </w:p>
    <w:p w:rsidRPr="00AD4F6B" w:rsidR="009A0B7F" w:rsidP="00F41477" w:rsidRDefault="005F627E" w14:paraId="7443B07E" w14:textId="4DB8BFD6">
      <w:pPr>
        <w:widowControl w:val="0"/>
        <w:spacing w:after="120"/>
        <w:ind w:left="720"/>
        <w:rPr>
          <w:rFonts w:asciiTheme="minorHAnsi" w:hAnsiTheme="minorHAnsi"/>
          <w:snapToGrid w:val="0"/>
          <w:lang w:val="en-GB"/>
        </w:rPr>
      </w:pPr>
      <w:r w:rsidRPr="00AD4F6B">
        <w:rPr>
          <w:rFonts w:asciiTheme="minorHAnsi" w:hAnsiTheme="minorHAnsi"/>
          <w:snapToGrid w:val="0"/>
        </w:rPr>
        <w:t>Expanding the listings was on the basis</w:t>
      </w:r>
      <w:r w:rsidRPr="00AD4F6B" w:rsidR="00DD1FA9">
        <w:rPr>
          <w:rFonts w:asciiTheme="minorHAnsi" w:hAnsiTheme="minorHAnsi"/>
          <w:snapToGrid w:val="0"/>
        </w:rPr>
        <w:t xml:space="preserve"> that there may be a clinical need for a small number of patients who have not received </w:t>
      </w:r>
      <w:r w:rsidRPr="00AD4F6B" w:rsidR="006F3B58">
        <w:rPr>
          <w:rFonts w:asciiTheme="minorHAnsi" w:hAnsiTheme="minorHAnsi"/>
          <w:snapToGrid w:val="0"/>
        </w:rPr>
        <w:t>ONA</w:t>
      </w:r>
      <w:r w:rsidRPr="00AD4F6B" w:rsidR="00DD1FA9">
        <w:rPr>
          <w:rFonts w:asciiTheme="minorHAnsi" w:hAnsiTheme="minorHAnsi"/>
          <w:snapToGrid w:val="0"/>
        </w:rPr>
        <w:t xml:space="preserve"> prior to 9 months of age, however </w:t>
      </w:r>
      <w:r w:rsidRPr="00AD4F6B" w:rsidR="008751B0">
        <w:rPr>
          <w:rFonts w:asciiTheme="minorHAnsi" w:hAnsiTheme="minorHAnsi"/>
          <w:snapToGrid w:val="0"/>
        </w:rPr>
        <w:t xml:space="preserve">the PBAC </w:t>
      </w:r>
      <w:r w:rsidRPr="00AD4F6B" w:rsidR="00DD1FA9">
        <w:rPr>
          <w:rFonts w:asciiTheme="minorHAnsi" w:hAnsiTheme="minorHAnsi"/>
          <w:snapToGrid w:val="0"/>
        </w:rPr>
        <w:t xml:space="preserve">noted that earlier initiation of disease-modifying treatment remains the preferred approach. The PBAC considered that although the evidence available was limited, the efficacy and safety of </w:t>
      </w:r>
      <w:r w:rsidRPr="00AD4F6B" w:rsidR="006F3B58">
        <w:rPr>
          <w:rFonts w:asciiTheme="minorHAnsi" w:hAnsiTheme="minorHAnsi"/>
          <w:snapToGrid w:val="0"/>
        </w:rPr>
        <w:t>ONA</w:t>
      </w:r>
      <w:r w:rsidRPr="00AD4F6B" w:rsidR="00DD1FA9">
        <w:rPr>
          <w:rFonts w:asciiTheme="minorHAnsi" w:hAnsiTheme="minorHAnsi"/>
          <w:snapToGrid w:val="0"/>
        </w:rPr>
        <w:t xml:space="preserve"> in patients older than 9 months appears similar to that in patients younger than 9 months. The PBAC considered that </w:t>
      </w:r>
      <w:r w:rsidRPr="00AD4F6B" w:rsidR="00961111">
        <w:rPr>
          <w:rFonts w:asciiTheme="minorHAnsi" w:hAnsiTheme="minorHAnsi"/>
          <w:snapToGrid w:val="0"/>
        </w:rPr>
        <w:t>ONA</w:t>
      </w:r>
      <w:r w:rsidRPr="00AD4F6B" w:rsidR="00DD1FA9">
        <w:rPr>
          <w:rFonts w:asciiTheme="minorHAnsi" w:hAnsiTheme="minorHAnsi"/>
          <w:snapToGrid w:val="0"/>
        </w:rPr>
        <w:t xml:space="preserve"> would be acceptably cost-effective in the older population at the same cost per patient as in the younger population, with the same outcomes-based RSA conditions applied. </w:t>
      </w:r>
    </w:p>
    <w:p w:rsidRPr="00AD4F6B" w:rsidR="00373135" w:rsidP="009F5626" w:rsidRDefault="007C2624" w14:paraId="360DCAE0" w14:textId="4EFCD15C">
      <w:pPr>
        <w:widowControl w:val="0"/>
        <w:numPr>
          <w:ilvl w:val="1"/>
          <w:numId w:val="1"/>
        </w:numPr>
        <w:spacing w:after="120"/>
        <w:rPr>
          <w:rFonts w:asciiTheme="minorHAnsi" w:hAnsiTheme="minorHAnsi"/>
          <w:snapToGrid w:val="0"/>
          <w:lang w:val="en-GB"/>
        </w:rPr>
      </w:pPr>
      <w:r w:rsidRPr="00AD4F6B">
        <w:t xml:space="preserve">The PBAC noted that input from clinical experts indicated that it would be preferable for the listing for patients with symptomatic SMA to not be limited to Type I, so as not to exclude patients with onset of symptoms at &gt;6 months of age. The current listings for NUSI and RIS include symptomatic patients with Type I-IIIa SMA and the PBAC considered that aligning the listing for ONA with these listings would be reasonable as cost-effectiveness of DMTs has been established in these patients and their inclusion is consistent with the patient population in the SMART trial. </w:t>
      </w:r>
    </w:p>
    <w:p w:rsidRPr="00AD4F6B" w:rsidR="001F30F4" w:rsidP="004C68DD" w:rsidRDefault="004C68DD" w14:paraId="4AA16AEF" w14:textId="33EC4B8C">
      <w:pPr>
        <w:pStyle w:val="3-BodyText"/>
        <w:numPr>
          <w:ilvl w:val="1"/>
          <w:numId w:val="1"/>
        </w:numPr>
      </w:pPr>
      <w:bookmarkStart w:name="_Ref214270714" w:id="64"/>
      <w:r w:rsidRPr="00AD4F6B">
        <w:t xml:space="preserve">The PBAC considered that the inclusion of an age limit of 36 months was appropriate for the listing in patients with pre-symptomatic SMA who had not received prior DMT, consistent with the existing listings for </w:t>
      </w:r>
      <w:r w:rsidRPr="00AD4F6B" w:rsidR="00DE382F">
        <w:t>NUSI</w:t>
      </w:r>
      <w:r w:rsidRPr="00AD4F6B">
        <w:t xml:space="preserve"> and </w:t>
      </w:r>
      <w:r w:rsidRPr="00AD4F6B" w:rsidR="00DE382F">
        <w:t>RIS</w:t>
      </w:r>
      <w:r w:rsidRPr="00AD4F6B">
        <w:t xml:space="preserve">. </w:t>
      </w:r>
      <w:r w:rsidRPr="00AD4F6B" w:rsidR="002218CB">
        <w:t xml:space="preserve">The PBAC noted that these patients were likely to have a less severe disease and were less likely to benefit from treatment to the same </w:t>
      </w:r>
      <w:proofErr w:type="gramStart"/>
      <w:r w:rsidRPr="00AD4F6B" w:rsidR="002218CB">
        <w:t>extent, but</w:t>
      </w:r>
      <w:proofErr w:type="gramEnd"/>
      <w:r w:rsidRPr="00AD4F6B" w:rsidR="002218CB">
        <w:t xml:space="preserve"> would be eligible for other disease modifying treatment where symptoms become apparent. </w:t>
      </w:r>
      <w:r w:rsidRPr="00AD4F6B">
        <w:t xml:space="preserve">The PBAC considered that </w:t>
      </w:r>
      <w:r w:rsidRPr="00AD4F6B" w:rsidR="002218CB">
        <w:t>a</w:t>
      </w:r>
      <w:r w:rsidRPr="00AD4F6B">
        <w:t xml:space="preserve"> restriction in weight (</w:t>
      </w:r>
      <w:r w:rsidRPr="00AD4F6B" w:rsidR="00E157A9">
        <w:t xml:space="preserve">up to </w:t>
      </w:r>
      <w:r w:rsidRPr="00AD4F6B">
        <w:t>21 kg) was sufficient for patients with symptomatic SMA noting that the existing listings for nusinersen and risdiplam in symptomatic patients allow treatment initiation in patients up to 18 years. The PBAC also considered that the restriction in weight (</w:t>
      </w:r>
      <w:r w:rsidRPr="00AD4F6B" w:rsidR="00E157A9">
        <w:t xml:space="preserve">up to </w:t>
      </w:r>
      <w:r w:rsidRPr="00AD4F6B">
        <w:t xml:space="preserve">21 kg) was sufficient for pre-symptomatic patients who have </w:t>
      </w:r>
      <w:r w:rsidRPr="00AD4F6B" w:rsidR="00E16675">
        <w:t xml:space="preserve">initiated treatment </w:t>
      </w:r>
      <w:r w:rsidRPr="00AD4F6B" w:rsidR="008A276E">
        <w:t>with</w:t>
      </w:r>
      <w:r w:rsidRPr="00AD4F6B">
        <w:t xml:space="preserve"> nusinersen or risdiplam prior to 36 months, nothing that these patients would otherwise be eligible for ongoing nusinersen or risdiplam. </w:t>
      </w:r>
      <w:bookmarkEnd w:id="64"/>
    </w:p>
    <w:p w:rsidRPr="00AD4F6B" w:rsidR="004C68DD" w:rsidP="004C68DD" w:rsidRDefault="008A276E" w14:paraId="1B5186CD" w14:textId="09F3794C">
      <w:pPr>
        <w:pStyle w:val="3-BodyText"/>
        <w:numPr>
          <w:ilvl w:val="1"/>
          <w:numId w:val="1"/>
        </w:numPr>
      </w:pPr>
      <w:r w:rsidRPr="00AD4F6B">
        <w:t xml:space="preserve">The PBAC considered that these </w:t>
      </w:r>
      <w:r w:rsidRPr="00AD4F6B" w:rsidR="008965FB">
        <w:t xml:space="preserve">changes to the restrictions for ONA would </w:t>
      </w:r>
      <w:r w:rsidRPr="00AD4F6B" w:rsidR="00A32FD9">
        <w:t xml:space="preserve">align </w:t>
      </w:r>
      <w:r w:rsidRPr="00AD4F6B" w:rsidR="006D3306">
        <w:t xml:space="preserve">with other DMTs, while maintaining consistency with the </w:t>
      </w:r>
      <w:r w:rsidRPr="00AD4F6B" w:rsidR="00A7520F">
        <w:t xml:space="preserve">anticipated </w:t>
      </w:r>
      <w:r w:rsidRPr="00AD4F6B" w:rsidR="00B34FAC">
        <w:t xml:space="preserve">updated </w:t>
      </w:r>
      <w:r w:rsidRPr="00AD4F6B" w:rsidR="00A7520F">
        <w:t>TGA indication</w:t>
      </w:r>
      <w:r w:rsidRPr="00AD4F6B" w:rsidR="00003FC4">
        <w:t xml:space="preserve"> for ONA</w:t>
      </w:r>
      <w:r w:rsidRPr="00AD4F6B" w:rsidR="00A7520F">
        <w:t xml:space="preserve">. </w:t>
      </w:r>
      <w:r w:rsidRPr="00AD4F6B" w:rsidR="00EB2736">
        <w:t xml:space="preserve">The PBAC </w:t>
      </w:r>
      <w:r w:rsidRPr="00AD4F6B" w:rsidR="007D5872">
        <w:t>noted</w:t>
      </w:r>
      <w:r w:rsidRPr="00AD4F6B" w:rsidR="00EB2736">
        <w:t xml:space="preserve"> that earlier treatment of </w:t>
      </w:r>
      <w:r w:rsidRPr="00AD4F6B" w:rsidR="00F765AC">
        <w:t>SMA prevents the irreversible loss of motor neurons</w:t>
      </w:r>
      <w:r w:rsidRPr="00AD4F6B" w:rsidR="009B7084">
        <w:t xml:space="preserve"> </w:t>
      </w:r>
      <w:r w:rsidRPr="00AD4F6B" w:rsidR="00E51834">
        <w:t xml:space="preserve">and </w:t>
      </w:r>
      <w:r w:rsidRPr="00AD4F6B" w:rsidR="00F820F2">
        <w:t xml:space="preserve">given the increased safety concerns </w:t>
      </w:r>
      <w:r w:rsidRPr="00AD4F6B" w:rsidR="007D5872">
        <w:t>for ONA in</w:t>
      </w:r>
      <w:r w:rsidRPr="00AD4F6B" w:rsidR="00F820F2">
        <w:t xml:space="preserve"> </w:t>
      </w:r>
      <w:r w:rsidRPr="00AD4F6B" w:rsidR="007D5872">
        <w:t xml:space="preserve">older patients, considered that early treatment </w:t>
      </w:r>
      <w:r w:rsidRPr="00AD4F6B" w:rsidR="00E51834">
        <w:t xml:space="preserve">remains </w:t>
      </w:r>
      <w:r w:rsidRPr="00AD4F6B" w:rsidR="00A420CD">
        <w:t>the prefe</w:t>
      </w:r>
      <w:r w:rsidRPr="00AD4F6B" w:rsidR="007460EB">
        <w:t>rred approach</w:t>
      </w:r>
      <w:r w:rsidRPr="00AD4F6B" w:rsidR="007D5872">
        <w:t>.</w:t>
      </w:r>
      <w:r w:rsidRPr="00AD4F6B" w:rsidR="007460EB">
        <w:t xml:space="preserve"> The PBAC considered that the extension of the listings for ONA would address potential equity issues for the small number of patients who have not received ONA at an earlier age.</w:t>
      </w:r>
    </w:p>
    <w:p w:rsidRPr="00AD4F6B" w:rsidR="009F5626" w:rsidP="009F5626" w:rsidRDefault="00970914" w14:paraId="29FF55F8" w14:textId="7C14011F">
      <w:pPr>
        <w:widowControl w:val="0"/>
        <w:numPr>
          <w:ilvl w:val="1"/>
          <w:numId w:val="1"/>
        </w:numPr>
        <w:spacing w:after="120"/>
        <w:rPr>
          <w:rFonts w:asciiTheme="minorHAnsi" w:hAnsiTheme="minorHAnsi"/>
          <w:snapToGrid w:val="0"/>
          <w:lang w:val="en-GB"/>
        </w:rPr>
      </w:pPr>
      <w:r w:rsidRPr="00AD4F6B">
        <w:rPr>
          <w:rFonts w:asciiTheme="minorHAnsi" w:hAnsiTheme="minorHAnsi"/>
          <w:snapToGrid w:val="0"/>
          <w:lang w:val="en-GB"/>
        </w:rPr>
        <w:t xml:space="preserve">The PBAC </w:t>
      </w:r>
      <w:r w:rsidRPr="00AD4F6B" w:rsidR="007E3301">
        <w:rPr>
          <w:rFonts w:asciiTheme="minorHAnsi" w:hAnsiTheme="minorHAnsi"/>
          <w:snapToGrid w:val="0"/>
          <w:lang w:val="en-GB"/>
        </w:rPr>
        <w:t xml:space="preserve">considered that NUSI and RIS were the relevant comparators for the </w:t>
      </w:r>
      <w:r w:rsidRPr="00AD4F6B" w:rsidR="00CB2007">
        <w:rPr>
          <w:rFonts w:asciiTheme="minorHAnsi" w:hAnsiTheme="minorHAnsi"/>
          <w:snapToGrid w:val="0"/>
          <w:lang w:val="en-GB"/>
        </w:rPr>
        <w:t xml:space="preserve">revised population as per paragraph </w:t>
      </w:r>
      <w:r w:rsidRPr="00AD4F6B" w:rsidR="00CB2007">
        <w:rPr>
          <w:rFonts w:asciiTheme="minorHAnsi" w:hAnsiTheme="minorHAnsi"/>
          <w:snapToGrid w:val="0"/>
          <w:lang w:val="en-GB"/>
        </w:rPr>
        <w:fldChar w:fldCharType="begin"/>
      </w:r>
      <w:r w:rsidRPr="00AD4F6B" w:rsidR="00CB2007">
        <w:rPr>
          <w:rFonts w:asciiTheme="minorHAnsi" w:hAnsiTheme="minorHAnsi"/>
          <w:snapToGrid w:val="0"/>
          <w:lang w:val="en-GB"/>
        </w:rPr>
        <w:instrText xml:space="preserve"> REF _Ref214270714 \r \h </w:instrText>
      </w:r>
      <w:r w:rsidRPr="00AD4F6B" w:rsidR="00CB2007">
        <w:rPr>
          <w:rFonts w:asciiTheme="minorHAnsi" w:hAnsiTheme="minorHAnsi"/>
          <w:snapToGrid w:val="0"/>
          <w:lang w:val="en-GB"/>
        </w:rPr>
      </w:r>
      <w:r w:rsidRPr="00AD4F6B" w:rsidR="00CB2007">
        <w:rPr>
          <w:rFonts w:asciiTheme="minorHAnsi" w:hAnsiTheme="minorHAnsi"/>
          <w:snapToGrid w:val="0"/>
          <w:lang w:val="en-GB"/>
        </w:rPr>
        <w:fldChar w:fldCharType="separate"/>
      </w:r>
      <w:r w:rsidR="00F0459B">
        <w:rPr>
          <w:rFonts w:asciiTheme="minorHAnsi" w:hAnsiTheme="minorHAnsi"/>
          <w:snapToGrid w:val="0"/>
          <w:lang w:val="en-GB"/>
        </w:rPr>
        <w:t>7.3</w:t>
      </w:r>
      <w:r w:rsidRPr="00AD4F6B" w:rsidR="00CB2007">
        <w:rPr>
          <w:rFonts w:asciiTheme="minorHAnsi" w:hAnsiTheme="minorHAnsi"/>
          <w:snapToGrid w:val="0"/>
          <w:lang w:val="en-GB"/>
        </w:rPr>
        <w:fldChar w:fldCharType="end"/>
      </w:r>
      <w:r w:rsidRPr="00AD4F6B" w:rsidR="00436530">
        <w:rPr>
          <w:rFonts w:asciiTheme="minorHAnsi" w:hAnsiTheme="minorHAnsi"/>
          <w:snapToGrid w:val="0"/>
          <w:lang w:val="en-GB"/>
        </w:rPr>
        <w:t xml:space="preserve"> as they are the treatments that would be replaced in practice. However, the PBAC </w:t>
      </w:r>
      <w:r w:rsidRPr="00AD4F6B" w:rsidR="00B92162">
        <w:rPr>
          <w:rFonts w:asciiTheme="minorHAnsi" w:hAnsiTheme="minorHAnsi"/>
          <w:snapToGrid w:val="0"/>
          <w:lang w:val="en-GB"/>
        </w:rPr>
        <w:t>noted</w:t>
      </w:r>
      <w:r w:rsidRPr="00AD4F6B" w:rsidR="00436530">
        <w:rPr>
          <w:rFonts w:asciiTheme="minorHAnsi" w:hAnsiTheme="minorHAnsi"/>
          <w:snapToGrid w:val="0"/>
          <w:lang w:val="en-GB"/>
        </w:rPr>
        <w:t xml:space="preserve"> that </w:t>
      </w:r>
      <w:r w:rsidRPr="00AD4F6B" w:rsidR="00AB0D1E">
        <w:rPr>
          <w:rFonts w:asciiTheme="minorHAnsi" w:hAnsiTheme="minorHAnsi"/>
          <w:snapToGrid w:val="0"/>
          <w:lang w:val="en-GB"/>
        </w:rPr>
        <w:t xml:space="preserve">there were limited data to </w:t>
      </w:r>
      <w:r w:rsidRPr="00AD4F6B" w:rsidR="000C52AC">
        <w:rPr>
          <w:rFonts w:asciiTheme="minorHAnsi" w:hAnsiTheme="minorHAnsi"/>
          <w:snapToGrid w:val="0"/>
          <w:lang w:val="en-GB"/>
        </w:rPr>
        <w:t xml:space="preserve">inform a </w:t>
      </w:r>
      <w:r w:rsidRPr="00AD4F6B" w:rsidR="00AB0D1E">
        <w:rPr>
          <w:rFonts w:asciiTheme="minorHAnsi" w:hAnsiTheme="minorHAnsi"/>
          <w:snapToGrid w:val="0"/>
          <w:lang w:val="en-GB"/>
        </w:rPr>
        <w:t>comp</w:t>
      </w:r>
      <w:r w:rsidRPr="00AD4F6B" w:rsidR="000C52AC">
        <w:rPr>
          <w:rFonts w:asciiTheme="minorHAnsi" w:hAnsiTheme="minorHAnsi"/>
          <w:snapToGrid w:val="0"/>
          <w:lang w:val="en-GB"/>
        </w:rPr>
        <w:t>arison of</w:t>
      </w:r>
      <w:r w:rsidRPr="00AD4F6B" w:rsidR="00AB0D1E">
        <w:rPr>
          <w:rFonts w:asciiTheme="minorHAnsi" w:hAnsiTheme="minorHAnsi"/>
          <w:snapToGrid w:val="0"/>
          <w:lang w:val="en-GB"/>
        </w:rPr>
        <w:t xml:space="preserve"> RIS</w:t>
      </w:r>
      <w:r w:rsidRPr="00AD4F6B" w:rsidR="000C52AC">
        <w:rPr>
          <w:rFonts w:asciiTheme="minorHAnsi" w:hAnsiTheme="minorHAnsi"/>
          <w:snapToGrid w:val="0"/>
          <w:lang w:val="en-GB"/>
        </w:rPr>
        <w:t>/</w:t>
      </w:r>
      <w:r w:rsidRPr="00AD4F6B" w:rsidR="00AB0D1E">
        <w:rPr>
          <w:rFonts w:asciiTheme="minorHAnsi" w:hAnsiTheme="minorHAnsi"/>
          <w:snapToGrid w:val="0"/>
          <w:lang w:val="en-GB"/>
        </w:rPr>
        <w:t>NUSI to ONA in the specific population requested a</w:t>
      </w:r>
      <w:r w:rsidRPr="00AD4F6B" w:rsidR="00B92162">
        <w:rPr>
          <w:rFonts w:asciiTheme="minorHAnsi" w:hAnsiTheme="minorHAnsi"/>
          <w:snapToGrid w:val="0"/>
          <w:lang w:val="en-GB"/>
        </w:rPr>
        <w:t xml:space="preserve">nd </w:t>
      </w:r>
      <w:r w:rsidRPr="00AD4F6B" w:rsidR="001B584F">
        <w:rPr>
          <w:rFonts w:asciiTheme="minorHAnsi" w:hAnsiTheme="minorHAnsi"/>
          <w:snapToGrid w:val="0"/>
          <w:lang w:val="en-GB"/>
        </w:rPr>
        <w:t xml:space="preserve">the PBAC </w:t>
      </w:r>
      <w:r w:rsidRPr="00AD4F6B" w:rsidR="00B92162">
        <w:rPr>
          <w:rFonts w:asciiTheme="minorHAnsi" w:hAnsiTheme="minorHAnsi"/>
          <w:snapToGrid w:val="0"/>
          <w:lang w:val="en-GB"/>
        </w:rPr>
        <w:t>considered that the submission’s approach to compare the safety and efficacy of ONA in older</w:t>
      </w:r>
      <w:r w:rsidRPr="00AD4F6B" w:rsidR="003940EE">
        <w:rPr>
          <w:rFonts w:asciiTheme="minorHAnsi" w:hAnsiTheme="minorHAnsi"/>
          <w:snapToGrid w:val="0"/>
          <w:lang w:val="en-GB"/>
        </w:rPr>
        <w:t xml:space="preserve">/heavier </w:t>
      </w:r>
      <w:r w:rsidRPr="00AD4F6B" w:rsidR="00B92162">
        <w:rPr>
          <w:rFonts w:asciiTheme="minorHAnsi" w:hAnsiTheme="minorHAnsi"/>
          <w:snapToGrid w:val="0"/>
          <w:lang w:val="en-GB"/>
        </w:rPr>
        <w:t>populations</w:t>
      </w:r>
      <w:r w:rsidRPr="00AD4F6B" w:rsidR="00436530">
        <w:rPr>
          <w:rFonts w:asciiTheme="minorHAnsi" w:hAnsiTheme="minorHAnsi"/>
          <w:snapToGrid w:val="0"/>
          <w:lang w:val="en-GB"/>
        </w:rPr>
        <w:t xml:space="preserve"> </w:t>
      </w:r>
      <w:r w:rsidRPr="00AD4F6B" w:rsidR="0043259C">
        <w:rPr>
          <w:rFonts w:asciiTheme="minorHAnsi" w:hAnsiTheme="minorHAnsi"/>
          <w:snapToGrid w:val="0"/>
          <w:lang w:val="en-GB"/>
        </w:rPr>
        <w:t xml:space="preserve">with </w:t>
      </w:r>
      <w:r w:rsidRPr="00AD4F6B" w:rsidR="003940EE">
        <w:rPr>
          <w:rFonts w:asciiTheme="minorHAnsi" w:hAnsiTheme="minorHAnsi"/>
          <w:snapToGrid w:val="0"/>
          <w:lang w:val="en-GB"/>
        </w:rPr>
        <w:t xml:space="preserve">ONA in younger/lighter patients was </w:t>
      </w:r>
      <w:r w:rsidRPr="00AD4F6B" w:rsidR="001B584F">
        <w:rPr>
          <w:rFonts w:asciiTheme="minorHAnsi" w:hAnsiTheme="minorHAnsi"/>
          <w:snapToGrid w:val="0"/>
          <w:lang w:val="en-GB"/>
        </w:rPr>
        <w:t>acceptable</w:t>
      </w:r>
      <w:r w:rsidRPr="00AD4F6B" w:rsidR="00C37D88">
        <w:rPr>
          <w:rFonts w:asciiTheme="minorHAnsi" w:hAnsiTheme="minorHAnsi"/>
          <w:snapToGrid w:val="0"/>
          <w:lang w:val="en-GB"/>
        </w:rPr>
        <w:t xml:space="preserve"> in the context of a rare disease</w:t>
      </w:r>
      <w:r w:rsidRPr="00AD4F6B" w:rsidR="003940EE">
        <w:rPr>
          <w:rFonts w:asciiTheme="minorHAnsi" w:hAnsiTheme="minorHAnsi"/>
          <w:snapToGrid w:val="0"/>
          <w:lang w:val="en-GB"/>
        </w:rPr>
        <w:t xml:space="preserve">. </w:t>
      </w:r>
    </w:p>
    <w:p w:rsidRPr="00AD4F6B" w:rsidR="00AC45D4" w:rsidP="0072099D" w:rsidRDefault="00232387" w14:paraId="58E2822D" w14:textId="3321FEAB">
      <w:pPr>
        <w:widowControl w:val="0"/>
        <w:numPr>
          <w:ilvl w:val="1"/>
          <w:numId w:val="1"/>
        </w:numPr>
        <w:shd w:val="clear" w:color="auto" w:fill="FFFFFF" w:themeFill="background1"/>
        <w:spacing w:after="120"/>
        <w:rPr>
          <w:rFonts w:asciiTheme="minorHAnsi" w:hAnsiTheme="minorHAnsi"/>
          <w:snapToGrid w:val="0"/>
          <w:szCs w:val="20"/>
        </w:rPr>
      </w:pPr>
      <w:r w:rsidRPr="00AD4F6B">
        <w:rPr>
          <w:rFonts w:asciiTheme="minorHAnsi" w:hAnsiTheme="minorHAnsi"/>
          <w:snapToGrid w:val="0"/>
        </w:rPr>
        <w:t xml:space="preserve">The submission presented </w:t>
      </w:r>
      <w:r w:rsidRPr="00AD4F6B" w:rsidR="00730604">
        <w:rPr>
          <w:rFonts w:asciiTheme="minorHAnsi" w:hAnsiTheme="minorHAnsi"/>
          <w:snapToGrid w:val="0"/>
        </w:rPr>
        <w:t xml:space="preserve">the results of the SMART trial to </w:t>
      </w:r>
      <w:r w:rsidRPr="00AD4F6B">
        <w:rPr>
          <w:rFonts w:asciiTheme="minorHAnsi" w:hAnsiTheme="minorHAnsi"/>
          <w:snapToGrid w:val="0"/>
        </w:rPr>
        <w:t xml:space="preserve">support the clinical claim that </w:t>
      </w:r>
      <w:r w:rsidRPr="00AD4F6B">
        <w:t xml:space="preserve">ONA </w:t>
      </w:r>
      <w:r w:rsidRPr="00AD4F6B" w:rsidR="00D64ECD">
        <w:t>in</w:t>
      </w:r>
      <w:r w:rsidRPr="00AD4F6B">
        <w:t xml:space="preserve"> paediatric patients weighing up to 21</w:t>
      </w:r>
      <w:r w:rsidRPr="00AD4F6B" w:rsidR="005B7980">
        <w:t xml:space="preserve"> </w:t>
      </w:r>
      <w:r w:rsidRPr="00AD4F6B">
        <w:t xml:space="preserve">kg </w:t>
      </w:r>
      <w:r w:rsidRPr="00AD4F6B" w:rsidR="00D64ECD">
        <w:t>is</w:t>
      </w:r>
      <w:r w:rsidRPr="00AD4F6B">
        <w:t xml:space="preserve"> non-inferior in terms of effectiveness compared with ONA </w:t>
      </w:r>
      <w:r w:rsidRPr="00AD4F6B" w:rsidR="00D64ECD">
        <w:t>in</w:t>
      </w:r>
      <w:r w:rsidRPr="00AD4F6B">
        <w:t xml:space="preserve"> paediatric patients less than 9 months of age</w:t>
      </w:r>
      <w:r w:rsidRPr="00AD4F6B" w:rsidR="00D64ECD">
        <w:t xml:space="preserve">. </w:t>
      </w:r>
      <w:r w:rsidRPr="00AD4F6B" w:rsidR="00D64ECD">
        <w:rPr>
          <w:rFonts w:asciiTheme="minorHAnsi" w:hAnsiTheme="minorHAnsi"/>
          <w:snapToGrid w:val="0"/>
        </w:rPr>
        <w:t>T</w:t>
      </w:r>
      <w:r w:rsidRPr="00AD4F6B" w:rsidR="002A2F33">
        <w:rPr>
          <w:rFonts w:asciiTheme="minorHAnsi" w:hAnsiTheme="minorHAnsi"/>
          <w:snapToGrid w:val="0"/>
        </w:rPr>
        <w:t>he SMART study</w:t>
      </w:r>
      <w:r w:rsidRPr="00AD4F6B" w:rsidR="00D64ECD">
        <w:rPr>
          <w:rFonts w:asciiTheme="minorHAnsi" w:hAnsiTheme="minorHAnsi"/>
          <w:snapToGrid w:val="0"/>
        </w:rPr>
        <w:t xml:space="preserve"> was</w:t>
      </w:r>
      <w:r w:rsidRPr="00AD4F6B" w:rsidR="004E36E0">
        <w:rPr>
          <w:rFonts w:asciiTheme="minorHAnsi" w:hAnsiTheme="minorHAnsi"/>
          <w:snapToGrid w:val="0"/>
        </w:rPr>
        <w:t xml:space="preserve"> </w:t>
      </w:r>
      <w:r w:rsidRPr="00AD4F6B" w:rsidR="002A2F33">
        <w:rPr>
          <w:rFonts w:asciiTheme="minorHAnsi" w:hAnsiTheme="minorHAnsi"/>
          <w:snapToGrid w:val="0"/>
        </w:rPr>
        <w:t xml:space="preserve">a phase 3, </w:t>
      </w:r>
      <w:r w:rsidRPr="00AD4F6B" w:rsidR="0040680C">
        <w:rPr>
          <w:rFonts w:asciiTheme="minorHAnsi" w:hAnsiTheme="minorHAnsi"/>
          <w:snapToGrid w:val="0"/>
        </w:rPr>
        <w:t xml:space="preserve">single arm, </w:t>
      </w:r>
      <w:r w:rsidRPr="00AD4F6B" w:rsidR="002A2F33">
        <w:rPr>
          <w:rFonts w:asciiTheme="minorHAnsi" w:hAnsiTheme="minorHAnsi"/>
          <w:snapToGrid w:val="0"/>
        </w:rPr>
        <w:t>open-label study evaluating the efficacy and safety of ONA in patients with symptomatic SMA who weighed between 8.5</w:t>
      </w:r>
      <w:r w:rsidRPr="00AD4F6B" w:rsidR="005B7980">
        <w:rPr>
          <w:rFonts w:asciiTheme="minorHAnsi" w:hAnsiTheme="minorHAnsi"/>
          <w:snapToGrid w:val="0"/>
        </w:rPr>
        <w:t xml:space="preserve"> </w:t>
      </w:r>
      <w:r w:rsidRPr="00AD4F6B" w:rsidR="00AF1E41">
        <w:rPr>
          <w:rFonts w:asciiTheme="minorHAnsi" w:hAnsiTheme="minorHAnsi"/>
          <w:snapToGrid w:val="0"/>
        </w:rPr>
        <w:t>kg</w:t>
      </w:r>
      <w:r w:rsidRPr="00AD4F6B" w:rsidR="002A2F33">
        <w:rPr>
          <w:rFonts w:asciiTheme="minorHAnsi" w:hAnsiTheme="minorHAnsi"/>
          <w:snapToGrid w:val="0"/>
        </w:rPr>
        <w:t xml:space="preserve"> to 21</w:t>
      </w:r>
      <w:r w:rsidRPr="00AD4F6B" w:rsidR="005B7980">
        <w:rPr>
          <w:rFonts w:asciiTheme="minorHAnsi" w:hAnsiTheme="minorHAnsi"/>
          <w:snapToGrid w:val="0"/>
        </w:rPr>
        <w:t xml:space="preserve"> </w:t>
      </w:r>
      <w:r w:rsidRPr="00AD4F6B" w:rsidR="002A2F33">
        <w:rPr>
          <w:rFonts w:asciiTheme="minorHAnsi" w:hAnsiTheme="minorHAnsi"/>
          <w:snapToGrid w:val="0"/>
        </w:rPr>
        <w:t xml:space="preserve">kg. </w:t>
      </w:r>
      <w:r w:rsidRPr="00AD4F6B" w:rsidR="0036004A">
        <w:rPr>
          <w:rFonts w:asciiTheme="minorHAnsi" w:hAnsiTheme="minorHAnsi"/>
          <w:snapToGrid w:val="0"/>
        </w:rPr>
        <w:t xml:space="preserve">The PBAC noted that no evidence was presented for patients </w:t>
      </w:r>
      <w:r w:rsidRPr="00AD4F6B" w:rsidR="00D37CFC">
        <w:rPr>
          <w:rFonts w:asciiTheme="minorHAnsi" w:hAnsiTheme="minorHAnsi"/>
          <w:snapToGrid w:val="0"/>
        </w:rPr>
        <w:t xml:space="preserve">&gt;9 months of age </w:t>
      </w:r>
      <w:r w:rsidRPr="00AD4F6B" w:rsidR="0036004A">
        <w:rPr>
          <w:rFonts w:asciiTheme="minorHAnsi" w:hAnsiTheme="minorHAnsi"/>
          <w:snapToGrid w:val="0"/>
        </w:rPr>
        <w:t xml:space="preserve">with pre-symptomatic SMA. </w:t>
      </w:r>
      <w:r w:rsidRPr="00AD4F6B" w:rsidR="00E70F94">
        <w:rPr>
          <w:rFonts w:asciiTheme="minorHAnsi" w:hAnsiTheme="minorHAnsi"/>
          <w:snapToGrid w:val="0"/>
        </w:rPr>
        <w:t xml:space="preserve">The </w:t>
      </w:r>
      <w:r w:rsidRPr="00AD4F6B" w:rsidR="004E36E0">
        <w:rPr>
          <w:rFonts w:asciiTheme="minorHAnsi" w:hAnsiTheme="minorHAnsi"/>
          <w:snapToGrid w:val="0"/>
        </w:rPr>
        <w:t>submission presented side-by-side comparisons of</w:t>
      </w:r>
      <w:r w:rsidRPr="00AD4F6B" w:rsidR="006E1D5B">
        <w:rPr>
          <w:rFonts w:asciiTheme="minorHAnsi" w:hAnsiTheme="minorHAnsi"/>
          <w:snapToGrid w:val="0"/>
        </w:rPr>
        <w:t xml:space="preserve"> EFS and OS</w:t>
      </w:r>
      <w:r w:rsidRPr="00AD4F6B" w:rsidR="00840C39">
        <w:rPr>
          <w:rFonts w:asciiTheme="minorHAnsi" w:hAnsiTheme="minorHAnsi"/>
          <w:snapToGrid w:val="0"/>
        </w:rPr>
        <w:t xml:space="preserve"> for patients in the SMART study with those enrolled in </w:t>
      </w:r>
      <w:r w:rsidRPr="00AD4F6B" w:rsidR="00DC2BD5">
        <w:rPr>
          <w:rFonts w:asciiTheme="minorHAnsi" w:hAnsiTheme="minorHAnsi"/>
          <w:snapToGrid w:val="0"/>
        </w:rPr>
        <w:t xml:space="preserve">ONA </w:t>
      </w:r>
      <w:r w:rsidRPr="00AD4F6B" w:rsidR="00840C39">
        <w:rPr>
          <w:rFonts w:asciiTheme="minorHAnsi" w:hAnsiTheme="minorHAnsi"/>
          <w:snapToGrid w:val="0"/>
        </w:rPr>
        <w:t>studies previously considered by the PBAC (SPR1NT, START, STR1VE-US, STR1VE-EU, and LT-002).</w:t>
      </w:r>
      <w:r w:rsidRPr="00AD4F6B" w:rsidR="006B4038">
        <w:rPr>
          <w:rFonts w:asciiTheme="minorHAnsi" w:hAnsiTheme="minorHAnsi"/>
          <w:snapToGrid w:val="0"/>
        </w:rPr>
        <w:t xml:space="preserve"> The PBAC noted that these comparisons were </w:t>
      </w:r>
      <w:r w:rsidRPr="00AD4F6B" w:rsidR="00DA56E0">
        <w:rPr>
          <w:rFonts w:asciiTheme="minorHAnsi" w:hAnsiTheme="minorHAnsi"/>
          <w:snapToGrid w:val="0"/>
        </w:rPr>
        <w:t xml:space="preserve">not </w:t>
      </w:r>
      <w:r w:rsidRPr="00AD4F6B" w:rsidR="00B52DC6">
        <w:rPr>
          <w:rFonts w:asciiTheme="minorHAnsi" w:hAnsiTheme="minorHAnsi"/>
          <w:snapToGrid w:val="0"/>
        </w:rPr>
        <w:t xml:space="preserve">meaningful as the patient populations were </w:t>
      </w:r>
      <w:r w:rsidRPr="00AD4F6B" w:rsidR="00292ED5">
        <w:rPr>
          <w:rFonts w:asciiTheme="minorHAnsi" w:hAnsiTheme="minorHAnsi"/>
          <w:snapToGrid w:val="0"/>
        </w:rPr>
        <w:t>not comparable</w:t>
      </w:r>
      <w:r w:rsidRPr="00AD4F6B" w:rsidR="00AE51C3">
        <w:rPr>
          <w:rFonts w:asciiTheme="minorHAnsi" w:hAnsiTheme="minorHAnsi"/>
          <w:snapToGrid w:val="0"/>
        </w:rPr>
        <w:t xml:space="preserve"> in terms of age, </w:t>
      </w:r>
      <w:r w:rsidRPr="00AD4F6B" w:rsidR="00B57D17">
        <w:rPr>
          <w:rFonts w:asciiTheme="minorHAnsi" w:hAnsiTheme="minorHAnsi"/>
          <w:snapToGrid w:val="0"/>
        </w:rPr>
        <w:t xml:space="preserve">previous treatments, </w:t>
      </w:r>
      <w:proofErr w:type="gramStart"/>
      <w:r w:rsidRPr="00AD4F6B" w:rsidR="00B57D17">
        <w:rPr>
          <w:rFonts w:asciiTheme="minorHAnsi" w:hAnsiTheme="minorHAnsi"/>
          <w:snapToGrid w:val="0"/>
        </w:rPr>
        <w:t>whether or not</w:t>
      </w:r>
      <w:proofErr w:type="gramEnd"/>
      <w:r w:rsidRPr="00AD4F6B" w:rsidR="00B57D17">
        <w:rPr>
          <w:rFonts w:asciiTheme="minorHAnsi" w:hAnsiTheme="minorHAnsi"/>
          <w:snapToGrid w:val="0"/>
        </w:rPr>
        <w:t xml:space="preserve"> patients were symptomatic</w:t>
      </w:r>
      <w:r w:rsidRPr="00AD4F6B">
        <w:rPr>
          <w:rFonts w:asciiTheme="minorHAnsi" w:hAnsiTheme="minorHAnsi"/>
          <w:snapToGrid w:val="0"/>
        </w:rPr>
        <w:t>,</w:t>
      </w:r>
      <w:r w:rsidRPr="00AD4F6B" w:rsidR="00B57D17">
        <w:rPr>
          <w:rFonts w:asciiTheme="minorHAnsi" w:hAnsiTheme="minorHAnsi"/>
          <w:snapToGrid w:val="0"/>
        </w:rPr>
        <w:t xml:space="preserve"> and SMA</w:t>
      </w:r>
      <w:r w:rsidRPr="00AD4F6B" w:rsidR="00C813B2">
        <w:rPr>
          <w:rFonts w:asciiTheme="minorHAnsi" w:hAnsiTheme="minorHAnsi"/>
          <w:snapToGrid w:val="0"/>
        </w:rPr>
        <w:t xml:space="preserve"> Type</w:t>
      </w:r>
      <w:r w:rsidRPr="00AD4F6B">
        <w:rPr>
          <w:rFonts w:asciiTheme="minorHAnsi" w:hAnsiTheme="minorHAnsi"/>
          <w:snapToGrid w:val="0"/>
        </w:rPr>
        <w:t xml:space="preserve"> for symptomatic patients</w:t>
      </w:r>
      <w:r w:rsidRPr="00AD4F6B" w:rsidR="005E0C74">
        <w:rPr>
          <w:rFonts w:asciiTheme="minorHAnsi" w:hAnsiTheme="minorHAnsi"/>
          <w:snapToGrid w:val="0"/>
        </w:rPr>
        <w:t xml:space="preserve">. </w:t>
      </w:r>
    </w:p>
    <w:p w:rsidRPr="00AD4F6B" w:rsidR="00E70F94" w:rsidP="00BF01E7" w:rsidRDefault="00C813B2" w14:paraId="7451037A" w14:textId="5A3B9972">
      <w:pPr>
        <w:widowControl w:val="0"/>
        <w:numPr>
          <w:ilvl w:val="1"/>
          <w:numId w:val="1"/>
        </w:numPr>
        <w:shd w:val="clear" w:color="auto" w:fill="FFFFFF" w:themeFill="background1"/>
        <w:spacing w:after="120"/>
        <w:rPr>
          <w:rFonts w:asciiTheme="minorHAnsi" w:hAnsiTheme="minorHAnsi"/>
          <w:snapToGrid w:val="0"/>
          <w:szCs w:val="20"/>
        </w:rPr>
      </w:pPr>
      <w:r w:rsidRPr="00AD4F6B">
        <w:rPr>
          <w:rFonts w:asciiTheme="minorHAnsi" w:hAnsiTheme="minorHAnsi"/>
          <w:snapToGrid w:val="0"/>
        </w:rPr>
        <w:t xml:space="preserve">The submission also presented </w:t>
      </w:r>
      <w:r w:rsidRPr="00AD4F6B" w:rsidR="00232387">
        <w:rPr>
          <w:rFonts w:asciiTheme="minorHAnsi" w:hAnsiTheme="minorHAnsi"/>
          <w:snapToGrid w:val="0"/>
        </w:rPr>
        <w:t>a</w:t>
      </w:r>
      <w:r w:rsidRPr="00AD4F6B">
        <w:rPr>
          <w:rFonts w:asciiTheme="minorHAnsi" w:hAnsiTheme="minorHAnsi"/>
          <w:snapToGrid w:val="0"/>
        </w:rPr>
        <w:t xml:space="preserve"> comparison of </w:t>
      </w:r>
      <w:r w:rsidRPr="00AD4F6B" w:rsidR="00F8770E">
        <w:rPr>
          <w:rFonts w:asciiTheme="minorHAnsi" w:hAnsiTheme="minorHAnsi"/>
          <w:snapToGrid w:val="0"/>
        </w:rPr>
        <w:t xml:space="preserve">results for </w:t>
      </w:r>
      <w:r w:rsidRPr="00AD4F6B">
        <w:rPr>
          <w:rFonts w:asciiTheme="minorHAnsi" w:hAnsiTheme="minorHAnsi"/>
          <w:snapToGrid w:val="0"/>
        </w:rPr>
        <w:t>patients within the various weight categories of SMART</w:t>
      </w:r>
      <w:r w:rsidRPr="00AD4F6B" w:rsidR="00EC296A">
        <w:rPr>
          <w:rFonts w:asciiTheme="minorHAnsi" w:hAnsiTheme="minorHAnsi"/>
          <w:snapToGrid w:val="0"/>
        </w:rPr>
        <w:t>, i.e.</w:t>
      </w:r>
      <w:r w:rsidRPr="00AD4F6B">
        <w:rPr>
          <w:rFonts w:asciiTheme="minorHAnsi" w:hAnsiTheme="minorHAnsi"/>
          <w:snapToGrid w:val="0"/>
        </w:rPr>
        <w:t>8.5-13 kg (subgroup 1); &gt;13-17 kg (subgroup 2); and &gt;17-21 kg (subgroup 3), based on the outcome of change from baseline in Hammersmith Functional Motor Scale—Expanded (HFMSE) total score and Revised Upper Limb Module (RULM) total score, and the achievement of developmental milestones</w:t>
      </w:r>
      <w:r w:rsidRPr="00AD4F6B" w:rsidR="00411E92">
        <w:rPr>
          <w:rFonts w:asciiTheme="minorHAnsi" w:hAnsiTheme="minorHAnsi"/>
          <w:snapToGrid w:val="0"/>
        </w:rPr>
        <w:t xml:space="preserve">. </w:t>
      </w:r>
      <w:r w:rsidRPr="00AD4F6B" w:rsidR="005B7980">
        <w:rPr>
          <w:rFonts w:asciiTheme="minorHAnsi" w:hAnsiTheme="minorHAnsi"/>
          <w:snapToGrid w:val="0"/>
        </w:rPr>
        <w:t xml:space="preserve">The PBAC noted that all patients met the MCID </w:t>
      </w:r>
      <w:r w:rsidRPr="00AD4F6B" w:rsidR="003E4D40">
        <w:rPr>
          <w:rFonts w:asciiTheme="minorHAnsi" w:hAnsiTheme="minorHAnsi"/>
          <w:snapToGrid w:val="0"/>
        </w:rPr>
        <w:t>for HFMSE of a ≥3-point improvement</w:t>
      </w:r>
      <w:r w:rsidRPr="00AD4F6B" w:rsidR="00A7689D">
        <w:rPr>
          <w:rFonts w:asciiTheme="minorHAnsi" w:hAnsiTheme="minorHAnsi"/>
          <w:snapToGrid w:val="0"/>
        </w:rPr>
        <w:t xml:space="preserve">, while only subgroup 1 met the MCID for RULM of ≥2-point improvement. </w:t>
      </w:r>
      <w:r w:rsidRPr="00AD4F6B" w:rsidR="0001798B">
        <w:rPr>
          <w:rFonts w:asciiTheme="minorHAnsi" w:hAnsiTheme="minorHAnsi"/>
          <w:snapToGrid w:val="0"/>
          <w:szCs w:val="20"/>
        </w:rPr>
        <w:t xml:space="preserve">The PBAC considered that although the evidence available was limited, the efficacy and safety of ONA in patients older than 9 months appears similar to that in patients younger than 9 months </w:t>
      </w:r>
      <w:r w:rsidRPr="00AD4F6B" w:rsidR="00A40610">
        <w:rPr>
          <w:rFonts w:asciiTheme="minorHAnsi" w:hAnsiTheme="minorHAnsi"/>
          <w:snapToGrid w:val="0"/>
          <w:szCs w:val="20"/>
        </w:rPr>
        <w:t>based on supportive data</w:t>
      </w:r>
      <w:r w:rsidRPr="00AD4F6B" w:rsidR="00A40610">
        <w:rPr>
          <w:rFonts w:asciiTheme="minorHAnsi" w:hAnsiTheme="minorHAnsi"/>
          <w:iCs/>
          <w:snapToGrid w:val="0"/>
        </w:rPr>
        <w:t xml:space="preserve"> </w:t>
      </w:r>
      <w:r w:rsidRPr="00AD4F6B" w:rsidR="00547562">
        <w:rPr>
          <w:rFonts w:asciiTheme="minorHAnsi" w:hAnsiTheme="minorHAnsi"/>
          <w:iCs/>
          <w:snapToGrid w:val="0"/>
        </w:rPr>
        <w:t xml:space="preserve">from the SMART trial. </w:t>
      </w:r>
      <w:r w:rsidRPr="00AD4F6B" w:rsidR="00902935">
        <w:rPr>
          <w:rFonts w:asciiTheme="minorHAnsi" w:hAnsiTheme="minorHAnsi"/>
          <w:iCs/>
          <w:snapToGrid w:val="0"/>
        </w:rPr>
        <w:t>The</w:t>
      </w:r>
      <w:r w:rsidRPr="00AD4F6B" w:rsidR="00902935">
        <w:rPr>
          <w:rFonts w:asciiTheme="minorHAnsi" w:hAnsiTheme="minorHAnsi"/>
          <w:snapToGrid w:val="0"/>
          <w:szCs w:val="20"/>
        </w:rPr>
        <w:t xml:space="preserve"> PBAC considered </w:t>
      </w:r>
      <w:r w:rsidRPr="00AD4F6B" w:rsidR="004E6A7D">
        <w:rPr>
          <w:rFonts w:asciiTheme="minorHAnsi" w:hAnsiTheme="minorHAnsi"/>
          <w:snapToGrid w:val="0"/>
          <w:szCs w:val="20"/>
        </w:rPr>
        <w:t xml:space="preserve">the claim of </w:t>
      </w:r>
      <w:r w:rsidRPr="00AD4F6B" w:rsidR="00094399">
        <w:rPr>
          <w:rFonts w:asciiTheme="minorHAnsi" w:hAnsiTheme="minorHAnsi"/>
          <w:snapToGrid w:val="0"/>
          <w:szCs w:val="20"/>
        </w:rPr>
        <w:t xml:space="preserve">non-inferior comparative effectiveness for ONA compared with NUSI/RIS was </w:t>
      </w:r>
      <w:r w:rsidRPr="00AD4F6B" w:rsidR="00A5189C">
        <w:rPr>
          <w:rFonts w:asciiTheme="minorHAnsi" w:hAnsiTheme="minorHAnsi"/>
          <w:snapToGrid w:val="0"/>
          <w:szCs w:val="20"/>
        </w:rPr>
        <w:t xml:space="preserve">not well supported, particularly for </w:t>
      </w:r>
      <w:r w:rsidRPr="00AD4F6B" w:rsidR="00057B21">
        <w:rPr>
          <w:rFonts w:asciiTheme="minorHAnsi" w:hAnsiTheme="minorHAnsi"/>
          <w:snapToGrid w:val="0"/>
          <w:szCs w:val="20"/>
        </w:rPr>
        <w:t xml:space="preserve">non-symptomatic </w:t>
      </w:r>
      <w:r w:rsidRPr="00AD4F6B" w:rsidR="00A5189C">
        <w:rPr>
          <w:rFonts w:asciiTheme="minorHAnsi" w:hAnsiTheme="minorHAnsi"/>
          <w:snapToGrid w:val="0"/>
          <w:szCs w:val="20"/>
        </w:rPr>
        <w:t xml:space="preserve">patients </w:t>
      </w:r>
      <w:r w:rsidRPr="00AD4F6B" w:rsidR="00057B21">
        <w:rPr>
          <w:rFonts w:asciiTheme="minorHAnsi" w:hAnsiTheme="minorHAnsi"/>
          <w:snapToGrid w:val="0"/>
          <w:szCs w:val="20"/>
        </w:rPr>
        <w:t>&gt;36 months (but &lt; 21 kg)</w:t>
      </w:r>
      <w:r w:rsidRPr="00AD4F6B" w:rsidR="00A40610">
        <w:rPr>
          <w:rFonts w:asciiTheme="minorHAnsi" w:hAnsiTheme="minorHAnsi"/>
          <w:snapToGrid w:val="0"/>
          <w:szCs w:val="20"/>
        </w:rPr>
        <w:t>.</w:t>
      </w:r>
      <w:r w:rsidRPr="00AD4F6B" w:rsidR="00547562">
        <w:rPr>
          <w:rFonts w:asciiTheme="minorHAnsi" w:hAnsiTheme="minorHAnsi"/>
          <w:snapToGrid w:val="0"/>
          <w:szCs w:val="20"/>
        </w:rPr>
        <w:t xml:space="preserve"> </w:t>
      </w:r>
      <w:r w:rsidRPr="00AD4F6B" w:rsidR="003B0102">
        <w:rPr>
          <w:rFonts w:asciiTheme="minorHAnsi" w:hAnsiTheme="minorHAnsi"/>
          <w:snapToGrid w:val="0"/>
          <w:szCs w:val="20"/>
        </w:rPr>
        <w:t>However, t</w:t>
      </w:r>
      <w:r w:rsidRPr="00AD4F6B" w:rsidR="00A40610">
        <w:rPr>
          <w:rFonts w:asciiTheme="minorHAnsi" w:hAnsiTheme="minorHAnsi"/>
          <w:snapToGrid w:val="0"/>
          <w:szCs w:val="20"/>
        </w:rPr>
        <w:t>he PBAC noted that this was consistent with other considerations for SMA as a rare disease</w:t>
      </w:r>
      <w:r w:rsidRPr="00AD4F6B" w:rsidR="00BF01E7">
        <w:rPr>
          <w:rFonts w:asciiTheme="minorHAnsi" w:hAnsiTheme="minorHAnsi"/>
          <w:snapToGrid w:val="0"/>
          <w:szCs w:val="20"/>
        </w:rPr>
        <w:t xml:space="preserve"> with limited data to i</w:t>
      </w:r>
      <w:r w:rsidRPr="00AD4F6B" w:rsidR="008F587B">
        <w:rPr>
          <w:rFonts w:asciiTheme="minorHAnsi" w:hAnsiTheme="minorHAnsi"/>
          <w:snapToGrid w:val="0"/>
          <w:szCs w:val="20"/>
        </w:rPr>
        <w:t>nform clinical claims.</w:t>
      </w:r>
    </w:p>
    <w:p w:rsidRPr="00AD4F6B" w:rsidR="00AF2091" w:rsidP="00AF2091" w:rsidRDefault="00D76F17" w14:paraId="697EB340" w14:textId="55785423">
      <w:pPr>
        <w:widowControl w:val="0"/>
        <w:numPr>
          <w:ilvl w:val="1"/>
          <w:numId w:val="1"/>
        </w:numPr>
        <w:shd w:val="clear" w:color="auto" w:fill="FFFFFF" w:themeFill="background1"/>
        <w:spacing w:after="120"/>
        <w:rPr>
          <w:rFonts w:asciiTheme="minorHAnsi" w:hAnsiTheme="minorHAnsi"/>
          <w:snapToGrid w:val="0"/>
          <w:szCs w:val="20"/>
        </w:rPr>
      </w:pPr>
      <w:r w:rsidRPr="00AD4F6B">
        <w:rPr>
          <w:rFonts w:asciiTheme="minorHAnsi" w:hAnsiTheme="minorHAnsi"/>
          <w:snapToGrid w:val="0"/>
          <w:lang w:val="en-GB"/>
        </w:rPr>
        <w:t>The PBAC noted that there w</w:t>
      </w:r>
      <w:r w:rsidRPr="00AD4F6B" w:rsidR="003B363D">
        <w:rPr>
          <w:rFonts w:asciiTheme="minorHAnsi" w:hAnsiTheme="minorHAnsi"/>
          <w:snapToGrid w:val="0"/>
          <w:lang w:val="en-GB"/>
        </w:rPr>
        <w:t>ere</w:t>
      </w:r>
      <w:r w:rsidRPr="00AD4F6B">
        <w:rPr>
          <w:rFonts w:asciiTheme="minorHAnsi" w:hAnsiTheme="minorHAnsi"/>
          <w:snapToGrid w:val="0"/>
          <w:lang w:val="en-GB"/>
        </w:rPr>
        <w:t xml:space="preserve"> limited additional data to inform the claim of non-inferior safety. The PBAC recalled </w:t>
      </w:r>
      <w:r w:rsidRPr="00AD4F6B" w:rsidR="004A446C">
        <w:rPr>
          <w:rFonts w:asciiTheme="minorHAnsi" w:hAnsiTheme="minorHAnsi"/>
          <w:snapToGrid w:val="0"/>
          <w:lang w:val="en-GB"/>
        </w:rPr>
        <w:t xml:space="preserve">it previously did not accept the claim of superior safety for ONA vs NUSI </w:t>
      </w:r>
      <w:r w:rsidRPr="00AD4F6B" w:rsidR="001B3D14">
        <w:rPr>
          <w:rFonts w:asciiTheme="minorHAnsi" w:hAnsiTheme="minorHAnsi"/>
          <w:snapToGrid w:val="0"/>
          <w:lang w:val="en-GB"/>
        </w:rPr>
        <w:t>(</w:t>
      </w:r>
      <w:r w:rsidRPr="00AD4F6B" w:rsidR="001B3D14">
        <w:rPr>
          <w:rFonts w:asciiTheme="minorHAnsi" w:hAnsiTheme="minorHAnsi"/>
          <w:snapToGrid w:val="0"/>
        </w:rPr>
        <w:t>paragraph 6.46, onasemnogene abeparvovec PSD, November 2020 PBAC meeting</w:t>
      </w:r>
      <w:r w:rsidRPr="00AD4F6B" w:rsidR="005C0959">
        <w:rPr>
          <w:rFonts w:asciiTheme="minorHAnsi" w:hAnsiTheme="minorHAnsi"/>
          <w:snapToGrid w:val="0"/>
        </w:rPr>
        <w:t xml:space="preserve">) and found that it was difficult to make an informed conclusion </w:t>
      </w:r>
      <w:r w:rsidRPr="00AD4F6B" w:rsidR="005C0959">
        <w:rPr>
          <w:rFonts w:asciiTheme="minorHAnsi" w:hAnsiTheme="minorHAnsi"/>
          <w:snapToGrid w:val="0"/>
        </w:rPr>
        <w:t xml:space="preserve">with respect to the safety profile of ONA compared to RIS </w:t>
      </w:r>
      <w:r w:rsidRPr="00AD4F6B" w:rsidR="005C0959">
        <w:t>(paragraph 6.28, onasemnogene abeparvovec PSD, July 2023 PBAC meeting)</w:t>
      </w:r>
      <w:r w:rsidRPr="00AD4F6B" w:rsidR="00BB381B">
        <w:t>. The PBAC noted t</w:t>
      </w:r>
      <w:r w:rsidRPr="00AD4F6B" w:rsidR="00EF1DCF">
        <w:t xml:space="preserve">hat </w:t>
      </w:r>
      <w:r w:rsidRPr="00AD4F6B" w:rsidR="00F17D74">
        <w:t xml:space="preserve">the TGA evaluator stated that </w:t>
      </w:r>
      <w:r w:rsidRPr="00AD4F6B" w:rsidR="0026079F">
        <w:t xml:space="preserve">in patients &gt; 9 months </w:t>
      </w:r>
      <w:r w:rsidRPr="00AD4F6B" w:rsidR="00F17D74">
        <w:t>management of transaminitis and hepatoxicity</w:t>
      </w:r>
      <w:r w:rsidRPr="00AD4F6B" w:rsidR="007D12B6">
        <w:t>,</w:t>
      </w:r>
      <w:r w:rsidRPr="00AD4F6B" w:rsidR="00F17D74">
        <w:t xml:space="preserve"> as well as the side-effects from systemic corticosteroid usage</w:t>
      </w:r>
      <w:r w:rsidRPr="00AD4F6B" w:rsidR="007D12B6">
        <w:t>,</w:t>
      </w:r>
      <w:r w:rsidRPr="00AD4F6B" w:rsidR="00F17D74">
        <w:t xml:space="preserve"> would be expected to have a more negative impact on health compared to children aged &lt; 9 months</w:t>
      </w:r>
      <w:r w:rsidRPr="00AD4F6B" w:rsidR="002B28E0">
        <w:t xml:space="preserve">, and </w:t>
      </w:r>
      <w:r w:rsidRPr="00AD4F6B" w:rsidR="00FB0FBA">
        <w:t xml:space="preserve">the PBAC </w:t>
      </w:r>
      <w:r w:rsidRPr="00AD4F6B" w:rsidR="002B28E0">
        <w:t xml:space="preserve">considered that this supported the preferred clinical place of ONA </w:t>
      </w:r>
      <w:r w:rsidRPr="00AD4F6B" w:rsidR="0026079F">
        <w:t xml:space="preserve">treatment </w:t>
      </w:r>
      <w:r w:rsidRPr="00AD4F6B" w:rsidR="002B28E0">
        <w:t xml:space="preserve">in younger patients. </w:t>
      </w:r>
      <w:r w:rsidRPr="00AD4F6B" w:rsidR="00AF2091">
        <w:rPr>
          <w:rFonts w:asciiTheme="minorHAnsi" w:hAnsiTheme="minorHAnsi"/>
          <w:snapToGrid w:val="0"/>
          <w:szCs w:val="20"/>
        </w:rPr>
        <w:t xml:space="preserve">The PBAC considered that the claim of non-inferior comparative safety </w:t>
      </w:r>
      <w:r w:rsidRPr="00AD4F6B" w:rsidR="001944DC">
        <w:rPr>
          <w:rFonts w:asciiTheme="minorHAnsi" w:hAnsiTheme="minorHAnsi"/>
          <w:snapToGrid w:val="0"/>
          <w:szCs w:val="20"/>
        </w:rPr>
        <w:t xml:space="preserve">to RIS/NUSI </w:t>
      </w:r>
      <w:r w:rsidRPr="00AD4F6B" w:rsidR="00AF2091">
        <w:rPr>
          <w:rFonts w:asciiTheme="minorHAnsi" w:hAnsiTheme="minorHAnsi"/>
          <w:snapToGrid w:val="0"/>
          <w:szCs w:val="20"/>
        </w:rPr>
        <w:t xml:space="preserve">was uncertain but noted the ACM advice that ONA appears safe in patients up to 21 kg and 9 years of age. </w:t>
      </w:r>
    </w:p>
    <w:p w:rsidRPr="00AD4F6B" w:rsidR="006363D9" w:rsidP="009F5626" w:rsidRDefault="00410A34" w14:paraId="187E533B" w14:textId="2B22EA90">
      <w:pPr>
        <w:widowControl w:val="0"/>
        <w:numPr>
          <w:ilvl w:val="1"/>
          <w:numId w:val="1"/>
        </w:numPr>
        <w:spacing w:after="120"/>
        <w:rPr>
          <w:rFonts w:asciiTheme="minorHAnsi" w:hAnsiTheme="minorHAnsi"/>
          <w:snapToGrid w:val="0"/>
          <w:lang w:val="en-GB"/>
        </w:rPr>
      </w:pPr>
      <w:r w:rsidRPr="00AD4F6B">
        <w:rPr>
          <w:rFonts w:asciiTheme="minorHAnsi" w:hAnsiTheme="minorHAnsi"/>
          <w:snapToGrid w:val="0"/>
          <w:lang w:val="en-GB"/>
        </w:rPr>
        <w:t xml:space="preserve">The PBAC noted that the submission </w:t>
      </w:r>
      <w:r w:rsidRPr="00AD4F6B" w:rsidR="001F1D65">
        <w:rPr>
          <w:rFonts w:asciiTheme="minorHAnsi" w:hAnsiTheme="minorHAnsi"/>
          <w:snapToGrid w:val="0"/>
          <w:lang w:val="en-GB"/>
        </w:rPr>
        <w:t>presented a cost comparison</w:t>
      </w:r>
      <w:r w:rsidRPr="00AD4F6B" w:rsidR="00BE47CC">
        <w:rPr>
          <w:rFonts w:asciiTheme="minorHAnsi" w:hAnsiTheme="minorHAnsi"/>
          <w:snapToGrid w:val="0"/>
          <w:lang w:val="en-GB"/>
        </w:rPr>
        <w:t xml:space="preserve"> and proposed</w:t>
      </w:r>
      <w:r w:rsidRPr="00AD4F6B" w:rsidR="000A129F">
        <w:rPr>
          <w:rFonts w:asciiTheme="minorHAnsi" w:hAnsiTheme="minorHAnsi"/>
          <w:snapToGrid w:val="0"/>
          <w:lang w:val="en-GB"/>
        </w:rPr>
        <w:t xml:space="preserve"> </w:t>
      </w:r>
      <w:r w:rsidRPr="00AD4F6B">
        <w:rPr>
          <w:rFonts w:asciiTheme="minorHAnsi" w:hAnsiTheme="minorHAnsi"/>
          <w:snapToGrid w:val="0"/>
          <w:lang w:val="en-GB"/>
        </w:rPr>
        <w:t xml:space="preserve">the same price per patient (for a single dose) </w:t>
      </w:r>
      <w:r w:rsidRPr="00AD4F6B" w:rsidR="00FB0FBA">
        <w:rPr>
          <w:rFonts w:asciiTheme="minorHAnsi" w:hAnsiTheme="minorHAnsi"/>
          <w:snapToGrid w:val="0"/>
          <w:lang w:val="en-GB"/>
        </w:rPr>
        <w:t xml:space="preserve">in the expanded </w:t>
      </w:r>
      <w:r w:rsidRPr="00AD4F6B" w:rsidR="000A129F">
        <w:rPr>
          <w:rFonts w:asciiTheme="minorHAnsi" w:hAnsiTheme="minorHAnsi"/>
          <w:snapToGrid w:val="0"/>
          <w:lang w:val="en-GB"/>
        </w:rPr>
        <w:t xml:space="preserve">population </w:t>
      </w:r>
      <w:r w:rsidRPr="00AD4F6B">
        <w:rPr>
          <w:rFonts w:asciiTheme="minorHAnsi" w:hAnsiTheme="minorHAnsi"/>
          <w:snapToGrid w:val="0"/>
          <w:lang w:val="en-GB"/>
        </w:rPr>
        <w:t xml:space="preserve">as for patients aged &lt;9 months. The PBAC considered that the approach presented was reasonable </w:t>
      </w:r>
      <w:r w:rsidRPr="00AD4F6B" w:rsidR="006363D9">
        <w:rPr>
          <w:rFonts w:asciiTheme="minorHAnsi" w:hAnsiTheme="minorHAnsi"/>
          <w:snapToGrid w:val="0"/>
          <w:lang w:val="en-GB"/>
        </w:rPr>
        <w:t>as</w:t>
      </w:r>
      <w:r w:rsidRPr="00AD4F6B">
        <w:rPr>
          <w:rFonts w:asciiTheme="minorHAnsi" w:hAnsiTheme="minorHAnsi"/>
          <w:snapToGrid w:val="0"/>
          <w:lang w:val="en-GB"/>
        </w:rPr>
        <w:t xml:space="preserve"> ONA in patients &lt;9 months was cost-minimised to RIS </w:t>
      </w:r>
      <w:r w:rsidRPr="00AD4F6B" w:rsidR="00722B78">
        <w:rPr>
          <w:rFonts w:asciiTheme="minorHAnsi" w:hAnsiTheme="minorHAnsi"/>
          <w:snapToGrid w:val="0"/>
          <w:lang w:val="en-GB"/>
        </w:rPr>
        <w:t>and a</w:t>
      </w:r>
      <w:r w:rsidRPr="00AD4F6B" w:rsidR="00802A42">
        <w:rPr>
          <w:rFonts w:asciiTheme="minorHAnsi" w:hAnsiTheme="minorHAnsi"/>
          <w:snapToGrid w:val="0"/>
          <w:lang w:val="en-GB"/>
        </w:rPr>
        <w:t>t the proposed cost ONA</w:t>
      </w:r>
      <w:r w:rsidRPr="00AD4F6B">
        <w:rPr>
          <w:rFonts w:asciiTheme="minorHAnsi" w:hAnsiTheme="minorHAnsi"/>
          <w:snapToGrid w:val="0"/>
          <w:lang w:val="en-GB"/>
        </w:rPr>
        <w:t xml:space="preserve"> would therefore be expected to be cost-neutral</w:t>
      </w:r>
      <w:r w:rsidRPr="00AD4F6B" w:rsidR="00802A42">
        <w:rPr>
          <w:rFonts w:asciiTheme="minorHAnsi" w:hAnsiTheme="minorHAnsi"/>
          <w:snapToGrid w:val="0"/>
          <w:lang w:val="en-GB"/>
        </w:rPr>
        <w:t xml:space="preserve">. </w:t>
      </w:r>
    </w:p>
    <w:p w:rsidRPr="00AD4F6B" w:rsidR="00BB5C13" w:rsidP="009F5626" w:rsidRDefault="006363D9" w14:paraId="228D627B" w14:textId="1CEF3BD2">
      <w:pPr>
        <w:widowControl w:val="0"/>
        <w:numPr>
          <w:ilvl w:val="1"/>
          <w:numId w:val="1"/>
        </w:numPr>
        <w:spacing w:after="120"/>
        <w:rPr>
          <w:rFonts w:asciiTheme="minorHAnsi" w:hAnsiTheme="minorHAnsi"/>
          <w:snapToGrid w:val="0"/>
          <w:lang w:val="en-GB"/>
        </w:rPr>
      </w:pPr>
      <w:r w:rsidRPr="00AD4F6B">
        <w:rPr>
          <w:rFonts w:asciiTheme="minorHAnsi" w:hAnsiTheme="minorHAnsi"/>
          <w:snapToGrid w:val="0"/>
          <w:lang w:val="en-GB"/>
        </w:rPr>
        <w:t xml:space="preserve">The PBAC noted that the sponsor proposed </w:t>
      </w:r>
      <w:r w:rsidRPr="00AD4F6B">
        <w:t>for this expanded population to be covered by the existing outcomes-based RSA.</w:t>
      </w:r>
      <w:r w:rsidRPr="00AD4F6B">
        <w:rPr>
          <w:rFonts w:asciiTheme="minorHAnsi" w:hAnsiTheme="minorHAnsi"/>
          <w:snapToGrid w:val="0"/>
          <w:lang w:val="en-GB"/>
        </w:rPr>
        <w:t xml:space="preserve"> </w:t>
      </w:r>
      <w:r w:rsidRPr="00AD4F6B" w:rsidR="00802A42">
        <w:rPr>
          <w:rFonts w:asciiTheme="minorHAnsi" w:hAnsiTheme="minorHAnsi"/>
          <w:snapToGrid w:val="0"/>
          <w:lang w:val="en-GB"/>
        </w:rPr>
        <w:t xml:space="preserve">The PBAC noted that the existing outcomes-based RSA addressed uncertainty regarding the cost-neutrality of </w:t>
      </w:r>
      <w:r w:rsidRPr="00AD4F6B" w:rsidR="006B133B">
        <w:rPr>
          <w:rFonts w:asciiTheme="minorHAnsi" w:hAnsiTheme="minorHAnsi"/>
          <w:snapToGrid w:val="0"/>
          <w:lang w:val="en-GB"/>
        </w:rPr>
        <w:t xml:space="preserve">ONA </w:t>
      </w:r>
      <w:r w:rsidRPr="00AD4F6B" w:rsidR="00EB6A31">
        <w:rPr>
          <w:rFonts w:asciiTheme="minorHAnsi" w:hAnsiTheme="minorHAnsi"/>
          <w:snapToGrid w:val="0"/>
          <w:lang w:val="en-GB"/>
        </w:rPr>
        <w:t xml:space="preserve">to </w:t>
      </w:r>
      <w:r w:rsidRPr="00AD4F6B" w:rsidR="00463455">
        <w:rPr>
          <w:rFonts w:asciiTheme="minorHAnsi" w:hAnsiTheme="minorHAnsi"/>
          <w:snapToGrid w:val="0"/>
          <w:lang w:val="en-GB"/>
        </w:rPr>
        <w:t>NUSI and RIS</w:t>
      </w:r>
      <w:r w:rsidRPr="00AD4F6B" w:rsidR="008801FA">
        <w:rPr>
          <w:rFonts w:asciiTheme="minorHAnsi" w:hAnsiTheme="minorHAnsi"/>
          <w:snapToGrid w:val="0"/>
          <w:lang w:val="en-GB"/>
        </w:rPr>
        <w:t xml:space="preserve"> and considered that it would be reasonable for the expanded population to be included in this RSA</w:t>
      </w:r>
      <w:r w:rsidRPr="00AD4F6B" w:rsidR="006B133B">
        <w:rPr>
          <w:rFonts w:asciiTheme="minorHAnsi" w:hAnsiTheme="minorHAnsi"/>
          <w:snapToGrid w:val="0"/>
          <w:lang w:val="en-GB"/>
        </w:rPr>
        <w:t xml:space="preserve">. </w:t>
      </w:r>
    </w:p>
    <w:p w:rsidRPr="00AD4F6B" w:rsidR="00A15123" w:rsidP="009F5626" w:rsidRDefault="005A4C3B" w14:paraId="374B5288" w14:textId="076A5970">
      <w:pPr>
        <w:widowControl w:val="0"/>
        <w:numPr>
          <w:ilvl w:val="1"/>
          <w:numId w:val="1"/>
        </w:numPr>
        <w:spacing w:after="120"/>
        <w:rPr>
          <w:rFonts w:asciiTheme="minorHAnsi" w:hAnsiTheme="minorHAnsi"/>
          <w:snapToGrid w:val="0"/>
          <w:lang w:val="en-GB"/>
        </w:rPr>
      </w:pPr>
      <w:r w:rsidRPr="00AD4F6B">
        <w:rPr>
          <w:rFonts w:asciiTheme="minorHAnsi" w:hAnsiTheme="minorHAnsi"/>
          <w:snapToGrid w:val="0"/>
        </w:rPr>
        <w:t xml:space="preserve">The PBAC considered there was some uncertainty with respect to the number of patients &gt;9 months likely to </w:t>
      </w:r>
      <w:r w:rsidRPr="00AD4F6B" w:rsidR="0090052B">
        <w:rPr>
          <w:rFonts w:asciiTheme="minorHAnsi" w:hAnsiTheme="minorHAnsi"/>
          <w:snapToGrid w:val="0"/>
        </w:rPr>
        <w:t xml:space="preserve">be treated with </w:t>
      </w:r>
      <w:proofErr w:type="gramStart"/>
      <w:r w:rsidRPr="00AD4F6B" w:rsidR="0090052B">
        <w:rPr>
          <w:rFonts w:asciiTheme="minorHAnsi" w:hAnsiTheme="minorHAnsi"/>
          <w:snapToGrid w:val="0"/>
        </w:rPr>
        <w:t>ONA, but</w:t>
      </w:r>
      <w:proofErr w:type="gramEnd"/>
      <w:r w:rsidRPr="00AD4F6B" w:rsidR="0090052B">
        <w:rPr>
          <w:rFonts w:asciiTheme="minorHAnsi" w:hAnsiTheme="minorHAnsi"/>
          <w:snapToGrid w:val="0"/>
        </w:rPr>
        <w:t xml:space="preserve"> considered that the estimate</w:t>
      </w:r>
      <w:r w:rsidRPr="00AD4F6B" w:rsidR="00330753">
        <w:rPr>
          <w:rFonts w:asciiTheme="minorHAnsi" w:hAnsiTheme="minorHAnsi"/>
          <w:snapToGrid w:val="0"/>
        </w:rPr>
        <w:t>d</w:t>
      </w:r>
      <w:r w:rsidRPr="00AD4F6B" w:rsidR="0090052B">
        <w:rPr>
          <w:rFonts w:asciiTheme="minorHAnsi" w:hAnsiTheme="minorHAnsi"/>
          <w:snapToGrid w:val="0"/>
        </w:rPr>
        <w:t xml:space="preserve"> </w:t>
      </w:r>
      <w:r w:rsidR="005715EB">
        <w:rPr>
          <w:rFonts w:asciiTheme="minorHAnsi" w:hAnsiTheme="minorHAnsi"/>
          <w:snapToGrid w:val="0"/>
        </w:rPr>
        <w:t>&lt;</w:t>
      </w:r>
      <w:r w:rsidR="00AA203C">
        <w:rPr>
          <w:rFonts w:asciiTheme="minorHAnsi" w:hAnsiTheme="minorHAnsi"/>
          <w:snapToGrid w:val="0"/>
        </w:rPr>
        <w:t xml:space="preserve"> </w:t>
      </w:r>
      <w:r w:rsidR="005715EB">
        <w:rPr>
          <w:rFonts w:asciiTheme="minorHAnsi" w:hAnsiTheme="minorHAnsi"/>
          <w:snapToGrid w:val="0"/>
        </w:rPr>
        <w:t>500</w:t>
      </w:r>
      <w:r w:rsidR="00F42B89">
        <w:rPr>
          <w:rFonts w:asciiTheme="minorHAnsi" w:hAnsiTheme="minorHAnsi"/>
          <w:snapToGrid w:val="0"/>
        </w:rPr>
        <w:t xml:space="preserve"> to &lt; 500</w:t>
      </w:r>
      <w:r w:rsidRPr="00AD4F6B" w:rsidR="0090052B">
        <w:rPr>
          <w:rFonts w:asciiTheme="minorHAnsi" w:hAnsiTheme="minorHAnsi"/>
          <w:snapToGrid w:val="0"/>
        </w:rPr>
        <w:t xml:space="preserve"> patients per year w</w:t>
      </w:r>
      <w:r w:rsidRPr="00AD4F6B" w:rsidR="00330753">
        <w:rPr>
          <w:rFonts w:asciiTheme="minorHAnsi" w:hAnsiTheme="minorHAnsi"/>
          <w:snapToGrid w:val="0"/>
        </w:rPr>
        <w:t>as</w:t>
      </w:r>
      <w:r w:rsidRPr="00AD4F6B" w:rsidR="0090052B">
        <w:rPr>
          <w:rFonts w:asciiTheme="minorHAnsi" w:hAnsiTheme="minorHAnsi"/>
          <w:snapToGrid w:val="0"/>
        </w:rPr>
        <w:t xml:space="preserve"> likely to be reasonable based on the number of known patients eligible for treatment. </w:t>
      </w:r>
      <w:r w:rsidRPr="00AD4F6B" w:rsidR="009D22C7">
        <w:rPr>
          <w:rFonts w:asciiTheme="minorHAnsi" w:hAnsiTheme="minorHAnsi"/>
          <w:snapToGrid w:val="0"/>
        </w:rPr>
        <w:t xml:space="preserve">The PBAC noted that offsets from RIS/NUSI </w:t>
      </w:r>
      <w:r w:rsidRPr="00AD4F6B" w:rsidR="007B3F63">
        <w:rPr>
          <w:rFonts w:asciiTheme="minorHAnsi" w:hAnsiTheme="minorHAnsi"/>
          <w:snapToGrid w:val="0"/>
        </w:rPr>
        <w:t xml:space="preserve">that would be </w:t>
      </w:r>
      <w:r w:rsidRPr="00AD4F6B" w:rsidR="004258AE">
        <w:rPr>
          <w:rFonts w:asciiTheme="minorHAnsi" w:hAnsiTheme="minorHAnsi"/>
          <w:snapToGrid w:val="0"/>
        </w:rPr>
        <w:t>replaced had not been accounted for in the financial estimates, which would overestimate the net cost of list</w:t>
      </w:r>
      <w:r w:rsidRPr="00AD4F6B" w:rsidR="00E77AF4">
        <w:rPr>
          <w:rFonts w:asciiTheme="minorHAnsi" w:hAnsiTheme="minorHAnsi"/>
          <w:snapToGrid w:val="0"/>
        </w:rPr>
        <w:t>ing ONA in the expanded population. The PBAC noted that although a</w:t>
      </w:r>
      <w:r w:rsidRPr="00AD4F6B" w:rsidR="00A15123">
        <w:rPr>
          <w:rFonts w:asciiTheme="minorHAnsi" w:hAnsiTheme="minorHAnsi"/>
          <w:snapToGrid w:val="0"/>
        </w:rPr>
        <w:t xml:space="preserve">ny additional cost to the Government over the longer term would be minimal </w:t>
      </w:r>
      <w:r w:rsidRPr="00AD4F6B" w:rsidR="007B3F63">
        <w:rPr>
          <w:rFonts w:asciiTheme="minorHAnsi" w:hAnsiTheme="minorHAnsi"/>
          <w:snapToGrid w:val="0"/>
        </w:rPr>
        <w:t>(</w:t>
      </w:r>
      <w:r w:rsidRPr="00AD4F6B" w:rsidR="00A15123">
        <w:rPr>
          <w:rFonts w:asciiTheme="minorHAnsi" w:hAnsiTheme="minorHAnsi"/>
          <w:snapToGrid w:val="0"/>
        </w:rPr>
        <w:t>as the additional patients would otherwise be treated with ongoing nusinersen or risdiplam</w:t>
      </w:r>
      <w:r w:rsidRPr="00AD4F6B" w:rsidR="007B3F63">
        <w:rPr>
          <w:rFonts w:asciiTheme="minorHAnsi" w:hAnsiTheme="minorHAnsi"/>
          <w:snapToGrid w:val="0"/>
        </w:rPr>
        <w:t>)</w:t>
      </w:r>
      <w:r w:rsidRPr="00AD4F6B" w:rsidR="00E558FE">
        <w:rPr>
          <w:rFonts w:asciiTheme="minorHAnsi" w:hAnsiTheme="minorHAnsi"/>
          <w:snapToGrid w:val="0"/>
        </w:rPr>
        <w:t xml:space="preserve"> ONA was associated with</w:t>
      </w:r>
      <w:r w:rsidRPr="00AD4F6B" w:rsidR="002F4F7F">
        <w:rPr>
          <w:rFonts w:asciiTheme="minorHAnsi" w:hAnsiTheme="minorHAnsi"/>
          <w:snapToGrid w:val="0"/>
        </w:rPr>
        <w:t xml:space="preserve"> additional costs in the </w:t>
      </w:r>
      <w:r w:rsidRPr="00AD4F6B" w:rsidR="009E422D">
        <w:rPr>
          <w:rFonts w:asciiTheme="minorHAnsi" w:hAnsiTheme="minorHAnsi"/>
          <w:snapToGrid w:val="0"/>
        </w:rPr>
        <w:t>6</w:t>
      </w:r>
      <w:r w:rsidRPr="00AD4F6B" w:rsidR="002F4F7F">
        <w:rPr>
          <w:rFonts w:asciiTheme="minorHAnsi" w:hAnsiTheme="minorHAnsi"/>
          <w:snapToGrid w:val="0"/>
        </w:rPr>
        <w:t xml:space="preserve"> years of the financial estimates as </w:t>
      </w:r>
      <w:r w:rsidRPr="00AD4F6B" w:rsidR="009E422D">
        <w:rPr>
          <w:rFonts w:asciiTheme="minorHAnsi" w:hAnsiTheme="minorHAnsi"/>
          <w:snapToGrid w:val="0"/>
        </w:rPr>
        <w:t>ONA</w:t>
      </w:r>
      <w:r w:rsidRPr="00AD4F6B" w:rsidR="002F4F7F">
        <w:rPr>
          <w:rFonts w:asciiTheme="minorHAnsi" w:hAnsiTheme="minorHAnsi"/>
          <w:snapToGrid w:val="0"/>
        </w:rPr>
        <w:t xml:space="preserve"> is associated with </w:t>
      </w:r>
      <w:r w:rsidRPr="00AD4F6B" w:rsidR="009E422D">
        <w:rPr>
          <w:rFonts w:asciiTheme="minorHAnsi" w:hAnsiTheme="minorHAnsi"/>
          <w:snapToGrid w:val="0"/>
        </w:rPr>
        <w:t>a once off upfront</w:t>
      </w:r>
      <w:r w:rsidRPr="00AD4F6B" w:rsidR="00E558FE">
        <w:rPr>
          <w:rFonts w:asciiTheme="minorHAnsi" w:hAnsiTheme="minorHAnsi"/>
          <w:snapToGrid w:val="0"/>
        </w:rPr>
        <w:t xml:space="preserve"> cos</w:t>
      </w:r>
      <w:r w:rsidRPr="00AD4F6B" w:rsidR="002F4F7F">
        <w:rPr>
          <w:rFonts w:asciiTheme="minorHAnsi" w:hAnsiTheme="minorHAnsi"/>
          <w:snapToGrid w:val="0"/>
        </w:rPr>
        <w:t>t, whereas offsets are from</w:t>
      </w:r>
      <w:r w:rsidRPr="00AD4F6B" w:rsidR="006A4CC2">
        <w:rPr>
          <w:rFonts w:asciiTheme="minorHAnsi" w:hAnsiTheme="minorHAnsi"/>
          <w:snapToGrid w:val="0"/>
        </w:rPr>
        <w:t xml:space="preserve"> the replacement of</w:t>
      </w:r>
      <w:r w:rsidRPr="00AD4F6B" w:rsidR="002F4F7F">
        <w:rPr>
          <w:rFonts w:asciiTheme="minorHAnsi" w:hAnsiTheme="minorHAnsi"/>
          <w:snapToGrid w:val="0"/>
        </w:rPr>
        <w:t xml:space="preserve"> ongoing treatment</w:t>
      </w:r>
      <w:r w:rsidRPr="00AD4F6B" w:rsidR="00330753">
        <w:rPr>
          <w:rFonts w:asciiTheme="minorHAnsi" w:hAnsiTheme="minorHAnsi"/>
          <w:snapToGrid w:val="0"/>
        </w:rPr>
        <w:t>s</w:t>
      </w:r>
      <w:r w:rsidRPr="00AD4F6B" w:rsidR="00A15123">
        <w:rPr>
          <w:rFonts w:asciiTheme="minorHAnsi" w:hAnsiTheme="minorHAnsi"/>
          <w:snapToGrid w:val="0"/>
        </w:rPr>
        <w:t xml:space="preserve">. </w:t>
      </w:r>
    </w:p>
    <w:p w:rsidRPr="00AD4F6B" w:rsidR="00D97C8C" w:rsidP="00D97C8C" w:rsidRDefault="00D97C8C" w14:paraId="4B3AE87E" w14:textId="77777777">
      <w:pPr>
        <w:pStyle w:val="3-BodyText"/>
        <w:rPr>
          <w:b/>
          <w:bCs/>
          <w:lang w:val="en-GB"/>
        </w:rPr>
      </w:pPr>
      <w:r w:rsidRPr="00AD4F6B">
        <w:rPr>
          <w:lang w:val="en-GB"/>
        </w:rPr>
        <w:t>The PBAC noted that its recommendation was based on a cost comparison and advised that, because ONA is not expected to provide a substantial</w:t>
      </w:r>
      <w:r w:rsidRPr="00AD4F6B">
        <w:rPr>
          <w:bCs/>
          <w:lang w:val="en-GB"/>
        </w:rPr>
        <w:t xml:space="preserve"> and clinically relevant improvement in efficacy, or reduction of toxicity, over RIS or NUSI, or not expected to address a high and urgent unmet clinical need given the presence of alternative therapies, the criteria prescribed by the </w:t>
      </w:r>
      <w:r w:rsidRPr="00AD4F6B">
        <w:rPr>
          <w:bCs/>
          <w:i/>
          <w:lang w:val="en-GB"/>
        </w:rPr>
        <w:t>National Health (Pharmaceuticals and Vaccines – Cost Recovery) Regulations 2022</w:t>
      </w:r>
      <w:r w:rsidRPr="00AD4F6B">
        <w:rPr>
          <w:bCs/>
          <w:lang w:val="en-GB"/>
        </w:rPr>
        <w:t xml:space="preserve"> for Pricing Pathway A were not met.</w:t>
      </w:r>
    </w:p>
    <w:p w:rsidRPr="00AD4F6B" w:rsidR="00C404CC" w:rsidP="00C404CC" w:rsidRDefault="00C404CC" w14:paraId="00AEB80C" w14:textId="77777777">
      <w:pPr>
        <w:widowControl w:val="0"/>
        <w:numPr>
          <w:ilvl w:val="1"/>
          <w:numId w:val="1"/>
        </w:numPr>
        <w:spacing w:after="120"/>
        <w:rPr>
          <w:rFonts w:asciiTheme="minorHAnsi" w:hAnsiTheme="minorHAnsi"/>
          <w:snapToGrid w:val="0"/>
          <w:lang w:val="en-GB"/>
        </w:rPr>
      </w:pPr>
      <w:r w:rsidRPr="00AD4F6B">
        <w:rPr>
          <w:rFonts w:asciiTheme="minorHAnsi" w:hAnsiTheme="minorHAnsi"/>
          <w:snapToGrid w:val="0"/>
          <w:lang w:val="en-GB"/>
        </w:rPr>
        <w:t>The PBAC considered that the clinical input provided was informative as experts at the major centres treating SMA now have substantial experience with treating SMA with ONA. The PBAC noted the clinical input indicating that the conditions for subsequent treatment with NUSI or RIS following ONA are too restrictive as they require the patient to have had</w:t>
      </w:r>
      <w:r w:rsidRPr="00AD4F6B">
        <w:rPr>
          <w:rFonts w:asciiTheme="minorHAnsi" w:hAnsiTheme="minorHAnsi"/>
          <w:bCs/>
          <w:snapToGrid w:val="0"/>
        </w:rPr>
        <w:t xml:space="preserve"> a regression in a developmental state, which can be a major and </w:t>
      </w:r>
      <w:r w:rsidRPr="00AD4F6B">
        <w:rPr>
          <w:rFonts w:asciiTheme="minorHAnsi" w:hAnsiTheme="minorHAnsi"/>
          <w:bCs/>
          <w:snapToGrid w:val="0"/>
        </w:rPr>
        <w:t xml:space="preserve">irreversible change. Clinicians indicated that patients may have neurophysiological and molecular assessments that indicate disease </w:t>
      </w:r>
      <w:proofErr w:type="gramStart"/>
      <w:r w:rsidRPr="00AD4F6B">
        <w:rPr>
          <w:rFonts w:asciiTheme="minorHAnsi" w:hAnsiTheme="minorHAnsi"/>
          <w:bCs/>
          <w:snapToGrid w:val="0"/>
        </w:rPr>
        <w:t>activity</w:t>
      </w:r>
      <w:proofErr w:type="gramEnd"/>
      <w:r w:rsidRPr="00AD4F6B">
        <w:rPr>
          <w:rFonts w:asciiTheme="minorHAnsi" w:hAnsiTheme="minorHAnsi"/>
          <w:bCs/>
          <w:snapToGrid w:val="0"/>
        </w:rPr>
        <w:t xml:space="preserve"> but they are not eligible </w:t>
      </w:r>
      <w:r w:rsidRPr="00AD4F6B">
        <w:rPr>
          <w:rFonts w:asciiTheme="minorHAnsi" w:hAnsiTheme="minorHAnsi"/>
          <w:snapToGrid w:val="0"/>
          <w:lang w:val="en-GB"/>
        </w:rPr>
        <w:t xml:space="preserve">additional DMT which is likely to be of benefit to them. </w:t>
      </w:r>
      <w:r w:rsidRPr="00AD4F6B">
        <w:rPr>
          <w:rFonts w:asciiTheme="minorHAnsi" w:hAnsiTheme="minorHAnsi"/>
          <w:bCs/>
          <w:snapToGrid w:val="0"/>
        </w:rPr>
        <w:t>Clinician input suggested that the restrictions should allow subsequent DMT for patients with slower than expected gain in motor function, where patients do not continue to gain motor function and where patients experience regression in respiratory or bulbar function. The PBAC advised that the restrictions outlining the eligibility criteria for NUSI and RIS treatment in children who have had previous ONA and have a suboptimal response should be reviewed as suggested by clinicians. The PBAC also considered that it would be reasonable for patients treated with ONA funded under programs other than the PBS (e.g. clinical trials) to be eligible for subsequent DMTs where they have a suboptimal response. Due to the complexity of the restrictions and the interaction of these restrictions with the RSA for ONA the PBAC noted that additional clinical input and stakeholder consultation would be required regarding these flow-on changes to NUSI and RIS listings.</w:t>
      </w:r>
    </w:p>
    <w:p w:rsidRPr="00AD4F6B" w:rsidR="00A26F78" w:rsidP="00B07630" w:rsidRDefault="00A26F78" w14:paraId="48A51753" w14:textId="5C49E663">
      <w:pPr>
        <w:pStyle w:val="3-BodyText"/>
        <w:rPr>
          <w:bCs/>
          <w:snapToGrid w:val="0"/>
        </w:rPr>
      </w:pPr>
      <w:r w:rsidRPr="00AD4F6B">
        <w:rPr>
          <w:lang w:val="en-GB"/>
        </w:rPr>
        <w:t xml:space="preserve">The PBAC noted that dosing </w:t>
      </w:r>
      <w:r w:rsidRPr="00AD4F6B" w:rsidR="00A354B1">
        <w:rPr>
          <w:lang w:val="en-GB"/>
        </w:rPr>
        <w:t>i</w:t>
      </w:r>
      <w:r w:rsidRPr="00AD4F6B">
        <w:rPr>
          <w:lang w:val="en-GB"/>
        </w:rPr>
        <w:t xml:space="preserve">s individualised and </w:t>
      </w:r>
      <w:r w:rsidRPr="00AD4F6B" w:rsidR="00A14CDA">
        <w:rPr>
          <w:lang w:val="en-GB"/>
        </w:rPr>
        <w:t>ONA</w:t>
      </w:r>
      <w:r w:rsidRPr="00AD4F6B" w:rsidR="009750F1">
        <w:rPr>
          <w:lang w:val="en-GB"/>
        </w:rPr>
        <w:t xml:space="preserve"> </w:t>
      </w:r>
      <w:r w:rsidRPr="00AD4F6B" w:rsidR="00212EAD">
        <w:rPr>
          <w:lang w:val="en-GB"/>
        </w:rPr>
        <w:t xml:space="preserve">is </w:t>
      </w:r>
      <w:r w:rsidRPr="00AD4F6B" w:rsidR="009750F1">
        <w:rPr>
          <w:lang w:val="en-GB"/>
        </w:rPr>
        <w:t xml:space="preserve">provided as </w:t>
      </w:r>
      <w:r w:rsidRPr="00AD4F6B" w:rsidR="00A14CDA">
        <w:rPr>
          <w:lang w:val="en-GB"/>
        </w:rPr>
        <w:t xml:space="preserve">a </w:t>
      </w:r>
      <w:r w:rsidRPr="00AD4F6B" w:rsidR="000A11DD">
        <w:rPr>
          <w:lang w:val="en-GB"/>
        </w:rPr>
        <w:t>customised finished pack</w:t>
      </w:r>
      <w:r w:rsidRPr="00AD4F6B" w:rsidR="00A14CDA">
        <w:rPr>
          <w:lang w:val="en-GB"/>
        </w:rPr>
        <w:t xml:space="preserve"> for each patient</w:t>
      </w:r>
      <w:r w:rsidRPr="00AD4F6B" w:rsidR="000A11DD">
        <w:rPr>
          <w:lang w:val="en-GB"/>
        </w:rPr>
        <w:t xml:space="preserve">. The PBAC noted that </w:t>
      </w:r>
      <w:r w:rsidRPr="00AD4F6B" w:rsidR="00C844BF">
        <w:rPr>
          <w:lang w:val="en-GB"/>
        </w:rPr>
        <w:t xml:space="preserve">the current ONA listings include </w:t>
      </w:r>
      <w:r w:rsidRPr="00AD4F6B" w:rsidR="00F678E6">
        <w:rPr>
          <w:lang w:val="en-GB"/>
        </w:rPr>
        <w:t xml:space="preserve">customised packs for weight ranges from 2.6 kg to 13.5 kg and </w:t>
      </w:r>
      <w:r w:rsidRPr="00AD4F6B" w:rsidR="000A11DD">
        <w:rPr>
          <w:lang w:val="en-GB"/>
        </w:rPr>
        <w:t xml:space="preserve">additional item codes would be required </w:t>
      </w:r>
      <w:r w:rsidRPr="00AD4F6B" w:rsidR="001D1E99">
        <w:rPr>
          <w:lang w:val="en-GB"/>
        </w:rPr>
        <w:t>for the extended weight ranges (from 13.6 kg up to 21 kg</w:t>
      </w:r>
      <w:r w:rsidRPr="00AD4F6B" w:rsidR="00C844BF">
        <w:rPr>
          <w:lang w:val="en-GB"/>
        </w:rPr>
        <w:t>)</w:t>
      </w:r>
      <w:r w:rsidRPr="00AD4F6B" w:rsidR="00F678E6">
        <w:rPr>
          <w:lang w:val="en-GB"/>
        </w:rPr>
        <w:t xml:space="preserve">. </w:t>
      </w:r>
      <w:r w:rsidRPr="00AD4F6B" w:rsidR="00A20F0C">
        <w:rPr>
          <w:lang w:val="en-GB"/>
        </w:rPr>
        <w:t xml:space="preserve">The PBAC noted input from clinicians regarding delays in </w:t>
      </w:r>
      <w:r w:rsidRPr="00AD4F6B" w:rsidR="00A0747B">
        <w:rPr>
          <w:lang w:val="en-GB"/>
        </w:rPr>
        <w:t xml:space="preserve">approval to commence treatment and in </w:t>
      </w:r>
      <w:r w:rsidRPr="00AD4F6B" w:rsidR="00E61789">
        <w:rPr>
          <w:lang w:val="en-GB"/>
        </w:rPr>
        <w:t xml:space="preserve">receiving supply of ONA from overseas. </w:t>
      </w:r>
      <w:r w:rsidRPr="00AD4F6B" w:rsidR="00E61789">
        <w:rPr>
          <w:bCs/>
          <w:snapToGrid w:val="0"/>
        </w:rPr>
        <w:t xml:space="preserve">The PBAC </w:t>
      </w:r>
      <w:r w:rsidRPr="00AD4F6B" w:rsidR="00382FCB">
        <w:rPr>
          <w:bCs/>
          <w:snapToGrid w:val="0"/>
        </w:rPr>
        <w:t xml:space="preserve">noted </w:t>
      </w:r>
      <w:r w:rsidRPr="00AD4F6B" w:rsidR="00E61789">
        <w:rPr>
          <w:bCs/>
          <w:snapToGrid w:val="0"/>
        </w:rPr>
        <w:t xml:space="preserve">that </w:t>
      </w:r>
      <w:r w:rsidRPr="00AD4F6B" w:rsidR="00E67839">
        <w:rPr>
          <w:bCs/>
          <w:snapToGrid w:val="0"/>
        </w:rPr>
        <w:t>Services Australia</w:t>
      </w:r>
      <w:r w:rsidRPr="00AD4F6B" w:rsidR="00382FCB">
        <w:rPr>
          <w:bCs/>
          <w:snapToGrid w:val="0"/>
        </w:rPr>
        <w:t>’s</w:t>
      </w:r>
      <w:r w:rsidRPr="00AD4F6B" w:rsidR="001A2C71">
        <w:rPr>
          <w:bCs/>
          <w:snapToGrid w:val="0"/>
        </w:rPr>
        <w:t xml:space="preserve"> current</w:t>
      </w:r>
      <w:r w:rsidRPr="00AD4F6B" w:rsidR="005A77F7">
        <w:rPr>
          <w:bCs/>
          <w:snapToGrid w:val="0"/>
        </w:rPr>
        <w:t xml:space="preserve"> processes</w:t>
      </w:r>
      <w:r w:rsidRPr="00AD4F6B" w:rsidR="00382FCB">
        <w:rPr>
          <w:bCs/>
          <w:snapToGrid w:val="0"/>
        </w:rPr>
        <w:t xml:space="preserve"> do not allow authority approval</w:t>
      </w:r>
      <w:r w:rsidRPr="00AD4F6B" w:rsidR="001A2C71">
        <w:rPr>
          <w:bCs/>
          <w:snapToGrid w:val="0"/>
        </w:rPr>
        <w:t xml:space="preserve"> outside business hours</w:t>
      </w:r>
      <w:r w:rsidRPr="00AD4F6B" w:rsidR="00B07630">
        <w:rPr>
          <w:bCs/>
          <w:snapToGrid w:val="0"/>
        </w:rPr>
        <w:t xml:space="preserve"> </w:t>
      </w:r>
      <w:r w:rsidRPr="00AD4F6B" w:rsidR="00382FCB">
        <w:rPr>
          <w:bCs/>
          <w:snapToGrid w:val="0"/>
        </w:rPr>
        <w:t xml:space="preserve">and that process improvements should be considered </w:t>
      </w:r>
      <w:proofErr w:type="gramStart"/>
      <w:r w:rsidRPr="00AD4F6B" w:rsidR="00382FCB">
        <w:rPr>
          <w:bCs/>
          <w:snapToGrid w:val="0"/>
        </w:rPr>
        <w:t>in order to</w:t>
      </w:r>
      <w:proofErr w:type="gramEnd"/>
      <w:r w:rsidRPr="00AD4F6B" w:rsidR="00382FCB">
        <w:rPr>
          <w:bCs/>
          <w:snapToGrid w:val="0"/>
        </w:rPr>
        <w:t xml:space="preserve"> minimise or remove delays so that approvals can be acquired in a timely manner</w:t>
      </w:r>
      <w:r w:rsidRPr="00AD4F6B" w:rsidR="001A2C71">
        <w:rPr>
          <w:bCs/>
          <w:snapToGrid w:val="0"/>
        </w:rPr>
        <w:t xml:space="preserve">. </w:t>
      </w:r>
    </w:p>
    <w:p w:rsidRPr="00AD4F6B" w:rsidR="009F5626" w:rsidP="009F5626" w:rsidRDefault="009F5626" w14:paraId="366E789F" w14:textId="66C36C71">
      <w:pPr>
        <w:widowControl w:val="0"/>
        <w:numPr>
          <w:ilvl w:val="1"/>
          <w:numId w:val="1"/>
        </w:numPr>
        <w:spacing w:after="120"/>
        <w:rPr>
          <w:rFonts w:asciiTheme="minorHAnsi" w:hAnsiTheme="minorHAnsi"/>
          <w:bCs/>
          <w:i/>
          <w:snapToGrid w:val="0"/>
          <w:lang w:val="en-GB"/>
        </w:rPr>
      </w:pPr>
      <w:r w:rsidRPr="00AD4F6B">
        <w:rPr>
          <w:rFonts w:asciiTheme="minorHAnsi" w:hAnsiTheme="minorHAnsi"/>
          <w:bCs/>
          <w:snapToGrid w:val="0"/>
          <w:lang w:val="en-GB"/>
        </w:rPr>
        <w:t xml:space="preserve">The PBAC noted that this submission is not eligible for an Independent </w:t>
      </w:r>
      <w:r w:rsidRPr="00AD4F6B" w:rsidR="00FD68FD">
        <w:rPr>
          <w:rFonts w:asciiTheme="minorHAnsi" w:hAnsiTheme="minorHAnsi"/>
          <w:bCs/>
          <w:snapToGrid w:val="0"/>
          <w:lang w:val="en-GB"/>
        </w:rPr>
        <w:t>as it is a positive recommendation.</w:t>
      </w:r>
    </w:p>
    <w:p w:rsidRPr="00AD4F6B" w:rsidR="009F5626" w:rsidP="009F5626" w:rsidRDefault="009F5626" w14:paraId="471649F2" w14:textId="77777777">
      <w:pPr>
        <w:spacing w:before="240"/>
        <w:rPr>
          <w:rFonts w:asciiTheme="minorHAnsi" w:hAnsiTheme="minorHAnsi"/>
          <w:b/>
          <w:bCs/>
          <w:snapToGrid w:val="0"/>
          <w:lang w:val="en-GB"/>
        </w:rPr>
      </w:pPr>
      <w:r w:rsidRPr="00AD4F6B">
        <w:rPr>
          <w:rFonts w:asciiTheme="minorHAnsi" w:hAnsiTheme="minorHAnsi"/>
          <w:b/>
          <w:bCs/>
          <w:snapToGrid w:val="0"/>
          <w:lang w:val="en-GB"/>
        </w:rPr>
        <w:t>Outcome:</w:t>
      </w:r>
    </w:p>
    <w:p w:rsidRPr="00BE0BD6" w:rsidR="00D64B2B" w:rsidP="00BE0BD6" w:rsidRDefault="009F5626" w14:paraId="5C3BDF75" w14:textId="6DA1DB62">
      <w:pPr>
        <w:rPr>
          <w:rFonts w:asciiTheme="minorHAnsi" w:hAnsiTheme="minorHAnsi"/>
          <w:bCs/>
          <w:snapToGrid w:val="0"/>
          <w:lang w:val="en-GB"/>
        </w:rPr>
      </w:pPr>
      <w:r w:rsidRPr="00AD4F6B">
        <w:rPr>
          <w:rFonts w:asciiTheme="minorHAnsi" w:hAnsiTheme="minorHAnsi"/>
          <w:bCs/>
          <w:snapToGrid w:val="0"/>
          <w:lang w:val="en-GB"/>
        </w:rPr>
        <w:t>Recommended</w:t>
      </w:r>
    </w:p>
    <w:bookmarkEnd w:id="63"/>
    <w:p w:rsidRPr="00AD4F6B" w:rsidR="009F5626" w:rsidP="009F5626" w:rsidRDefault="009F5626" w14:paraId="7302B0A9" w14:textId="77777777">
      <w:pPr>
        <w:pStyle w:val="2-SectionHeading"/>
        <w:numPr>
          <w:ilvl w:val="0"/>
          <w:numId w:val="1"/>
        </w:numPr>
      </w:pPr>
      <w:r w:rsidRPr="00AD4F6B">
        <w:t>Recommended listing</w:t>
      </w:r>
    </w:p>
    <w:p w:rsidRPr="00AD4F6B" w:rsidR="00E27658" w:rsidP="00E27658" w:rsidRDefault="009D0E92" w14:paraId="5AA6B669" w14:textId="05010E1A">
      <w:pPr>
        <w:widowControl w:val="0"/>
        <w:numPr>
          <w:ilvl w:val="1"/>
          <w:numId w:val="1"/>
        </w:numPr>
        <w:spacing w:after="120"/>
        <w:contextualSpacing/>
        <w:rPr>
          <w:rFonts w:asciiTheme="minorHAnsi" w:hAnsiTheme="minorHAnsi"/>
          <w:bCs/>
          <w:snapToGrid w:val="0"/>
        </w:rPr>
      </w:pPr>
      <w:r w:rsidRPr="00AD4F6B">
        <w:rPr>
          <w:rFonts w:asciiTheme="minorHAnsi" w:hAnsiTheme="minorHAnsi"/>
          <w:bCs/>
          <w:snapToGrid w:val="0"/>
        </w:rPr>
        <w:t>Current ONA listings include customised packs for weight ranges from 2.6 kg to 13.5 kg</w:t>
      </w:r>
      <w:r w:rsidRPr="00AD4F6B" w:rsidR="008C1326">
        <w:rPr>
          <w:rFonts w:asciiTheme="minorHAnsi" w:hAnsiTheme="minorHAnsi"/>
          <w:bCs/>
          <w:snapToGrid w:val="0"/>
        </w:rPr>
        <w:t>, with the appropriate</w:t>
      </w:r>
      <w:r w:rsidRPr="00AD4F6B" w:rsidR="00E27658">
        <w:rPr>
          <w:rFonts w:asciiTheme="minorHAnsi" w:hAnsiTheme="minorHAnsi"/>
          <w:bCs/>
          <w:snapToGrid w:val="0"/>
        </w:rPr>
        <w:t xml:space="preserve"> dose </w:t>
      </w:r>
      <w:r w:rsidRPr="00AD4F6B" w:rsidR="00E27658">
        <w:t xml:space="preserve">individually made up by the sponsor for each patient. Additional item </w:t>
      </w:r>
      <w:r w:rsidRPr="00AD4F6B" w:rsidR="00E27658">
        <w:rPr>
          <w:rFonts w:asciiTheme="minorHAnsi" w:hAnsiTheme="minorHAnsi"/>
          <w:bCs/>
          <w:snapToGrid w:val="0"/>
        </w:rPr>
        <w:t xml:space="preserve">codes would be required for the extended weight ranges (i.e., from 13.6 kg up to 21 kg). </w:t>
      </w:r>
    </w:p>
    <w:p w:rsidRPr="00AD4F6B" w:rsidR="009F5626" w:rsidP="00E27658" w:rsidRDefault="009F5626" w14:paraId="786B2423" w14:textId="6CA168F2">
      <w:pPr>
        <w:widowControl w:val="0"/>
        <w:spacing w:after="120"/>
        <w:ind w:left="720"/>
        <w:contextualSpacing/>
        <w:rPr>
          <w:rFonts w:asciiTheme="minorHAnsi" w:hAnsiTheme="minorHAnsi"/>
          <w:bCs/>
          <w:snapToGrid w:val="0"/>
        </w:rPr>
      </w:pPr>
      <w:r w:rsidRPr="00AD4F6B">
        <w:rPr>
          <w:rFonts w:asciiTheme="minorHAnsi" w:hAnsiTheme="minorHAnsi"/>
          <w:bCs/>
          <w:snapToGrid w:val="0"/>
        </w:rPr>
        <w:t>Amend existing</w:t>
      </w:r>
      <w:r w:rsidRPr="00AD4F6B" w:rsidR="00FD5768">
        <w:rPr>
          <w:rFonts w:asciiTheme="minorHAnsi" w:hAnsiTheme="minorHAnsi"/>
          <w:bCs/>
          <w:snapToGrid w:val="0"/>
        </w:rPr>
        <w:t xml:space="preserve"> </w:t>
      </w:r>
      <w:r w:rsidRPr="00AD4F6B">
        <w:rPr>
          <w:rFonts w:asciiTheme="minorHAnsi" w:hAnsiTheme="minorHAnsi"/>
          <w:bCs/>
          <w:snapToGrid w:val="0"/>
        </w:rPr>
        <w:t>listing as follows:</w:t>
      </w:r>
    </w:p>
    <w:p w:rsidR="00657A59" w:rsidRDefault="00657A59" w14:paraId="4756BD13" w14:textId="01BABF9C">
      <w:pPr>
        <w:jc w:val="left"/>
        <w:rPr>
          <w:rFonts w:asciiTheme="minorHAnsi" w:hAnsiTheme="minorHAnsi"/>
          <w:bCs/>
          <w:snapToGrid w:val="0"/>
        </w:rPr>
      </w:pPr>
      <w:r>
        <w:rPr>
          <w:rFonts w:asciiTheme="minorHAnsi" w:hAnsiTheme="minorHAnsi"/>
          <w:bCs/>
          <w:snapToGrid w:val="0"/>
        </w:rPr>
        <w:br w:type="page"/>
      </w:r>
    </w:p>
    <w:p w:rsidRPr="00AD4F6B" w:rsidR="008F3355" w:rsidP="009F5626" w:rsidRDefault="008F3355" w14:paraId="74556FA7" w14:textId="77777777">
      <w:pPr>
        <w:widowControl w:val="0"/>
        <w:rPr>
          <w:rFonts w:asciiTheme="minorHAnsi" w:hAnsiTheme="minorHAnsi"/>
          <w:bCs/>
          <w:snapToGrid w:val="0"/>
        </w:rPr>
      </w:pPr>
    </w:p>
    <w:p w:rsidRPr="00AD4F6B" w:rsidR="001B3E2F" w:rsidP="001B3E2F" w:rsidRDefault="001B3E2F" w14:paraId="1A4ADC4C" w14:textId="724AAA5F">
      <w:pPr>
        <w:rPr>
          <w:b/>
          <w:bCs/>
          <w:i/>
          <w:iCs/>
        </w:rPr>
      </w:pPr>
      <w:r w:rsidRPr="00AD4F6B">
        <w:rPr>
          <w:b/>
          <w:bCs/>
        </w:rPr>
        <w:t>Type I</w:t>
      </w:r>
      <w:r w:rsidRPr="00AD4F6B" w:rsidR="00DA7D65">
        <w:rPr>
          <w:b/>
          <w:bCs/>
        </w:rPr>
        <w:t>-IIIa</w:t>
      </w:r>
      <w:r w:rsidRPr="00AD4F6B">
        <w:rPr>
          <w:b/>
          <w:bCs/>
        </w:rPr>
        <w:t xml:space="preserve"> SMA or pre-symptomatic SMA (1-2 </w:t>
      </w:r>
      <w:r w:rsidRPr="00AD4F6B">
        <w:rPr>
          <w:b/>
          <w:bCs/>
          <w:i/>
          <w:iCs/>
        </w:rPr>
        <w:t xml:space="preserve">SMN2 </w:t>
      </w:r>
      <w:r w:rsidRPr="00AD4F6B">
        <w:rPr>
          <w:b/>
          <w:bCs/>
        </w:rPr>
        <w:t>gene</w:t>
      </w:r>
      <w:r w:rsidRPr="00AD4F6B">
        <w:rPr>
          <w:b/>
          <w:bCs/>
          <w:i/>
          <w:iCs/>
        </w:rPr>
        <w:t xml:space="preserve"> </w:t>
      </w:r>
      <w:r w:rsidRPr="00AD4F6B">
        <w:rPr>
          <w:b/>
          <w:bCs/>
        </w:rPr>
        <w:t>copies)</w:t>
      </w:r>
      <w:r w:rsidRPr="00AD4F6B">
        <w:rPr>
          <w:b/>
          <w:bCs/>
          <w:i/>
          <w:iCs/>
        </w:rPr>
        <w:t xml:space="preserve"> </w:t>
      </w:r>
    </w:p>
    <w:p w:rsidRPr="00AD4F6B" w:rsidR="001B3E2F" w:rsidP="001B3E2F" w:rsidRDefault="001B3E2F" w14:paraId="44F2088E" w14:textId="77777777">
      <w:pPr>
        <w:rPr>
          <w:i/>
          <w:iCs/>
        </w:rPr>
      </w:pPr>
    </w:p>
    <w:tbl>
      <w:tblPr>
        <w:tblpPr w:leftFromText="180" w:rightFromText="180" w:vertAnchor="text" w:tblpX="24"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Recommended listing - Type I-IIIa SMA or pre-symptomatic SMA (1-2 SMN2 gene copies) "/>
      </w:tblPr>
      <w:tblGrid>
        <w:gridCol w:w="1418"/>
        <w:gridCol w:w="2533"/>
        <w:gridCol w:w="907"/>
        <w:gridCol w:w="721"/>
        <w:gridCol w:w="813"/>
        <w:gridCol w:w="813"/>
        <w:gridCol w:w="1812"/>
      </w:tblGrid>
      <w:tr w:rsidRPr="00AD4F6B" w:rsidR="00AD4F6B" w:rsidTr="003930DB" w14:paraId="1C3E3520" w14:textId="77777777">
        <w:trPr>
          <w:cantSplit/>
          <w:trHeight w:val="20"/>
        </w:trPr>
        <w:tc>
          <w:tcPr>
            <w:tcW w:w="2190" w:type="pct"/>
            <w:gridSpan w:val="2"/>
            <w:vAlign w:val="center"/>
          </w:tcPr>
          <w:p w:rsidRPr="00AD4F6B" w:rsidR="001B3E2F" w:rsidRDefault="001B3E2F" w14:paraId="143F0B3A" w14:textId="77777777">
            <w:pPr>
              <w:keepLines/>
              <w:rPr>
                <w:rFonts w:ascii="Arial Narrow" w:hAnsi="Arial Narrow"/>
                <w:b/>
                <w:bCs/>
                <w:sz w:val="20"/>
                <w:szCs w:val="20"/>
              </w:rPr>
            </w:pPr>
            <w:r w:rsidRPr="00AD4F6B">
              <w:rPr>
                <w:rFonts w:ascii="Arial Narrow" w:hAnsi="Arial Narrow"/>
                <w:b/>
                <w:bCs/>
                <w:sz w:val="20"/>
                <w:szCs w:val="20"/>
              </w:rPr>
              <w:t>MEDICINAL PRODUCT</w:t>
            </w:r>
          </w:p>
          <w:p w:rsidRPr="00AD4F6B" w:rsidR="001B3E2F" w:rsidRDefault="001B3E2F" w14:paraId="519E692A" w14:textId="77777777">
            <w:pPr>
              <w:keepLines/>
              <w:rPr>
                <w:rFonts w:ascii="Arial Narrow" w:hAnsi="Arial Narrow"/>
                <w:b/>
                <w:sz w:val="20"/>
                <w:szCs w:val="20"/>
              </w:rPr>
            </w:pPr>
            <w:r w:rsidRPr="00AD4F6B">
              <w:rPr>
                <w:rFonts w:ascii="Arial Narrow" w:hAnsi="Arial Narrow"/>
                <w:b/>
                <w:bCs/>
                <w:sz w:val="20"/>
                <w:szCs w:val="20"/>
              </w:rPr>
              <w:t>medicinal product pack</w:t>
            </w:r>
          </w:p>
        </w:tc>
        <w:tc>
          <w:tcPr>
            <w:tcW w:w="503" w:type="pct"/>
            <w:vAlign w:val="center"/>
          </w:tcPr>
          <w:p w:rsidRPr="00AD4F6B" w:rsidR="001B3E2F" w:rsidRDefault="001B3E2F" w14:paraId="453559D5" w14:textId="77777777">
            <w:pPr>
              <w:keepLines/>
              <w:jc w:val="center"/>
              <w:rPr>
                <w:rFonts w:ascii="Arial Narrow" w:hAnsi="Arial Narrow"/>
                <w:b/>
                <w:sz w:val="20"/>
                <w:szCs w:val="20"/>
              </w:rPr>
            </w:pPr>
            <w:r w:rsidRPr="00AD4F6B">
              <w:rPr>
                <w:rFonts w:ascii="Arial Narrow" w:hAnsi="Arial Narrow"/>
                <w:b/>
                <w:sz w:val="20"/>
                <w:szCs w:val="20"/>
              </w:rPr>
              <w:t>PBS item code</w:t>
            </w:r>
          </w:p>
        </w:tc>
        <w:tc>
          <w:tcPr>
            <w:tcW w:w="400" w:type="pct"/>
            <w:vAlign w:val="center"/>
          </w:tcPr>
          <w:p w:rsidRPr="00AD4F6B" w:rsidR="001B3E2F" w:rsidRDefault="001B3E2F" w14:paraId="2AC41799" w14:textId="77777777">
            <w:pPr>
              <w:keepLines/>
              <w:jc w:val="center"/>
              <w:rPr>
                <w:rFonts w:ascii="Arial Narrow" w:hAnsi="Arial Narrow"/>
                <w:b/>
                <w:sz w:val="20"/>
                <w:szCs w:val="20"/>
              </w:rPr>
            </w:pPr>
            <w:r w:rsidRPr="00AD4F6B">
              <w:rPr>
                <w:rFonts w:ascii="Arial Narrow" w:hAnsi="Arial Narrow"/>
                <w:b/>
                <w:sz w:val="20"/>
                <w:szCs w:val="20"/>
              </w:rPr>
              <w:t>Max. qty packs</w:t>
            </w:r>
          </w:p>
        </w:tc>
        <w:tc>
          <w:tcPr>
            <w:tcW w:w="451" w:type="pct"/>
            <w:vAlign w:val="center"/>
          </w:tcPr>
          <w:p w:rsidRPr="00AD4F6B" w:rsidR="001B3E2F" w:rsidRDefault="001B3E2F" w14:paraId="3FCA0C8B" w14:textId="77777777">
            <w:pPr>
              <w:keepLines/>
              <w:jc w:val="center"/>
              <w:rPr>
                <w:rFonts w:ascii="Arial Narrow" w:hAnsi="Arial Narrow"/>
                <w:b/>
                <w:sz w:val="20"/>
                <w:szCs w:val="20"/>
              </w:rPr>
            </w:pPr>
            <w:r w:rsidRPr="00AD4F6B">
              <w:rPr>
                <w:rFonts w:ascii="Arial Narrow" w:hAnsi="Arial Narrow"/>
                <w:b/>
                <w:sz w:val="20"/>
                <w:szCs w:val="20"/>
              </w:rPr>
              <w:t>Max. qty units</w:t>
            </w:r>
          </w:p>
        </w:tc>
        <w:tc>
          <w:tcPr>
            <w:tcW w:w="451" w:type="pct"/>
            <w:vAlign w:val="center"/>
          </w:tcPr>
          <w:p w:rsidRPr="00AD4F6B" w:rsidR="001B3E2F" w:rsidRDefault="001B3E2F" w14:paraId="455000AB" w14:textId="77777777">
            <w:pPr>
              <w:keepLines/>
              <w:jc w:val="center"/>
              <w:rPr>
                <w:rFonts w:ascii="Arial Narrow" w:hAnsi="Arial Narrow"/>
                <w:b/>
                <w:sz w:val="20"/>
                <w:szCs w:val="20"/>
              </w:rPr>
            </w:pPr>
            <w:r w:rsidRPr="00AD4F6B">
              <w:rPr>
                <w:rFonts w:ascii="Arial Narrow" w:hAnsi="Arial Narrow"/>
                <w:b/>
                <w:sz w:val="20"/>
                <w:szCs w:val="20"/>
              </w:rPr>
              <w:t>№.of</w:t>
            </w:r>
          </w:p>
          <w:p w:rsidRPr="00AD4F6B" w:rsidR="001B3E2F" w:rsidRDefault="001B3E2F" w14:paraId="29368799" w14:textId="77777777">
            <w:pPr>
              <w:keepLines/>
              <w:jc w:val="center"/>
              <w:rPr>
                <w:rFonts w:ascii="Arial Narrow" w:hAnsi="Arial Narrow"/>
                <w:b/>
                <w:sz w:val="20"/>
                <w:szCs w:val="20"/>
              </w:rPr>
            </w:pPr>
            <w:r w:rsidRPr="00AD4F6B">
              <w:rPr>
                <w:rFonts w:ascii="Arial Narrow" w:hAnsi="Arial Narrow"/>
                <w:b/>
                <w:sz w:val="20"/>
                <w:szCs w:val="20"/>
              </w:rPr>
              <w:t>Rpts</w:t>
            </w:r>
          </w:p>
        </w:tc>
        <w:tc>
          <w:tcPr>
            <w:tcW w:w="1006" w:type="pct"/>
            <w:vAlign w:val="center"/>
          </w:tcPr>
          <w:p w:rsidRPr="00AD4F6B" w:rsidR="001B3E2F" w:rsidRDefault="001B3E2F" w14:paraId="2BFCCC81" w14:textId="77777777">
            <w:pPr>
              <w:keepLines/>
              <w:rPr>
                <w:rFonts w:ascii="Arial Narrow" w:hAnsi="Arial Narrow"/>
                <w:b/>
                <w:sz w:val="20"/>
                <w:szCs w:val="20"/>
                <w:lang w:val="fr-FR"/>
              </w:rPr>
            </w:pPr>
            <w:r w:rsidRPr="00AD4F6B">
              <w:rPr>
                <w:rFonts w:ascii="Arial Narrow" w:hAnsi="Arial Narrow"/>
                <w:b/>
                <w:sz w:val="20"/>
                <w:szCs w:val="20"/>
              </w:rPr>
              <w:t>Available brands</w:t>
            </w:r>
          </w:p>
        </w:tc>
      </w:tr>
      <w:tr w:rsidRPr="00AD4F6B" w:rsidR="00AD4F6B" w:rsidTr="00EA35AC" w14:paraId="30F8F7B1" w14:textId="77777777">
        <w:trPr>
          <w:cantSplit/>
          <w:trHeight w:val="20"/>
        </w:trPr>
        <w:tc>
          <w:tcPr>
            <w:tcW w:w="5000" w:type="pct"/>
            <w:gridSpan w:val="7"/>
            <w:vAlign w:val="center"/>
          </w:tcPr>
          <w:p w:rsidRPr="00AD4F6B" w:rsidR="001B3E2F" w:rsidRDefault="001B3E2F" w14:paraId="1988D250" w14:textId="77777777">
            <w:pPr>
              <w:keepLines/>
              <w:rPr>
                <w:rFonts w:ascii="Arial Narrow" w:hAnsi="Arial Narrow"/>
                <w:sz w:val="20"/>
                <w:szCs w:val="20"/>
              </w:rPr>
            </w:pPr>
            <w:r w:rsidRPr="00AD4F6B">
              <w:rPr>
                <w:rFonts w:ascii="Arial Narrow" w:hAnsi="Arial Narrow"/>
                <w:sz w:val="20"/>
                <w:szCs w:val="20"/>
              </w:rPr>
              <w:t>ONASEMNOGENE ABEPARVOVEC</w:t>
            </w:r>
          </w:p>
        </w:tc>
      </w:tr>
      <w:tr w:rsidRPr="00AD4F6B" w:rsidR="00AD4F6B" w:rsidTr="003930DB" w14:paraId="6E59A5A5" w14:textId="77777777">
        <w:trPr>
          <w:cantSplit/>
          <w:trHeight w:val="20"/>
        </w:trPr>
        <w:tc>
          <w:tcPr>
            <w:tcW w:w="2190" w:type="pct"/>
            <w:gridSpan w:val="2"/>
            <w:vAlign w:val="center"/>
          </w:tcPr>
          <w:p w:rsidRPr="00AD4F6B" w:rsidR="001B3E2F" w:rsidRDefault="001B3E2F" w14:paraId="5A4316B8" w14:textId="77777777">
            <w:pPr>
              <w:keepLines/>
              <w:rPr>
                <w:rFonts w:ascii="Arial Narrow" w:hAnsi="Arial Narrow"/>
                <w:sz w:val="20"/>
                <w:szCs w:val="20"/>
              </w:rPr>
            </w:pPr>
            <w:r w:rsidRPr="00AD4F6B">
              <w:rPr>
                <w:rFonts w:ascii="Arial Narrow" w:hAnsi="Arial Narrow"/>
                <w:sz w:val="20"/>
                <w:szCs w:val="20"/>
              </w:rPr>
              <w:t xml:space="preserve">onasemnogene abeparvovec 20 trillion vector genomes/mL injection [2 x 5.5 mL vials] (&amp;) onasemnogene abeparvovec 20 trillion vector genomes/mL injection [2 x 8.3 mL vials], 1 pack </w:t>
            </w:r>
          </w:p>
        </w:tc>
        <w:tc>
          <w:tcPr>
            <w:tcW w:w="503" w:type="pct"/>
            <w:vAlign w:val="center"/>
          </w:tcPr>
          <w:p w:rsidRPr="00AD4F6B" w:rsidR="001B3E2F" w:rsidRDefault="001B3E2F" w14:paraId="5ACB6D61" w14:textId="77777777">
            <w:pPr>
              <w:keepLines/>
              <w:jc w:val="center"/>
              <w:rPr>
                <w:rFonts w:ascii="Arial Narrow" w:hAnsi="Arial Narrow"/>
                <w:sz w:val="20"/>
                <w:szCs w:val="20"/>
              </w:rPr>
            </w:pPr>
            <w:r w:rsidRPr="00AD4F6B">
              <w:rPr>
                <w:rFonts w:ascii="Arial Narrow" w:hAnsi="Arial Narrow"/>
                <w:sz w:val="20"/>
                <w:szCs w:val="20"/>
              </w:rPr>
              <w:t>12958B</w:t>
            </w:r>
          </w:p>
        </w:tc>
        <w:tc>
          <w:tcPr>
            <w:tcW w:w="400" w:type="pct"/>
            <w:vAlign w:val="center"/>
          </w:tcPr>
          <w:p w:rsidRPr="00AD4F6B" w:rsidR="001B3E2F" w:rsidRDefault="001B3E2F" w14:paraId="49300897"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2C66757"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0775052"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vMerge w:val="restart"/>
            <w:vAlign w:val="center"/>
          </w:tcPr>
          <w:p w:rsidRPr="00AD4F6B" w:rsidR="001B3E2F" w:rsidRDefault="001B3E2F" w14:paraId="1C5119DB" w14:textId="77777777">
            <w:pPr>
              <w:keepLines/>
              <w:jc w:val="center"/>
              <w:rPr>
                <w:rFonts w:ascii="Arial Narrow" w:hAnsi="Arial Narrow"/>
                <w:sz w:val="20"/>
                <w:szCs w:val="20"/>
              </w:rPr>
            </w:pPr>
            <w:proofErr w:type="spellStart"/>
            <w:r w:rsidRPr="00AD4F6B">
              <w:rPr>
                <w:rFonts w:ascii="Arial Narrow" w:hAnsi="Arial Narrow"/>
                <w:sz w:val="20"/>
                <w:szCs w:val="20"/>
              </w:rPr>
              <w:t>Zolgensma</w:t>
            </w:r>
            <w:proofErr w:type="spellEnd"/>
          </w:p>
        </w:tc>
      </w:tr>
      <w:tr w:rsidRPr="00AD4F6B" w:rsidR="00AD4F6B" w:rsidTr="003930DB" w14:paraId="3772B410" w14:textId="77777777">
        <w:trPr>
          <w:cantSplit/>
          <w:trHeight w:val="20"/>
        </w:trPr>
        <w:tc>
          <w:tcPr>
            <w:tcW w:w="2190" w:type="pct"/>
            <w:gridSpan w:val="2"/>
            <w:vAlign w:val="center"/>
          </w:tcPr>
          <w:p w:rsidRPr="00AD4F6B" w:rsidR="001B3E2F" w:rsidRDefault="001B3E2F" w14:paraId="0034A8E6" w14:textId="77777777">
            <w:pPr>
              <w:keepLines/>
              <w:rPr>
                <w:rFonts w:ascii="Arial Narrow" w:hAnsi="Arial Narrow"/>
                <w:sz w:val="20"/>
                <w:szCs w:val="20"/>
              </w:rPr>
            </w:pPr>
            <w:r w:rsidRPr="00AD4F6B">
              <w:rPr>
                <w:rFonts w:ascii="Arial Narrow" w:hAnsi="Arial Narrow"/>
                <w:sz w:val="20"/>
                <w:szCs w:val="20"/>
              </w:rPr>
              <w:t xml:space="preserve">onasemnogene abeparvovec 20 trillion vector genomes/mL injection [2 x 5.5 mL vials] (&amp;) onasemnogene abeparvovec 20 trillion vector genomes/mL injection [3 x 8.3 mL vials], 1 pack </w:t>
            </w:r>
          </w:p>
        </w:tc>
        <w:tc>
          <w:tcPr>
            <w:tcW w:w="503" w:type="pct"/>
            <w:vAlign w:val="center"/>
          </w:tcPr>
          <w:p w:rsidRPr="00AD4F6B" w:rsidR="001B3E2F" w:rsidRDefault="001B3E2F" w14:paraId="7F404010" w14:textId="77777777">
            <w:pPr>
              <w:keepLines/>
              <w:jc w:val="center"/>
              <w:rPr>
                <w:rFonts w:ascii="Arial Narrow" w:hAnsi="Arial Narrow"/>
                <w:sz w:val="20"/>
                <w:szCs w:val="20"/>
              </w:rPr>
            </w:pPr>
            <w:r w:rsidRPr="00AD4F6B">
              <w:rPr>
                <w:rFonts w:ascii="Arial Narrow" w:hAnsi="Arial Narrow"/>
                <w:sz w:val="20"/>
                <w:szCs w:val="20"/>
              </w:rPr>
              <w:t>12940C</w:t>
            </w:r>
          </w:p>
        </w:tc>
        <w:tc>
          <w:tcPr>
            <w:tcW w:w="400" w:type="pct"/>
            <w:vAlign w:val="center"/>
          </w:tcPr>
          <w:p w:rsidRPr="00AD4F6B" w:rsidR="001B3E2F" w:rsidRDefault="001B3E2F" w14:paraId="5EE6B513"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3BD8D84"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9EAE535"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3367FD71" w14:textId="77777777">
            <w:pPr>
              <w:keepLines/>
              <w:rPr>
                <w:rFonts w:ascii="Arial Narrow" w:hAnsi="Arial Narrow"/>
                <w:sz w:val="20"/>
                <w:szCs w:val="20"/>
              </w:rPr>
            </w:pPr>
          </w:p>
        </w:tc>
      </w:tr>
      <w:tr w:rsidRPr="00AD4F6B" w:rsidR="00AD4F6B" w:rsidTr="003930DB" w14:paraId="4204B807" w14:textId="77777777">
        <w:trPr>
          <w:cantSplit/>
          <w:trHeight w:val="20"/>
        </w:trPr>
        <w:tc>
          <w:tcPr>
            <w:tcW w:w="2190" w:type="pct"/>
            <w:gridSpan w:val="2"/>
            <w:vAlign w:val="center"/>
          </w:tcPr>
          <w:p w:rsidRPr="00AD4F6B" w:rsidR="001B3E2F" w:rsidRDefault="001B3E2F" w14:paraId="4672A5C0" w14:textId="77777777">
            <w:pPr>
              <w:keepLines/>
              <w:rPr>
                <w:rFonts w:ascii="Arial Narrow" w:hAnsi="Arial Narrow"/>
                <w:sz w:val="20"/>
                <w:szCs w:val="20"/>
              </w:rPr>
            </w:pPr>
            <w:r w:rsidRPr="00AD4F6B">
              <w:rPr>
                <w:rFonts w:ascii="Arial Narrow" w:hAnsi="Arial Narrow"/>
                <w:sz w:val="20"/>
                <w:szCs w:val="20"/>
              </w:rPr>
              <w:t xml:space="preserve">onasemnogene abeparvovec 20 trillion vector genomes/mL injection [2 x 5.5 mL vials] (&amp;) onasemnogene abeparvovec 20 trillion vector genomes/mL injection [4 x 8.3 mL vials], 1 pack </w:t>
            </w:r>
          </w:p>
        </w:tc>
        <w:tc>
          <w:tcPr>
            <w:tcW w:w="503" w:type="pct"/>
            <w:vAlign w:val="center"/>
          </w:tcPr>
          <w:p w:rsidRPr="00AD4F6B" w:rsidR="001B3E2F" w:rsidRDefault="001B3E2F" w14:paraId="374D8BB8" w14:textId="77777777">
            <w:pPr>
              <w:keepLines/>
              <w:jc w:val="center"/>
              <w:rPr>
                <w:rFonts w:ascii="Arial Narrow" w:hAnsi="Arial Narrow"/>
                <w:sz w:val="20"/>
                <w:szCs w:val="20"/>
              </w:rPr>
            </w:pPr>
            <w:r w:rsidRPr="00AD4F6B">
              <w:rPr>
                <w:rFonts w:ascii="Arial Narrow" w:hAnsi="Arial Narrow"/>
                <w:sz w:val="20"/>
                <w:szCs w:val="20"/>
              </w:rPr>
              <w:t>12950N</w:t>
            </w:r>
          </w:p>
        </w:tc>
        <w:tc>
          <w:tcPr>
            <w:tcW w:w="400" w:type="pct"/>
            <w:vAlign w:val="center"/>
          </w:tcPr>
          <w:p w:rsidRPr="00AD4F6B" w:rsidR="001B3E2F" w:rsidRDefault="001B3E2F" w14:paraId="34F5EAEF"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942AB8A"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6DBBA95E"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535D6BFD" w14:textId="77777777">
            <w:pPr>
              <w:keepLines/>
              <w:rPr>
                <w:rFonts w:ascii="Arial Narrow" w:hAnsi="Arial Narrow"/>
                <w:sz w:val="20"/>
                <w:szCs w:val="20"/>
              </w:rPr>
            </w:pPr>
          </w:p>
        </w:tc>
      </w:tr>
      <w:tr w:rsidRPr="00AD4F6B" w:rsidR="00AD4F6B" w:rsidTr="003930DB" w14:paraId="17F45D10" w14:textId="77777777">
        <w:trPr>
          <w:cantSplit/>
          <w:trHeight w:val="20"/>
        </w:trPr>
        <w:tc>
          <w:tcPr>
            <w:tcW w:w="2190" w:type="pct"/>
            <w:gridSpan w:val="2"/>
            <w:vAlign w:val="center"/>
          </w:tcPr>
          <w:p w:rsidRPr="00AD4F6B" w:rsidR="001B3E2F" w:rsidRDefault="001B3E2F" w14:paraId="4A14CCB1" w14:textId="77777777">
            <w:pPr>
              <w:keepLines/>
              <w:rPr>
                <w:rFonts w:ascii="Arial Narrow" w:hAnsi="Arial Narrow"/>
                <w:sz w:val="20"/>
                <w:szCs w:val="20"/>
              </w:rPr>
            </w:pPr>
            <w:r w:rsidRPr="00AD4F6B">
              <w:rPr>
                <w:rFonts w:ascii="Arial Narrow" w:hAnsi="Arial Narrow"/>
                <w:sz w:val="20"/>
                <w:szCs w:val="20"/>
              </w:rPr>
              <w:t>onasemnogene abeparvovec 20 trillion vector genomes/mL injection [2 x 5.5 mL vials] (&amp;) onasemnogene abeparvovec 20 trillion vector genomes/mL injection [5 x 8.3 mL vials], 1 pack</w:t>
            </w:r>
          </w:p>
        </w:tc>
        <w:tc>
          <w:tcPr>
            <w:tcW w:w="503" w:type="pct"/>
            <w:vAlign w:val="center"/>
          </w:tcPr>
          <w:p w:rsidRPr="00AD4F6B" w:rsidR="001B3E2F" w:rsidRDefault="001B3E2F" w14:paraId="1AFD8E93" w14:textId="77777777">
            <w:pPr>
              <w:keepLines/>
              <w:jc w:val="center"/>
              <w:rPr>
                <w:rFonts w:ascii="Arial Narrow" w:hAnsi="Arial Narrow"/>
                <w:sz w:val="20"/>
                <w:szCs w:val="20"/>
              </w:rPr>
            </w:pPr>
            <w:r w:rsidRPr="00AD4F6B">
              <w:rPr>
                <w:rFonts w:ascii="Arial Narrow" w:hAnsi="Arial Narrow"/>
                <w:sz w:val="20"/>
                <w:szCs w:val="20"/>
              </w:rPr>
              <w:t>12963G</w:t>
            </w:r>
          </w:p>
        </w:tc>
        <w:tc>
          <w:tcPr>
            <w:tcW w:w="400" w:type="pct"/>
            <w:vAlign w:val="center"/>
          </w:tcPr>
          <w:p w:rsidRPr="00AD4F6B" w:rsidR="001B3E2F" w:rsidRDefault="001B3E2F" w14:paraId="0C5362F0"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6075A3D"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31DDA30"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7B481902" w14:textId="77777777">
            <w:pPr>
              <w:keepLines/>
              <w:rPr>
                <w:rFonts w:ascii="Arial Narrow" w:hAnsi="Arial Narrow"/>
                <w:sz w:val="20"/>
                <w:szCs w:val="20"/>
              </w:rPr>
            </w:pPr>
          </w:p>
        </w:tc>
      </w:tr>
      <w:tr w:rsidRPr="00AD4F6B" w:rsidR="00AD4F6B" w:rsidTr="003930DB" w14:paraId="3763403D" w14:textId="77777777">
        <w:trPr>
          <w:cantSplit/>
          <w:trHeight w:val="20"/>
        </w:trPr>
        <w:tc>
          <w:tcPr>
            <w:tcW w:w="2190" w:type="pct"/>
            <w:gridSpan w:val="2"/>
            <w:vAlign w:val="center"/>
          </w:tcPr>
          <w:p w:rsidRPr="00AD4F6B" w:rsidR="001B3E2F" w:rsidRDefault="001B3E2F" w14:paraId="14A2E1B1" w14:textId="77777777">
            <w:pPr>
              <w:keepLines/>
              <w:rPr>
                <w:rFonts w:ascii="Arial Narrow" w:hAnsi="Arial Narrow"/>
                <w:sz w:val="20"/>
                <w:szCs w:val="20"/>
              </w:rPr>
            </w:pPr>
            <w:r w:rsidRPr="00AD4F6B">
              <w:rPr>
                <w:rFonts w:ascii="Arial Narrow" w:hAnsi="Arial Narrow"/>
                <w:sz w:val="20"/>
                <w:szCs w:val="20"/>
              </w:rPr>
              <w:t>onasemnogene abeparvovec 20 trillion vector genomes/mL injection [2 x 5.5 mL vials] (&amp;) onasemnogene abeparvovec 20 trillion vector genomes/mL injection [6 x 8.3 mL vials], 1 pack</w:t>
            </w:r>
          </w:p>
        </w:tc>
        <w:tc>
          <w:tcPr>
            <w:tcW w:w="503" w:type="pct"/>
            <w:vAlign w:val="center"/>
          </w:tcPr>
          <w:p w:rsidRPr="00AD4F6B" w:rsidR="001B3E2F" w:rsidRDefault="001B3E2F" w14:paraId="47B90397" w14:textId="77777777">
            <w:pPr>
              <w:keepLines/>
              <w:jc w:val="center"/>
              <w:rPr>
                <w:rFonts w:ascii="Arial Narrow" w:hAnsi="Arial Narrow"/>
                <w:sz w:val="20"/>
                <w:szCs w:val="20"/>
              </w:rPr>
            </w:pPr>
            <w:r w:rsidRPr="00AD4F6B">
              <w:rPr>
                <w:rFonts w:ascii="Arial Narrow" w:hAnsi="Arial Narrow"/>
                <w:sz w:val="20"/>
                <w:szCs w:val="20"/>
              </w:rPr>
              <w:t>12941D</w:t>
            </w:r>
          </w:p>
        </w:tc>
        <w:tc>
          <w:tcPr>
            <w:tcW w:w="400" w:type="pct"/>
            <w:vAlign w:val="center"/>
          </w:tcPr>
          <w:p w:rsidRPr="00AD4F6B" w:rsidR="001B3E2F" w:rsidRDefault="001B3E2F" w14:paraId="1FCB8BDA"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EC0F56C"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B941829"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6B6FB442" w14:textId="77777777">
            <w:pPr>
              <w:keepLines/>
              <w:rPr>
                <w:rFonts w:ascii="Arial Narrow" w:hAnsi="Arial Narrow"/>
                <w:sz w:val="20"/>
                <w:szCs w:val="20"/>
              </w:rPr>
            </w:pPr>
          </w:p>
        </w:tc>
      </w:tr>
      <w:tr w:rsidRPr="00AD4F6B" w:rsidR="00AD4F6B" w:rsidTr="003930DB" w14:paraId="63F5515B" w14:textId="77777777">
        <w:trPr>
          <w:cantSplit/>
          <w:trHeight w:val="20"/>
        </w:trPr>
        <w:tc>
          <w:tcPr>
            <w:tcW w:w="2190" w:type="pct"/>
            <w:gridSpan w:val="2"/>
            <w:vAlign w:val="center"/>
          </w:tcPr>
          <w:p w:rsidRPr="00AD4F6B" w:rsidR="001B3E2F" w:rsidRDefault="001B3E2F" w14:paraId="75A42C2A" w14:textId="77777777">
            <w:pPr>
              <w:keepLines/>
              <w:rPr>
                <w:rFonts w:ascii="Arial Narrow" w:hAnsi="Arial Narrow"/>
                <w:sz w:val="20"/>
                <w:szCs w:val="20"/>
              </w:rPr>
            </w:pPr>
            <w:r w:rsidRPr="00AD4F6B">
              <w:rPr>
                <w:rFonts w:ascii="Arial Narrow" w:hAnsi="Arial Narrow"/>
                <w:sz w:val="20"/>
                <w:szCs w:val="20"/>
              </w:rPr>
              <w:t>onasemnogene abeparvovec 20 trillion vector genomes/mL injection [2 x 5.5 mL vials] (&amp;) onasemnogene abeparvovec 20 trillion vector genomes/mL injection [7 x 8.3 mL vials], 1 pack</w:t>
            </w:r>
          </w:p>
        </w:tc>
        <w:tc>
          <w:tcPr>
            <w:tcW w:w="503" w:type="pct"/>
            <w:vAlign w:val="center"/>
          </w:tcPr>
          <w:p w:rsidRPr="00AD4F6B" w:rsidR="001B3E2F" w:rsidRDefault="001B3E2F" w14:paraId="363F3674" w14:textId="77777777">
            <w:pPr>
              <w:keepLines/>
              <w:jc w:val="center"/>
              <w:rPr>
                <w:rFonts w:ascii="Arial Narrow" w:hAnsi="Arial Narrow"/>
                <w:sz w:val="20"/>
                <w:szCs w:val="20"/>
              </w:rPr>
            </w:pPr>
            <w:r w:rsidRPr="00AD4F6B">
              <w:rPr>
                <w:rFonts w:ascii="Arial Narrow" w:hAnsi="Arial Narrow"/>
                <w:sz w:val="20"/>
                <w:szCs w:val="20"/>
              </w:rPr>
              <w:t>12952Q</w:t>
            </w:r>
          </w:p>
        </w:tc>
        <w:tc>
          <w:tcPr>
            <w:tcW w:w="400" w:type="pct"/>
            <w:vAlign w:val="center"/>
          </w:tcPr>
          <w:p w:rsidRPr="00AD4F6B" w:rsidR="001B3E2F" w:rsidRDefault="001B3E2F" w14:paraId="3218C8E6"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BDFE157"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6D4B2E0"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38DF2759" w14:textId="77777777">
            <w:pPr>
              <w:keepLines/>
              <w:rPr>
                <w:rFonts w:ascii="Arial Narrow" w:hAnsi="Arial Narrow"/>
                <w:sz w:val="20"/>
                <w:szCs w:val="20"/>
              </w:rPr>
            </w:pPr>
          </w:p>
        </w:tc>
      </w:tr>
      <w:tr w:rsidRPr="00AD4F6B" w:rsidR="00AD4F6B" w:rsidTr="003930DB" w14:paraId="7D2DBF16" w14:textId="77777777">
        <w:trPr>
          <w:cantSplit/>
          <w:trHeight w:val="20"/>
        </w:trPr>
        <w:tc>
          <w:tcPr>
            <w:tcW w:w="2190" w:type="pct"/>
            <w:gridSpan w:val="2"/>
            <w:vAlign w:val="center"/>
          </w:tcPr>
          <w:p w:rsidRPr="00AD4F6B" w:rsidR="001B3E2F" w:rsidRDefault="001B3E2F" w14:paraId="553EE999"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[2 x 5.5 mL vials] (&amp;) onasemnogene abeparvovec 20 trillion vector genomes/mL injection [8.3 mL vial], 1 pack</w:t>
            </w:r>
          </w:p>
        </w:tc>
        <w:tc>
          <w:tcPr>
            <w:tcW w:w="503" w:type="pct"/>
            <w:vAlign w:val="center"/>
          </w:tcPr>
          <w:p w:rsidRPr="00AD4F6B" w:rsidR="001B3E2F" w:rsidRDefault="001B3E2F" w14:paraId="69946EBE" w14:textId="77777777">
            <w:pPr>
              <w:keepNext/>
              <w:jc w:val="center"/>
              <w:rPr>
                <w:rFonts w:ascii="Arial Narrow" w:hAnsi="Arial Narrow"/>
                <w:sz w:val="20"/>
                <w:szCs w:val="20"/>
              </w:rPr>
            </w:pPr>
            <w:r w:rsidRPr="00AD4F6B">
              <w:rPr>
                <w:rFonts w:ascii="Arial Narrow" w:hAnsi="Arial Narrow"/>
                <w:sz w:val="20"/>
                <w:szCs w:val="20"/>
              </w:rPr>
              <w:t>12955W</w:t>
            </w:r>
          </w:p>
        </w:tc>
        <w:tc>
          <w:tcPr>
            <w:tcW w:w="400" w:type="pct"/>
            <w:vAlign w:val="center"/>
          </w:tcPr>
          <w:p w:rsidRPr="00AD4F6B" w:rsidR="001B3E2F" w:rsidRDefault="001B3E2F" w14:paraId="7E6958E5"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A843C48"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E096FFF"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3B1A5B4F" w14:textId="77777777">
            <w:pPr>
              <w:keepNext/>
              <w:jc w:val="center"/>
              <w:rPr>
                <w:rFonts w:ascii="Arial Narrow" w:hAnsi="Arial Narrow"/>
                <w:sz w:val="20"/>
                <w:szCs w:val="20"/>
              </w:rPr>
            </w:pPr>
          </w:p>
        </w:tc>
      </w:tr>
      <w:tr w:rsidRPr="00AD4F6B" w:rsidR="00AD4F6B" w:rsidTr="003930DB" w14:paraId="596E6C30" w14:textId="77777777">
        <w:trPr>
          <w:cantSplit/>
          <w:trHeight w:val="20"/>
        </w:trPr>
        <w:tc>
          <w:tcPr>
            <w:tcW w:w="2190" w:type="pct"/>
            <w:gridSpan w:val="2"/>
            <w:vAlign w:val="center"/>
          </w:tcPr>
          <w:p w:rsidRPr="00AD4F6B" w:rsidR="001B3E2F" w:rsidRDefault="001B3E2F" w14:paraId="5F08A394"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[2 x 8.3 mL vials], 1 pack</w:t>
            </w:r>
          </w:p>
        </w:tc>
        <w:tc>
          <w:tcPr>
            <w:tcW w:w="503" w:type="pct"/>
            <w:vAlign w:val="center"/>
          </w:tcPr>
          <w:p w:rsidRPr="00AD4F6B" w:rsidR="001B3E2F" w:rsidRDefault="001B3E2F" w14:paraId="697856E1" w14:textId="77777777">
            <w:pPr>
              <w:keepNext/>
              <w:jc w:val="center"/>
              <w:rPr>
                <w:rFonts w:ascii="Arial Narrow" w:hAnsi="Arial Narrow"/>
                <w:sz w:val="20"/>
                <w:szCs w:val="20"/>
              </w:rPr>
            </w:pPr>
            <w:r w:rsidRPr="00AD4F6B">
              <w:rPr>
                <w:rFonts w:ascii="Arial Narrow" w:hAnsi="Arial Narrow"/>
                <w:sz w:val="20"/>
                <w:szCs w:val="20"/>
              </w:rPr>
              <w:t>12951P</w:t>
            </w:r>
          </w:p>
        </w:tc>
        <w:tc>
          <w:tcPr>
            <w:tcW w:w="400" w:type="pct"/>
            <w:vAlign w:val="center"/>
          </w:tcPr>
          <w:p w:rsidRPr="00AD4F6B" w:rsidR="001B3E2F" w:rsidRDefault="001B3E2F" w14:paraId="48A9E814"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9392826"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60C60E52"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29205BCC" w14:textId="77777777">
            <w:pPr>
              <w:keepNext/>
              <w:jc w:val="center"/>
              <w:rPr>
                <w:rFonts w:ascii="Arial Narrow" w:hAnsi="Arial Narrow"/>
                <w:sz w:val="20"/>
                <w:szCs w:val="20"/>
              </w:rPr>
            </w:pPr>
          </w:p>
        </w:tc>
      </w:tr>
      <w:tr w:rsidRPr="00AD4F6B" w:rsidR="00AD4F6B" w:rsidTr="003930DB" w14:paraId="69612E7C" w14:textId="77777777">
        <w:trPr>
          <w:cantSplit/>
          <w:trHeight w:val="20"/>
        </w:trPr>
        <w:tc>
          <w:tcPr>
            <w:tcW w:w="2190" w:type="pct"/>
            <w:gridSpan w:val="2"/>
            <w:vAlign w:val="center"/>
          </w:tcPr>
          <w:p w:rsidRPr="00AD4F6B" w:rsidR="001B3E2F" w:rsidRDefault="001B3E2F" w14:paraId="7C39476C"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[3 x 8.3 mL vials], 1 pack</w:t>
            </w:r>
          </w:p>
        </w:tc>
        <w:tc>
          <w:tcPr>
            <w:tcW w:w="503" w:type="pct"/>
            <w:vAlign w:val="center"/>
          </w:tcPr>
          <w:p w:rsidRPr="00AD4F6B" w:rsidR="001B3E2F" w:rsidRDefault="001B3E2F" w14:paraId="3C760035" w14:textId="77777777">
            <w:pPr>
              <w:keepNext/>
              <w:jc w:val="center"/>
              <w:rPr>
                <w:rFonts w:ascii="Arial Narrow" w:hAnsi="Arial Narrow"/>
                <w:sz w:val="20"/>
                <w:szCs w:val="20"/>
              </w:rPr>
            </w:pPr>
            <w:r w:rsidRPr="00AD4F6B">
              <w:rPr>
                <w:rFonts w:ascii="Arial Narrow" w:hAnsi="Arial Narrow"/>
                <w:sz w:val="20"/>
                <w:szCs w:val="20"/>
              </w:rPr>
              <w:t>12977B</w:t>
            </w:r>
          </w:p>
        </w:tc>
        <w:tc>
          <w:tcPr>
            <w:tcW w:w="400" w:type="pct"/>
            <w:vAlign w:val="center"/>
          </w:tcPr>
          <w:p w:rsidRPr="00AD4F6B" w:rsidR="001B3E2F" w:rsidRDefault="001B3E2F" w14:paraId="15F2C267"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D18B865"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866BF66"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78C99B8B" w14:textId="77777777">
            <w:pPr>
              <w:keepNext/>
              <w:jc w:val="center"/>
              <w:rPr>
                <w:rFonts w:ascii="Arial Narrow" w:hAnsi="Arial Narrow"/>
                <w:sz w:val="20"/>
                <w:szCs w:val="20"/>
              </w:rPr>
            </w:pPr>
          </w:p>
        </w:tc>
      </w:tr>
      <w:tr w:rsidRPr="00AD4F6B" w:rsidR="00AD4F6B" w:rsidTr="003930DB" w14:paraId="349EAD60" w14:textId="77777777">
        <w:trPr>
          <w:cantSplit/>
          <w:trHeight w:val="20"/>
        </w:trPr>
        <w:tc>
          <w:tcPr>
            <w:tcW w:w="2190" w:type="pct"/>
            <w:gridSpan w:val="2"/>
            <w:vAlign w:val="center"/>
          </w:tcPr>
          <w:p w:rsidRPr="00AD4F6B" w:rsidR="001B3E2F" w:rsidRDefault="001B3E2F" w14:paraId="50414927"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[4 x 8.3 mL vials], 1 pack</w:t>
            </w:r>
          </w:p>
        </w:tc>
        <w:tc>
          <w:tcPr>
            <w:tcW w:w="503" w:type="pct"/>
            <w:vAlign w:val="center"/>
          </w:tcPr>
          <w:p w:rsidRPr="00AD4F6B" w:rsidR="001B3E2F" w:rsidRDefault="001B3E2F" w14:paraId="73A02B8A" w14:textId="77777777">
            <w:pPr>
              <w:keepNext/>
              <w:jc w:val="center"/>
              <w:rPr>
                <w:rFonts w:ascii="Arial Narrow" w:hAnsi="Arial Narrow"/>
                <w:sz w:val="20"/>
                <w:szCs w:val="20"/>
              </w:rPr>
            </w:pPr>
            <w:r w:rsidRPr="00AD4F6B">
              <w:rPr>
                <w:rFonts w:ascii="Arial Narrow" w:hAnsi="Arial Narrow"/>
                <w:sz w:val="20"/>
                <w:szCs w:val="20"/>
              </w:rPr>
              <w:t>12942E</w:t>
            </w:r>
          </w:p>
        </w:tc>
        <w:tc>
          <w:tcPr>
            <w:tcW w:w="400" w:type="pct"/>
            <w:vAlign w:val="center"/>
          </w:tcPr>
          <w:p w:rsidRPr="00AD4F6B" w:rsidR="001B3E2F" w:rsidRDefault="001B3E2F" w14:paraId="62B34D2F"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3A4EE40"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954CF7D"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05A8B7C5" w14:textId="77777777">
            <w:pPr>
              <w:keepNext/>
              <w:jc w:val="center"/>
              <w:rPr>
                <w:rFonts w:ascii="Arial Narrow" w:hAnsi="Arial Narrow"/>
                <w:sz w:val="20"/>
                <w:szCs w:val="20"/>
              </w:rPr>
            </w:pPr>
          </w:p>
        </w:tc>
      </w:tr>
      <w:tr w:rsidRPr="00AD4F6B" w:rsidR="00AD4F6B" w:rsidTr="003930DB" w14:paraId="54913927" w14:textId="77777777">
        <w:trPr>
          <w:cantSplit/>
          <w:trHeight w:val="20"/>
        </w:trPr>
        <w:tc>
          <w:tcPr>
            <w:tcW w:w="2190" w:type="pct"/>
            <w:gridSpan w:val="2"/>
            <w:vAlign w:val="center"/>
          </w:tcPr>
          <w:p w:rsidRPr="00AD4F6B" w:rsidR="001B3E2F" w:rsidRDefault="001B3E2F" w14:paraId="466E072E"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[5 x 8.3 mL vials], 1 pack</w:t>
            </w:r>
          </w:p>
        </w:tc>
        <w:tc>
          <w:tcPr>
            <w:tcW w:w="503" w:type="pct"/>
            <w:vAlign w:val="center"/>
          </w:tcPr>
          <w:p w:rsidRPr="00AD4F6B" w:rsidR="001B3E2F" w:rsidRDefault="001B3E2F" w14:paraId="0616383F" w14:textId="77777777">
            <w:pPr>
              <w:keepNext/>
              <w:jc w:val="center"/>
              <w:rPr>
                <w:rFonts w:ascii="Arial Narrow" w:hAnsi="Arial Narrow"/>
                <w:sz w:val="20"/>
                <w:szCs w:val="20"/>
              </w:rPr>
            </w:pPr>
            <w:r w:rsidRPr="00AD4F6B">
              <w:rPr>
                <w:rFonts w:ascii="Arial Narrow" w:hAnsi="Arial Narrow"/>
                <w:sz w:val="20"/>
                <w:szCs w:val="20"/>
              </w:rPr>
              <w:t>12976Y</w:t>
            </w:r>
          </w:p>
        </w:tc>
        <w:tc>
          <w:tcPr>
            <w:tcW w:w="400" w:type="pct"/>
            <w:vAlign w:val="center"/>
          </w:tcPr>
          <w:p w:rsidRPr="00AD4F6B" w:rsidR="001B3E2F" w:rsidRDefault="001B3E2F" w14:paraId="1D7875C5"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14AD8D7"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F6D7484"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451BBF93" w14:textId="77777777">
            <w:pPr>
              <w:keepNext/>
              <w:jc w:val="center"/>
              <w:rPr>
                <w:rFonts w:ascii="Arial Narrow" w:hAnsi="Arial Narrow"/>
                <w:sz w:val="20"/>
                <w:szCs w:val="20"/>
              </w:rPr>
            </w:pPr>
          </w:p>
        </w:tc>
      </w:tr>
      <w:tr w:rsidRPr="00AD4F6B" w:rsidR="00AD4F6B" w:rsidTr="003930DB" w14:paraId="45D9EFDF" w14:textId="77777777">
        <w:trPr>
          <w:cantSplit/>
          <w:trHeight w:val="20"/>
        </w:trPr>
        <w:tc>
          <w:tcPr>
            <w:tcW w:w="2190" w:type="pct"/>
            <w:gridSpan w:val="2"/>
            <w:vAlign w:val="center"/>
          </w:tcPr>
          <w:p w:rsidRPr="00AD4F6B" w:rsidR="001B3E2F" w:rsidRDefault="001B3E2F" w14:paraId="624A6355" w14:textId="77777777">
            <w:pPr>
              <w:keepNext/>
              <w:tabs>
                <w:tab w:val="left" w:pos="1077"/>
              </w:tabs>
              <w:rPr>
                <w:rFonts w:ascii="Arial Narrow" w:hAnsi="Arial Narrow"/>
                <w:sz w:val="20"/>
                <w:szCs w:val="20"/>
              </w:rPr>
            </w:pPr>
            <w:r w:rsidRPr="00AD4F6B">
              <w:rPr>
                <w:rFonts w:ascii="Arial Narrow" w:hAnsi="Arial Narrow"/>
                <w:sz w:val="20"/>
                <w:szCs w:val="20"/>
              </w:rPr>
              <w:t xml:space="preserve">onasemnogene abeparvovec 20 trillion vector genomes/mL injection [5.5 mL vial] (&amp;) </w:t>
            </w:r>
            <w:r w:rsidRPr="00AD4F6B">
              <w:rPr>
                <w:rFonts w:ascii="Arial Narrow" w:hAnsi="Arial Narrow"/>
                <w:sz w:val="20"/>
                <w:szCs w:val="20"/>
              </w:rPr>
              <w:t>onasemnogene abeparvovec 20 trillion vector genomes/mL injection [6 x 8.3 mL vials], 1 pack</w:t>
            </w:r>
          </w:p>
        </w:tc>
        <w:tc>
          <w:tcPr>
            <w:tcW w:w="503" w:type="pct"/>
            <w:vAlign w:val="center"/>
          </w:tcPr>
          <w:p w:rsidRPr="00AD4F6B" w:rsidR="001B3E2F" w:rsidRDefault="001B3E2F" w14:paraId="5AD1AFBC" w14:textId="77777777">
            <w:pPr>
              <w:keepNext/>
              <w:jc w:val="center"/>
              <w:rPr>
                <w:rFonts w:ascii="Arial Narrow" w:hAnsi="Arial Narrow"/>
                <w:sz w:val="20"/>
                <w:szCs w:val="20"/>
              </w:rPr>
            </w:pPr>
            <w:r w:rsidRPr="00AD4F6B">
              <w:rPr>
                <w:rFonts w:ascii="Arial Narrow" w:hAnsi="Arial Narrow"/>
                <w:sz w:val="20"/>
                <w:szCs w:val="20"/>
              </w:rPr>
              <w:t>12975X</w:t>
            </w:r>
          </w:p>
        </w:tc>
        <w:tc>
          <w:tcPr>
            <w:tcW w:w="400" w:type="pct"/>
            <w:vAlign w:val="center"/>
          </w:tcPr>
          <w:p w:rsidRPr="00AD4F6B" w:rsidR="001B3E2F" w:rsidRDefault="001B3E2F" w14:paraId="394FA2CD"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F2574B4"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AFAFC41"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29ABFB71" w14:textId="77777777">
            <w:pPr>
              <w:keepNext/>
              <w:jc w:val="center"/>
              <w:rPr>
                <w:rFonts w:ascii="Arial Narrow" w:hAnsi="Arial Narrow"/>
                <w:sz w:val="20"/>
                <w:szCs w:val="20"/>
              </w:rPr>
            </w:pPr>
          </w:p>
        </w:tc>
      </w:tr>
      <w:tr w:rsidRPr="00AD4F6B" w:rsidR="00AD4F6B" w:rsidTr="003930DB" w14:paraId="6EC39856" w14:textId="77777777">
        <w:trPr>
          <w:cantSplit/>
          <w:trHeight w:val="20"/>
        </w:trPr>
        <w:tc>
          <w:tcPr>
            <w:tcW w:w="2190" w:type="pct"/>
            <w:gridSpan w:val="2"/>
            <w:vAlign w:val="center"/>
          </w:tcPr>
          <w:p w:rsidRPr="00AD4F6B" w:rsidR="001B3E2F" w:rsidRDefault="001B3E2F" w14:paraId="54D42556"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[7 x 8.3 mL vials], 1 pack</w:t>
            </w:r>
          </w:p>
        </w:tc>
        <w:tc>
          <w:tcPr>
            <w:tcW w:w="503" w:type="pct"/>
            <w:vAlign w:val="center"/>
          </w:tcPr>
          <w:p w:rsidRPr="00AD4F6B" w:rsidR="001B3E2F" w:rsidRDefault="001B3E2F" w14:paraId="69A94096" w14:textId="77777777">
            <w:pPr>
              <w:keepNext/>
              <w:jc w:val="center"/>
              <w:rPr>
                <w:rFonts w:ascii="Arial Narrow" w:hAnsi="Arial Narrow"/>
                <w:sz w:val="20"/>
                <w:szCs w:val="20"/>
              </w:rPr>
            </w:pPr>
            <w:r w:rsidRPr="00AD4F6B">
              <w:rPr>
                <w:rFonts w:ascii="Arial Narrow" w:hAnsi="Arial Narrow"/>
                <w:sz w:val="20"/>
                <w:szCs w:val="20"/>
              </w:rPr>
              <w:t>12956X </w:t>
            </w:r>
          </w:p>
        </w:tc>
        <w:tc>
          <w:tcPr>
            <w:tcW w:w="400" w:type="pct"/>
            <w:vAlign w:val="center"/>
          </w:tcPr>
          <w:p w:rsidRPr="00AD4F6B" w:rsidR="001B3E2F" w:rsidRDefault="001B3E2F" w14:paraId="1D1FAD5C"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634A675B"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86BEC18"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1F4D2CFD" w14:textId="77777777">
            <w:pPr>
              <w:keepNext/>
              <w:jc w:val="center"/>
              <w:rPr>
                <w:rFonts w:ascii="Arial Narrow" w:hAnsi="Arial Narrow"/>
                <w:sz w:val="20"/>
                <w:szCs w:val="20"/>
              </w:rPr>
            </w:pPr>
          </w:p>
        </w:tc>
      </w:tr>
      <w:tr w:rsidRPr="00AD4F6B" w:rsidR="00AD4F6B" w:rsidTr="003930DB" w14:paraId="3DF5DAAE" w14:textId="77777777">
        <w:trPr>
          <w:cantSplit/>
          <w:trHeight w:val="20"/>
        </w:trPr>
        <w:tc>
          <w:tcPr>
            <w:tcW w:w="2190" w:type="pct"/>
            <w:gridSpan w:val="2"/>
            <w:vAlign w:val="center"/>
          </w:tcPr>
          <w:p w:rsidRPr="00AD4F6B" w:rsidR="001B3E2F" w:rsidRDefault="001B3E2F" w14:paraId="60B7FE72"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[8 x 8.3 mL vials], 1 pack</w:t>
            </w:r>
          </w:p>
        </w:tc>
        <w:tc>
          <w:tcPr>
            <w:tcW w:w="503" w:type="pct"/>
            <w:vAlign w:val="center"/>
          </w:tcPr>
          <w:p w:rsidRPr="00AD4F6B" w:rsidR="001B3E2F" w:rsidRDefault="001B3E2F" w14:paraId="0DA94823" w14:textId="77777777">
            <w:pPr>
              <w:keepNext/>
              <w:jc w:val="center"/>
              <w:rPr>
                <w:rFonts w:ascii="Arial Narrow" w:hAnsi="Arial Narrow"/>
                <w:sz w:val="20"/>
                <w:szCs w:val="20"/>
              </w:rPr>
            </w:pPr>
            <w:r w:rsidRPr="00AD4F6B">
              <w:rPr>
                <w:rFonts w:ascii="Arial Narrow" w:hAnsi="Arial Narrow"/>
                <w:sz w:val="20"/>
                <w:szCs w:val="20"/>
              </w:rPr>
              <w:t>12964H</w:t>
            </w:r>
          </w:p>
        </w:tc>
        <w:tc>
          <w:tcPr>
            <w:tcW w:w="400" w:type="pct"/>
            <w:vAlign w:val="center"/>
          </w:tcPr>
          <w:p w:rsidRPr="00AD4F6B" w:rsidR="001B3E2F" w:rsidRDefault="001B3E2F" w14:paraId="32412FB2"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9CF965C"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BC800F7"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42D9F0C0" w14:textId="77777777">
            <w:pPr>
              <w:keepNext/>
              <w:jc w:val="center"/>
              <w:rPr>
                <w:rFonts w:ascii="Arial Narrow" w:hAnsi="Arial Narrow"/>
                <w:sz w:val="20"/>
                <w:szCs w:val="20"/>
              </w:rPr>
            </w:pPr>
          </w:p>
        </w:tc>
      </w:tr>
      <w:tr w:rsidRPr="00AD4F6B" w:rsidR="00AD4F6B" w:rsidTr="003930DB" w14:paraId="29B9C66A" w14:textId="77777777">
        <w:trPr>
          <w:cantSplit/>
          <w:trHeight w:val="20"/>
        </w:trPr>
        <w:tc>
          <w:tcPr>
            <w:tcW w:w="2190" w:type="pct"/>
            <w:gridSpan w:val="2"/>
            <w:vAlign w:val="center"/>
          </w:tcPr>
          <w:p w:rsidRPr="00AD4F6B" w:rsidR="001B3E2F" w:rsidRDefault="001B3E2F" w14:paraId="1BD31264"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2 x 8.3 mL vials</w:t>
            </w:r>
          </w:p>
        </w:tc>
        <w:tc>
          <w:tcPr>
            <w:tcW w:w="503" w:type="pct"/>
            <w:vAlign w:val="center"/>
          </w:tcPr>
          <w:p w:rsidRPr="00AD4F6B" w:rsidR="001B3E2F" w:rsidRDefault="001B3E2F" w14:paraId="0B753D41" w14:textId="77777777">
            <w:pPr>
              <w:keepNext/>
              <w:jc w:val="center"/>
              <w:rPr>
                <w:rFonts w:ascii="Arial Narrow" w:hAnsi="Arial Narrow"/>
                <w:sz w:val="20"/>
                <w:szCs w:val="20"/>
              </w:rPr>
            </w:pPr>
            <w:r w:rsidRPr="00AD4F6B">
              <w:rPr>
                <w:rFonts w:ascii="Arial Narrow" w:hAnsi="Arial Narrow"/>
                <w:sz w:val="20"/>
                <w:szCs w:val="20"/>
              </w:rPr>
              <w:t>12957Y</w:t>
            </w:r>
          </w:p>
        </w:tc>
        <w:tc>
          <w:tcPr>
            <w:tcW w:w="400" w:type="pct"/>
            <w:vAlign w:val="center"/>
          </w:tcPr>
          <w:p w:rsidRPr="00AD4F6B" w:rsidR="001B3E2F" w:rsidRDefault="001B3E2F" w14:paraId="2BBB9F8F"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7E50C96"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920B5F4"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46F114DA" w14:textId="77777777">
            <w:pPr>
              <w:keepNext/>
              <w:jc w:val="center"/>
              <w:rPr>
                <w:rFonts w:ascii="Arial Narrow" w:hAnsi="Arial Narrow"/>
                <w:sz w:val="20"/>
                <w:szCs w:val="20"/>
              </w:rPr>
            </w:pPr>
          </w:p>
        </w:tc>
      </w:tr>
      <w:tr w:rsidRPr="00AD4F6B" w:rsidR="00AD4F6B" w:rsidTr="003930DB" w14:paraId="4D92CDFC" w14:textId="77777777">
        <w:trPr>
          <w:cantSplit/>
          <w:trHeight w:val="20"/>
        </w:trPr>
        <w:tc>
          <w:tcPr>
            <w:tcW w:w="2190" w:type="pct"/>
            <w:gridSpan w:val="2"/>
            <w:vAlign w:val="center"/>
          </w:tcPr>
          <w:p w:rsidRPr="00AD4F6B" w:rsidR="001B3E2F" w:rsidRDefault="001B3E2F" w14:paraId="56FD9477"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3 x 8.3 mL vials</w:t>
            </w:r>
          </w:p>
        </w:tc>
        <w:tc>
          <w:tcPr>
            <w:tcW w:w="503" w:type="pct"/>
            <w:vAlign w:val="center"/>
          </w:tcPr>
          <w:p w:rsidRPr="00AD4F6B" w:rsidR="001B3E2F" w:rsidRDefault="001B3E2F" w14:paraId="59358FC4" w14:textId="77777777">
            <w:pPr>
              <w:keepNext/>
              <w:jc w:val="center"/>
              <w:rPr>
                <w:rFonts w:ascii="Arial Narrow" w:hAnsi="Arial Narrow"/>
                <w:sz w:val="20"/>
                <w:szCs w:val="20"/>
              </w:rPr>
            </w:pPr>
            <w:r w:rsidRPr="00AD4F6B">
              <w:rPr>
                <w:rFonts w:ascii="Arial Narrow" w:hAnsi="Arial Narrow"/>
                <w:sz w:val="20"/>
                <w:szCs w:val="20"/>
              </w:rPr>
              <w:t>12961E</w:t>
            </w:r>
          </w:p>
        </w:tc>
        <w:tc>
          <w:tcPr>
            <w:tcW w:w="400" w:type="pct"/>
            <w:vAlign w:val="center"/>
          </w:tcPr>
          <w:p w:rsidRPr="00AD4F6B" w:rsidR="001B3E2F" w:rsidRDefault="001B3E2F" w14:paraId="76D939AD"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6869C22"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520889C"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7C25B4B7" w14:textId="77777777">
            <w:pPr>
              <w:keepNext/>
              <w:jc w:val="center"/>
              <w:rPr>
                <w:rFonts w:ascii="Arial Narrow" w:hAnsi="Arial Narrow"/>
                <w:sz w:val="20"/>
                <w:szCs w:val="20"/>
              </w:rPr>
            </w:pPr>
          </w:p>
        </w:tc>
      </w:tr>
      <w:tr w:rsidRPr="00AD4F6B" w:rsidR="00AD4F6B" w:rsidTr="003930DB" w14:paraId="50C49B8E" w14:textId="77777777">
        <w:trPr>
          <w:cantSplit/>
          <w:trHeight w:val="20"/>
        </w:trPr>
        <w:tc>
          <w:tcPr>
            <w:tcW w:w="2190" w:type="pct"/>
            <w:gridSpan w:val="2"/>
            <w:vAlign w:val="center"/>
          </w:tcPr>
          <w:p w:rsidRPr="00AD4F6B" w:rsidR="001B3E2F" w:rsidRDefault="001B3E2F" w14:paraId="13F51FFB"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4 x 8.3 mL vials</w:t>
            </w:r>
          </w:p>
        </w:tc>
        <w:tc>
          <w:tcPr>
            <w:tcW w:w="503" w:type="pct"/>
            <w:vAlign w:val="center"/>
          </w:tcPr>
          <w:p w:rsidRPr="00AD4F6B" w:rsidR="001B3E2F" w:rsidRDefault="001B3E2F" w14:paraId="3DD89515" w14:textId="77777777">
            <w:pPr>
              <w:keepNext/>
              <w:jc w:val="center"/>
              <w:rPr>
                <w:rFonts w:ascii="Arial Narrow" w:hAnsi="Arial Narrow"/>
                <w:sz w:val="20"/>
                <w:szCs w:val="20"/>
              </w:rPr>
            </w:pPr>
            <w:r w:rsidRPr="00AD4F6B">
              <w:rPr>
                <w:rFonts w:ascii="Arial Narrow" w:hAnsi="Arial Narrow"/>
                <w:sz w:val="20"/>
                <w:szCs w:val="20"/>
              </w:rPr>
              <w:t>12971Q</w:t>
            </w:r>
          </w:p>
        </w:tc>
        <w:tc>
          <w:tcPr>
            <w:tcW w:w="400" w:type="pct"/>
            <w:vAlign w:val="center"/>
          </w:tcPr>
          <w:p w:rsidRPr="00AD4F6B" w:rsidR="001B3E2F" w:rsidRDefault="001B3E2F" w14:paraId="38DC299C"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1351D7C"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DB919C2"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611DD6C1" w14:textId="77777777">
            <w:pPr>
              <w:keepNext/>
              <w:jc w:val="center"/>
              <w:rPr>
                <w:rFonts w:ascii="Arial Narrow" w:hAnsi="Arial Narrow"/>
                <w:sz w:val="20"/>
                <w:szCs w:val="20"/>
              </w:rPr>
            </w:pPr>
          </w:p>
        </w:tc>
      </w:tr>
      <w:tr w:rsidRPr="00AD4F6B" w:rsidR="00AD4F6B" w:rsidTr="003930DB" w14:paraId="09111334" w14:textId="77777777">
        <w:trPr>
          <w:cantSplit/>
          <w:trHeight w:val="20"/>
        </w:trPr>
        <w:tc>
          <w:tcPr>
            <w:tcW w:w="2190" w:type="pct"/>
            <w:gridSpan w:val="2"/>
            <w:vAlign w:val="center"/>
          </w:tcPr>
          <w:p w:rsidRPr="00AD4F6B" w:rsidR="001B3E2F" w:rsidRDefault="001B3E2F" w14:paraId="21907094"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 x 8.3 mL vials</w:t>
            </w:r>
          </w:p>
        </w:tc>
        <w:tc>
          <w:tcPr>
            <w:tcW w:w="503" w:type="pct"/>
            <w:vAlign w:val="center"/>
          </w:tcPr>
          <w:p w:rsidRPr="00AD4F6B" w:rsidR="001B3E2F" w:rsidRDefault="001B3E2F" w14:paraId="3D3B9703" w14:textId="77777777">
            <w:pPr>
              <w:keepNext/>
              <w:jc w:val="center"/>
              <w:rPr>
                <w:rFonts w:ascii="Arial Narrow" w:hAnsi="Arial Narrow"/>
                <w:sz w:val="20"/>
                <w:szCs w:val="20"/>
              </w:rPr>
            </w:pPr>
            <w:r w:rsidRPr="00AD4F6B">
              <w:rPr>
                <w:rFonts w:ascii="Arial Narrow" w:hAnsi="Arial Narrow"/>
                <w:sz w:val="20"/>
                <w:szCs w:val="20"/>
              </w:rPr>
              <w:t>12962F</w:t>
            </w:r>
          </w:p>
        </w:tc>
        <w:tc>
          <w:tcPr>
            <w:tcW w:w="400" w:type="pct"/>
            <w:vAlign w:val="center"/>
          </w:tcPr>
          <w:p w:rsidRPr="00AD4F6B" w:rsidR="001B3E2F" w:rsidRDefault="001B3E2F" w14:paraId="321D1F3D"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2443623"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DDDA16D"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2A869BBB" w14:textId="77777777">
            <w:pPr>
              <w:keepNext/>
              <w:jc w:val="center"/>
              <w:rPr>
                <w:rFonts w:ascii="Arial Narrow" w:hAnsi="Arial Narrow"/>
                <w:sz w:val="20"/>
                <w:szCs w:val="20"/>
              </w:rPr>
            </w:pPr>
          </w:p>
        </w:tc>
      </w:tr>
      <w:tr w:rsidRPr="00AD4F6B" w:rsidR="00AD4F6B" w:rsidTr="003930DB" w14:paraId="1EE06151" w14:textId="77777777">
        <w:trPr>
          <w:cantSplit/>
          <w:trHeight w:val="20"/>
        </w:trPr>
        <w:tc>
          <w:tcPr>
            <w:tcW w:w="2190" w:type="pct"/>
            <w:gridSpan w:val="2"/>
            <w:vAlign w:val="center"/>
          </w:tcPr>
          <w:p w:rsidRPr="00AD4F6B" w:rsidR="001B3E2F" w:rsidRDefault="001B3E2F" w14:paraId="6F1A6331"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6 x 8.3 mL vials</w:t>
            </w:r>
          </w:p>
        </w:tc>
        <w:tc>
          <w:tcPr>
            <w:tcW w:w="503" w:type="pct"/>
            <w:vAlign w:val="center"/>
          </w:tcPr>
          <w:p w:rsidRPr="00AD4F6B" w:rsidR="001B3E2F" w:rsidRDefault="001B3E2F" w14:paraId="625C3C92" w14:textId="77777777">
            <w:pPr>
              <w:keepNext/>
              <w:jc w:val="center"/>
              <w:rPr>
                <w:rFonts w:ascii="Arial Narrow" w:hAnsi="Arial Narrow"/>
                <w:sz w:val="20"/>
                <w:szCs w:val="20"/>
              </w:rPr>
            </w:pPr>
            <w:r w:rsidRPr="00AD4F6B">
              <w:rPr>
                <w:rFonts w:ascii="Arial Narrow" w:hAnsi="Arial Narrow"/>
                <w:sz w:val="20"/>
                <w:szCs w:val="20"/>
              </w:rPr>
              <w:t>12973T </w:t>
            </w:r>
          </w:p>
        </w:tc>
        <w:tc>
          <w:tcPr>
            <w:tcW w:w="400" w:type="pct"/>
            <w:vAlign w:val="center"/>
          </w:tcPr>
          <w:p w:rsidRPr="00AD4F6B" w:rsidR="001B3E2F" w:rsidRDefault="001B3E2F" w14:paraId="078C8AEE"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5BA706D"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4C77E6A1"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2ED790F2" w14:textId="77777777">
            <w:pPr>
              <w:keepNext/>
              <w:jc w:val="center"/>
              <w:rPr>
                <w:rFonts w:ascii="Arial Narrow" w:hAnsi="Arial Narrow"/>
                <w:sz w:val="20"/>
                <w:szCs w:val="20"/>
              </w:rPr>
            </w:pPr>
          </w:p>
        </w:tc>
      </w:tr>
      <w:tr w:rsidRPr="00AD4F6B" w:rsidR="00AD4F6B" w:rsidTr="003930DB" w14:paraId="48263C7C" w14:textId="77777777">
        <w:trPr>
          <w:cantSplit/>
          <w:trHeight w:val="20"/>
        </w:trPr>
        <w:tc>
          <w:tcPr>
            <w:tcW w:w="2190" w:type="pct"/>
            <w:gridSpan w:val="2"/>
            <w:vAlign w:val="center"/>
          </w:tcPr>
          <w:p w:rsidRPr="00AD4F6B" w:rsidR="001B3E2F" w:rsidRDefault="001B3E2F" w14:paraId="21022C41"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7 x 8.3 mL vials</w:t>
            </w:r>
          </w:p>
        </w:tc>
        <w:tc>
          <w:tcPr>
            <w:tcW w:w="503" w:type="pct"/>
            <w:vAlign w:val="center"/>
          </w:tcPr>
          <w:p w:rsidRPr="00AD4F6B" w:rsidR="001B3E2F" w:rsidRDefault="001B3E2F" w14:paraId="6B688C8E" w14:textId="77777777">
            <w:pPr>
              <w:keepNext/>
              <w:jc w:val="center"/>
              <w:rPr>
                <w:rFonts w:ascii="Arial Narrow" w:hAnsi="Arial Narrow"/>
                <w:sz w:val="20"/>
                <w:szCs w:val="20"/>
              </w:rPr>
            </w:pPr>
            <w:r w:rsidRPr="00AD4F6B">
              <w:rPr>
                <w:rFonts w:ascii="Arial Narrow" w:hAnsi="Arial Narrow"/>
                <w:sz w:val="20"/>
                <w:szCs w:val="20"/>
              </w:rPr>
              <w:t>12954T</w:t>
            </w:r>
          </w:p>
        </w:tc>
        <w:tc>
          <w:tcPr>
            <w:tcW w:w="400" w:type="pct"/>
            <w:vAlign w:val="center"/>
          </w:tcPr>
          <w:p w:rsidRPr="00AD4F6B" w:rsidR="001B3E2F" w:rsidRDefault="001B3E2F" w14:paraId="24E526B6"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60AE92A"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6B9FA9F3"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6747CA3C" w14:textId="77777777">
            <w:pPr>
              <w:keepNext/>
              <w:jc w:val="center"/>
              <w:rPr>
                <w:rFonts w:ascii="Arial Narrow" w:hAnsi="Arial Narrow"/>
                <w:sz w:val="20"/>
                <w:szCs w:val="20"/>
              </w:rPr>
            </w:pPr>
          </w:p>
        </w:tc>
      </w:tr>
      <w:tr w:rsidRPr="00AD4F6B" w:rsidR="00AD4F6B" w:rsidTr="003930DB" w14:paraId="2850B73A" w14:textId="77777777">
        <w:trPr>
          <w:cantSplit/>
          <w:trHeight w:val="20"/>
        </w:trPr>
        <w:tc>
          <w:tcPr>
            <w:tcW w:w="2190" w:type="pct"/>
            <w:gridSpan w:val="2"/>
            <w:vAlign w:val="center"/>
          </w:tcPr>
          <w:p w:rsidRPr="00AD4F6B" w:rsidR="001B3E2F" w:rsidRDefault="001B3E2F" w14:paraId="7DEB2EF8"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8 x 8.3 mL vials</w:t>
            </w:r>
          </w:p>
        </w:tc>
        <w:tc>
          <w:tcPr>
            <w:tcW w:w="503" w:type="pct"/>
            <w:vAlign w:val="center"/>
          </w:tcPr>
          <w:p w:rsidRPr="00AD4F6B" w:rsidR="001B3E2F" w:rsidRDefault="001B3E2F" w14:paraId="4275DCB3" w14:textId="77777777">
            <w:pPr>
              <w:keepNext/>
              <w:jc w:val="center"/>
              <w:rPr>
                <w:rFonts w:ascii="Arial Narrow" w:hAnsi="Arial Narrow"/>
                <w:sz w:val="20"/>
                <w:szCs w:val="20"/>
              </w:rPr>
            </w:pPr>
            <w:r w:rsidRPr="00AD4F6B">
              <w:rPr>
                <w:rFonts w:ascii="Arial Narrow" w:hAnsi="Arial Narrow"/>
                <w:sz w:val="20"/>
                <w:szCs w:val="20"/>
              </w:rPr>
              <w:t>12974W</w:t>
            </w:r>
          </w:p>
        </w:tc>
        <w:tc>
          <w:tcPr>
            <w:tcW w:w="400" w:type="pct"/>
            <w:vAlign w:val="center"/>
          </w:tcPr>
          <w:p w:rsidRPr="00AD4F6B" w:rsidR="001B3E2F" w:rsidRDefault="001B3E2F" w14:paraId="3EA09B90"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27CC9AA"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8515D3D"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6472EF3C" w14:textId="77777777">
            <w:pPr>
              <w:keepNext/>
              <w:jc w:val="center"/>
              <w:rPr>
                <w:rFonts w:ascii="Arial Narrow" w:hAnsi="Arial Narrow"/>
                <w:sz w:val="20"/>
                <w:szCs w:val="20"/>
              </w:rPr>
            </w:pPr>
          </w:p>
        </w:tc>
      </w:tr>
      <w:tr w:rsidRPr="00AD4F6B" w:rsidR="00AD4F6B" w:rsidTr="003930DB" w14:paraId="3BFFF4DC" w14:textId="77777777">
        <w:trPr>
          <w:cantSplit/>
          <w:trHeight w:val="20"/>
        </w:trPr>
        <w:tc>
          <w:tcPr>
            <w:tcW w:w="2190" w:type="pct"/>
            <w:gridSpan w:val="2"/>
            <w:vAlign w:val="center"/>
          </w:tcPr>
          <w:p w:rsidRPr="00AD4F6B" w:rsidR="001B3E2F" w:rsidRDefault="001B3E2F" w14:paraId="3B91EB29"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9 x 8.3 mL vials</w:t>
            </w:r>
          </w:p>
        </w:tc>
        <w:tc>
          <w:tcPr>
            <w:tcW w:w="503" w:type="pct"/>
            <w:vAlign w:val="center"/>
          </w:tcPr>
          <w:p w:rsidRPr="00AD4F6B" w:rsidR="001B3E2F" w:rsidRDefault="001B3E2F" w14:paraId="67F75B7C" w14:textId="77777777">
            <w:pPr>
              <w:keepNext/>
              <w:jc w:val="center"/>
              <w:rPr>
                <w:rFonts w:ascii="Arial Narrow" w:hAnsi="Arial Narrow"/>
                <w:sz w:val="20"/>
                <w:szCs w:val="20"/>
              </w:rPr>
            </w:pPr>
            <w:r w:rsidRPr="00AD4F6B">
              <w:rPr>
                <w:rFonts w:ascii="Arial Narrow" w:hAnsi="Arial Narrow"/>
                <w:sz w:val="20"/>
                <w:szCs w:val="20"/>
              </w:rPr>
              <w:t>12949M</w:t>
            </w:r>
          </w:p>
        </w:tc>
        <w:tc>
          <w:tcPr>
            <w:tcW w:w="400" w:type="pct"/>
            <w:vAlign w:val="center"/>
          </w:tcPr>
          <w:p w:rsidRPr="00AD4F6B" w:rsidR="001B3E2F" w:rsidRDefault="001B3E2F" w14:paraId="177D8ADA"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464488C3"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4E3F8A30"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vMerge/>
            <w:vAlign w:val="center"/>
          </w:tcPr>
          <w:p w:rsidRPr="00AD4F6B" w:rsidR="001B3E2F" w:rsidRDefault="001B3E2F" w14:paraId="76A53C1C" w14:textId="77777777">
            <w:pPr>
              <w:keepNext/>
              <w:jc w:val="center"/>
              <w:rPr>
                <w:rFonts w:ascii="Arial Narrow" w:hAnsi="Arial Narrow"/>
                <w:sz w:val="20"/>
                <w:szCs w:val="20"/>
              </w:rPr>
            </w:pPr>
          </w:p>
        </w:tc>
      </w:tr>
      <w:tr w:rsidRPr="00AD4F6B" w:rsidR="00AD4F6B" w:rsidTr="00EA35AC" w14:paraId="65519E22"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right w:val="single" w:color="auto" w:sz="4" w:space="0"/>
            </w:tcBorders>
            <w:vAlign w:val="center"/>
          </w:tcPr>
          <w:p w:rsidRPr="00AD4F6B" w:rsidR="001B3E2F" w:rsidRDefault="001B3E2F" w14:paraId="65616AF8" w14:textId="77777777">
            <w:pPr>
              <w:rPr>
                <w:rFonts w:ascii="Arial Narrow" w:hAnsi="Arial Narrow"/>
                <w:sz w:val="20"/>
                <w:szCs w:val="20"/>
              </w:rPr>
            </w:pPr>
          </w:p>
        </w:tc>
      </w:tr>
      <w:tr w:rsidRPr="00AD4F6B" w:rsidR="00657A59" w:rsidTr="00657A59" w14:paraId="1F158C02"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42ADC2C3" w14:textId="77777777">
            <w:pPr>
              <w:keepLines/>
              <w:rPr>
                <w:rFonts w:ascii="Arial Narrow" w:hAnsi="Arial Narrow"/>
                <w:sz w:val="20"/>
                <w:szCs w:val="20"/>
              </w:rPr>
            </w:pPr>
            <w:r w:rsidRPr="00AD4F6B">
              <w:rPr>
                <w:rFonts w:ascii="Arial Narrow" w:hAnsi="Arial Narrow"/>
                <w:b/>
                <w:sz w:val="20"/>
                <w:szCs w:val="20"/>
              </w:rPr>
              <w:t>Category / Program:</w:t>
            </w:r>
            <w:r w:rsidRPr="00AD4F6B">
              <w:rPr>
                <w:rFonts w:ascii="Arial Narrow" w:hAnsi="Arial Narrow"/>
                <w:sz w:val="20"/>
                <w:szCs w:val="20"/>
              </w:rPr>
              <w:t xml:space="preserve"> </w:t>
            </w:r>
            <w:r w:rsidRPr="00AD4F6B">
              <w:rPr>
                <w:rFonts w:ascii="Arial Narrow" w:hAnsi="Arial Narrow"/>
                <w:sz w:val="20"/>
                <w:szCs w:val="20"/>
              </w:rPr>
              <w:fldChar w:fldCharType="begin">
                <w:ffData>
                  <w:name w:val=""/>
                  <w:enabled/>
                  <w:calcOnExit w:val="0"/>
                  <w:checkBox>
                    <w:sizeAuto/>
                    <w:default w:val="1"/>
                  </w:checkBox>
                </w:ffData>
              </w:fldChar>
            </w:r>
            <w:r w:rsidRPr="00AD4F6B">
              <w:rPr>
                <w:rFonts w:ascii="Arial Narrow" w:hAnsi="Arial Narrow"/>
                <w:sz w:val="20"/>
                <w:szCs w:val="20"/>
              </w:rPr>
              <w:instrText xml:space="preserve"> FORMCHECKBOX </w:instrText>
            </w:r>
            <w:r w:rsidRPr="00AD4F6B">
              <w:rPr>
                <w:rFonts w:ascii="Arial Narrow" w:hAnsi="Arial Narrow"/>
                <w:sz w:val="20"/>
                <w:szCs w:val="20"/>
              </w:rPr>
            </w:r>
            <w:r w:rsidRPr="00AD4F6B">
              <w:rPr>
                <w:rFonts w:ascii="Arial Narrow" w:hAnsi="Arial Narrow"/>
                <w:sz w:val="20"/>
                <w:szCs w:val="20"/>
              </w:rPr>
              <w:fldChar w:fldCharType="separate"/>
            </w:r>
            <w:r w:rsidRPr="00AD4F6B">
              <w:rPr>
                <w:rFonts w:ascii="Arial Narrow" w:hAnsi="Arial Narrow"/>
                <w:sz w:val="20"/>
                <w:szCs w:val="20"/>
              </w:rPr>
              <w:fldChar w:fldCharType="end"/>
            </w:r>
            <w:r w:rsidRPr="00AD4F6B">
              <w:rPr>
                <w:rFonts w:ascii="Arial Narrow" w:hAnsi="Arial Narrow"/>
                <w:sz w:val="20"/>
                <w:szCs w:val="20"/>
              </w:rPr>
              <w:t xml:space="preserve"> </w:t>
            </w:r>
            <w:r w:rsidRPr="00AD4F6B">
              <w:rPr>
                <w:rFonts w:ascii="Arial Narrow" w:hAnsi="Arial Narrow" w:eastAsia="Calibri"/>
                <w:sz w:val="20"/>
                <w:szCs w:val="20"/>
              </w:rPr>
              <w:t>Section 100 – Highly Specialised Drugs Program – Public (Code HB)</w:t>
            </w:r>
          </w:p>
        </w:tc>
      </w:tr>
      <w:tr w:rsidRPr="00AD4F6B" w:rsidR="00657A59" w:rsidTr="00657A59" w14:paraId="453C192C"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21F4BE7A" w14:textId="77777777">
            <w:pPr>
              <w:keepLines/>
              <w:rPr>
                <w:rFonts w:ascii="Arial Narrow" w:hAnsi="Arial Narrow"/>
                <w:b/>
                <w:sz w:val="20"/>
                <w:szCs w:val="20"/>
              </w:rPr>
            </w:pPr>
            <w:r w:rsidRPr="00AD4F6B">
              <w:rPr>
                <w:rFonts w:ascii="Arial Narrow" w:hAnsi="Arial Narrow"/>
                <w:b/>
                <w:sz w:val="20"/>
                <w:szCs w:val="20"/>
              </w:rPr>
              <w:t xml:space="preserve">Prescriber type: </w:t>
            </w:r>
            <w:r w:rsidRPr="00AD4F6B">
              <w:rPr>
                <w:rFonts w:ascii="Arial Narrow" w:hAnsi="Arial Narrow"/>
                <w:sz w:val="20"/>
                <w:szCs w:val="20"/>
              </w:rPr>
              <w:fldChar w:fldCharType="begin">
                <w:ffData>
                  <w:name w:val=""/>
                  <w:enabled/>
                  <w:calcOnExit w:val="0"/>
                  <w:checkBox>
                    <w:sizeAuto/>
                    <w:default w:val="1"/>
                  </w:checkBox>
                </w:ffData>
              </w:fldChar>
            </w:r>
            <w:r w:rsidRPr="00AD4F6B">
              <w:rPr>
                <w:rFonts w:ascii="Arial Narrow" w:hAnsi="Arial Narrow"/>
                <w:sz w:val="20"/>
                <w:szCs w:val="20"/>
              </w:rPr>
              <w:instrText xml:space="preserve"> FORMCHECKBOX </w:instrText>
            </w:r>
            <w:r w:rsidRPr="00AD4F6B">
              <w:rPr>
                <w:rFonts w:ascii="Arial Narrow" w:hAnsi="Arial Narrow"/>
                <w:sz w:val="20"/>
                <w:szCs w:val="20"/>
              </w:rPr>
            </w:r>
            <w:r w:rsidRPr="00AD4F6B">
              <w:rPr>
                <w:rFonts w:ascii="Arial Narrow" w:hAnsi="Arial Narrow"/>
                <w:sz w:val="20"/>
                <w:szCs w:val="20"/>
              </w:rPr>
              <w:fldChar w:fldCharType="separate"/>
            </w:r>
            <w:r w:rsidRPr="00AD4F6B">
              <w:rPr>
                <w:rFonts w:ascii="Arial Narrow" w:hAnsi="Arial Narrow"/>
                <w:sz w:val="20"/>
                <w:szCs w:val="20"/>
              </w:rPr>
              <w:fldChar w:fldCharType="end"/>
            </w:r>
            <w:r w:rsidRPr="00AD4F6B">
              <w:rPr>
                <w:rFonts w:ascii="Arial Narrow" w:hAnsi="Arial Narrow"/>
                <w:sz w:val="20"/>
                <w:szCs w:val="20"/>
              </w:rPr>
              <w:t xml:space="preserve"> Medical Practitioners </w:t>
            </w:r>
          </w:p>
        </w:tc>
      </w:tr>
      <w:tr w:rsidRPr="00AD4F6B" w:rsidR="00657A59" w:rsidTr="00657A59" w14:paraId="21E663DA"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384A9FEF" w14:textId="024C0347">
            <w:pPr>
              <w:keepLines/>
              <w:rPr>
                <w:rFonts w:ascii="Arial Narrow" w:hAnsi="Arial Narrow" w:eastAsia="Calibri"/>
                <w:sz w:val="20"/>
                <w:szCs w:val="20"/>
              </w:rPr>
            </w:pPr>
            <w:r w:rsidRPr="00AD4F6B">
              <w:rPr>
                <w:rFonts w:ascii="Arial Narrow" w:hAnsi="Arial Narrow"/>
                <w:b/>
                <w:sz w:val="20"/>
                <w:szCs w:val="20"/>
              </w:rPr>
              <w:t xml:space="preserve">Benefit type: </w:t>
            </w:r>
            <w:r w:rsidRPr="00AD4F6B">
              <w:rPr>
                <w:rFonts w:ascii="Arial Narrow" w:hAnsi="Arial Narrow"/>
                <w:sz w:val="20"/>
                <w:szCs w:val="20"/>
              </w:rPr>
              <w:fldChar w:fldCharType="begin">
                <w:ffData>
                  <w:name w:val=""/>
                  <w:enabled/>
                  <w:calcOnExit w:val="0"/>
                  <w:checkBox>
                    <w:sizeAuto/>
                    <w:default w:val="1"/>
                  </w:checkBox>
                </w:ffData>
              </w:fldChar>
            </w:r>
            <w:r w:rsidRPr="00AD4F6B">
              <w:rPr>
                <w:rFonts w:ascii="Arial Narrow" w:hAnsi="Arial Narrow"/>
                <w:sz w:val="20"/>
                <w:szCs w:val="20"/>
              </w:rPr>
              <w:instrText xml:space="preserve"> FORMCHECKBOX </w:instrText>
            </w:r>
            <w:r w:rsidRPr="00AD4F6B">
              <w:rPr>
                <w:rFonts w:ascii="Arial Narrow" w:hAnsi="Arial Narrow"/>
                <w:sz w:val="20"/>
                <w:szCs w:val="20"/>
              </w:rPr>
            </w:r>
            <w:r w:rsidRPr="00AD4F6B">
              <w:rPr>
                <w:rFonts w:ascii="Arial Narrow" w:hAnsi="Arial Narrow"/>
                <w:sz w:val="20"/>
                <w:szCs w:val="20"/>
              </w:rPr>
              <w:fldChar w:fldCharType="separate"/>
            </w:r>
            <w:r w:rsidRPr="00AD4F6B">
              <w:rPr>
                <w:rFonts w:ascii="Arial Narrow" w:hAnsi="Arial Narrow"/>
                <w:sz w:val="20"/>
                <w:szCs w:val="20"/>
              </w:rPr>
              <w:fldChar w:fldCharType="end"/>
            </w:r>
            <w:r w:rsidRPr="00AD4F6B">
              <w:rPr>
                <w:rFonts w:ascii="Arial Narrow" w:hAnsi="Arial Narrow"/>
                <w:sz w:val="20"/>
                <w:szCs w:val="20"/>
              </w:rPr>
              <w:t xml:space="preserve"> </w:t>
            </w:r>
            <w:r w:rsidRPr="00AD4F6B">
              <w:rPr>
                <w:rFonts w:ascii="Arial Narrow" w:hAnsi="Arial Narrow" w:eastAsia="Calibri"/>
                <w:sz w:val="20"/>
                <w:szCs w:val="20"/>
              </w:rPr>
              <w:t xml:space="preserve">Authority Required (in writing only via OPA/post/HPOS upload)  </w:t>
            </w:r>
          </w:p>
        </w:tc>
      </w:tr>
      <w:tr w:rsidRPr="00AD4F6B" w:rsidR="00657A59" w:rsidTr="00657A59" w14:paraId="306B255C"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4884F9AC" w14:textId="77777777">
            <w:pPr>
              <w:keepLines/>
              <w:rPr>
                <w:rFonts w:ascii="Arial Narrow" w:hAnsi="Arial Narrow"/>
                <w:b/>
                <w:sz w:val="20"/>
                <w:szCs w:val="20"/>
              </w:rPr>
            </w:pPr>
            <w:r w:rsidRPr="00AD4F6B">
              <w:rPr>
                <w:rFonts w:ascii="Arial Narrow" w:hAnsi="Arial Narrow"/>
                <w:b/>
                <w:sz w:val="20"/>
                <w:szCs w:val="20"/>
              </w:rPr>
              <w:t xml:space="preserve">Authority type: </w:t>
            </w:r>
            <w:r w:rsidRPr="00AD4F6B">
              <w:rPr>
                <w:rFonts w:ascii="Arial Narrow" w:hAnsi="Arial Narrow"/>
                <w:sz w:val="20"/>
                <w:szCs w:val="20"/>
              </w:rPr>
              <w:fldChar w:fldCharType="begin">
                <w:ffData>
                  <w:name w:val=""/>
                  <w:enabled/>
                  <w:calcOnExit w:val="0"/>
                  <w:checkBox>
                    <w:sizeAuto/>
                    <w:default w:val="1"/>
                  </w:checkBox>
                </w:ffData>
              </w:fldChar>
            </w:r>
            <w:r w:rsidRPr="00AD4F6B">
              <w:rPr>
                <w:rFonts w:ascii="Arial Narrow" w:hAnsi="Arial Narrow"/>
                <w:sz w:val="20"/>
                <w:szCs w:val="20"/>
              </w:rPr>
              <w:instrText xml:space="preserve"> FORMCHECKBOX </w:instrText>
            </w:r>
            <w:r w:rsidRPr="00AD4F6B">
              <w:rPr>
                <w:rFonts w:ascii="Arial Narrow" w:hAnsi="Arial Narrow"/>
                <w:sz w:val="20"/>
                <w:szCs w:val="20"/>
              </w:rPr>
            </w:r>
            <w:r w:rsidRPr="00AD4F6B">
              <w:rPr>
                <w:rFonts w:ascii="Arial Narrow" w:hAnsi="Arial Narrow"/>
                <w:sz w:val="20"/>
                <w:szCs w:val="20"/>
              </w:rPr>
              <w:fldChar w:fldCharType="separate"/>
            </w:r>
            <w:r w:rsidRPr="00AD4F6B">
              <w:rPr>
                <w:rFonts w:ascii="Arial Narrow" w:hAnsi="Arial Narrow"/>
                <w:sz w:val="20"/>
                <w:szCs w:val="20"/>
              </w:rPr>
              <w:fldChar w:fldCharType="end"/>
            </w:r>
            <w:r w:rsidRPr="00AD4F6B">
              <w:rPr>
                <w:rFonts w:ascii="Arial Narrow" w:hAnsi="Arial Narrow"/>
                <w:sz w:val="20"/>
                <w:szCs w:val="20"/>
              </w:rPr>
              <w:t xml:space="preserve"> </w:t>
            </w:r>
            <w:r w:rsidRPr="00AD4F6B">
              <w:rPr>
                <w:rFonts w:ascii="Arial Narrow" w:hAnsi="Arial Narrow" w:eastAsia="Calibri"/>
                <w:sz w:val="20"/>
                <w:szCs w:val="20"/>
              </w:rPr>
              <w:t>Complex Authority Required (CAR)</w:t>
            </w:r>
          </w:p>
        </w:tc>
      </w:tr>
      <w:tr w:rsidRPr="00AD4F6B" w:rsidR="00657A59" w:rsidTr="00657A59" w14:paraId="2A21899D" w14:textId="77777777">
        <w:tblPrEx>
          <w:tblCellMar>
            <w:top w:w="15" w:type="dxa"/>
            <w:bottom w:w="15" w:type="dxa"/>
          </w:tblCellMar>
          <w:tblLook w:val="04A0" w:firstRow="1" w:lastRow="0" w:firstColumn="1" w:lastColumn="0" w:noHBand="0" w:noVBand="1"/>
        </w:tblPrEx>
        <w:trPr>
          <w:trHeight w:val="172"/>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1F7016A5" w14:textId="77777777">
            <w:pPr>
              <w:pStyle w:val="pf0"/>
              <w:spacing w:before="0" w:beforeAutospacing="0" w:after="0" w:afterAutospacing="0"/>
              <w:rPr>
                <w:rFonts w:ascii="Arial Narrow" w:hAnsi="Arial Narrow" w:cs="Arial"/>
                <w:b/>
                <w:sz w:val="20"/>
                <w:szCs w:val="20"/>
              </w:rPr>
            </w:pPr>
            <w:r w:rsidRPr="00AD4F6B">
              <w:rPr>
                <w:rFonts w:ascii="Arial Narrow" w:hAnsi="Arial Narrow" w:cs="Arial"/>
                <w:b/>
                <w:sz w:val="20"/>
                <w:szCs w:val="20"/>
              </w:rPr>
              <w:t xml:space="preserve">Prescribing rule level:  </w:t>
            </w:r>
          </w:p>
        </w:tc>
      </w:tr>
      <w:tr w:rsidRPr="00AD4F6B" w:rsidR="00657A59" w:rsidTr="00657A59" w14:paraId="11E817D6"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6B0D94D2" w14:textId="77777777">
            <w:pPr>
              <w:rPr>
                <w:rFonts w:ascii="Arial Narrow" w:hAnsi="Arial Narrow"/>
                <w:b/>
                <w:bCs/>
                <w:sz w:val="20"/>
                <w:szCs w:val="20"/>
              </w:rPr>
            </w:pPr>
            <w:r w:rsidRPr="00AD4F6B">
              <w:rPr>
                <w:rFonts w:ascii="Arial Narrow" w:hAnsi="Arial Narrow"/>
                <w:b/>
                <w:bCs/>
                <w:sz w:val="20"/>
                <w:szCs w:val="20"/>
              </w:rPr>
              <w:t>Administrative Advice:</w:t>
            </w:r>
          </w:p>
          <w:p w:rsidRPr="00AD4F6B" w:rsidR="00657A59" w:rsidRDefault="00657A59" w14:paraId="03132E69" w14:textId="77777777">
            <w:pPr>
              <w:rPr>
                <w:rFonts w:ascii="Arial Narrow" w:hAnsi="Arial Narrow"/>
                <w:sz w:val="20"/>
                <w:szCs w:val="20"/>
              </w:rPr>
            </w:pPr>
            <w:r w:rsidRPr="00AD4F6B">
              <w:rPr>
                <w:rFonts w:ascii="Arial Narrow" w:hAnsi="Arial Narrow"/>
                <w:sz w:val="20"/>
                <w:szCs w:val="20"/>
              </w:rPr>
              <w:t>No increase in the maximum quantity or number of units may be authorised.</w:t>
            </w:r>
          </w:p>
        </w:tc>
      </w:tr>
      <w:tr w:rsidRPr="00AD4F6B" w:rsidR="00657A59" w:rsidTr="00657A59" w14:paraId="0C342F0C"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32E574D6"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657A59" w:rsidRDefault="00657A59" w14:paraId="27C002B2" w14:textId="77777777">
            <w:pPr>
              <w:keepLines/>
              <w:rPr>
                <w:rFonts w:ascii="Arial Narrow" w:hAnsi="Arial Narrow"/>
                <w:bCs/>
                <w:sz w:val="20"/>
                <w:szCs w:val="20"/>
              </w:rPr>
            </w:pPr>
            <w:r w:rsidRPr="00AD4F6B">
              <w:rPr>
                <w:rFonts w:ascii="Arial Narrow" w:hAnsi="Arial Narrow"/>
                <w:bCs/>
                <w:sz w:val="20"/>
                <w:szCs w:val="20"/>
              </w:rPr>
              <w:t>No increase in the maximum number of repeats may be authorised.</w:t>
            </w:r>
          </w:p>
        </w:tc>
      </w:tr>
      <w:tr w:rsidRPr="00AD4F6B" w:rsidR="00657A59" w:rsidTr="00657A59" w14:paraId="7D2CDA09"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45A30EA2"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657A59" w:rsidRDefault="00657A59" w14:paraId="1B7546E1" w14:textId="77777777">
            <w:pPr>
              <w:keepLines/>
              <w:rPr>
                <w:rFonts w:ascii="Arial Narrow" w:hAnsi="Arial Narrow"/>
                <w:sz w:val="20"/>
                <w:szCs w:val="20"/>
              </w:rPr>
            </w:pPr>
            <w:r w:rsidRPr="00AD4F6B">
              <w:rPr>
                <w:rFonts w:ascii="Arial Narrow" w:hAnsi="Arial Narrow"/>
                <w:sz w:val="20"/>
                <w:szCs w:val="20"/>
              </w:rPr>
              <w:t>Special Pricing Arrangements apply.</w:t>
            </w:r>
          </w:p>
        </w:tc>
      </w:tr>
      <w:tr w:rsidRPr="00AD4F6B" w:rsidR="00657A59" w:rsidTr="00657A59" w14:paraId="7EE6708C"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1A7840EF"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657A59" w:rsidRDefault="00657A59" w14:paraId="125FC3C7" w14:textId="77777777">
            <w:pPr>
              <w:keepLines/>
              <w:rPr>
                <w:rFonts w:ascii="Arial Narrow" w:hAnsi="Arial Narrow"/>
                <w:bCs/>
                <w:sz w:val="20"/>
                <w:szCs w:val="20"/>
              </w:rPr>
            </w:pPr>
            <w:r w:rsidRPr="00AD4F6B">
              <w:rPr>
                <w:rFonts w:ascii="Arial Narrow" w:hAnsi="Arial Narrow"/>
                <w:bCs/>
                <w:sz w:val="20"/>
                <w:szCs w:val="20"/>
              </w:rPr>
              <w:t xml:space="preserve">Other disease modifying therapies for this condition are: (i) nusinersen, (ii) </w:t>
            </w:r>
            <w:proofErr w:type="spellStart"/>
            <w:r w:rsidRPr="00AD4F6B">
              <w:rPr>
                <w:rFonts w:ascii="Arial Narrow" w:hAnsi="Arial Narrow"/>
                <w:bCs/>
                <w:sz w:val="20"/>
                <w:szCs w:val="20"/>
              </w:rPr>
              <w:t>risdiplam</w:t>
            </w:r>
            <w:proofErr w:type="spellEnd"/>
            <w:r w:rsidRPr="00AD4F6B">
              <w:rPr>
                <w:rFonts w:ascii="Arial Narrow" w:hAnsi="Arial Narrow"/>
                <w:bCs/>
                <w:sz w:val="20"/>
                <w:szCs w:val="20"/>
              </w:rPr>
              <w:t>.</w:t>
            </w:r>
          </w:p>
        </w:tc>
      </w:tr>
      <w:tr w:rsidRPr="00AD4F6B" w:rsidR="00657A59" w:rsidTr="00657A59" w14:paraId="0F443BBB"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53C907D5"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657A59" w:rsidRDefault="00657A59" w14:paraId="623E68B8" w14:textId="77777777">
            <w:pPr>
              <w:keepLines/>
              <w:rPr>
                <w:rFonts w:ascii="Arial Narrow" w:hAnsi="Arial Narrow"/>
                <w:bCs/>
                <w:sz w:val="20"/>
                <w:szCs w:val="20"/>
              </w:rPr>
            </w:pPr>
            <w:r w:rsidRPr="00AD4F6B">
              <w:rPr>
                <w:rFonts w:ascii="Arial Narrow" w:hAnsi="Arial Narrow"/>
                <w:bCs/>
                <w:sz w:val="20"/>
                <w:szCs w:val="20"/>
              </w:rPr>
              <w:t>Recognised hospitals in the management of SMA are Queensland Children's Hospital (Brisbane), Royal Children's Hospital Melbourne, Monash Children's Hospital (Melbourne), John Hunter Hospital (Newcastle), Sydney Children's Hospital Randwick, Children's Hospital at Westmead, Adelaide Women and Children's Hospital and Perth Children's Hospital.</w:t>
            </w:r>
          </w:p>
        </w:tc>
      </w:tr>
      <w:tr w:rsidRPr="00AD4F6B" w:rsidR="00657A59" w:rsidTr="00657A59" w14:paraId="18D3EBDB"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64B2FEFF"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657A59" w:rsidRDefault="00657A59" w14:paraId="41ED6E14" w14:textId="77777777">
            <w:pPr>
              <w:keepLines/>
              <w:rPr>
                <w:rFonts w:ascii="Arial Narrow" w:hAnsi="Arial Narrow"/>
                <w:bCs/>
                <w:sz w:val="20"/>
                <w:szCs w:val="20"/>
              </w:rPr>
            </w:pPr>
            <w:r w:rsidRPr="00AD4F6B">
              <w:rPr>
                <w:rFonts w:ascii="Arial Narrow" w:hAnsi="Arial Narrow"/>
                <w:bCs/>
                <w:sz w:val="20"/>
                <w:szCs w:val="20"/>
              </w:rPr>
              <w:t>Accredited treatment centres and suppliers are those organisations accredited by the Gene Technology Regulator under section 92 of the Gene Technology Act 2000.</w:t>
            </w:r>
          </w:p>
          <w:p w:rsidRPr="00AD4F6B" w:rsidR="00657A59" w:rsidRDefault="00657A59" w14:paraId="4CA4CF41" w14:textId="77777777">
            <w:pPr>
              <w:keepLines/>
              <w:rPr>
                <w:rFonts w:ascii="Arial Narrow" w:hAnsi="Arial Narrow"/>
                <w:bCs/>
                <w:sz w:val="20"/>
                <w:szCs w:val="20"/>
              </w:rPr>
            </w:pPr>
            <w:r w:rsidRPr="00AD4F6B">
              <w:rPr>
                <w:rFonts w:ascii="Arial Narrow" w:hAnsi="Arial Narrow"/>
                <w:bCs/>
                <w:sz w:val="20"/>
                <w:szCs w:val="20"/>
              </w:rPr>
              <w:t>The following website provides a list of accredited organisations and may update without notice:</w:t>
            </w:r>
          </w:p>
          <w:p w:rsidRPr="00AD4F6B" w:rsidR="00657A59" w:rsidRDefault="00657A59" w14:paraId="69AFD038" w14:textId="77777777">
            <w:pPr>
              <w:keepLines/>
              <w:rPr>
                <w:rFonts w:ascii="Arial Narrow" w:hAnsi="Arial Narrow"/>
                <w:bCs/>
                <w:sz w:val="20"/>
                <w:szCs w:val="20"/>
              </w:rPr>
            </w:pPr>
            <w:r w:rsidRPr="00AD4F6B">
              <w:rPr>
                <w:rFonts w:ascii="Arial Narrow" w:hAnsi="Arial Narrow"/>
                <w:bCs/>
                <w:sz w:val="20"/>
                <w:szCs w:val="20"/>
              </w:rPr>
              <w:t>https://www.ogtr.gov.au/what-weve-approved/accredited-organisations</w:t>
            </w:r>
          </w:p>
        </w:tc>
      </w:tr>
      <w:tr w:rsidRPr="00AD4F6B" w:rsidR="00657A59" w:rsidTr="00657A59" w14:paraId="46555A37"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657A59" w:rsidRDefault="00657A59" w14:paraId="0856EF7C"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657A59" w:rsidRDefault="00657A59" w14:paraId="0A2E0AD1" w14:textId="77777777">
            <w:pPr>
              <w:keepLines/>
              <w:rPr>
                <w:rFonts w:ascii="Arial Narrow" w:hAnsi="Arial Narrow"/>
                <w:bCs/>
                <w:sz w:val="20"/>
                <w:szCs w:val="20"/>
              </w:rPr>
            </w:pPr>
            <w:r w:rsidRPr="00AD4F6B">
              <w:rPr>
                <w:rFonts w:ascii="Arial Narrow" w:hAnsi="Arial Narrow"/>
                <w:bCs/>
                <w:sz w:val="20"/>
                <w:szCs w:val="20"/>
              </w:rPr>
              <w:t>Any queries concerning the arrangements to prescribe may be directed to Services Australia on 1800 700 270 (hours of operation 8 a.m. to 5 p.m. Monday to Friday).</w:t>
            </w:r>
          </w:p>
          <w:p w:rsidRPr="00AD4F6B" w:rsidR="00657A59" w:rsidRDefault="00657A59" w14:paraId="2361B231" w14:textId="77777777">
            <w:pPr>
              <w:keepLines/>
              <w:rPr>
                <w:rFonts w:ascii="Arial Narrow" w:hAnsi="Arial Narrow"/>
                <w:bCs/>
                <w:sz w:val="20"/>
                <w:szCs w:val="20"/>
              </w:rPr>
            </w:pPr>
          </w:p>
          <w:p w:rsidRPr="00AD4F6B" w:rsidR="00657A59" w:rsidRDefault="00657A59" w14:paraId="75FDD977" w14:textId="77777777">
            <w:pPr>
              <w:keepLines/>
              <w:rPr>
                <w:rFonts w:ascii="Arial Narrow" w:hAnsi="Arial Narrow"/>
                <w:bCs/>
                <w:sz w:val="20"/>
                <w:szCs w:val="20"/>
              </w:rPr>
            </w:pPr>
            <w:r w:rsidRPr="00AD4F6B">
              <w:rPr>
                <w:rFonts w:ascii="Arial Narrow" w:hAnsi="Arial Narrow"/>
                <w:bCs/>
                <w:sz w:val="20"/>
                <w:szCs w:val="20"/>
              </w:rPr>
              <w:t xml:space="preserve">Prescribing information (including Authority Application forms and other relevant documentation as applicable) is available on the Services Australia website at </w:t>
            </w:r>
            <w:hyperlink w:history="1" r:id="rId13">
              <w:r w:rsidRPr="00AD4F6B">
                <w:rPr>
                  <w:rStyle w:val="Hyperlink"/>
                  <w:rFonts w:ascii="Arial Narrow" w:hAnsi="Arial Narrow"/>
                  <w:bCs/>
                  <w:color w:val="auto"/>
                  <w:sz w:val="20"/>
                  <w:szCs w:val="20"/>
                </w:rPr>
                <w:t>www.servicesaustralia.gov.au</w:t>
              </w:r>
            </w:hyperlink>
          </w:p>
          <w:p w:rsidRPr="00AD4F6B" w:rsidR="00657A59" w:rsidRDefault="00657A59" w14:paraId="268C9801" w14:textId="77777777">
            <w:pPr>
              <w:keepLines/>
              <w:rPr>
                <w:rFonts w:ascii="Arial Narrow" w:hAnsi="Arial Narrow"/>
                <w:bCs/>
                <w:sz w:val="20"/>
                <w:szCs w:val="20"/>
              </w:rPr>
            </w:pPr>
          </w:p>
          <w:p w:rsidRPr="00AD4F6B" w:rsidR="00657A59" w:rsidRDefault="00657A59" w14:paraId="7AB015E2" w14:textId="77777777">
            <w:pPr>
              <w:keepLines/>
              <w:rPr>
                <w:rFonts w:ascii="Arial Narrow" w:hAnsi="Arial Narrow"/>
                <w:i/>
                <w:sz w:val="20"/>
                <w:szCs w:val="20"/>
              </w:rPr>
            </w:pPr>
            <w:r w:rsidRPr="00AD4F6B">
              <w:rPr>
                <w:rFonts w:ascii="Arial Narrow" w:hAnsi="Arial Narrow"/>
                <w:i/>
                <w:sz w:val="20"/>
                <w:szCs w:val="20"/>
              </w:rPr>
              <w:t xml:space="preserve">Applications for authorisation under this restriction should be made using the Online PBS Authorities system (see </w:t>
            </w:r>
            <w:hyperlink w:history="1" r:id="rId14">
              <w:r w:rsidRPr="00AD4F6B">
                <w:rPr>
                  <w:rStyle w:val="Hyperlink"/>
                  <w:rFonts w:ascii="Arial Narrow" w:hAnsi="Arial Narrow"/>
                  <w:i/>
                  <w:color w:val="auto"/>
                  <w:sz w:val="20"/>
                  <w:szCs w:val="20"/>
                </w:rPr>
                <w:t>www.servicesaustralia.gov.au/hpos</w:t>
              </w:r>
            </w:hyperlink>
            <w:r w:rsidRPr="00AD4F6B">
              <w:rPr>
                <w:rFonts w:ascii="Arial Narrow" w:hAnsi="Arial Narrow"/>
                <w:i/>
                <w:sz w:val="20"/>
                <w:szCs w:val="20"/>
              </w:rPr>
              <w:t>)</w:t>
            </w:r>
          </w:p>
          <w:p w:rsidRPr="00AD4F6B" w:rsidR="00657A59" w:rsidRDefault="00657A59" w14:paraId="50446FCB" w14:textId="77777777">
            <w:pPr>
              <w:keepLines/>
              <w:rPr>
                <w:rFonts w:ascii="Arial Narrow" w:hAnsi="Arial Narrow"/>
                <w:bCs/>
                <w:sz w:val="20"/>
                <w:szCs w:val="20"/>
              </w:rPr>
            </w:pPr>
          </w:p>
          <w:p w:rsidRPr="00AD4F6B" w:rsidR="00657A59" w:rsidRDefault="00657A59" w14:paraId="6C819FC7" w14:textId="6BFA6E30">
            <w:pPr>
              <w:keepLines/>
              <w:rPr>
                <w:rFonts w:ascii="Arial Narrow" w:hAnsi="Arial Narrow"/>
                <w:bCs/>
                <w:sz w:val="20"/>
                <w:szCs w:val="20"/>
              </w:rPr>
            </w:pPr>
            <w:r w:rsidRPr="00AD4F6B">
              <w:rPr>
                <w:rFonts w:ascii="Arial Narrow" w:hAnsi="Arial Narrow"/>
                <w:i/>
                <w:sz w:val="20"/>
                <w:szCs w:val="20"/>
              </w:rPr>
              <w:t>Alternatively,</w:t>
            </w:r>
            <w:r w:rsidRPr="00AD4F6B">
              <w:rPr>
                <w:rFonts w:ascii="Arial Narrow" w:hAnsi="Arial Narrow"/>
                <w:bCs/>
                <w:sz w:val="20"/>
                <w:szCs w:val="20"/>
              </w:rPr>
              <w:t xml:space="preserve"> </w:t>
            </w:r>
            <w:r w:rsidRPr="00AD4F6B">
              <w:rPr>
                <w:rFonts w:ascii="Arial Narrow" w:hAnsi="Arial Narrow"/>
                <w:bCs/>
                <w:strike/>
                <w:sz w:val="20"/>
                <w:szCs w:val="20"/>
              </w:rPr>
              <w:t>A</w:t>
            </w:r>
            <w:r w:rsidRPr="00AD4F6B">
              <w:rPr>
                <w:rFonts w:ascii="Arial Narrow" w:hAnsi="Arial Narrow"/>
                <w:strike/>
                <w:sz w:val="20"/>
                <w:szCs w:val="20"/>
              </w:rPr>
              <w:t xml:space="preserve"> </w:t>
            </w:r>
            <w:r w:rsidRPr="00AD4F6B">
              <w:rPr>
                <w:rFonts w:ascii="Arial Narrow" w:hAnsi="Arial Narrow"/>
                <w:i/>
                <w:sz w:val="20"/>
                <w:szCs w:val="20"/>
              </w:rPr>
              <w:t>a</w:t>
            </w:r>
            <w:r w:rsidRPr="00AD4F6B">
              <w:rPr>
                <w:rFonts w:ascii="Arial Narrow" w:hAnsi="Arial Narrow"/>
                <w:bCs/>
                <w:sz w:val="20"/>
                <w:szCs w:val="20"/>
              </w:rPr>
              <w:t xml:space="preserve">pplications for authority to prescribe can be submitted online using the form upload facility in Health Professional Online Services (HPOS) at </w:t>
            </w:r>
            <w:hyperlink w:history="1" r:id="rId15">
              <w:r w:rsidRPr="00AD4F6B">
                <w:rPr>
                  <w:rStyle w:val="Hyperlink"/>
                  <w:rFonts w:ascii="Arial Narrow" w:hAnsi="Arial Narrow"/>
                  <w:bCs/>
                  <w:color w:val="auto"/>
                  <w:sz w:val="20"/>
                  <w:szCs w:val="20"/>
                </w:rPr>
                <w:t>www.servicesaustralia.gov.au/hpos</w:t>
              </w:r>
            </w:hyperlink>
          </w:p>
          <w:p w:rsidRPr="00AD4F6B" w:rsidR="00657A59" w:rsidRDefault="00657A59" w14:paraId="43DB77C0" w14:textId="77777777">
            <w:pPr>
              <w:keepLines/>
              <w:rPr>
                <w:rFonts w:ascii="Arial Narrow" w:hAnsi="Arial Narrow"/>
                <w:bCs/>
                <w:sz w:val="20"/>
                <w:szCs w:val="20"/>
              </w:rPr>
            </w:pPr>
          </w:p>
          <w:p w:rsidRPr="00AD4F6B" w:rsidR="00657A59" w:rsidRDefault="00657A59" w14:paraId="558DCE4D" w14:textId="77777777">
            <w:pPr>
              <w:keepLines/>
              <w:rPr>
                <w:rFonts w:ascii="Arial Narrow" w:hAnsi="Arial Narrow"/>
                <w:bCs/>
                <w:sz w:val="20"/>
                <w:szCs w:val="20"/>
              </w:rPr>
            </w:pPr>
            <w:r w:rsidRPr="00AD4F6B">
              <w:rPr>
                <w:rFonts w:ascii="Arial Narrow" w:hAnsi="Arial Narrow"/>
                <w:bCs/>
                <w:sz w:val="20"/>
                <w:szCs w:val="20"/>
              </w:rPr>
              <w:t>Or mailed to:</w:t>
            </w:r>
          </w:p>
          <w:p w:rsidRPr="00AD4F6B" w:rsidR="00657A59" w:rsidRDefault="00657A59" w14:paraId="3C3039BD" w14:textId="77777777">
            <w:pPr>
              <w:keepLines/>
              <w:rPr>
                <w:rFonts w:ascii="Arial Narrow" w:hAnsi="Arial Narrow"/>
                <w:bCs/>
                <w:sz w:val="20"/>
                <w:szCs w:val="20"/>
              </w:rPr>
            </w:pPr>
            <w:r w:rsidRPr="00AD4F6B">
              <w:rPr>
                <w:rFonts w:ascii="Arial Narrow" w:hAnsi="Arial Narrow"/>
                <w:bCs/>
                <w:sz w:val="20"/>
                <w:szCs w:val="20"/>
              </w:rPr>
              <w:t>Services Australia</w:t>
            </w:r>
          </w:p>
          <w:p w:rsidRPr="00AD4F6B" w:rsidR="00657A59" w:rsidRDefault="00657A59" w14:paraId="2123D25E" w14:textId="77777777">
            <w:pPr>
              <w:keepLines/>
              <w:rPr>
                <w:rFonts w:ascii="Arial Narrow" w:hAnsi="Arial Narrow"/>
                <w:bCs/>
                <w:sz w:val="20"/>
                <w:szCs w:val="20"/>
              </w:rPr>
            </w:pPr>
            <w:r w:rsidRPr="00AD4F6B">
              <w:rPr>
                <w:rFonts w:ascii="Arial Narrow" w:hAnsi="Arial Narrow"/>
                <w:bCs/>
                <w:sz w:val="20"/>
                <w:szCs w:val="20"/>
              </w:rPr>
              <w:t>Complex Drugs</w:t>
            </w:r>
          </w:p>
          <w:p w:rsidRPr="00AD4F6B" w:rsidR="00657A59" w:rsidRDefault="00657A59" w14:paraId="764A174B" w14:textId="77777777">
            <w:pPr>
              <w:keepLines/>
              <w:rPr>
                <w:rFonts w:ascii="Arial Narrow" w:hAnsi="Arial Narrow"/>
                <w:bCs/>
                <w:sz w:val="20"/>
                <w:szCs w:val="20"/>
              </w:rPr>
            </w:pPr>
            <w:r w:rsidRPr="00AD4F6B">
              <w:rPr>
                <w:rFonts w:ascii="Arial Narrow" w:hAnsi="Arial Narrow"/>
                <w:bCs/>
                <w:sz w:val="20"/>
                <w:szCs w:val="20"/>
              </w:rPr>
              <w:t>Reply Paid 9826</w:t>
            </w:r>
          </w:p>
          <w:p w:rsidRPr="00AD4F6B" w:rsidR="00657A59" w:rsidRDefault="00657A59" w14:paraId="136C8C77" w14:textId="77777777">
            <w:pPr>
              <w:keepLines/>
              <w:rPr>
                <w:rFonts w:ascii="Arial Narrow" w:hAnsi="Arial Narrow"/>
                <w:bCs/>
                <w:sz w:val="20"/>
                <w:szCs w:val="20"/>
              </w:rPr>
            </w:pPr>
            <w:r w:rsidRPr="00AD4F6B">
              <w:rPr>
                <w:rFonts w:ascii="Arial Narrow" w:hAnsi="Arial Narrow"/>
                <w:bCs/>
                <w:sz w:val="20"/>
                <w:szCs w:val="20"/>
              </w:rPr>
              <w:t>HOBART TAS 7001</w:t>
            </w:r>
          </w:p>
        </w:tc>
      </w:tr>
      <w:tr w:rsidRPr="00AD4F6B" w:rsidR="00657A59" w:rsidTr="00657A59" w14:paraId="1BF8BEC0"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D4F6B" w:rsidR="00657A59" w:rsidRDefault="00657A59" w14:paraId="77C3574B" w14:textId="77777777">
            <w:pPr>
              <w:keepLines/>
              <w:rPr>
                <w:rFonts w:ascii="Arial Narrow" w:hAnsi="Arial Narrow"/>
                <w:b/>
                <w:bCs/>
                <w:sz w:val="20"/>
                <w:szCs w:val="20"/>
              </w:rPr>
            </w:pPr>
            <w:r w:rsidRPr="00AD4F6B">
              <w:rPr>
                <w:rFonts w:ascii="Arial Narrow" w:hAnsi="Arial Narrow"/>
                <w:b/>
                <w:sz w:val="20"/>
                <w:szCs w:val="20"/>
              </w:rPr>
              <w:t>Restriction Summary edit 12639 / Treatment of Concept: edit 12639</w:t>
            </w:r>
          </w:p>
        </w:tc>
      </w:tr>
      <w:tr w:rsidRPr="00AD4F6B" w:rsidR="00657A59" w:rsidTr="00657A59" w14:paraId="2AACD84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007885AC" w14:textId="77777777">
            <w:pPr>
              <w:keepLines/>
              <w:rPr>
                <w:rFonts w:ascii="Arial Narrow" w:hAnsi="Arial Narrow"/>
                <w:sz w:val="20"/>
                <w:szCs w:val="20"/>
              </w:rPr>
            </w:pPr>
            <w:r w:rsidRPr="00AD4F6B">
              <w:rPr>
                <w:rFonts w:ascii="Arial Narrow" w:hAnsi="Arial Narrow"/>
                <w:b/>
                <w:bCs/>
                <w:sz w:val="20"/>
                <w:szCs w:val="20"/>
              </w:rPr>
              <w:t>Indication:</w:t>
            </w:r>
            <w:r w:rsidRPr="00AD4F6B">
              <w:rPr>
                <w:rFonts w:ascii="Arial Narrow" w:hAnsi="Arial Narrow"/>
                <w:sz w:val="20"/>
                <w:szCs w:val="20"/>
              </w:rPr>
              <w:t xml:space="preserve"> Spinal muscular atrophy (SMA)</w:t>
            </w:r>
          </w:p>
        </w:tc>
      </w:tr>
      <w:tr w:rsidRPr="00AD4F6B" w:rsidR="00657A59" w:rsidTr="00657A59" w14:paraId="47A862A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51D73210" w14:textId="77777777">
            <w:pPr>
              <w:rPr>
                <w:rFonts w:ascii="Arial Narrow" w:hAnsi="Arial Narrow"/>
                <w:sz w:val="20"/>
                <w:szCs w:val="20"/>
              </w:rPr>
            </w:pPr>
            <w:r w:rsidRPr="00AD4F6B">
              <w:rPr>
                <w:rFonts w:ascii="Arial Narrow" w:hAnsi="Arial Narrow"/>
                <w:b/>
                <w:bCs/>
                <w:sz w:val="20"/>
                <w:szCs w:val="20"/>
              </w:rPr>
              <w:t>Treatment Phase:</w:t>
            </w:r>
            <w:r w:rsidRPr="00AD4F6B">
              <w:rPr>
                <w:rFonts w:ascii="Arial Narrow" w:hAnsi="Arial Narrow"/>
                <w:sz w:val="20"/>
                <w:szCs w:val="20"/>
              </w:rPr>
              <w:t xml:space="preserve"> Use in a patient untreated with disease modifying therapies for this condition</w:t>
            </w:r>
          </w:p>
        </w:tc>
      </w:tr>
      <w:tr w:rsidRPr="00AD4F6B" w:rsidR="00657A59" w:rsidTr="00657A59" w14:paraId="04EDA10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76145429" w14:textId="77777777">
            <w:pPr>
              <w:rPr>
                <w:rFonts w:ascii="Arial Narrow" w:hAnsi="Arial Narrow"/>
                <w:sz w:val="20"/>
                <w:szCs w:val="20"/>
              </w:rPr>
            </w:pPr>
            <w:r w:rsidRPr="00AD4F6B">
              <w:rPr>
                <w:rFonts w:ascii="Arial Narrow" w:hAnsi="Arial Narrow"/>
                <w:b/>
                <w:bCs/>
                <w:sz w:val="20"/>
                <w:szCs w:val="20"/>
              </w:rPr>
              <w:t xml:space="preserve">Clinical criteria: </w:t>
            </w:r>
          </w:p>
        </w:tc>
      </w:tr>
      <w:tr w:rsidRPr="00AD4F6B" w:rsidR="00657A59" w:rsidTr="00657A59" w14:paraId="309CA515"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4B3AFA2E" w14:textId="77777777">
            <w:pPr>
              <w:rPr>
                <w:rFonts w:ascii="Arial Narrow" w:hAnsi="Arial Narrow"/>
                <w:sz w:val="20"/>
                <w:szCs w:val="20"/>
              </w:rPr>
            </w:pPr>
            <w:r w:rsidRPr="00AD4F6B">
              <w:rPr>
                <w:rFonts w:ascii="Arial Narrow" w:hAnsi="Arial Narrow"/>
                <w:sz w:val="20"/>
                <w:szCs w:val="20"/>
              </w:rPr>
              <w:t>The condition must have genetic confirmation of 5q homozygous deletion of the survival motor neuron 1 (</w:t>
            </w:r>
            <w:r w:rsidRPr="00AD4F6B">
              <w:rPr>
                <w:rFonts w:ascii="Arial Narrow" w:hAnsi="Arial Narrow"/>
                <w:i/>
                <w:iCs/>
                <w:sz w:val="20"/>
                <w:szCs w:val="20"/>
              </w:rPr>
              <w:t>SMN1</w:t>
            </w:r>
            <w:r w:rsidRPr="00AD4F6B">
              <w:rPr>
                <w:rFonts w:ascii="Arial Narrow" w:hAnsi="Arial Narrow"/>
                <w:sz w:val="20"/>
                <w:szCs w:val="20"/>
              </w:rPr>
              <w:t>) gene; OR</w:t>
            </w:r>
          </w:p>
        </w:tc>
      </w:tr>
      <w:tr w:rsidRPr="00AD4F6B" w:rsidR="00657A59" w:rsidTr="00657A59" w14:paraId="620F0DE9"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390A7AA0" w14:textId="77777777">
            <w:pPr>
              <w:rPr>
                <w:rFonts w:ascii="Arial Narrow" w:hAnsi="Arial Narrow" w:cs="Arial Narrow"/>
                <w:iCs/>
                <w:sz w:val="20"/>
                <w:szCs w:val="20"/>
              </w:rPr>
            </w:pPr>
            <w:r w:rsidRPr="00AD4F6B">
              <w:rPr>
                <w:rFonts w:ascii="Arial Narrow" w:hAnsi="Arial Narrow"/>
                <w:sz w:val="20"/>
                <w:szCs w:val="20"/>
              </w:rPr>
              <w:t xml:space="preserve">The condition must have genetic confirmation of deletion of one copy of the </w:t>
            </w:r>
            <w:r w:rsidRPr="00AD4F6B">
              <w:rPr>
                <w:rFonts w:ascii="Arial Narrow" w:hAnsi="Arial Narrow"/>
                <w:i/>
                <w:iCs/>
                <w:sz w:val="20"/>
                <w:szCs w:val="20"/>
              </w:rPr>
              <w:t>SMN1</w:t>
            </w:r>
            <w:r w:rsidRPr="00AD4F6B">
              <w:rPr>
                <w:rFonts w:ascii="Arial Narrow" w:hAnsi="Arial Narrow"/>
                <w:sz w:val="20"/>
                <w:szCs w:val="20"/>
              </w:rPr>
              <w:t xml:space="preserve"> gene in addition to a pathogenic/likely pathogenic variant in the remaining single copy of the </w:t>
            </w:r>
            <w:r w:rsidRPr="00AD4F6B">
              <w:rPr>
                <w:rFonts w:ascii="Arial Narrow" w:hAnsi="Arial Narrow"/>
                <w:i/>
                <w:iCs/>
                <w:sz w:val="20"/>
                <w:szCs w:val="20"/>
              </w:rPr>
              <w:t>SMN1</w:t>
            </w:r>
            <w:r w:rsidRPr="00AD4F6B">
              <w:rPr>
                <w:rFonts w:ascii="Arial Narrow" w:hAnsi="Arial Narrow"/>
                <w:sz w:val="20"/>
                <w:szCs w:val="20"/>
              </w:rPr>
              <w:t xml:space="preserve"> gene</w:t>
            </w:r>
          </w:p>
        </w:tc>
      </w:tr>
      <w:tr w:rsidRPr="00AD4F6B" w:rsidR="00657A59" w:rsidTr="00657A59" w14:paraId="52066056" w14:textId="77777777">
        <w:tblPrEx>
          <w:tblCellMar>
            <w:top w:w="15" w:type="dxa"/>
            <w:bottom w:w="15" w:type="dxa"/>
          </w:tblCellMar>
          <w:tblLook w:val="04A0" w:firstRow="1" w:lastRow="0" w:firstColumn="1" w:lastColumn="0" w:noHBand="0" w:noVBand="1"/>
        </w:tblPrEx>
        <w:trPr>
          <w:cantSplit/>
          <w:trHeight w:val="167"/>
        </w:trPr>
        <w:tc>
          <w:tcPr>
            <w:tcW w:w="5000" w:type="pct"/>
            <w:gridSpan w:val="7"/>
            <w:vAlign w:val="center"/>
            <w:hideMark/>
          </w:tcPr>
          <w:p w:rsidRPr="00AD4F6B" w:rsidR="00657A59" w:rsidRDefault="00657A59" w14:paraId="62BEEFE7" w14:textId="77777777">
            <w:pPr>
              <w:rPr>
                <w:rFonts w:ascii="Arial Narrow" w:hAnsi="Arial Narrow"/>
                <w:sz w:val="20"/>
                <w:szCs w:val="20"/>
              </w:rPr>
            </w:pPr>
            <w:r w:rsidRPr="00AD4F6B">
              <w:rPr>
                <w:rFonts w:ascii="Arial Narrow" w:hAnsi="Arial Narrow"/>
                <w:b/>
                <w:bCs/>
                <w:sz w:val="20"/>
                <w:szCs w:val="20"/>
              </w:rPr>
              <w:t>AND</w:t>
            </w:r>
          </w:p>
        </w:tc>
      </w:tr>
      <w:tr w:rsidRPr="00AD4F6B" w:rsidR="00657A59" w:rsidTr="00657A59" w14:paraId="46747BC9"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P="00A870C1" w:rsidRDefault="00657A59" w14:paraId="01EB99B6" w14:textId="0644DF5E">
            <w:pPr>
              <w:rPr>
                <w:rFonts w:ascii="Arial Narrow" w:hAnsi="Arial Narrow"/>
                <w:b/>
                <w:bCs/>
                <w:sz w:val="20"/>
                <w:szCs w:val="20"/>
              </w:rPr>
            </w:pPr>
            <w:r w:rsidRPr="00AD4F6B">
              <w:rPr>
                <w:rFonts w:ascii="Arial Narrow" w:hAnsi="Arial Narrow"/>
                <w:b/>
                <w:bCs/>
                <w:sz w:val="20"/>
                <w:szCs w:val="20"/>
              </w:rPr>
              <w:t>Clinical criteria:</w:t>
            </w:r>
          </w:p>
        </w:tc>
      </w:tr>
      <w:tr w:rsidRPr="00AD4F6B" w:rsidR="00657A59" w:rsidTr="00657A59" w14:paraId="34C29A0C"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P="00A870C1" w:rsidRDefault="00657A59" w14:paraId="70FCFEA9" w14:textId="0201D60E">
            <w:pPr>
              <w:rPr>
                <w:rFonts w:ascii="Arial Narrow" w:hAnsi="Arial Narrow"/>
                <w:sz w:val="20"/>
                <w:szCs w:val="20"/>
              </w:rPr>
            </w:pPr>
            <w:r w:rsidRPr="00AD4F6B">
              <w:rPr>
                <w:rFonts w:ascii="Arial Narrow" w:hAnsi="Arial Narrow"/>
                <w:sz w:val="20"/>
                <w:szCs w:val="20"/>
              </w:rPr>
              <w:t>Patient must have experienced at least two of the defined signs</w:t>
            </w:r>
            <w:r w:rsidRPr="00AD4F6B">
              <w:rPr>
                <w:rFonts w:ascii="Arial Narrow" w:hAnsi="Arial Narrow"/>
                <w:strike/>
                <w:sz w:val="20"/>
                <w:szCs w:val="20"/>
              </w:rPr>
              <w:t>/</w:t>
            </w:r>
            <w:r w:rsidRPr="00AD4F6B">
              <w:rPr>
                <w:rFonts w:ascii="Arial Narrow" w:hAnsi="Arial Narrow"/>
                <w:sz w:val="20"/>
                <w:szCs w:val="20"/>
              </w:rPr>
              <w:t xml:space="preserve"> and symptoms of </w:t>
            </w:r>
            <w:r w:rsidRPr="00AD4F6B">
              <w:rPr>
                <w:rFonts w:ascii="Arial Narrow" w:hAnsi="Arial Narrow"/>
                <w:strike/>
                <w:sz w:val="20"/>
                <w:szCs w:val="20"/>
              </w:rPr>
              <w:t>Type 1</w:t>
            </w:r>
            <w:r w:rsidRPr="00AD4F6B">
              <w:rPr>
                <w:rFonts w:ascii="Arial Narrow" w:hAnsi="Arial Narrow"/>
                <w:sz w:val="20"/>
                <w:szCs w:val="20"/>
              </w:rPr>
              <w:t xml:space="preserve"> SMA type I, II or IIIa </w:t>
            </w:r>
            <w:r w:rsidRPr="00AD4F6B">
              <w:rPr>
                <w:rFonts w:ascii="Arial Narrow" w:hAnsi="Arial Narrow"/>
                <w:strike/>
                <w:sz w:val="20"/>
                <w:szCs w:val="20"/>
              </w:rPr>
              <w:t>specified below</w:t>
            </w:r>
            <w:r w:rsidRPr="00AD4F6B">
              <w:rPr>
                <w:rFonts w:ascii="Arial Narrow" w:hAnsi="Arial Narrow"/>
                <w:sz w:val="20"/>
                <w:szCs w:val="20"/>
              </w:rPr>
              <w:t xml:space="preserve"> prior to 3 years of age; OR</w:t>
            </w:r>
          </w:p>
        </w:tc>
      </w:tr>
      <w:tr w:rsidRPr="00AD4F6B" w:rsidR="00657A59" w:rsidTr="00657A59" w14:paraId="6DB77609"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P="00B055E3" w:rsidRDefault="00657A59" w14:paraId="639BDE99" w14:textId="29D570CE">
            <w:pPr>
              <w:rPr>
                <w:rFonts w:ascii="Arial Narrow" w:hAnsi="Arial Narrow"/>
                <w:sz w:val="20"/>
                <w:szCs w:val="20"/>
              </w:rPr>
            </w:pPr>
            <w:r w:rsidRPr="00AD4F6B">
              <w:rPr>
                <w:rFonts w:ascii="Arial Narrow" w:hAnsi="Arial Narrow"/>
                <w:sz w:val="20"/>
                <w:szCs w:val="20"/>
              </w:rPr>
              <w:t>The condition must be pre-symptomatic SMA, with genetic confirmation that there are 1 to 2 copies of the survival motor neuron 2 (</w:t>
            </w:r>
            <w:r w:rsidRPr="00AD4F6B">
              <w:rPr>
                <w:rFonts w:ascii="Arial Narrow" w:hAnsi="Arial Narrow"/>
                <w:i/>
                <w:iCs/>
                <w:sz w:val="20"/>
                <w:szCs w:val="20"/>
              </w:rPr>
              <w:t>SMN2</w:t>
            </w:r>
            <w:r w:rsidRPr="00AD4F6B">
              <w:rPr>
                <w:rFonts w:ascii="Arial Narrow" w:hAnsi="Arial Narrow"/>
                <w:sz w:val="20"/>
                <w:szCs w:val="20"/>
              </w:rPr>
              <w:t>) gene; AND</w:t>
            </w:r>
          </w:p>
        </w:tc>
      </w:tr>
      <w:tr w:rsidRPr="00AD4F6B" w:rsidR="00657A59" w:rsidTr="00657A59" w14:paraId="53001C0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1654EC76" w14:textId="77777777">
            <w:pPr>
              <w:rPr>
                <w:rFonts w:ascii="Arial Narrow" w:hAnsi="Arial Narrow"/>
                <w:b/>
                <w:bCs/>
                <w:sz w:val="20"/>
                <w:szCs w:val="20"/>
              </w:rPr>
            </w:pPr>
            <w:r w:rsidRPr="00AD4F6B">
              <w:rPr>
                <w:rFonts w:ascii="Arial Narrow" w:hAnsi="Arial Narrow"/>
                <w:b/>
                <w:bCs/>
                <w:sz w:val="20"/>
                <w:szCs w:val="20"/>
              </w:rPr>
              <w:t>AND</w:t>
            </w:r>
          </w:p>
        </w:tc>
      </w:tr>
      <w:tr w:rsidRPr="00AD4F6B" w:rsidR="00657A59" w:rsidTr="00657A59" w14:paraId="079DD978"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1BE6FDA8" w14:textId="77777777">
            <w:pPr>
              <w:rPr>
                <w:rFonts w:ascii="Arial Narrow" w:hAnsi="Arial Narrow"/>
                <w:sz w:val="20"/>
                <w:szCs w:val="20"/>
              </w:rPr>
            </w:pPr>
            <w:r w:rsidRPr="00AD4F6B">
              <w:rPr>
                <w:rFonts w:ascii="Arial Narrow" w:hAnsi="Arial Narrow"/>
                <w:b/>
                <w:bCs/>
                <w:sz w:val="20"/>
                <w:szCs w:val="20"/>
              </w:rPr>
              <w:t>Clinical criteria:</w:t>
            </w:r>
          </w:p>
        </w:tc>
      </w:tr>
      <w:tr w:rsidRPr="00AD4F6B" w:rsidR="00657A59" w:rsidTr="00657A59" w14:paraId="2E547654"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7110D8A7" w14:textId="77777777">
            <w:pPr>
              <w:rPr>
                <w:rFonts w:ascii="Arial Narrow" w:hAnsi="Arial Narrow"/>
                <w:sz w:val="20"/>
                <w:szCs w:val="20"/>
              </w:rPr>
            </w:pPr>
            <w:r w:rsidRPr="00AD4F6B">
              <w:rPr>
                <w:rFonts w:ascii="Arial Narrow" w:hAnsi="Arial Narrow"/>
                <w:sz w:val="20"/>
                <w:szCs w:val="20"/>
              </w:rPr>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tc>
      </w:tr>
      <w:tr w:rsidRPr="00AD4F6B" w:rsidR="00657A59" w:rsidTr="00657A59" w14:paraId="3D09A0BB"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7FDF854C" w14:textId="77777777">
            <w:pPr>
              <w:rPr>
                <w:rFonts w:ascii="Arial Narrow" w:hAnsi="Arial Narrow"/>
                <w:sz w:val="20"/>
                <w:szCs w:val="20"/>
              </w:rPr>
            </w:pPr>
            <w:r w:rsidRPr="00AD4F6B">
              <w:rPr>
                <w:rFonts w:ascii="Arial Narrow" w:hAnsi="Arial Narrow"/>
                <w:b/>
                <w:bCs/>
                <w:sz w:val="20"/>
                <w:szCs w:val="20"/>
              </w:rPr>
              <w:t>AND</w:t>
            </w:r>
          </w:p>
        </w:tc>
      </w:tr>
      <w:tr w:rsidRPr="00AD4F6B" w:rsidR="00657A59" w:rsidTr="00657A59" w14:paraId="5E72B73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726D195B" w14:textId="77777777">
            <w:pPr>
              <w:rPr>
                <w:rFonts w:ascii="Arial Narrow" w:hAnsi="Arial Narrow"/>
                <w:sz w:val="20"/>
                <w:szCs w:val="20"/>
              </w:rPr>
            </w:pPr>
            <w:r w:rsidRPr="00AD4F6B">
              <w:rPr>
                <w:rFonts w:ascii="Arial Narrow" w:hAnsi="Arial Narrow"/>
                <w:b/>
                <w:bCs/>
                <w:sz w:val="20"/>
                <w:szCs w:val="20"/>
              </w:rPr>
              <w:t>Clinical criteria:</w:t>
            </w:r>
          </w:p>
        </w:tc>
      </w:tr>
      <w:tr w:rsidRPr="00AD4F6B" w:rsidR="00657A59" w:rsidTr="00657A59" w14:paraId="11B233F7"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7116C5E1" w14:textId="77777777">
            <w:pPr>
              <w:rPr>
                <w:rFonts w:ascii="Arial Narrow" w:hAnsi="Arial Narrow"/>
                <w:sz w:val="20"/>
                <w:szCs w:val="20"/>
              </w:rPr>
            </w:pPr>
            <w:r w:rsidRPr="00AD4F6B">
              <w:rPr>
                <w:rFonts w:ascii="Arial Narrow" w:hAnsi="Arial Narrow"/>
                <w:sz w:val="20"/>
                <w:szCs w:val="20"/>
              </w:rPr>
              <w:t>The treatment must be given concomitantly with best supportive care for this condition</w:t>
            </w:r>
          </w:p>
        </w:tc>
      </w:tr>
      <w:tr w:rsidRPr="00AD4F6B" w:rsidR="00657A59" w:rsidTr="00657A59" w14:paraId="3516A193"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5E77CD94" w14:textId="77777777">
            <w:pPr>
              <w:keepNext/>
              <w:rPr>
                <w:rFonts w:ascii="Arial Narrow" w:hAnsi="Arial Narrow"/>
                <w:sz w:val="20"/>
                <w:szCs w:val="20"/>
              </w:rPr>
            </w:pPr>
            <w:r w:rsidRPr="00AD4F6B">
              <w:rPr>
                <w:rFonts w:ascii="Arial Narrow" w:hAnsi="Arial Narrow"/>
                <w:b/>
                <w:bCs/>
                <w:sz w:val="20"/>
                <w:szCs w:val="20"/>
              </w:rPr>
              <w:t>Treatment criteria:</w:t>
            </w:r>
          </w:p>
        </w:tc>
      </w:tr>
      <w:tr w:rsidRPr="00AD4F6B" w:rsidR="00657A59" w:rsidTr="00657A59" w14:paraId="6301AFD8"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657A59" w:rsidRDefault="00657A59" w14:paraId="251CF578" w14:textId="77777777">
            <w:pPr>
              <w:autoSpaceDE w:val="0"/>
              <w:autoSpaceDN w:val="0"/>
              <w:adjustRightInd w:val="0"/>
              <w:rPr>
                <w:rFonts w:ascii="Arial Narrow" w:hAnsi="Arial Narrow" w:cs="Arial Narrow"/>
                <w:i/>
                <w:iCs/>
                <w:sz w:val="20"/>
                <w:szCs w:val="20"/>
              </w:rPr>
            </w:pPr>
            <w:r w:rsidRPr="00AD4F6B">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Pr="00AD4F6B" w:rsidR="00657A59" w:rsidTr="00657A59" w14:paraId="03B4CB59"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3DBFD756" w14:textId="77777777">
            <w:pPr>
              <w:autoSpaceDE w:val="0"/>
              <w:autoSpaceDN w:val="0"/>
              <w:adjustRightInd w:val="0"/>
              <w:rPr>
                <w:rFonts w:ascii="Arial Narrow" w:hAnsi="Arial Narrow" w:cs="Arial Narrow"/>
                <w:b/>
                <w:bCs/>
                <w:iCs/>
                <w:sz w:val="20"/>
                <w:szCs w:val="20"/>
              </w:rPr>
            </w:pPr>
            <w:r w:rsidRPr="00AD4F6B">
              <w:rPr>
                <w:rFonts w:ascii="Arial Narrow" w:hAnsi="Arial Narrow" w:cs="Arial Narrow"/>
                <w:b/>
                <w:bCs/>
                <w:iCs/>
                <w:sz w:val="20"/>
                <w:szCs w:val="20"/>
              </w:rPr>
              <w:t>AND</w:t>
            </w:r>
          </w:p>
        </w:tc>
      </w:tr>
      <w:tr w:rsidRPr="00AD4F6B" w:rsidR="00657A59" w:rsidTr="00657A59" w14:paraId="1627998B"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284264F3" w14:textId="77777777">
            <w:pPr>
              <w:autoSpaceDE w:val="0"/>
              <w:autoSpaceDN w:val="0"/>
              <w:adjustRightInd w:val="0"/>
              <w:rPr>
                <w:rFonts w:ascii="Arial Narrow" w:hAnsi="Arial Narrow" w:cs="Arial Narrow"/>
                <w:iCs/>
                <w:sz w:val="20"/>
                <w:szCs w:val="20"/>
              </w:rPr>
            </w:pPr>
            <w:r w:rsidRPr="00AD4F6B">
              <w:rPr>
                <w:rFonts w:ascii="Arial Narrow" w:hAnsi="Arial Narrow"/>
                <w:b/>
                <w:bCs/>
                <w:sz w:val="20"/>
                <w:szCs w:val="20"/>
              </w:rPr>
              <w:t>Treatment criteria:</w:t>
            </w:r>
          </w:p>
        </w:tc>
      </w:tr>
      <w:tr w:rsidRPr="00AD4F6B" w:rsidR="00657A59" w:rsidTr="00657A59" w14:paraId="3B2E980A"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39D4FE5A" w14:textId="77777777">
            <w:pPr>
              <w:autoSpaceDE w:val="0"/>
              <w:autoSpaceDN w:val="0"/>
              <w:adjustRightInd w:val="0"/>
              <w:rPr>
                <w:rFonts w:ascii="Arial Narrow" w:hAnsi="Arial Narrow"/>
                <w:sz w:val="20"/>
                <w:szCs w:val="20"/>
              </w:rPr>
            </w:pPr>
            <w:r w:rsidRPr="00AD4F6B">
              <w:rPr>
                <w:rFonts w:ascii="Arial Narrow" w:hAnsi="Arial Narrow"/>
                <w:sz w:val="20"/>
                <w:szCs w:val="20"/>
              </w:rPr>
              <w:t>Must be treated in a treatment centre that is each of: (i) recognised in the management of SMA, (ii) accredited in the use of this gene technology by the relevant authority, (iii) will(has) source(d) this product from an accredited supplier, as specified in the administrative notes to this listing</w:t>
            </w:r>
          </w:p>
        </w:tc>
      </w:tr>
      <w:tr w:rsidRPr="00AD4F6B" w:rsidR="00657A59" w:rsidTr="00657A59" w14:paraId="1369861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55B4C800" w14:textId="77777777">
            <w:pPr>
              <w:rPr>
                <w:rFonts w:ascii="Arial Narrow" w:hAnsi="Arial Narrow"/>
                <w:b/>
                <w:bCs/>
                <w:sz w:val="20"/>
                <w:szCs w:val="20"/>
              </w:rPr>
            </w:pPr>
            <w:r w:rsidRPr="00AD4F6B">
              <w:rPr>
                <w:rFonts w:ascii="Arial Narrow" w:hAnsi="Arial Narrow" w:cs="Arial Narrow"/>
                <w:b/>
                <w:bCs/>
                <w:iCs/>
                <w:sz w:val="20"/>
                <w:szCs w:val="20"/>
              </w:rPr>
              <w:t>AND</w:t>
            </w:r>
          </w:p>
        </w:tc>
      </w:tr>
      <w:tr w:rsidRPr="00AD4F6B" w:rsidR="00657A59" w:rsidTr="00657A59" w14:paraId="78DF985B"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189DCD74" w14:textId="77777777">
            <w:pPr>
              <w:rPr>
                <w:rFonts w:ascii="Arial Narrow" w:hAnsi="Arial Narrow" w:cs="Arial Narrow"/>
                <w:b/>
                <w:bCs/>
                <w:iCs/>
                <w:sz w:val="20"/>
                <w:szCs w:val="20"/>
              </w:rPr>
            </w:pPr>
            <w:r w:rsidRPr="00AD4F6B">
              <w:rPr>
                <w:rFonts w:ascii="Arial Narrow" w:hAnsi="Arial Narrow"/>
                <w:b/>
                <w:bCs/>
                <w:sz w:val="20"/>
                <w:szCs w:val="20"/>
              </w:rPr>
              <w:t>Treatment criteria:</w:t>
            </w:r>
          </w:p>
        </w:tc>
      </w:tr>
      <w:tr w:rsidRPr="00AD4F6B" w:rsidR="00657A59" w:rsidTr="00657A59" w14:paraId="7AF12F0B"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4749F2B7" w14:textId="77777777">
            <w:pPr>
              <w:rPr>
                <w:rFonts w:ascii="Arial Narrow" w:hAnsi="Arial Narrow" w:cs="Arial Narrow"/>
                <w:b/>
                <w:bCs/>
                <w:iCs/>
                <w:sz w:val="20"/>
                <w:szCs w:val="20"/>
              </w:rPr>
            </w:pPr>
            <w:r w:rsidRPr="00AD4F6B">
              <w:rPr>
                <w:rFonts w:ascii="Arial Narrow" w:hAnsi="Arial Narrow"/>
                <w:sz w:val="20"/>
                <w:szCs w:val="20"/>
              </w:rPr>
              <w:t>Patient must be undergoing treatment with this pharmaceutical benefit once only in a lifetime</w:t>
            </w:r>
          </w:p>
        </w:tc>
      </w:tr>
      <w:tr w:rsidRPr="00AD4F6B" w:rsidR="00657A59" w:rsidTr="00657A59" w14:paraId="1E2AC9A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4260FF31"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657A59" w:rsidTr="00F75884" w14:paraId="717D74FE"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2C5FC7B7"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657A59" w:rsidTr="00F75884" w14:paraId="6710B5A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57EAD596" w14:textId="77777777">
            <w:pPr>
              <w:rPr>
                <w:rFonts w:ascii="Arial Narrow" w:hAnsi="Arial Narrow"/>
                <w:sz w:val="20"/>
                <w:szCs w:val="20"/>
              </w:rPr>
            </w:pPr>
            <w:r w:rsidRPr="00AD4F6B">
              <w:rPr>
                <w:rFonts w:ascii="Arial Narrow" w:hAnsi="Arial Narrow"/>
                <w:sz w:val="20"/>
                <w:szCs w:val="20"/>
              </w:rPr>
              <w:t xml:space="preserve">Patient must not be undergoing treatment with this pharmaceutical benefit through this listing where prior treatment has occurred with any of: (i) nusinersen, (ii) </w:t>
            </w:r>
            <w:proofErr w:type="spellStart"/>
            <w:r w:rsidRPr="00AD4F6B">
              <w:rPr>
                <w:rFonts w:ascii="Arial Narrow" w:hAnsi="Arial Narrow"/>
                <w:sz w:val="20"/>
                <w:szCs w:val="20"/>
              </w:rPr>
              <w:t>risdiplam</w:t>
            </w:r>
            <w:proofErr w:type="spellEnd"/>
          </w:p>
        </w:tc>
      </w:tr>
      <w:tr w:rsidRPr="00AD4F6B" w:rsidR="00657A59" w:rsidTr="00F75884" w14:paraId="4532554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P="00E17A1D" w:rsidRDefault="00657A59" w14:paraId="6C66F783" w14:textId="16E565FE">
            <w:pPr>
              <w:rPr>
                <w:rFonts w:ascii="Arial Narrow" w:hAnsi="Arial Narrow"/>
                <w:sz w:val="20"/>
                <w:szCs w:val="20"/>
              </w:rPr>
            </w:pPr>
            <w:r w:rsidRPr="00AD4F6B">
              <w:rPr>
                <w:rFonts w:ascii="Arial Narrow" w:hAnsi="Arial Narrow"/>
                <w:b/>
                <w:bCs/>
                <w:sz w:val="20"/>
                <w:szCs w:val="20"/>
              </w:rPr>
              <w:t>Population criteria:</w:t>
            </w:r>
          </w:p>
        </w:tc>
      </w:tr>
      <w:tr w:rsidRPr="00AD4F6B" w:rsidR="00657A59" w:rsidTr="00F75884" w14:paraId="44CC8589"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P="00E17A1D" w:rsidRDefault="00657A59" w14:paraId="2235D94B" w14:textId="77777777">
            <w:pPr>
              <w:rPr>
                <w:rFonts w:ascii="Arial Narrow" w:hAnsi="Arial Narrow"/>
                <w:strike/>
                <w:sz w:val="20"/>
                <w:szCs w:val="20"/>
              </w:rPr>
            </w:pPr>
            <w:r w:rsidRPr="00AD4F6B">
              <w:rPr>
                <w:rFonts w:ascii="Arial Narrow" w:hAnsi="Arial Narrow"/>
                <w:strike/>
                <w:sz w:val="20"/>
                <w:szCs w:val="20"/>
              </w:rPr>
              <w:t>Patient must be no older than 9 months of age</w:t>
            </w:r>
          </w:p>
          <w:p w:rsidRPr="00AD4F6B" w:rsidR="00657A59" w:rsidP="00E17A1D" w:rsidRDefault="00657A59" w14:paraId="551FECCE" w14:textId="06DDE306">
            <w:pPr>
              <w:rPr>
                <w:rFonts w:ascii="Arial Narrow" w:hAnsi="Arial Narrow"/>
                <w:sz w:val="20"/>
                <w:szCs w:val="20"/>
              </w:rPr>
            </w:pPr>
            <w:r w:rsidRPr="00AD4F6B">
              <w:rPr>
                <w:rFonts w:ascii="Arial Narrow" w:hAnsi="Arial Narrow"/>
                <w:sz w:val="20"/>
                <w:szCs w:val="20"/>
              </w:rPr>
              <w:t>Patient must weigh 21 kg or less</w:t>
            </w:r>
          </w:p>
        </w:tc>
      </w:tr>
      <w:tr w:rsidRPr="00AD4F6B" w:rsidR="00657A59" w:rsidTr="00F75884" w14:paraId="2E697F8A"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P="00E17A1D" w:rsidRDefault="00657A59" w14:paraId="65169546" w14:textId="3A2FD617">
            <w:pPr>
              <w:rPr>
                <w:rFonts w:ascii="Arial Narrow" w:hAnsi="Arial Narrow"/>
                <w:strike/>
                <w:sz w:val="20"/>
                <w:szCs w:val="20"/>
              </w:rPr>
            </w:pPr>
            <w:r w:rsidRPr="00AD4F6B">
              <w:rPr>
                <w:rFonts w:ascii="Arial Narrow" w:hAnsi="Arial Narrow" w:cs="Arial Narrow"/>
                <w:b/>
                <w:bCs/>
                <w:sz w:val="20"/>
                <w:szCs w:val="20"/>
              </w:rPr>
              <w:t>AND</w:t>
            </w:r>
          </w:p>
        </w:tc>
      </w:tr>
      <w:tr w:rsidRPr="00AD4F6B" w:rsidR="00657A59" w:rsidTr="00F75884" w14:paraId="1B76DC69"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P="009974F6" w:rsidRDefault="00657A59" w14:paraId="54FA2554" w14:textId="488F3691">
            <w:pPr>
              <w:rPr>
                <w:rFonts w:ascii="Arial Narrow" w:hAnsi="Arial Narrow"/>
                <w:strike/>
                <w:sz w:val="20"/>
                <w:szCs w:val="20"/>
              </w:rPr>
            </w:pPr>
            <w:r w:rsidRPr="00AD4F6B">
              <w:rPr>
                <w:rFonts w:ascii="Arial Narrow" w:hAnsi="Arial Narrow"/>
                <w:b/>
                <w:bCs/>
                <w:sz w:val="20"/>
                <w:szCs w:val="20"/>
              </w:rPr>
              <w:t>Population criteria:</w:t>
            </w:r>
          </w:p>
        </w:tc>
      </w:tr>
      <w:tr w:rsidRPr="00AD4F6B" w:rsidR="00657A59" w:rsidTr="00F75884" w14:paraId="67E30CFE" w14:textId="77777777">
        <w:tblPrEx>
          <w:tblCellMar>
            <w:top w:w="15" w:type="dxa"/>
            <w:bottom w:w="15" w:type="dxa"/>
          </w:tblCellMar>
          <w:tblLook w:val="04A0" w:firstRow="1" w:lastRow="0" w:firstColumn="1" w:lastColumn="0" w:noHBand="0" w:noVBand="1"/>
        </w:tblPrEx>
        <w:trPr>
          <w:cantSplit/>
          <w:trHeight w:val="20"/>
        </w:trPr>
        <w:tc>
          <w:tcPr>
            <w:tcW w:w="5000" w:type="pct"/>
            <w:gridSpan w:val="7"/>
          </w:tcPr>
          <w:p w:rsidRPr="00AD4F6B" w:rsidR="00657A59" w:rsidP="009974F6" w:rsidRDefault="00657A59" w14:paraId="26495F8B" w14:textId="731294A7">
            <w:pPr>
              <w:rPr>
                <w:rFonts w:ascii="Arial Narrow" w:hAnsi="Arial Narrow"/>
                <w:strike/>
                <w:sz w:val="20"/>
                <w:szCs w:val="20"/>
              </w:rPr>
            </w:pPr>
            <w:r w:rsidRPr="00AD4F6B">
              <w:rPr>
                <w:rFonts w:ascii="Arial Narrow" w:hAnsi="Arial Narrow"/>
                <w:sz w:val="20"/>
                <w:szCs w:val="20"/>
              </w:rPr>
              <w:t>Patient must have symptomatic Type 1, 2 or 3a SMA; OR</w:t>
            </w:r>
          </w:p>
        </w:tc>
      </w:tr>
      <w:tr w:rsidRPr="00AD4F6B" w:rsidR="00657A59" w:rsidTr="00F75884" w14:paraId="30B129F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P="009974F6" w:rsidRDefault="00657A59" w14:paraId="4E766FF0" w14:textId="621610C4">
            <w:pPr>
              <w:rPr>
                <w:rFonts w:ascii="Arial Narrow" w:hAnsi="Arial Narrow"/>
                <w:strike/>
                <w:sz w:val="20"/>
                <w:szCs w:val="20"/>
              </w:rPr>
            </w:pPr>
            <w:r w:rsidRPr="00AD4F6B">
              <w:rPr>
                <w:rFonts w:ascii="Arial Narrow" w:hAnsi="Arial Narrow"/>
                <w:sz w:val="20"/>
                <w:szCs w:val="20"/>
              </w:rPr>
              <w:t xml:space="preserve">Patient must have pre-symptomatic SMA with 1-2 copies of the SMN2 gene and are no older than 36 months of age. </w:t>
            </w:r>
          </w:p>
        </w:tc>
      </w:tr>
      <w:tr w:rsidRPr="00AD4F6B" w:rsidR="00657A59" w:rsidTr="00F75884" w14:paraId="216F892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6476AEBB"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657A59" w:rsidRDefault="00657A59" w14:paraId="381A27C2" w14:textId="77777777">
            <w:pPr>
              <w:rPr>
                <w:rFonts w:ascii="Arial Narrow" w:hAnsi="Arial Narrow"/>
                <w:sz w:val="20"/>
                <w:szCs w:val="20"/>
              </w:rPr>
            </w:pPr>
            <w:r w:rsidRPr="00AD4F6B">
              <w:rPr>
                <w:rFonts w:ascii="Arial Narrow" w:hAnsi="Arial Narrow"/>
                <w:sz w:val="20"/>
                <w:szCs w:val="20"/>
              </w:rPr>
              <w:t xml:space="preserve">The authority application must be made </w:t>
            </w:r>
            <w:r w:rsidRPr="00AD4F6B">
              <w:rPr>
                <w:rFonts w:ascii="Arial Narrow" w:hAnsi="Arial Narrow"/>
                <w:i/>
                <w:sz w:val="20"/>
                <w:szCs w:val="20"/>
              </w:rPr>
              <w:t>via the Online PBS Authorities System, or</w:t>
            </w:r>
            <w:r w:rsidRPr="00AD4F6B">
              <w:rPr>
                <w:rFonts w:ascii="Arial Narrow" w:hAnsi="Arial Narrow"/>
                <w:sz w:val="20"/>
                <w:szCs w:val="20"/>
              </w:rPr>
              <w:t xml:space="preserve"> in writing </w:t>
            </w:r>
            <w:r w:rsidRPr="00AD4F6B">
              <w:rPr>
                <w:rFonts w:ascii="Arial Narrow" w:hAnsi="Arial Narrow"/>
                <w:i/>
                <w:sz w:val="20"/>
                <w:szCs w:val="20"/>
              </w:rPr>
              <w:t>via HPOS form upload or mail</w:t>
            </w:r>
            <w:r w:rsidRPr="00AD4F6B">
              <w:rPr>
                <w:rFonts w:ascii="Arial Narrow" w:hAnsi="Arial Narrow"/>
                <w:sz w:val="20"/>
                <w:szCs w:val="20"/>
              </w:rPr>
              <w:t xml:space="preserve"> and must include:</w:t>
            </w:r>
          </w:p>
          <w:p w:rsidRPr="00AD4F6B" w:rsidR="00657A59" w:rsidP="00FD67D5" w:rsidRDefault="00657A59" w14:paraId="5CA02852" w14:textId="77777777">
            <w:pPr>
              <w:rPr>
                <w:rFonts w:ascii="Arial Narrow" w:hAnsi="Arial Narrow"/>
                <w:sz w:val="20"/>
                <w:szCs w:val="20"/>
              </w:rPr>
            </w:pPr>
            <w:r w:rsidRPr="00AD4F6B">
              <w:rPr>
                <w:rFonts w:ascii="Arial Narrow" w:hAnsi="Arial Narrow"/>
                <w:sz w:val="20"/>
                <w:szCs w:val="20"/>
              </w:rPr>
              <w:t xml:space="preserve">(1) </w:t>
            </w:r>
            <w:r w:rsidRPr="00AD4F6B">
              <w:rPr>
                <w:rFonts w:ascii="Arial Narrow" w:hAnsi="Arial Narrow"/>
                <w:strike/>
                <w:sz w:val="20"/>
                <w:szCs w:val="20"/>
              </w:rPr>
              <w:t xml:space="preserve">a completed authority </w:t>
            </w:r>
            <w:r w:rsidRPr="00AD4F6B">
              <w:rPr>
                <w:rFonts w:ascii="Arial Narrow" w:hAnsi="Arial Narrow"/>
                <w:i/>
                <w:iCs/>
                <w:sz w:val="20"/>
                <w:szCs w:val="20"/>
              </w:rPr>
              <w:t>details of the proposed</w:t>
            </w:r>
            <w:r w:rsidRPr="00AD4F6B">
              <w:rPr>
                <w:rFonts w:ascii="Arial Narrow" w:hAnsi="Arial Narrow"/>
                <w:sz w:val="20"/>
                <w:szCs w:val="20"/>
              </w:rPr>
              <w:t xml:space="preserve"> prescription</w:t>
            </w:r>
            <w:r w:rsidRPr="00AD4F6B">
              <w:rPr>
                <w:rFonts w:ascii="Arial Narrow" w:hAnsi="Arial Narrow"/>
                <w:i/>
                <w:iCs/>
                <w:sz w:val="20"/>
                <w:szCs w:val="20"/>
              </w:rPr>
              <w:t xml:space="preserve">(s) </w:t>
            </w:r>
            <w:r w:rsidRPr="00AD4F6B">
              <w:rPr>
                <w:rFonts w:ascii="Arial Narrow" w:hAnsi="Arial Narrow"/>
                <w:strike/>
                <w:sz w:val="20"/>
                <w:szCs w:val="20"/>
              </w:rPr>
              <w:t>form</w:t>
            </w:r>
            <w:r w:rsidRPr="00AD4F6B">
              <w:rPr>
                <w:rFonts w:ascii="Arial Narrow" w:hAnsi="Arial Narrow"/>
                <w:sz w:val="20"/>
                <w:szCs w:val="20"/>
              </w:rPr>
              <w:t>; and</w:t>
            </w:r>
          </w:p>
          <w:p w:rsidRPr="00AD4F6B" w:rsidR="00657A59" w:rsidRDefault="00657A59" w14:paraId="23201919" w14:textId="77777777">
            <w:pPr>
              <w:rPr>
                <w:rFonts w:ascii="Arial Narrow" w:hAnsi="Arial Narrow"/>
                <w:sz w:val="20"/>
                <w:szCs w:val="20"/>
              </w:rPr>
            </w:pPr>
            <w:r w:rsidRPr="00AD4F6B">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Pr="00AD4F6B" w:rsidR="00657A59" w:rsidTr="00F75884" w14:paraId="4BBD696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787E2E31"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657A59" w:rsidRDefault="00657A59" w14:paraId="1BBEF56E" w14:textId="77777777">
            <w:pPr>
              <w:rPr>
                <w:rFonts w:ascii="Arial Narrow" w:hAnsi="Arial Narrow"/>
                <w:strike/>
                <w:sz w:val="20"/>
                <w:szCs w:val="20"/>
              </w:rPr>
            </w:pPr>
            <w:r w:rsidRPr="00AD4F6B">
              <w:rPr>
                <w:rFonts w:ascii="Arial Narrow" w:hAnsi="Arial Narrow"/>
                <w:strike/>
                <w:sz w:val="20"/>
                <w:szCs w:val="20"/>
              </w:rPr>
              <w:t>Prescribing Instructions:</w:t>
            </w:r>
          </w:p>
          <w:p w:rsidRPr="00AD4F6B" w:rsidR="00657A59" w:rsidRDefault="00657A59" w14:paraId="07DA3888" w14:textId="77777777">
            <w:pPr>
              <w:rPr>
                <w:rFonts w:ascii="Arial Narrow" w:hAnsi="Arial Narrow"/>
                <w:sz w:val="20"/>
                <w:szCs w:val="20"/>
              </w:rPr>
            </w:pPr>
            <w:r w:rsidRPr="00AD4F6B">
              <w:rPr>
                <w:rFonts w:ascii="Arial Narrow" w:hAnsi="Arial Narrow"/>
                <w:sz w:val="20"/>
                <w:szCs w:val="20"/>
              </w:rPr>
              <w:t>In the relevant PBS Authority Application form, specify the following:</w:t>
            </w:r>
          </w:p>
          <w:p w:rsidRPr="00AD4F6B" w:rsidR="00657A59" w:rsidRDefault="00657A59" w14:paraId="59B77C64" w14:textId="2DC3FFD1">
            <w:pPr>
              <w:rPr>
                <w:rFonts w:ascii="Arial Narrow" w:hAnsi="Arial Narrow"/>
                <w:sz w:val="20"/>
                <w:szCs w:val="20"/>
              </w:rPr>
            </w:pPr>
            <w:r w:rsidRPr="00AD4F6B">
              <w:rPr>
                <w:rFonts w:ascii="Arial Narrow" w:hAnsi="Arial Narrow"/>
                <w:sz w:val="20"/>
                <w:szCs w:val="20"/>
              </w:rPr>
              <w:t xml:space="preserve">(i) the SMA type being treated: symptomatic Type 1, 2 or 3a SMA, or, pre-symptomatic </w:t>
            </w:r>
            <w:proofErr w:type="gramStart"/>
            <w:r w:rsidRPr="00AD4F6B">
              <w:rPr>
                <w:rFonts w:ascii="Arial Narrow" w:hAnsi="Arial Narrow"/>
                <w:sz w:val="20"/>
                <w:szCs w:val="20"/>
              </w:rPr>
              <w:t>SMA;</w:t>
            </w:r>
            <w:proofErr w:type="gramEnd"/>
          </w:p>
          <w:p w:rsidRPr="00AD4F6B" w:rsidR="00657A59" w:rsidRDefault="00657A59" w14:paraId="6F2BF100" w14:textId="5339C88B">
            <w:pPr>
              <w:rPr>
                <w:rFonts w:ascii="Arial Narrow" w:hAnsi="Arial Narrow"/>
                <w:sz w:val="20"/>
                <w:szCs w:val="20"/>
              </w:rPr>
            </w:pPr>
            <w:r w:rsidRPr="00AD4F6B">
              <w:rPr>
                <w:rFonts w:ascii="Arial Narrow" w:hAnsi="Arial Narrow"/>
                <w:sz w:val="20"/>
                <w:szCs w:val="20"/>
              </w:rPr>
              <w:t>(ii) for Type 1, 2 or 3a SMA, the signs/symptoms that the patient has experienced, together with the patient's age at the onset of these signs/symptoms.</w:t>
            </w:r>
          </w:p>
          <w:p w:rsidRPr="00AD4F6B" w:rsidR="00657A59" w:rsidRDefault="00657A59" w14:paraId="03C983B1" w14:textId="77777777">
            <w:pPr>
              <w:rPr>
                <w:rFonts w:ascii="Arial Narrow" w:hAnsi="Arial Narrow"/>
                <w:sz w:val="20"/>
                <w:szCs w:val="20"/>
              </w:rPr>
            </w:pPr>
          </w:p>
          <w:p w:rsidRPr="00AD4F6B" w:rsidR="00657A59" w:rsidRDefault="00657A59" w14:paraId="64CDC5FC" w14:textId="77777777">
            <w:pPr>
              <w:rPr>
                <w:rFonts w:ascii="Arial Narrow" w:hAnsi="Arial Narrow"/>
                <w:sz w:val="20"/>
                <w:szCs w:val="20"/>
              </w:rPr>
            </w:pPr>
            <w:r w:rsidRPr="00AD4F6B">
              <w:rPr>
                <w:rFonts w:ascii="Arial Narrow" w:hAnsi="Arial Narrow"/>
                <w:sz w:val="20"/>
                <w:szCs w:val="20"/>
              </w:rPr>
              <w:t>State the weight of the patient in kilograms and request the appropriate product pack presentation with respect to the mix of 5.5 mL and 8.3 mL vials.</w:t>
            </w:r>
          </w:p>
          <w:p w:rsidRPr="00AD4F6B" w:rsidR="00657A59" w:rsidRDefault="00657A59" w14:paraId="45314696" w14:textId="77777777">
            <w:pPr>
              <w:rPr>
                <w:rFonts w:ascii="Arial Narrow" w:hAnsi="Arial Narrow"/>
                <w:sz w:val="20"/>
                <w:szCs w:val="20"/>
              </w:rPr>
            </w:pPr>
          </w:p>
          <w:p w:rsidRPr="00AD4F6B" w:rsidR="00657A59" w:rsidRDefault="00657A59" w14:paraId="0E6DD3DE" w14:textId="77777777">
            <w:pPr>
              <w:rPr>
                <w:rFonts w:ascii="Arial Narrow" w:hAnsi="Arial Narrow"/>
                <w:sz w:val="20"/>
                <w:szCs w:val="20"/>
              </w:rPr>
            </w:pPr>
            <w:r w:rsidRPr="00AD4F6B">
              <w:rPr>
                <w:rFonts w:ascii="Arial Narrow" w:hAnsi="Arial Narrow"/>
                <w:sz w:val="20"/>
                <w:szCs w:val="20"/>
              </w:rPr>
              <w:t>Confirm that genetic testing has been completed to demonstrate the following in support of an SMA diagnosis:</w:t>
            </w:r>
          </w:p>
          <w:p w:rsidRPr="00AD4F6B" w:rsidR="00657A59" w:rsidRDefault="00657A59" w14:paraId="2665AA4A" w14:textId="77777777">
            <w:pPr>
              <w:rPr>
                <w:rFonts w:ascii="Arial Narrow" w:hAnsi="Arial Narrow"/>
                <w:sz w:val="20"/>
                <w:szCs w:val="20"/>
              </w:rPr>
            </w:pPr>
            <w:r w:rsidRPr="00AD4F6B">
              <w:rPr>
                <w:rFonts w:ascii="Arial Narrow" w:hAnsi="Arial Narrow"/>
                <w:sz w:val="20"/>
                <w:szCs w:val="20"/>
              </w:rPr>
              <w:t>(i) 5q homozygous deletion of the survival motor neuron 1 (SMN1) gene; or</w:t>
            </w:r>
          </w:p>
          <w:p w:rsidRPr="00AD4F6B" w:rsidR="00657A59" w:rsidRDefault="00657A59" w14:paraId="2542AD07" w14:textId="77777777">
            <w:pPr>
              <w:rPr>
                <w:rFonts w:ascii="Arial Narrow" w:hAnsi="Arial Narrow"/>
                <w:sz w:val="20"/>
                <w:szCs w:val="20"/>
              </w:rPr>
            </w:pPr>
            <w:r w:rsidRPr="00AD4F6B">
              <w:rPr>
                <w:rFonts w:ascii="Arial Narrow" w:hAnsi="Arial Narrow"/>
                <w:sz w:val="20"/>
                <w:szCs w:val="20"/>
              </w:rPr>
              <w:t>(ii) deletion of one copy of the SMN1 gene in addition to a pathogenic/likely pathogenic variance in the remaining single copy of the SMN1 gene.</w:t>
            </w:r>
          </w:p>
          <w:p w:rsidRPr="00AD4F6B" w:rsidR="00657A59" w:rsidRDefault="00657A59" w14:paraId="09F4BEB6" w14:textId="77777777">
            <w:pPr>
              <w:rPr>
                <w:rFonts w:ascii="Arial Narrow" w:hAnsi="Arial Narrow"/>
                <w:sz w:val="20"/>
                <w:szCs w:val="20"/>
              </w:rPr>
            </w:pPr>
          </w:p>
          <w:p w:rsidRPr="00AD4F6B" w:rsidR="00657A59" w:rsidRDefault="00657A59" w14:paraId="0D450571" w14:textId="77777777">
            <w:pPr>
              <w:rPr>
                <w:rFonts w:ascii="Arial Narrow" w:hAnsi="Arial Narrow"/>
                <w:sz w:val="20"/>
                <w:szCs w:val="20"/>
              </w:rPr>
            </w:pPr>
            <w:r w:rsidRPr="00AD4F6B">
              <w:rPr>
                <w:rFonts w:ascii="Arial Narrow" w:hAnsi="Arial Narrow"/>
                <w:sz w:val="20"/>
                <w:szCs w:val="20"/>
              </w:rPr>
              <w:t>If the condition is pre-symptomatic SMA, confirm that there is genetic test finding that substantiates the number of SMN2 gene copies determined by quantitative polymerase chain reaction (qPCR) or multiple ligation dependent probe amplification (MLPA).</w:t>
            </w:r>
          </w:p>
          <w:p w:rsidRPr="00AD4F6B" w:rsidR="00657A59" w:rsidRDefault="00657A59" w14:paraId="2BEE71CE" w14:textId="77777777">
            <w:pPr>
              <w:rPr>
                <w:rFonts w:ascii="Arial Narrow" w:hAnsi="Arial Narrow"/>
                <w:sz w:val="20"/>
                <w:szCs w:val="20"/>
              </w:rPr>
            </w:pPr>
          </w:p>
          <w:p w:rsidRPr="00AD4F6B" w:rsidR="00657A59" w:rsidRDefault="00657A59" w14:paraId="7590B6B0" w14:textId="77777777">
            <w:pPr>
              <w:rPr>
                <w:rFonts w:ascii="Arial Narrow" w:hAnsi="Arial Narrow"/>
                <w:sz w:val="20"/>
                <w:szCs w:val="20"/>
              </w:rPr>
            </w:pPr>
            <w:r w:rsidRPr="00AD4F6B">
              <w:rPr>
                <w:rFonts w:ascii="Arial Narrow" w:hAnsi="Arial Narrow"/>
                <w:sz w:val="20"/>
                <w:szCs w:val="20"/>
              </w:rPr>
              <w:t>Quote the date, pathology provider name and any unique identifying serial number/code that links the genetic test result to the patient.</w:t>
            </w:r>
          </w:p>
        </w:tc>
      </w:tr>
      <w:tr w:rsidRPr="00AD4F6B" w:rsidR="00657A59" w:rsidTr="00F75884" w14:paraId="0E58308A"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RDefault="00657A59" w14:paraId="4E12DDEB"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657A59" w:rsidRDefault="00657A59" w14:paraId="44D85D48" w14:textId="77777777">
            <w:pPr>
              <w:rPr>
                <w:rFonts w:ascii="Arial Narrow" w:hAnsi="Arial Narrow"/>
                <w:sz w:val="20"/>
                <w:szCs w:val="20"/>
              </w:rPr>
            </w:pPr>
            <w:r w:rsidRPr="00AD4F6B">
              <w:rPr>
                <w:rFonts w:ascii="Arial Narrow" w:hAnsi="Arial Narrow"/>
                <w:sz w:val="20"/>
                <w:szCs w:val="20"/>
              </w:rPr>
              <w:t>Defined signs and symptoms of type I SMA are:</w:t>
            </w:r>
          </w:p>
          <w:p w:rsidRPr="00AD4F6B" w:rsidR="00657A59" w:rsidRDefault="00657A59" w14:paraId="3B7F75FD" w14:textId="77777777">
            <w:pPr>
              <w:rPr>
                <w:rFonts w:ascii="Arial Narrow" w:hAnsi="Arial Narrow"/>
                <w:sz w:val="20"/>
                <w:szCs w:val="20"/>
              </w:rPr>
            </w:pPr>
            <w:r w:rsidRPr="00AD4F6B">
              <w:rPr>
                <w:rFonts w:ascii="Arial Narrow" w:hAnsi="Arial Narrow"/>
                <w:sz w:val="20"/>
                <w:szCs w:val="20"/>
              </w:rPr>
              <w:t>i) Onset before 6 months of age; and</w:t>
            </w:r>
          </w:p>
          <w:p w:rsidRPr="00AD4F6B" w:rsidR="00657A59" w:rsidRDefault="00657A59" w14:paraId="23DE34CB" w14:textId="77777777">
            <w:pPr>
              <w:rPr>
                <w:rFonts w:ascii="Arial Narrow" w:hAnsi="Arial Narrow"/>
                <w:sz w:val="20"/>
                <w:szCs w:val="20"/>
              </w:rPr>
            </w:pPr>
            <w:r w:rsidRPr="00AD4F6B">
              <w:rPr>
                <w:rFonts w:ascii="Arial Narrow" w:hAnsi="Arial Narrow"/>
                <w:sz w:val="20"/>
                <w:szCs w:val="20"/>
              </w:rPr>
              <w:t>ii) Failure to meet or regression in ability to perform age-appropriate motor milestones; or</w:t>
            </w:r>
          </w:p>
          <w:p w:rsidRPr="00AD4F6B" w:rsidR="00657A59" w:rsidRDefault="00657A59" w14:paraId="1E9C06F8" w14:textId="77777777">
            <w:pPr>
              <w:rPr>
                <w:rFonts w:ascii="Arial Narrow" w:hAnsi="Arial Narrow"/>
                <w:sz w:val="20"/>
                <w:szCs w:val="20"/>
              </w:rPr>
            </w:pPr>
            <w:r w:rsidRPr="00AD4F6B">
              <w:rPr>
                <w:rFonts w:ascii="Arial Narrow" w:hAnsi="Arial Narrow"/>
                <w:sz w:val="20"/>
                <w:szCs w:val="20"/>
              </w:rPr>
              <w:t>iii) Proximal weakness; or</w:t>
            </w:r>
          </w:p>
          <w:p w:rsidRPr="00AD4F6B" w:rsidR="00657A59" w:rsidRDefault="00657A59" w14:paraId="62C42CE9" w14:textId="77777777">
            <w:pPr>
              <w:rPr>
                <w:rFonts w:ascii="Arial Narrow" w:hAnsi="Arial Narrow"/>
                <w:sz w:val="20"/>
                <w:szCs w:val="20"/>
              </w:rPr>
            </w:pPr>
            <w:r w:rsidRPr="00AD4F6B">
              <w:rPr>
                <w:rFonts w:ascii="Arial Narrow" w:hAnsi="Arial Narrow"/>
                <w:sz w:val="20"/>
                <w:szCs w:val="20"/>
              </w:rPr>
              <w:t>iv) Hypotonia; or</w:t>
            </w:r>
          </w:p>
          <w:p w:rsidRPr="00AD4F6B" w:rsidR="00657A59" w:rsidRDefault="00657A59" w14:paraId="1AFBD82A" w14:textId="77777777">
            <w:pPr>
              <w:rPr>
                <w:rFonts w:ascii="Arial Narrow" w:hAnsi="Arial Narrow"/>
                <w:sz w:val="20"/>
                <w:szCs w:val="20"/>
              </w:rPr>
            </w:pPr>
            <w:r w:rsidRPr="00AD4F6B">
              <w:rPr>
                <w:rFonts w:ascii="Arial Narrow" w:hAnsi="Arial Narrow"/>
                <w:sz w:val="20"/>
                <w:szCs w:val="20"/>
              </w:rPr>
              <w:t>v) Absence of deep tendon reflexes; or</w:t>
            </w:r>
          </w:p>
          <w:p w:rsidRPr="00AD4F6B" w:rsidR="00657A59" w:rsidRDefault="00657A59" w14:paraId="4AA07DDA" w14:textId="77777777">
            <w:pPr>
              <w:rPr>
                <w:rFonts w:ascii="Arial Narrow" w:hAnsi="Arial Narrow"/>
                <w:sz w:val="20"/>
                <w:szCs w:val="20"/>
              </w:rPr>
            </w:pPr>
            <w:r w:rsidRPr="00AD4F6B">
              <w:rPr>
                <w:rFonts w:ascii="Arial Narrow" w:hAnsi="Arial Narrow"/>
                <w:sz w:val="20"/>
                <w:szCs w:val="20"/>
              </w:rPr>
              <w:t>vi) Failure to gain weight appropriate for age; or</w:t>
            </w:r>
          </w:p>
          <w:p w:rsidRPr="00AD4F6B" w:rsidR="00657A59" w:rsidRDefault="00657A59" w14:paraId="0A08EFB0" w14:textId="77777777">
            <w:pPr>
              <w:rPr>
                <w:rFonts w:ascii="Arial Narrow" w:hAnsi="Arial Narrow"/>
                <w:sz w:val="20"/>
                <w:szCs w:val="20"/>
              </w:rPr>
            </w:pPr>
            <w:r w:rsidRPr="00AD4F6B">
              <w:rPr>
                <w:rFonts w:ascii="Arial Narrow" w:hAnsi="Arial Narrow"/>
                <w:sz w:val="20"/>
                <w:szCs w:val="20"/>
              </w:rPr>
              <w:t>vii) Any active chronic neurogenic changes; or</w:t>
            </w:r>
          </w:p>
          <w:p w:rsidRPr="00AD4F6B" w:rsidR="00657A59" w:rsidRDefault="00657A59" w14:paraId="13DFDE19" w14:textId="4295A3C2">
            <w:pPr>
              <w:rPr>
                <w:rFonts w:ascii="Arial Narrow" w:hAnsi="Arial Narrow"/>
                <w:sz w:val="20"/>
                <w:szCs w:val="20"/>
              </w:rPr>
            </w:pPr>
            <w:r w:rsidRPr="00AD4F6B">
              <w:rPr>
                <w:rFonts w:ascii="Arial Narrow" w:hAnsi="Arial Narrow"/>
                <w:sz w:val="20"/>
                <w:szCs w:val="20"/>
              </w:rPr>
              <w:t>viii) A compound muscle action potential below normative values for an age-matched child.</w:t>
            </w:r>
          </w:p>
        </w:tc>
      </w:tr>
      <w:tr w:rsidRPr="00AD4F6B" w:rsidR="00657A59" w:rsidTr="00F75884" w14:paraId="4D439554"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657A59" w:rsidP="00BB41B0" w:rsidRDefault="00657A59" w14:paraId="29AAADEF"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657A59" w:rsidP="00BB41B0" w:rsidRDefault="00657A59" w14:paraId="13DF85EA" w14:textId="77777777">
            <w:pPr>
              <w:rPr>
                <w:rFonts w:ascii="Arial Narrow" w:hAnsi="Arial Narrow"/>
                <w:sz w:val="20"/>
                <w:szCs w:val="20"/>
              </w:rPr>
            </w:pPr>
            <w:r w:rsidRPr="00AD4F6B">
              <w:rPr>
                <w:rFonts w:ascii="Arial Narrow" w:hAnsi="Arial Narrow"/>
                <w:sz w:val="20"/>
                <w:szCs w:val="20"/>
              </w:rPr>
              <w:t>Defined signs and symptoms of type II SMA are:</w:t>
            </w:r>
          </w:p>
          <w:p w:rsidRPr="00AD4F6B" w:rsidR="00657A59" w:rsidP="00BB41B0" w:rsidRDefault="00657A59" w14:paraId="01211E8E" w14:textId="77777777">
            <w:pPr>
              <w:rPr>
                <w:rFonts w:ascii="Arial Narrow" w:hAnsi="Arial Narrow"/>
                <w:sz w:val="20"/>
                <w:szCs w:val="20"/>
              </w:rPr>
            </w:pPr>
            <w:r w:rsidRPr="00AD4F6B">
              <w:rPr>
                <w:rFonts w:ascii="Arial Narrow" w:hAnsi="Arial Narrow"/>
                <w:sz w:val="20"/>
                <w:szCs w:val="20"/>
              </w:rPr>
              <w:t>i) Onset between 6 and 18 months; and</w:t>
            </w:r>
          </w:p>
          <w:p w:rsidRPr="00AD4F6B" w:rsidR="00657A59" w:rsidP="00BB41B0" w:rsidRDefault="00657A59" w14:paraId="6E9DD811" w14:textId="77777777">
            <w:pPr>
              <w:rPr>
                <w:rFonts w:ascii="Arial Narrow" w:hAnsi="Arial Narrow"/>
                <w:sz w:val="20"/>
                <w:szCs w:val="20"/>
              </w:rPr>
            </w:pPr>
            <w:r w:rsidRPr="00AD4F6B">
              <w:rPr>
                <w:rFonts w:ascii="Arial Narrow" w:hAnsi="Arial Narrow"/>
                <w:sz w:val="20"/>
                <w:szCs w:val="20"/>
              </w:rPr>
              <w:t>ii) Failure to meet or regression in ability to perform age-appropriate motor milestones; or</w:t>
            </w:r>
          </w:p>
          <w:p w:rsidRPr="00AD4F6B" w:rsidR="00657A59" w:rsidP="00BB41B0" w:rsidRDefault="00657A59" w14:paraId="38770401" w14:textId="77777777">
            <w:pPr>
              <w:rPr>
                <w:rFonts w:ascii="Arial Narrow" w:hAnsi="Arial Narrow"/>
                <w:sz w:val="20"/>
                <w:szCs w:val="20"/>
              </w:rPr>
            </w:pPr>
            <w:r w:rsidRPr="00AD4F6B">
              <w:rPr>
                <w:rFonts w:ascii="Arial Narrow" w:hAnsi="Arial Narrow"/>
                <w:sz w:val="20"/>
                <w:szCs w:val="20"/>
              </w:rPr>
              <w:t>iii) Proximal weakness; or</w:t>
            </w:r>
          </w:p>
          <w:p w:rsidRPr="00AD4F6B" w:rsidR="00657A59" w:rsidP="00BB41B0" w:rsidRDefault="00657A59" w14:paraId="48E17B18" w14:textId="77777777">
            <w:pPr>
              <w:rPr>
                <w:rFonts w:ascii="Arial Narrow" w:hAnsi="Arial Narrow"/>
                <w:sz w:val="20"/>
                <w:szCs w:val="20"/>
              </w:rPr>
            </w:pPr>
            <w:r w:rsidRPr="00AD4F6B">
              <w:rPr>
                <w:rFonts w:ascii="Arial Narrow" w:hAnsi="Arial Narrow"/>
                <w:sz w:val="20"/>
                <w:szCs w:val="20"/>
              </w:rPr>
              <w:t>iv) Weakness in trunk righting/</w:t>
            </w:r>
            <w:proofErr w:type="spellStart"/>
            <w:r w:rsidRPr="00AD4F6B">
              <w:rPr>
                <w:rFonts w:ascii="Arial Narrow" w:hAnsi="Arial Narrow"/>
                <w:sz w:val="20"/>
                <w:szCs w:val="20"/>
              </w:rPr>
              <w:t>derotation</w:t>
            </w:r>
            <w:proofErr w:type="spellEnd"/>
            <w:r w:rsidRPr="00AD4F6B">
              <w:rPr>
                <w:rFonts w:ascii="Arial Narrow" w:hAnsi="Arial Narrow"/>
                <w:sz w:val="20"/>
                <w:szCs w:val="20"/>
              </w:rPr>
              <w:t>; or</w:t>
            </w:r>
          </w:p>
          <w:p w:rsidRPr="00AD4F6B" w:rsidR="00657A59" w:rsidP="00BB41B0" w:rsidRDefault="00657A59" w14:paraId="0D3C34AB" w14:textId="77777777">
            <w:pPr>
              <w:rPr>
                <w:rFonts w:ascii="Arial Narrow" w:hAnsi="Arial Narrow"/>
                <w:sz w:val="20"/>
                <w:szCs w:val="20"/>
              </w:rPr>
            </w:pPr>
            <w:r w:rsidRPr="00AD4F6B">
              <w:rPr>
                <w:rFonts w:ascii="Arial Narrow" w:hAnsi="Arial Narrow"/>
                <w:sz w:val="20"/>
                <w:szCs w:val="20"/>
              </w:rPr>
              <w:t>v) Hypotonia; or</w:t>
            </w:r>
          </w:p>
          <w:p w:rsidRPr="00AD4F6B" w:rsidR="00657A59" w:rsidP="00BB41B0" w:rsidRDefault="00657A59" w14:paraId="59BD3BA4" w14:textId="77777777">
            <w:pPr>
              <w:rPr>
                <w:rFonts w:ascii="Arial Narrow" w:hAnsi="Arial Narrow"/>
                <w:sz w:val="20"/>
                <w:szCs w:val="20"/>
              </w:rPr>
            </w:pPr>
            <w:r w:rsidRPr="00AD4F6B">
              <w:rPr>
                <w:rFonts w:ascii="Arial Narrow" w:hAnsi="Arial Narrow"/>
                <w:sz w:val="20"/>
                <w:szCs w:val="20"/>
              </w:rPr>
              <w:t>vi) Absence of deep tendon reflexes; or</w:t>
            </w:r>
          </w:p>
          <w:p w:rsidRPr="00AD4F6B" w:rsidR="00657A59" w:rsidP="00BB41B0" w:rsidRDefault="00657A59" w14:paraId="4BA5F345" w14:textId="77777777">
            <w:pPr>
              <w:rPr>
                <w:rFonts w:ascii="Arial Narrow" w:hAnsi="Arial Narrow"/>
                <w:sz w:val="20"/>
                <w:szCs w:val="20"/>
              </w:rPr>
            </w:pPr>
            <w:r w:rsidRPr="00AD4F6B">
              <w:rPr>
                <w:rFonts w:ascii="Arial Narrow" w:hAnsi="Arial Narrow"/>
                <w:sz w:val="20"/>
                <w:szCs w:val="20"/>
              </w:rPr>
              <w:t>vii) Failure to gain weight appropriate for age; or</w:t>
            </w:r>
          </w:p>
          <w:p w:rsidRPr="00AD4F6B" w:rsidR="00657A59" w:rsidP="00BB41B0" w:rsidRDefault="00657A59" w14:paraId="38727F19" w14:textId="77777777">
            <w:pPr>
              <w:rPr>
                <w:rFonts w:ascii="Arial Narrow" w:hAnsi="Arial Narrow"/>
                <w:sz w:val="20"/>
                <w:szCs w:val="20"/>
              </w:rPr>
            </w:pPr>
            <w:r w:rsidRPr="00AD4F6B">
              <w:rPr>
                <w:rFonts w:ascii="Arial Narrow" w:hAnsi="Arial Narrow"/>
                <w:sz w:val="20"/>
                <w:szCs w:val="20"/>
              </w:rPr>
              <w:t>viii) Any active chronic neurogenic changes; or</w:t>
            </w:r>
          </w:p>
          <w:p w:rsidRPr="00AD4F6B" w:rsidR="00657A59" w:rsidP="00BB41B0" w:rsidRDefault="00657A59" w14:paraId="5FFECE77" w14:textId="1B82C48A">
            <w:pPr>
              <w:rPr>
                <w:rFonts w:ascii="Arial Narrow" w:hAnsi="Arial Narrow"/>
                <w:b/>
                <w:bCs/>
                <w:sz w:val="20"/>
                <w:szCs w:val="20"/>
              </w:rPr>
            </w:pPr>
            <w:r w:rsidRPr="00AD4F6B">
              <w:rPr>
                <w:rFonts w:ascii="Arial Narrow" w:hAnsi="Arial Narrow"/>
                <w:sz w:val="20"/>
                <w:szCs w:val="20"/>
              </w:rPr>
              <w:t>ix) A compound muscle action potential below normative values for an age-matched child.</w:t>
            </w:r>
          </w:p>
        </w:tc>
      </w:tr>
      <w:tr w:rsidRPr="00AD4F6B" w:rsidR="003930DB" w:rsidTr="003930DB" w14:paraId="5D84F53C"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P="00BB41B0" w:rsidRDefault="003930DB" w14:paraId="4EECE699"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3930DB" w:rsidP="00BB41B0" w:rsidRDefault="003930DB" w14:paraId="71574E87" w14:textId="77777777">
            <w:pPr>
              <w:rPr>
                <w:rFonts w:ascii="Arial Narrow" w:hAnsi="Arial Narrow"/>
                <w:sz w:val="20"/>
                <w:szCs w:val="20"/>
              </w:rPr>
            </w:pPr>
            <w:r w:rsidRPr="00AD4F6B">
              <w:rPr>
                <w:rFonts w:ascii="Arial Narrow" w:hAnsi="Arial Narrow"/>
                <w:sz w:val="20"/>
                <w:szCs w:val="20"/>
              </w:rPr>
              <w:t>Defined signs and symptoms of type IIIa SMA are:</w:t>
            </w:r>
          </w:p>
          <w:p w:rsidRPr="00AD4F6B" w:rsidR="003930DB" w:rsidP="00BB41B0" w:rsidRDefault="003930DB" w14:paraId="3D6C84CF" w14:textId="77777777">
            <w:pPr>
              <w:rPr>
                <w:rFonts w:ascii="Arial Narrow" w:hAnsi="Arial Narrow"/>
                <w:sz w:val="20"/>
                <w:szCs w:val="20"/>
              </w:rPr>
            </w:pPr>
            <w:r w:rsidRPr="00AD4F6B">
              <w:rPr>
                <w:rFonts w:ascii="Arial Narrow" w:hAnsi="Arial Narrow"/>
                <w:sz w:val="20"/>
                <w:szCs w:val="20"/>
              </w:rPr>
              <w:t>i) Onset between 18 months and 3 years of age; and</w:t>
            </w:r>
          </w:p>
          <w:p w:rsidRPr="00AD4F6B" w:rsidR="003930DB" w:rsidP="00BB41B0" w:rsidRDefault="003930DB" w14:paraId="072FC51B" w14:textId="77777777">
            <w:pPr>
              <w:rPr>
                <w:rFonts w:ascii="Arial Narrow" w:hAnsi="Arial Narrow"/>
                <w:sz w:val="20"/>
                <w:szCs w:val="20"/>
              </w:rPr>
            </w:pPr>
            <w:r w:rsidRPr="00AD4F6B">
              <w:rPr>
                <w:rFonts w:ascii="Arial Narrow" w:hAnsi="Arial Narrow"/>
                <w:sz w:val="20"/>
                <w:szCs w:val="20"/>
              </w:rPr>
              <w:t>ii) Failure to meet or regression in ability to perform age-appropriate motor milestones; or</w:t>
            </w:r>
          </w:p>
          <w:p w:rsidRPr="00AD4F6B" w:rsidR="003930DB" w:rsidP="00BB41B0" w:rsidRDefault="003930DB" w14:paraId="4EA9505C" w14:textId="77777777">
            <w:pPr>
              <w:rPr>
                <w:rFonts w:ascii="Arial Narrow" w:hAnsi="Arial Narrow"/>
                <w:sz w:val="20"/>
                <w:szCs w:val="20"/>
              </w:rPr>
            </w:pPr>
            <w:r w:rsidRPr="00AD4F6B">
              <w:rPr>
                <w:rFonts w:ascii="Arial Narrow" w:hAnsi="Arial Narrow"/>
                <w:sz w:val="20"/>
                <w:szCs w:val="20"/>
              </w:rPr>
              <w:t>iii) Proximal weakness; or</w:t>
            </w:r>
          </w:p>
          <w:p w:rsidRPr="00AD4F6B" w:rsidR="003930DB" w:rsidP="00BB41B0" w:rsidRDefault="003930DB" w14:paraId="507CB210" w14:textId="77777777">
            <w:pPr>
              <w:rPr>
                <w:rFonts w:ascii="Arial Narrow" w:hAnsi="Arial Narrow"/>
                <w:sz w:val="20"/>
                <w:szCs w:val="20"/>
              </w:rPr>
            </w:pPr>
            <w:r w:rsidRPr="00AD4F6B">
              <w:rPr>
                <w:rFonts w:ascii="Arial Narrow" w:hAnsi="Arial Narrow"/>
                <w:sz w:val="20"/>
                <w:szCs w:val="20"/>
              </w:rPr>
              <w:t>iv) Hypotonia; or</w:t>
            </w:r>
          </w:p>
          <w:p w:rsidRPr="00AD4F6B" w:rsidR="003930DB" w:rsidP="00BB41B0" w:rsidRDefault="003930DB" w14:paraId="5AC7E514" w14:textId="77777777">
            <w:pPr>
              <w:rPr>
                <w:rFonts w:ascii="Arial Narrow" w:hAnsi="Arial Narrow"/>
                <w:sz w:val="20"/>
                <w:szCs w:val="20"/>
              </w:rPr>
            </w:pPr>
            <w:r w:rsidRPr="00AD4F6B">
              <w:rPr>
                <w:rFonts w:ascii="Arial Narrow" w:hAnsi="Arial Narrow"/>
                <w:sz w:val="20"/>
                <w:szCs w:val="20"/>
              </w:rPr>
              <w:t>v) Absence of deep tendon reflexes; or</w:t>
            </w:r>
          </w:p>
          <w:p w:rsidRPr="00AD4F6B" w:rsidR="003930DB" w:rsidP="00BB41B0" w:rsidRDefault="003930DB" w14:paraId="41AC253B" w14:textId="77777777">
            <w:pPr>
              <w:rPr>
                <w:rFonts w:ascii="Arial Narrow" w:hAnsi="Arial Narrow"/>
                <w:sz w:val="20"/>
                <w:szCs w:val="20"/>
              </w:rPr>
            </w:pPr>
            <w:r w:rsidRPr="00AD4F6B">
              <w:rPr>
                <w:rFonts w:ascii="Arial Narrow" w:hAnsi="Arial Narrow"/>
                <w:sz w:val="20"/>
                <w:szCs w:val="20"/>
              </w:rPr>
              <w:t>vi) Failure to gain weight appropriate for age; or</w:t>
            </w:r>
          </w:p>
          <w:p w:rsidRPr="00AD4F6B" w:rsidR="003930DB" w:rsidP="00BB41B0" w:rsidRDefault="003930DB" w14:paraId="041D10AB" w14:textId="77777777">
            <w:pPr>
              <w:rPr>
                <w:rFonts w:ascii="Arial Narrow" w:hAnsi="Arial Narrow"/>
                <w:sz w:val="20"/>
                <w:szCs w:val="20"/>
              </w:rPr>
            </w:pPr>
            <w:r w:rsidRPr="00AD4F6B">
              <w:rPr>
                <w:rFonts w:ascii="Arial Narrow" w:hAnsi="Arial Narrow"/>
                <w:sz w:val="20"/>
                <w:szCs w:val="20"/>
              </w:rPr>
              <w:t>vii) Any active chronic neurogenic changes; or</w:t>
            </w:r>
          </w:p>
          <w:p w:rsidRPr="00AD4F6B" w:rsidR="003930DB" w:rsidP="00BB41B0" w:rsidRDefault="003930DB" w14:paraId="5894BF8A" w14:textId="6A15277E">
            <w:pPr>
              <w:rPr>
                <w:rFonts w:ascii="Arial Narrow" w:hAnsi="Arial Narrow"/>
                <w:b/>
                <w:bCs/>
                <w:sz w:val="20"/>
                <w:szCs w:val="20"/>
              </w:rPr>
            </w:pPr>
            <w:r w:rsidRPr="00AD4F6B">
              <w:rPr>
                <w:rFonts w:ascii="Arial Narrow" w:hAnsi="Arial Narrow"/>
                <w:sz w:val="20"/>
                <w:szCs w:val="20"/>
              </w:rPr>
              <w:t>viii) A compound muscle action potential below normative values for an age-matched child.</w:t>
            </w:r>
          </w:p>
        </w:tc>
      </w:tr>
      <w:tr w:rsidRPr="00AD4F6B" w:rsidR="003930DB" w:rsidTr="003930DB" w14:paraId="528F1A8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18D6C52B"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3930DB" w:rsidRDefault="003930DB" w14:paraId="0256AF48" w14:textId="77777777">
            <w:pPr>
              <w:rPr>
                <w:rFonts w:ascii="Arial Narrow" w:hAnsi="Arial Narrow"/>
                <w:sz w:val="20"/>
                <w:szCs w:val="20"/>
              </w:rPr>
            </w:pPr>
            <w:r w:rsidRPr="00AD4F6B">
              <w:rPr>
                <w:rFonts w:ascii="Arial Narrow" w:hAnsi="Arial Narrow"/>
                <w:sz w:val="20"/>
                <w:szCs w:val="20"/>
              </w:rPr>
              <w:t xml:space="preserve">An outcome on the authority application is not </w:t>
            </w:r>
            <w:proofErr w:type="gramStart"/>
            <w:r w:rsidRPr="00AD4F6B">
              <w:rPr>
                <w:rFonts w:ascii="Arial Narrow" w:hAnsi="Arial Narrow"/>
                <w:sz w:val="20"/>
                <w:szCs w:val="20"/>
              </w:rPr>
              <w:t>immediate, but</w:t>
            </w:r>
            <w:proofErr w:type="gramEnd"/>
            <w:r w:rsidRPr="00AD4F6B">
              <w:rPr>
                <w:rFonts w:ascii="Arial Narrow" w:hAnsi="Arial Narrow"/>
                <w:sz w:val="20"/>
                <w:szCs w:val="20"/>
              </w:rPr>
              <w:t xml:space="preserve"> will follow in due course. Electronic upload is encouraged to reduce processing time.</w:t>
            </w:r>
          </w:p>
        </w:tc>
      </w:tr>
      <w:tr w:rsidRPr="00AD4F6B" w:rsidR="00AD4F6B" w:rsidTr="00EA35AC" w14:paraId="3C48F1D4" w14:textId="77777777">
        <w:tblPrEx>
          <w:tblCellMar>
            <w:top w:w="15" w:type="dxa"/>
            <w:bottom w:w="15" w:type="dxa"/>
          </w:tblCellMar>
          <w:tblLook w:val="04A0" w:firstRow="1" w:lastRow="0" w:firstColumn="1" w:lastColumn="0" w:noHBand="0" w:noVBand="1"/>
        </w:tblPrEx>
        <w:trPr>
          <w:cantSplit/>
          <w:trHeight w:val="20"/>
        </w:trPr>
        <w:tc>
          <w:tcPr>
            <w:tcW w:w="5000" w:type="pct"/>
            <w:gridSpan w:val="7"/>
          </w:tcPr>
          <w:p w:rsidRPr="00AD4F6B" w:rsidR="001B3E2F" w:rsidRDefault="001B3E2F" w14:paraId="56F95774" w14:textId="77777777">
            <w:pPr>
              <w:rPr>
                <w:rFonts w:ascii="Arial Narrow" w:hAnsi="Arial Narrow"/>
                <w:sz w:val="20"/>
                <w:szCs w:val="20"/>
              </w:rPr>
            </w:pPr>
          </w:p>
          <w:p w:rsidRPr="00AD4F6B" w:rsidR="001B3E2F" w:rsidRDefault="001B3E2F" w14:paraId="369CE6A4" w14:textId="77777777">
            <w:pPr>
              <w:rPr>
                <w:rFonts w:ascii="Arial Narrow" w:hAnsi="Arial Narrow"/>
                <w:sz w:val="20"/>
                <w:szCs w:val="20"/>
              </w:rPr>
            </w:pPr>
          </w:p>
        </w:tc>
      </w:tr>
      <w:tr w:rsidRPr="00AD4F6B" w:rsidR="00F75884" w:rsidTr="003930DB" w14:paraId="1F0EA2BD" w14:textId="77777777">
        <w:tblPrEx>
          <w:tblCellMar>
            <w:top w:w="15" w:type="dxa"/>
            <w:bottom w:w="15" w:type="dxa"/>
          </w:tblCellMar>
          <w:tblLook w:val="04A0" w:firstRow="1" w:lastRow="0" w:firstColumn="1" w:lastColumn="0" w:noHBand="0" w:noVBand="1"/>
        </w:tblPrEx>
        <w:trPr>
          <w:cantSplit/>
          <w:trHeight w:val="20"/>
        </w:trPr>
        <w:tc>
          <w:tcPr>
            <w:tcW w:w="5000" w:type="pct"/>
            <w:gridSpan w:val="7"/>
            <w:shd w:val="clear" w:color="auto" w:fill="BFBFBF" w:themeFill="background1" w:themeFillShade="BF"/>
            <w:vAlign w:val="center"/>
          </w:tcPr>
          <w:p w:rsidRPr="00AD4F6B" w:rsidR="00F75884" w:rsidRDefault="00F75884" w14:paraId="156000E2" w14:textId="05E4B439">
            <w:pPr>
              <w:rPr>
                <w:rFonts w:ascii="Arial Narrow" w:hAnsi="Arial Narrow"/>
                <w:sz w:val="20"/>
                <w:szCs w:val="20"/>
              </w:rPr>
            </w:pPr>
            <w:r w:rsidRPr="00AD4F6B">
              <w:rPr>
                <w:rFonts w:ascii="Arial Narrow" w:hAnsi="Arial Narrow"/>
                <w:b/>
                <w:sz w:val="20"/>
                <w:szCs w:val="20"/>
              </w:rPr>
              <w:t>Restriction Summary</w:t>
            </w:r>
            <w:r w:rsidR="003930DB">
              <w:rPr>
                <w:rFonts w:ascii="Arial Narrow" w:hAnsi="Arial Narrow"/>
                <w:b/>
                <w:sz w:val="20"/>
                <w:szCs w:val="20"/>
              </w:rPr>
              <w:t>:</w:t>
            </w:r>
            <w:r w:rsidRPr="00AD4F6B">
              <w:rPr>
                <w:rFonts w:ascii="Arial Narrow" w:hAnsi="Arial Narrow"/>
                <w:b/>
                <w:sz w:val="20"/>
                <w:szCs w:val="20"/>
              </w:rPr>
              <w:t xml:space="preserve"> edit 15459 / Treatment of Concept: edit 15460</w:t>
            </w:r>
          </w:p>
        </w:tc>
      </w:tr>
      <w:tr w:rsidRPr="00AD4F6B" w:rsidR="00F75884" w:rsidTr="003930DB" w14:paraId="337171E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2027D70B" w14:textId="77777777">
            <w:pPr>
              <w:rPr>
                <w:rFonts w:ascii="Arial Narrow" w:hAnsi="Arial Narrow"/>
                <w:sz w:val="20"/>
                <w:szCs w:val="20"/>
              </w:rPr>
            </w:pPr>
            <w:r w:rsidRPr="00AD4F6B">
              <w:rPr>
                <w:rFonts w:ascii="Arial Narrow" w:hAnsi="Arial Narrow"/>
                <w:b/>
                <w:bCs/>
                <w:sz w:val="20"/>
                <w:szCs w:val="20"/>
              </w:rPr>
              <w:t>Indication:</w:t>
            </w:r>
            <w:r w:rsidRPr="00AD4F6B">
              <w:rPr>
                <w:rFonts w:ascii="Arial Narrow" w:hAnsi="Arial Narrow"/>
                <w:sz w:val="20"/>
                <w:szCs w:val="20"/>
              </w:rPr>
              <w:t xml:space="preserve"> Spinal muscular atrophy (SMA)</w:t>
            </w:r>
          </w:p>
        </w:tc>
      </w:tr>
      <w:tr w:rsidRPr="00AD4F6B" w:rsidR="00F75884" w:rsidTr="003930DB" w14:paraId="35FB631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1AD34499" w14:textId="77777777">
            <w:pPr>
              <w:rPr>
                <w:rFonts w:ascii="Arial Narrow" w:hAnsi="Arial Narrow"/>
                <w:sz w:val="20"/>
                <w:szCs w:val="20"/>
              </w:rPr>
            </w:pPr>
            <w:r w:rsidRPr="00AD4F6B">
              <w:rPr>
                <w:rFonts w:ascii="Arial Narrow" w:hAnsi="Arial Narrow"/>
                <w:b/>
                <w:bCs/>
                <w:sz w:val="20"/>
                <w:szCs w:val="20"/>
              </w:rPr>
              <w:t>Treatment Phase:</w:t>
            </w:r>
            <w:r w:rsidRPr="00AD4F6B">
              <w:rPr>
                <w:rFonts w:ascii="Arial Narrow" w:hAnsi="Arial Narrow"/>
                <w:sz w:val="20"/>
                <w:szCs w:val="20"/>
              </w:rPr>
              <w:t xml:space="preserve"> Use occurring after treatment with at least one disease modifying therapy for this condition (i.e. switching from nusinersen/</w:t>
            </w:r>
            <w:proofErr w:type="spellStart"/>
            <w:r w:rsidRPr="00AD4F6B">
              <w:rPr>
                <w:rFonts w:ascii="Arial Narrow" w:hAnsi="Arial Narrow"/>
                <w:sz w:val="20"/>
                <w:szCs w:val="20"/>
              </w:rPr>
              <w:t>risdiplam</w:t>
            </w:r>
            <w:proofErr w:type="spellEnd"/>
            <w:r w:rsidRPr="00AD4F6B">
              <w:rPr>
                <w:rFonts w:ascii="Arial Narrow" w:hAnsi="Arial Narrow"/>
                <w:sz w:val="20"/>
                <w:szCs w:val="20"/>
              </w:rPr>
              <w:t xml:space="preserve"> to onasemnogene abeparvovec)</w:t>
            </w:r>
          </w:p>
        </w:tc>
      </w:tr>
      <w:tr w:rsidRPr="00AD4F6B" w:rsidR="00F75884" w:rsidTr="003930DB" w14:paraId="76A532C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1496C235" w14:textId="77777777">
            <w:pPr>
              <w:rPr>
                <w:rFonts w:ascii="Arial Narrow" w:hAnsi="Arial Narrow"/>
                <w:sz w:val="20"/>
                <w:szCs w:val="20"/>
              </w:rPr>
            </w:pPr>
            <w:r w:rsidRPr="00AD4F6B">
              <w:rPr>
                <w:rFonts w:ascii="Arial Narrow" w:hAnsi="Arial Narrow"/>
                <w:b/>
                <w:bCs/>
                <w:sz w:val="20"/>
                <w:szCs w:val="20"/>
              </w:rPr>
              <w:t xml:space="preserve">Clinical criteria: </w:t>
            </w:r>
          </w:p>
        </w:tc>
      </w:tr>
      <w:tr w:rsidRPr="00AD4F6B" w:rsidR="00F75884" w:rsidTr="003930DB" w14:paraId="3373A35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6B65978B" w14:textId="77777777">
            <w:pPr>
              <w:rPr>
                <w:rFonts w:ascii="Arial Narrow" w:hAnsi="Arial Narrow"/>
                <w:sz w:val="20"/>
                <w:szCs w:val="20"/>
              </w:rPr>
            </w:pPr>
            <w:r w:rsidRPr="00AD4F6B">
              <w:rPr>
                <w:rFonts w:ascii="Arial Narrow" w:hAnsi="Arial Narrow"/>
                <w:sz w:val="20"/>
                <w:szCs w:val="20"/>
              </w:rPr>
              <w:t>The treatment must be given concomitantly with best supportive care for this condition</w:t>
            </w:r>
          </w:p>
        </w:tc>
      </w:tr>
      <w:tr w:rsidRPr="00AD4F6B" w:rsidR="00F75884" w:rsidTr="003930DB" w14:paraId="2999A493"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26912733"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F75884" w:rsidTr="003930DB" w14:paraId="5FE4ED75"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130C74AE" w14:textId="77777777">
            <w:pPr>
              <w:rPr>
                <w:rFonts w:ascii="Arial Narrow" w:hAnsi="Arial Narrow"/>
                <w:sz w:val="20"/>
                <w:szCs w:val="20"/>
              </w:rPr>
            </w:pPr>
            <w:r w:rsidRPr="00AD4F6B">
              <w:rPr>
                <w:rFonts w:ascii="Arial Narrow" w:hAnsi="Arial Narrow"/>
                <w:b/>
                <w:bCs/>
                <w:sz w:val="20"/>
                <w:szCs w:val="20"/>
              </w:rPr>
              <w:t>Clinical criteria:</w:t>
            </w:r>
          </w:p>
        </w:tc>
      </w:tr>
      <w:tr w:rsidRPr="00AD4F6B" w:rsidR="00F75884" w:rsidTr="003930DB" w14:paraId="3616E8B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1B520F05" w14:textId="77777777">
            <w:pPr>
              <w:rPr>
                <w:rFonts w:ascii="Arial Narrow" w:hAnsi="Arial Narrow"/>
                <w:sz w:val="20"/>
                <w:szCs w:val="20"/>
              </w:rPr>
            </w:pPr>
            <w:r w:rsidRPr="00AD4F6B">
              <w:rPr>
                <w:rFonts w:ascii="Arial Narrow" w:hAnsi="Arial Narrow"/>
                <w:sz w:val="20"/>
                <w:szCs w:val="20"/>
              </w:rPr>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tc>
      </w:tr>
      <w:tr w:rsidRPr="00AD4F6B" w:rsidR="00F75884" w:rsidTr="003930DB" w14:paraId="05E5598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4796F943"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F75884" w:rsidTr="003930DB" w14:paraId="5ABB7A83"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60709971"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following prior PBS-subsidised treatment with at least one other disease modifying therapy for this condition</w:t>
            </w:r>
          </w:p>
        </w:tc>
      </w:tr>
      <w:tr w:rsidRPr="00AD4F6B" w:rsidR="00F75884" w:rsidTr="003930DB" w14:paraId="7BFBDE8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75709B1F"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F75884" w:rsidTr="003930DB" w14:paraId="4162E22B"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335AE729"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F75884" w:rsidTr="003930DB" w14:paraId="0C8F07CC"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408A1687" w14:textId="77777777">
            <w:pPr>
              <w:rPr>
                <w:rFonts w:ascii="Arial Narrow" w:hAnsi="Arial Narrow"/>
                <w:sz w:val="20"/>
                <w:szCs w:val="20"/>
              </w:rPr>
            </w:pPr>
            <w:r w:rsidRPr="00AD4F6B">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Pr="00AD4F6B" w:rsidR="00F75884" w:rsidTr="003930DB" w14:paraId="1BE0CC0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13040281"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F75884" w:rsidTr="003930DB" w14:paraId="648E6974"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6C2BBA13"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F75884" w:rsidTr="003930DB" w14:paraId="419AF08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64D45A59" w14:textId="77777777">
            <w:pPr>
              <w:rPr>
                <w:rFonts w:ascii="Arial Narrow" w:hAnsi="Arial Narrow"/>
                <w:sz w:val="20"/>
                <w:szCs w:val="20"/>
              </w:rPr>
            </w:pPr>
            <w:r w:rsidRPr="00AD4F6B">
              <w:rPr>
                <w:rFonts w:ascii="Arial Narrow" w:hAnsi="Arial Narrow"/>
                <w:sz w:val="20"/>
                <w:szCs w:val="20"/>
              </w:rPr>
              <w:t>Must be treated in a treatment centre that is each of: (i) recognised in the management of SMA, (ii) accredited in the use of this gene technology by the relevant authority, (iii) will(has) source(d) this product from an accredited supplier, as specified in the administrative notes to this listing</w:t>
            </w:r>
          </w:p>
        </w:tc>
      </w:tr>
      <w:tr w:rsidRPr="00AD4F6B" w:rsidR="00F75884" w:rsidTr="003930DB" w14:paraId="12662D78"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010E086F"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F75884" w:rsidTr="003930DB" w14:paraId="512888A9"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78B84B2A"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F75884" w:rsidTr="003930DB" w14:paraId="5E8504E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42555404"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once only in a lifetime</w:t>
            </w:r>
          </w:p>
        </w:tc>
      </w:tr>
      <w:tr w:rsidRPr="00AD4F6B" w:rsidR="00F75884" w:rsidTr="003930DB" w14:paraId="3F0AACF8"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14D15DDD"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F75884" w:rsidTr="003930DB" w14:paraId="2E73BAA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F75884" w:rsidRDefault="00F75884" w14:paraId="1CBD8A6A"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AD4F6B" w:rsidTr="00EA35AC" w14:paraId="119BFAD3"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1B3E2F" w:rsidRDefault="001B3E2F" w14:paraId="28CD8B91" w14:textId="1739414C">
            <w:pPr>
              <w:jc w:val="center"/>
              <w:rPr>
                <w:rFonts w:ascii="Arial Narrow" w:hAnsi="Arial Narrow"/>
                <w:sz w:val="20"/>
                <w:szCs w:val="20"/>
              </w:rPr>
            </w:pPr>
          </w:p>
        </w:tc>
        <w:tc>
          <w:tcPr>
            <w:tcW w:w="4214" w:type="pct"/>
            <w:gridSpan w:val="6"/>
            <w:vAlign w:val="center"/>
          </w:tcPr>
          <w:p w:rsidRPr="00AD4F6B" w:rsidR="001B3E2F" w:rsidRDefault="001B3E2F" w14:paraId="706FF1CB"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with the intent that treatment with the replaced disease modifying agent is/has ceased</w:t>
            </w:r>
          </w:p>
        </w:tc>
      </w:tr>
      <w:tr w:rsidRPr="00AD4F6B" w:rsidR="00AD4F6B" w:rsidTr="00EA35AC" w14:paraId="47695A4F"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1B3E2F" w:rsidRDefault="001B3E2F" w14:paraId="1143C1F0" w14:textId="1851DC4A">
            <w:pPr>
              <w:jc w:val="center"/>
              <w:rPr>
                <w:rFonts w:ascii="Arial Narrow" w:hAnsi="Arial Narrow"/>
                <w:sz w:val="20"/>
                <w:szCs w:val="20"/>
              </w:rPr>
            </w:pPr>
          </w:p>
        </w:tc>
        <w:tc>
          <w:tcPr>
            <w:tcW w:w="4214" w:type="pct"/>
            <w:gridSpan w:val="6"/>
            <w:vAlign w:val="center"/>
          </w:tcPr>
          <w:p w:rsidRPr="00AD4F6B" w:rsidR="001B3E2F" w:rsidRDefault="001B3E2F" w14:paraId="6F73C56A" w14:textId="77777777">
            <w:pPr>
              <w:rPr>
                <w:rFonts w:ascii="Arial Narrow" w:hAnsi="Arial Narrow"/>
                <w:sz w:val="20"/>
                <w:szCs w:val="20"/>
              </w:rPr>
            </w:pPr>
            <w:r w:rsidRPr="00AD4F6B">
              <w:rPr>
                <w:rFonts w:ascii="Arial Narrow" w:hAnsi="Arial Narrow"/>
                <w:b/>
                <w:bCs/>
                <w:sz w:val="20"/>
                <w:szCs w:val="20"/>
              </w:rPr>
              <w:t>Population criteria:</w:t>
            </w:r>
          </w:p>
        </w:tc>
      </w:tr>
      <w:tr w:rsidRPr="00AD4F6B" w:rsidR="00AD4F6B" w:rsidTr="00EA35AC" w14:paraId="673F2336"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1B3E2F" w:rsidRDefault="001B3E2F" w14:paraId="1D998BD7" w14:textId="3BFE8EAF">
            <w:pPr>
              <w:jc w:val="center"/>
              <w:rPr>
                <w:rFonts w:ascii="Arial Narrow" w:hAnsi="Arial Narrow"/>
                <w:sz w:val="20"/>
                <w:szCs w:val="20"/>
              </w:rPr>
            </w:pPr>
          </w:p>
        </w:tc>
        <w:tc>
          <w:tcPr>
            <w:tcW w:w="4214" w:type="pct"/>
            <w:gridSpan w:val="6"/>
            <w:vAlign w:val="center"/>
          </w:tcPr>
          <w:p w:rsidRPr="00AD4F6B" w:rsidR="001B3E2F" w:rsidRDefault="001B3E2F" w14:paraId="2696796B" w14:textId="77777777">
            <w:pPr>
              <w:rPr>
                <w:rFonts w:ascii="Arial Narrow" w:hAnsi="Arial Narrow"/>
                <w:strike/>
                <w:sz w:val="20"/>
                <w:szCs w:val="20"/>
              </w:rPr>
            </w:pPr>
            <w:r w:rsidRPr="00AD4F6B">
              <w:rPr>
                <w:rFonts w:ascii="Arial Narrow" w:hAnsi="Arial Narrow"/>
                <w:strike/>
                <w:sz w:val="20"/>
                <w:szCs w:val="20"/>
              </w:rPr>
              <w:t>Patient must be no older than 9 months of age</w:t>
            </w:r>
          </w:p>
          <w:p w:rsidRPr="00AD4F6B" w:rsidR="001B3E2F" w:rsidRDefault="001B3E2F" w14:paraId="75BCCE31" w14:textId="2845CF26">
            <w:pPr>
              <w:rPr>
                <w:rFonts w:ascii="Arial Narrow" w:hAnsi="Arial Narrow"/>
                <w:sz w:val="20"/>
                <w:szCs w:val="20"/>
              </w:rPr>
            </w:pPr>
            <w:r w:rsidRPr="00AD4F6B">
              <w:rPr>
                <w:rFonts w:ascii="Arial Narrow" w:hAnsi="Arial Narrow"/>
                <w:sz w:val="20"/>
                <w:szCs w:val="20"/>
              </w:rPr>
              <w:t>Patient must weigh 21 kg or less</w:t>
            </w:r>
          </w:p>
        </w:tc>
      </w:tr>
      <w:tr w:rsidRPr="00AD4F6B" w:rsidR="00AD4F6B" w:rsidTr="00EA35AC" w14:paraId="40863676"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1B3E2F" w:rsidRDefault="001B3E2F" w14:paraId="7C36C0BB" w14:textId="77777777">
            <w:pPr>
              <w:jc w:val="center"/>
              <w:rPr>
                <w:rFonts w:ascii="Arial Narrow" w:hAnsi="Arial Narrow"/>
                <w:sz w:val="20"/>
                <w:szCs w:val="20"/>
              </w:rPr>
            </w:pPr>
          </w:p>
        </w:tc>
        <w:tc>
          <w:tcPr>
            <w:tcW w:w="4214" w:type="pct"/>
            <w:gridSpan w:val="6"/>
            <w:vAlign w:val="center"/>
          </w:tcPr>
          <w:p w:rsidRPr="00AD4F6B" w:rsidR="001B3E2F" w:rsidRDefault="001B3E2F" w14:paraId="5B8CB846" w14:textId="77777777">
            <w:pPr>
              <w:rPr>
                <w:rFonts w:ascii="Arial Narrow" w:hAnsi="Arial Narrow"/>
                <w:sz w:val="20"/>
                <w:szCs w:val="20"/>
              </w:rPr>
            </w:pPr>
            <w:r w:rsidRPr="00AD4F6B">
              <w:rPr>
                <w:rFonts w:ascii="Arial Narrow" w:hAnsi="Arial Narrow" w:cs="Arial Narrow"/>
                <w:b/>
                <w:bCs/>
                <w:sz w:val="20"/>
                <w:szCs w:val="20"/>
              </w:rPr>
              <w:t>AND</w:t>
            </w:r>
          </w:p>
        </w:tc>
      </w:tr>
      <w:tr w:rsidRPr="00AD4F6B" w:rsidR="00AD4F6B" w:rsidTr="00EA35AC" w14:paraId="5C37237D"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BB41B0" w:rsidRDefault="00BB41B0" w14:paraId="77E42F52" w14:textId="13E503F3">
            <w:pPr>
              <w:jc w:val="center"/>
              <w:rPr>
                <w:rFonts w:ascii="Arial Narrow" w:hAnsi="Arial Narrow"/>
                <w:sz w:val="20"/>
                <w:szCs w:val="20"/>
              </w:rPr>
            </w:pPr>
          </w:p>
        </w:tc>
        <w:tc>
          <w:tcPr>
            <w:tcW w:w="4214" w:type="pct"/>
            <w:gridSpan w:val="6"/>
            <w:vAlign w:val="center"/>
          </w:tcPr>
          <w:p w:rsidRPr="00AD4F6B" w:rsidR="001B3E2F" w:rsidRDefault="001B3E2F" w14:paraId="07F8508F" w14:textId="77777777">
            <w:pPr>
              <w:rPr>
                <w:rFonts w:ascii="Arial Narrow" w:hAnsi="Arial Narrow"/>
                <w:sz w:val="20"/>
                <w:szCs w:val="20"/>
              </w:rPr>
            </w:pPr>
            <w:r w:rsidRPr="00AD4F6B">
              <w:rPr>
                <w:rFonts w:ascii="Arial Narrow" w:hAnsi="Arial Narrow"/>
                <w:b/>
                <w:bCs/>
                <w:sz w:val="20"/>
                <w:szCs w:val="20"/>
              </w:rPr>
              <w:t>Population criteria:</w:t>
            </w:r>
          </w:p>
        </w:tc>
      </w:tr>
      <w:tr w:rsidRPr="00AD4F6B" w:rsidR="00AD4F6B" w:rsidTr="00EA35AC" w14:paraId="35431504"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D82A36" w:rsidP="00D82A36" w:rsidRDefault="00D82A36" w14:paraId="4A594C53" w14:textId="1CD14C99">
            <w:pPr>
              <w:jc w:val="center"/>
              <w:rPr>
                <w:rFonts w:ascii="Arial Narrow" w:hAnsi="Arial Narrow"/>
                <w:sz w:val="20"/>
                <w:szCs w:val="20"/>
              </w:rPr>
            </w:pPr>
          </w:p>
        </w:tc>
        <w:tc>
          <w:tcPr>
            <w:tcW w:w="4214" w:type="pct"/>
            <w:gridSpan w:val="6"/>
          </w:tcPr>
          <w:p w:rsidRPr="00AD4F6B" w:rsidR="00D82A36" w:rsidP="00D82A36" w:rsidRDefault="00D82A36" w14:paraId="5ED1E4CA" w14:textId="13319BF2">
            <w:pPr>
              <w:rPr>
                <w:rFonts w:ascii="Arial Narrow" w:hAnsi="Arial Narrow"/>
                <w:sz w:val="20"/>
                <w:szCs w:val="20"/>
              </w:rPr>
            </w:pPr>
            <w:r w:rsidRPr="00AD4F6B">
              <w:rPr>
                <w:rFonts w:ascii="Arial Narrow" w:hAnsi="Arial Narrow"/>
                <w:sz w:val="20"/>
                <w:szCs w:val="20"/>
              </w:rPr>
              <w:t>Patient must have symptomatic Type 1, 2 or 3a SMA; OR</w:t>
            </w:r>
          </w:p>
        </w:tc>
      </w:tr>
      <w:tr w:rsidRPr="00AD4F6B" w:rsidR="00AD4F6B" w:rsidTr="00EA35AC" w14:paraId="21ECCF2A"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CC5FBE" w:rsidP="00CC5FBE" w:rsidRDefault="00CC5FBE" w14:paraId="698A090D" w14:textId="4E784F77">
            <w:pPr>
              <w:jc w:val="center"/>
              <w:rPr>
                <w:rFonts w:ascii="Arial Narrow" w:hAnsi="Arial Narrow"/>
                <w:sz w:val="20"/>
                <w:szCs w:val="20"/>
              </w:rPr>
            </w:pPr>
          </w:p>
        </w:tc>
        <w:tc>
          <w:tcPr>
            <w:tcW w:w="4214" w:type="pct"/>
            <w:gridSpan w:val="6"/>
            <w:vAlign w:val="center"/>
          </w:tcPr>
          <w:p w:rsidRPr="00AD4F6B" w:rsidR="00CC5FBE" w:rsidP="00CC5FBE" w:rsidRDefault="00CC5FBE" w14:paraId="6F8A2650" w14:textId="6886D75A">
            <w:pPr>
              <w:rPr>
                <w:rFonts w:ascii="Arial Narrow" w:hAnsi="Arial Narrow"/>
                <w:sz w:val="20"/>
                <w:szCs w:val="20"/>
              </w:rPr>
            </w:pPr>
            <w:r w:rsidRPr="00AD4F6B">
              <w:rPr>
                <w:rFonts w:ascii="Arial Narrow" w:hAnsi="Arial Narrow"/>
                <w:sz w:val="20"/>
                <w:szCs w:val="20"/>
              </w:rPr>
              <w:t xml:space="preserve">Patient must have pre-symptomatic SMA with 1-2 copies of the SMN2 gene </w:t>
            </w:r>
            <w:r w:rsidRPr="00AD4F6B">
              <w:rPr>
                <w:rFonts w:ascii="Arial Narrow" w:hAnsi="Arial Narrow"/>
                <w:i/>
                <w:iCs/>
                <w:sz w:val="20"/>
                <w:szCs w:val="20"/>
              </w:rPr>
              <w:t xml:space="preserve">where </w:t>
            </w:r>
            <w:r w:rsidRPr="00AD4F6B" w:rsidR="00061C1D">
              <w:rPr>
                <w:rFonts w:ascii="Arial Narrow" w:hAnsi="Arial Narrow"/>
                <w:i/>
                <w:iCs/>
                <w:sz w:val="20"/>
                <w:szCs w:val="20"/>
              </w:rPr>
              <w:t xml:space="preserve">a </w:t>
            </w:r>
            <w:r w:rsidRPr="00AD4F6B">
              <w:rPr>
                <w:rFonts w:ascii="Arial Narrow" w:hAnsi="Arial Narrow"/>
                <w:i/>
                <w:iCs/>
                <w:sz w:val="20"/>
                <w:szCs w:val="20"/>
              </w:rPr>
              <w:t>disease-modifying therap</w:t>
            </w:r>
            <w:r w:rsidRPr="00AD4F6B" w:rsidR="00061C1D">
              <w:rPr>
                <w:rFonts w:ascii="Arial Narrow" w:hAnsi="Arial Narrow"/>
                <w:i/>
                <w:iCs/>
                <w:sz w:val="20"/>
                <w:szCs w:val="20"/>
              </w:rPr>
              <w:t>y</w:t>
            </w:r>
            <w:r w:rsidRPr="00AD4F6B">
              <w:rPr>
                <w:rFonts w:ascii="Arial Narrow" w:hAnsi="Arial Narrow"/>
                <w:i/>
                <w:iCs/>
                <w:sz w:val="20"/>
                <w:szCs w:val="20"/>
              </w:rPr>
              <w:t xml:space="preserve"> (DMT) was initiated prior to 36 months of age  </w:t>
            </w:r>
          </w:p>
        </w:tc>
      </w:tr>
      <w:tr w:rsidRPr="00AD4F6B" w:rsidR="00AD4F6B" w:rsidTr="00EA35AC" w14:paraId="755AB623"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1B3E2F" w:rsidRDefault="001B3E2F" w14:paraId="2CDDBB73" w14:textId="0BC5FC4F">
            <w:pPr>
              <w:jc w:val="center"/>
              <w:rPr>
                <w:rFonts w:ascii="Arial Narrow" w:hAnsi="Arial Narrow"/>
                <w:sz w:val="20"/>
                <w:szCs w:val="20"/>
              </w:rPr>
            </w:pPr>
          </w:p>
        </w:tc>
        <w:tc>
          <w:tcPr>
            <w:tcW w:w="4214" w:type="pct"/>
            <w:gridSpan w:val="6"/>
            <w:vAlign w:val="center"/>
          </w:tcPr>
          <w:p w:rsidRPr="00AD4F6B" w:rsidR="001B3E2F" w:rsidRDefault="001B3E2F" w14:paraId="516D085D"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1B3E2F" w:rsidRDefault="001B3E2F" w14:paraId="5EE6AC9A" w14:textId="77777777">
            <w:pPr>
              <w:rPr>
                <w:rFonts w:ascii="Arial Narrow" w:hAnsi="Arial Narrow"/>
                <w:sz w:val="20"/>
                <w:szCs w:val="20"/>
              </w:rPr>
            </w:pPr>
            <w:r w:rsidRPr="00AD4F6B">
              <w:rPr>
                <w:rFonts w:ascii="Arial Narrow" w:hAnsi="Arial Narrow"/>
                <w:sz w:val="20"/>
                <w:szCs w:val="20"/>
              </w:rPr>
              <w:t xml:space="preserve">The authority application must be made </w:t>
            </w:r>
            <w:r w:rsidRPr="00AD4F6B">
              <w:rPr>
                <w:rFonts w:ascii="Arial Narrow" w:hAnsi="Arial Narrow"/>
                <w:i/>
                <w:sz w:val="20"/>
                <w:szCs w:val="20"/>
              </w:rPr>
              <w:t>via the Online PBS Authorities System, or</w:t>
            </w:r>
            <w:r w:rsidRPr="00AD4F6B">
              <w:rPr>
                <w:rFonts w:ascii="Arial Narrow" w:hAnsi="Arial Narrow"/>
                <w:sz w:val="20"/>
                <w:szCs w:val="20"/>
              </w:rPr>
              <w:t xml:space="preserve"> in writing </w:t>
            </w:r>
            <w:r w:rsidRPr="00AD4F6B">
              <w:rPr>
                <w:rFonts w:ascii="Arial Narrow" w:hAnsi="Arial Narrow"/>
                <w:i/>
                <w:sz w:val="20"/>
                <w:szCs w:val="20"/>
              </w:rPr>
              <w:t>via HPOS form upload or mail</w:t>
            </w:r>
            <w:r w:rsidRPr="00AD4F6B">
              <w:rPr>
                <w:rFonts w:ascii="Arial Narrow" w:hAnsi="Arial Narrow"/>
                <w:sz w:val="20"/>
                <w:szCs w:val="20"/>
              </w:rPr>
              <w:t xml:space="preserve"> and must include:</w:t>
            </w:r>
          </w:p>
          <w:p w:rsidRPr="00AD4F6B" w:rsidR="001B3E2F" w:rsidRDefault="001B3E2F" w14:paraId="52788176" w14:textId="216EB98D">
            <w:pPr>
              <w:rPr>
                <w:rFonts w:ascii="Arial Narrow" w:hAnsi="Arial Narrow"/>
                <w:sz w:val="20"/>
                <w:szCs w:val="20"/>
              </w:rPr>
            </w:pPr>
            <w:r w:rsidRPr="00AD4F6B">
              <w:rPr>
                <w:rFonts w:ascii="Arial Narrow" w:hAnsi="Arial Narrow"/>
                <w:sz w:val="20"/>
                <w:szCs w:val="20"/>
              </w:rPr>
              <w:t xml:space="preserve">(1) </w:t>
            </w:r>
            <w:r w:rsidRPr="00AD4F6B" w:rsidR="00DE7CE5">
              <w:rPr>
                <w:rFonts w:ascii="Arial Narrow" w:hAnsi="Arial Narrow"/>
                <w:strike/>
                <w:sz w:val="20"/>
                <w:szCs w:val="20"/>
              </w:rPr>
              <w:t xml:space="preserve">a completed </w:t>
            </w:r>
            <w:r w:rsidRPr="00AD4F6B" w:rsidR="008443D4">
              <w:rPr>
                <w:rFonts w:ascii="Arial Narrow" w:hAnsi="Arial Narrow"/>
                <w:strike/>
                <w:sz w:val="20"/>
                <w:szCs w:val="20"/>
              </w:rPr>
              <w:t>authority</w:t>
            </w:r>
            <w:r w:rsidRPr="00AD4F6B" w:rsidR="00C612E5">
              <w:rPr>
                <w:rFonts w:ascii="Arial Narrow" w:hAnsi="Arial Narrow"/>
                <w:strike/>
                <w:sz w:val="20"/>
                <w:szCs w:val="20"/>
              </w:rPr>
              <w:t xml:space="preserve"> </w:t>
            </w:r>
            <w:r w:rsidRPr="00AD4F6B">
              <w:rPr>
                <w:rFonts w:ascii="Arial Narrow" w:hAnsi="Arial Narrow"/>
                <w:i/>
                <w:iCs/>
                <w:sz w:val="20"/>
                <w:szCs w:val="20"/>
              </w:rPr>
              <w:t>details</w:t>
            </w:r>
            <w:r w:rsidRPr="00AD4F6B">
              <w:rPr>
                <w:rFonts w:ascii="Arial Narrow" w:hAnsi="Arial Narrow"/>
                <w:i/>
                <w:sz w:val="20"/>
                <w:szCs w:val="20"/>
              </w:rPr>
              <w:t xml:space="preserve"> of the proposed</w:t>
            </w:r>
            <w:r w:rsidRPr="00AD4F6B">
              <w:rPr>
                <w:rFonts w:ascii="Arial Narrow" w:hAnsi="Arial Narrow"/>
                <w:sz w:val="20"/>
                <w:szCs w:val="20"/>
              </w:rPr>
              <w:t xml:space="preserve"> prescription</w:t>
            </w:r>
            <w:r w:rsidRPr="00AD4F6B">
              <w:rPr>
                <w:rFonts w:ascii="Arial Narrow" w:hAnsi="Arial Narrow"/>
                <w:i/>
                <w:sz w:val="20"/>
                <w:szCs w:val="20"/>
              </w:rPr>
              <w:t>(s</w:t>
            </w:r>
            <w:r w:rsidRPr="00AD4F6B">
              <w:rPr>
                <w:rFonts w:ascii="Arial Narrow" w:hAnsi="Arial Narrow"/>
                <w:i/>
                <w:iCs/>
                <w:sz w:val="20"/>
                <w:szCs w:val="20"/>
              </w:rPr>
              <w:t>)</w:t>
            </w:r>
            <w:r w:rsidRPr="00AD4F6B" w:rsidR="00C612E5">
              <w:rPr>
                <w:rFonts w:ascii="Arial Narrow" w:hAnsi="Arial Narrow"/>
                <w:i/>
                <w:iCs/>
                <w:sz w:val="20"/>
                <w:szCs w:val="20"/>
              </w:rPr>
              <w:t xml:space="preserve"> </w:t>
            </w:r>
            <w:r w:rsidRPr="00AD4F6B" w:rsidR="00FD67D5">
              <w:rPr>
                <w:rFonts w:ascii="Arial Narrow" w:hAnsi="Arial Narrow"/>
                <w:strike/>
                <w:sz w:val="20"/>
                <w:szCs w:val="20"/>
              </w:rPr>
              <w:t>form</w:t>
            </w:r>
            <w:r w:rsidRPr="00AD4F6B">
              <w:rPr>
                <w:rFonts w:ascii="Arial Narrow" w:hAnsi="Arial Narrow"/>
                <w:sz w:val="20"/>
                <w:szCs w:val="20"/>
              </w:rPr>
              <w:t>; and</w:t>
            </w:r>
          </w:p>
          <w:p w:rsidRPr="00AD4F6B" w:rsidR="001B3E2F" w:rsidRDefault="001B3E2F" w14:paraId="740B6CD2" w14:textId="77777777">
            <w:pPr>
              <w:rPr>
                <w:rFonts w:ascii="Arial Narrow" w:hAnsi="Arial Narrow"/>
                <w:sz w:val="20"/>
                <w:szCs w:val="20"/>
              </w:rPr>
            </w:pPr>
            <w:r w:rsidRPr="00AD4F6B">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Pr="00AD4F6B" w:rsidR="00AD4F6B" w:rsidTr="00EA35AC" w14:paraId="6F9D44EC"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99168E" w:rsidRDefault="0099168E" w14:paraId="340A54AD" w14:textId="6546EC8B">
            <w:pPr>
              <w:jc w:val="center"/>
              <w:rPr>
                <w:rFonts w:ascii="Arial Narrow" w:hAnsi="Arial Narrow"/>
                <w:sz w:val="20"/>
                <w:szCs w:val="20"/>
              </w:rPr>
            </w:pPr>
          </w:p>
        </w:tc>
        <w:tc>
          <w:tcPr>
            <w:tcW w:w="4214" w:type="pct"/>
            <w:gridSpan w:val="6"/>
            <w:vAlign w:val="center"/>
          </w:tcPr>
          <w:p w:rsidRPr="00AD4F6B" w:rsidR="001B3E2F" w:rsidRDefault="001B3E2F" w14:paraId="0B5F4359"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1B3E2F" w:rsidRDefault="001B3E2F" w14:paraId="60A76048" w14:textId="77777777">
            <w:pPr>
              <w:rPr>
                <w:rFonts w:ascii="Arial Narrow" w:hAnsi="Arial Narrow"/>
                <w:sz w:val="20"/>
                <w:szCs w:val="20"/>
              </w:rPr>
            </w:pPr>
            <w:r w:rsidRPr="00AD4F6B">
              <w:rPr>
                <w:rFonts w:ascii="Arial Narrow" w:hAnsi="Arial Narrow"/>
                <w:sz w:val="20"/>
                <w:szCs w:val="20"/>
              </w:rPr>
              <w:t>Do not resubmit previously submitted documentation concerning the diagnosis and type of SMA.</w:t>
            </w:r>
          </w:p>
          <w:p w:rsidRPr="00AD4F6B" w:rsidR="001B3E2F" w:rsidRDefault="001B3E2F" w14:paraId="102597C8" w14:textId="77777777">
            <w:pPr>
              <w:rPr>
                <w:rFonts w:ascii="Arial Narrow" w:hAnsi="Arial Narrow"/>
                <w:sz w:val="20"/>
                <w:szCs w:val="20"/>
              </w:rPr>
            </w:pPr>
          </w:p>
          <w:p w:rsidRPr="00AD4F6B" w:rsidR="001B3E2F" w:rsidRDefault="001B3E2F" w14:paraId="0D3C7D2C" w14:textId="77777777">
            <w:pPr>
              <w:rPr>
                <w:rFonts w:ascii="Arial Narrow" w:hAnsi="Arial Narrow"/>
                <w:sz w:val="20"/>
                <w:szCs w:val="20"/>
              </w:rPr>
            </w:pPr>
            <w:r w:rsidRPr="00AD4F6B">
              <w:rPr>
                <w:rFonts w:ascii="Arial Narrow" w:hAnsi="Arial Narrow"/>
                <w:sz w:val="20"/>
                <w:szCs w:val="20"/>
              </w:rPr>
              <w:t>Confirm that a previous PBS authority application has been approved for one of the following:</w:t>
            </w:r>
          </w:p>
          <w:p w:rsidRPr="00AD4F6B" w:rsidR="001B3E2F" w:rsidRDefault="001B3E2F" w14:paraId="649AA639" w14:textId="5FD4F635">
            <w:pPr>
              <w:rPr>
                <w:rFonts w:ascii="Arial Narrow" w:hAnsi="Arial Narrow"/>
                <w:sz w:val="20"/>
                <w:szCs w:val="20"/>
              </w:rPr>
            </w:pPr>
            <w:r w:rsidRPr="00AD4F6B">
              <w:rPr>
                <w:rFonts w:ascii="Arial Narrow" w:hAnsi="Arial Narrow"/>
                <w:sz w:val="20"/>
                <w:szCs w:val="20"/>
              </w:rPr>
              <w:t>(i) Symptomatic Type 1</w:t>
            </w:r>
            <w:r w:rsidRPr="00AD4F6B" w:rsidR="00381F13">
              <w:rPr>
                <w:rFonts w:ascii="Arial Narrow" w:hAnsi="Arial Narrow"/>
                <w:i/>
                <w:iCs/>
                <w:sz w:val="20"/>
                <w:szCs w:val="20"/>
              </w:rPr>
              <w:t>, 2 or 3a</w:t>
            </w:r>
            <w:r w:rsidRPr="00AD4F6B" w:rsidR="00381F13">
              <w:rPr>
                <w:rFonts w:ascii="Arial Narrow" w:hAnsi="Arial Narrow"/>
                <w:sz w:val="20"/>
                <w:szCs w:val="20"/>
              </w:rPr>
              <w:t xml:space="preserve"> </w:t>
            </w:r>
            <w:r w:rsidRPr="00AD4F6B">
              <w:rPr>
                <w:rFonts w:ascii="Arial Narrow" w:hAnsi="Arial Narrow"/>
                <w:sz w:val="20"/>
                <w:szCs w:val="20"/>
              </w:rPr>
              <w:t>SMA; or</w:t>
            </w:r>
          </w:p>
          <w:p w:rsidRPr="00AD4F6B" w:rsidR="001B3E2F" w:rsidRDefault="001B3E2F" w14:paraId="1BE7BD1D" w14:textId="77777777">
            <w:pPr>
              <w:rPr>
                <w:rFonts w:ascii="Arial Narrow" w:hAnsi="Arial Narrow"/>
                <w:sz w:val="20"/>
                <w:szCs w:val="20"/>
              </w:rPr>
            </w:pPr>
            <w:r w:rsidRPr="00AD4F6B">
              <w:rPr>
                <w:rFonts w:ascii="Arial Narrow" w:hAnsi="Arial Narrow"/>
                <w:sz w:val="20"/>
                <w:szCs w:val="20"/>
              </w:rPr>
              <w:t>(ii) Pre-symptomatic SMA with 1-2 copies of SMN2 gene.</w:t>
            </w:r>
          </w:p>
          <w:p w:rsidRPr="00AD4F6B" w:rsidR="001B3E2F" w:rsidRDefault="001B3E2F" w14:paraId="244EC44C" w14:textId="77777777">
            <w:pPr>
              <w:rPr>
                <w:rFonts w:ascii="Arial Narrow" w:hAnsi="Arial Narrow"/>
                <w:sz w:val="20"/>
                <w:szCs w:val="20"/>
              </w:rPr>
            </w:pPr>
          </w:p>
          <w:p w:rsidRPr="00AD4F6B" w:rsidR="001B3E2F" w:rsidRDefault="001B3E2F" w14:paraId="7CCD6B60" w14:textId="77777777">
            <w:pPr>
              <w:rPr>
                <w:rFonts w:ascii="Arial Narrow" w:hAnsi="Arial Narrow"/>
                <w:sz w:val="20"/>
                <w:szCs w:val="20"/>
              </w:rPr>
            </w:pPr>
            <w:r w:rsidRPr="00AD4F6B">
              <w:rPr>
                <w:rFonts w:ascii="Arial Narrow" w:hAnsi="Arial Narrow"/>
                <w:sz w:val="20"/>
                <w:szCs w:val="20"/>
              </w:rPr>
              <w:t>State the weight of the patient in kilograms and request the appropriate product pack presentation with respect to the mix of 5.5 mL and 8.3 mL vials.</w:t>
            </w:r>
          </w:p>
        </w:tc>
      </w:tr>
      <w:tr w:rsidRPr="00AD4F6B" w:rsidR="00AD4F6B" w:rsidTr="00EA35AC" w14:paraId="1F42DF04"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1B3E2F" w:rsidRDefault="001B3E2F" w14:paraId="7F6A0618" w14:textId="6CED82C2">
            <w:pPr>
              <w:jc w:val="center"/>
              <w:rPr>
                <w:rFonts w:ascii="Arial Narrow" w:hAnsi="Arial Narrow"/>
                <w:sz w:val="20"/>
                <w:szCs w:val="20"/>
              </w:rPr>
            </w:pPr>
          </w:p>
        </w:tc>
        <w:tc>
          <w:tcPr>
            <w:tcW w:w="4214" w:type="pct"/>
            <w:gridSpan w:val="6"/>
            <w:vAlign w:val="center"/>
          </w:tcPr>
          <w:p w:rsidRPr="00AD4F6B" w:rsidR="001B3E2F" w:rsidRDefault="001B3E2F" w14:paraId="2178CA5F"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1B3E2F" w:rsidRDefault="001B3E2F" w14:paraId="31F85789" w14:textId="77777777">
            <w:pPr>
              <w:rPr>
                <w:rFonts w:ascii="Arial Narrow" w:hAnsi="Arial Narrow"/>
                <w:sz w:val="20"/>
                <w:szCs w:val="20"/>
              </w:rPr>
            </w:pPr>
            <w:r w:rsidRPr="00AD4F6B">
              <w:rPr>
                <w:rFonts w:ascii="Arial Narrow" w:hAnsi="Arial Narrow"/>
                <w:sz w:val="20"/>
                <w:szCs w:val="20"/>
              </w:rPr>
              <w:t>Adhere to any Product Information or local treatment guidelines with respect to treatment-free ('wash out') periods prior to administering this benefit.</w:t>
            </w:r>
          </w:p>
        </w:tc>
      </w:tr>
      <w:tr w:rsidRPr="00AD4F6B" w:rsidR="00AD4F6B" w:rsidTr="00EA35AC" w14:paraId="60FAFF4D" w14:textId="77777777">
        <w:tblPrEx>
          <w:tblCellMar>
            <w:top w:w="15" w:type="dxa"/>
            <w:bottom w:w="15" w:type="dxa"/>
          </w:tblCellMar>
          <w:tblLook w:val="04A0" w:firstRow="1" w:lastRow="0" w:firstColumn="1" w:lastColumn="0" w:noHBand="0" w:noVBand="1"/>
        </w:tblPrEx>
        <w:trPr>
          <w:cantSplit/>
          <w:trHeight w:val="20"/>
        </w:trPr>
        <w:tc>
          <w:tcPr>
            <w:tcW w:w="786" w:type="pct"/>
          </w:tcPr>
          <w:p w:rsidRPr="00AD4F6B" w:rsidR="001B3E2F" w:rsidRDefault="001B3E2F" w14:paraId="6372516D" w14:textId="6EBE4CC0">
            <w:pPr>
              <w:jc w:val="center"/>
              <w:rPr>
                <w:rFonts w:ascii="Arial Narrow" w:hAnsi="Arial Narrow"/>
                <w:sz w:val="20"/>
                <w:szCs w:val="20"/>
              </w:rPr>
            </w:pPr>
          </w:p>
        </w:tc>
        <w:tc>
          <w:tcPr>
            <w:tcW w:w="4214" w:type="pct"/>
            <w:gridSpan w:val="6"/>
            <w:vAlign w:val="center"/>
          </w:tcPr>
          <w:p w:rsidRPr="00AD4F6B" w:rsidR="001B3E2F" w:rsidRDefault="001B3E2F" w14:paraId="33AAAC8C"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1B3E2F" w:rsidRDefault="001B3E2F" w14:paraId="35AA4A8E" w14:textId="77777777">
            <w:pPr>
              <w:rPr>
                <w:rFonts w:ascii="Arial Narrow" w:hAnsi="Arial Narrow"/>
                <w:sz w:val="20"/>
                <w:szCs w:val="20"/>
              </w:rPr>
            </w:pPr>
            <w:r w:rsidRPr="00AD4F6B">
              <w:rPr>
                <w:rFonts w:ascii="Arial Narrow" w:hAnsi="Arial Narrow"/>
                <w:sz w:val="20"/>
                <w:szCs w:val="20"/>
              </w:rPr>
              <w:t xml:space="preserve">An outcome on the authority application is not </w:t>
            </w:r>
            <w:proofErr w:type="gramStart"/>
            <w:r w:rsidRPr="00AD4F6B">
              <w:rPr>
                <w:rFonts w:ascii="Arial Narrow" w:hAnsi="Arial Narrow"/>
                <w:sz w:val="20"/>
                <w:szCs w:val="20"/>
              </w:rPr>
              <w:t>immediate, but</w:t>
            </w:r>
            <w:proofErr w:type="gramEnd"/>
            <w:r w:rsidRPr="00AD4F6B">
              <w:rPr>
                <w:rFonts w:ascii="Arial Narrow" w:hAnsi="Arial Narrow"/>
                <w:sz w:val="20"/>
                <w:szCs w:val="20"/>
              </w:rPr>
              <w:t xml:space="preserve"> will follow in due course. Electronic upload is encouraged to reduce processing time.</w:t>
            </w:r>
          </w:p>
        </w:tc>
      </w:tr>
    </w:tbl>
    <w:p w:rsidRPr="00AD4F6B" w:rsidR="001B3E2F" w:rsidP="001B3E2F" w:rsidRDefault="001B3E2F" w14:paraId="18212563" w14:textId="77777777"/>
    <w:p w:rsidRPr="00AD4F6B" w:rsidR="001B3E2F" w:rsidP="001B3E2F" w:rsidRDefault="001B3E2F" w14:paraId="4AA3F678" w14:textId="77777777">
      <w:pPr>
        <w:rPr>
          <w:b/>
          <w:bCs/>
          <w:i/>
          <w:iCs/>
        </w:rPr>
      </w:pPr>
      <w:r w:rsidRPr="00AD4F6B">
        <w:rPr>
          <w:b/>
          <w:bCs/>
        </w:rPr>
        <w:t xml:space="preserve">Pre-symptomatic SMA (3 </w:t>
      </w:r>
      <w:r w:rsidRPr="00AD4F6B">
        <w:rPr>
          <w:b/>
          <w:bCs/>
          <w:i/>
          <w:iCs/>
        </w:rPr>
        <w:t xml:space="preserve">SMN2 </w:t>
      </w:r>
      <w:r w:rsidRPr="00AD4F6B">
        <w:rPr>
          <w:b/>
          <w:bCs/>
        </w:rPr>
        <w:t>gene</w:t>
      </w:r>
      <w:r w:rsidRPr="00AD4F6B">
        <w:rPr>
          <w:b/>
          <w:bCs/>
          <w:i/>
          <w:iCs/>
        </w:rPr>
        <w:t xml:space="preserve"> </w:t>
      </w:r>
      <w:r w:rsidRPr="00AD4F6B">
        <w:rPr>
          <w:b/>
          <w:bCs/>
        </w:rPr>
        <w:t>copies)</w:t>
      </w:r>
      <w:r w:rsidRPr="00AD4F6B">
        <w:rPr>
          <w:b/>
          <w:bCs/>
          <w:i/>
          <w:iCs/>
        </w:rPr>
        <w:t xml:space="preserve"> </w:t>
      </w:r>
    </w:p>
    <w:p w:rsidRPr="00AD4F6B" w:rsidR="001B3E2F" w:rsidP="001B3E2F" w:rsidRDefault="001B3E2F" w14:paraId="0F333995" w14:textId="77777777"/>
    <w:tbl>
      <w:tblPr>
        <w:tblpPr w:leftFromText="180" w:rightFromText="180" w:vertAnchor="text" w:tblpX="24"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Recommended listing - Pre-symptomatic SMA (3 SMN2 gene copies) "/>
      </w:tblPr>
      <w:tblGrid>
        <w:gridCol w:w="3950"/>
        <w:gridCol w:w="908"/>
        <w:gridCol w:w="721"/>
        <w:gridCol w:w="813"/>
        <w:gridCol w:w="813"/>
        <w:gridCol w:w="1722"/>
        <w:gridCol w:w="90"/>
      </w:tblGrid>
      <w:tr w:rsidRPr="00AD4F6B" w:rsidR="00AD4F6B" w:rsidTr="00A865A0" w14:paraId="0DE15EC0" w14:textId="77777777">
        <w:trPr>
          <w:cantSplit/>
          <w:trHeight w:val="20"/>
        </w:trPr>
        <w:tc>
          <w:tcPr>
            <w:tcW w:w="2190" w:type="pct"/>
            <w:vAlign w:val="center"/>
          </w:tcPr>
          <w:p w:rsidRPr="00AD4F6B" w:rsidR="001B3E2F" w:rsidRDefault="001B3E2F" w14:paraId="3B34B064" w14:textId="77777777">
            <w:pPr>
              <w:keepLines/>
              <w:rPr>
                <w:rFonts w:ascii="Arial Narrow" w:hAnsi="Arial Narrow"/>
                <w:b/>
                <w:bCs/>
                <w:sz w:val="20"/>
                <w:szCs w:val="20"/>
              </w:rPr>
            </w:pPr>
            <w:r w:rsidRPr="00AD4F6B">
              <w:rPr>
                <w:rFonts w:ascii="Arial Narrow" w:hAnsi="Arial Narrow"/>
                <w:b/>
                <w:bCs/>
                <w:sz w:val="20"/>
                <w:szCs w:val="20"/>
              </w:rPr>
              <w:t>MEDICINAL PRODUCT</w:t>
            </w:r>
          </w:p>
          <w:p w:rsidRPr="00AD4F6B" w:rsidR="001B3E2F" w:rsidRDefault="001B3E2F" w14:paraId="6F5FCD0F" w14:textId="77777777">
            <w:pPr>
              <w:keepLines/>
              <w:rPr>
                <w:rFonts w:ascii="Arial Narrow" w:hAnsi="Arial Narrow"/>
                <w:b/>
                <w:sz w:val="20"/>
                <w:szCs w:val="20"/>
              </w:rPr>
            </w:pPr>
            <w:r w:rsidRPr="00AD4F6B">
              <w:rPr>
                <w:rFonts w:ascii="Arial Narrow" w:hAnsi="Arial Narrow"/>
                <w:b/>
                <w:bCs/>
                <w:sz w:val="20"/>
                <w:szCs w:val="20"/>
              </w:rPr>
              <w:t>medicinal product pack</w:t>
            </w:r>
          </w:p>
        </w:tc>
        <w:tc>
          <w:tcPr>
            <w:tcW w:w="503" w:type="pct"/>
            <w:vAlign w:val="center"/>
          </w:tcPr>
          <w:p w:rsidRPr="00AD4F6B" w:rsidR="001B3E2F" w:rsidRDefault="001B3E2F" w14:paraId="494AA565" w14:textId="77777777">
            <w:pPr>
              <w:keepLines/>
              <w:jc w:val="center"/>
              <w:rPr>
                <w:rFonts w:ascii="Arial Narrow" w:hAnsi="Arial Narrow"/>
                <w:b/>
                <w:sz w:val="20"/>
                <w:szCs w:val="20"/>
              </w:rPr>
            </w:pPr>
            <w:r w:rsidRPr="00AD4F6B">
              <w:rPr>
                <w:rFonts w:ascii="Arial Narrow" w:hAnsi="Arial Narrow"/>
                <w:b/>
                <w:sz w:val="20"/>
                <w:szCs w:val="20"/>
              </w:rPr>
              <w:t>PBS item code</w:t>
            </w:r>
          </w:p>
        </w:tc>
        <w:tc>
          <w:tcPr>
            <w:tcW w:w="400" w:type="pct"/>
            <w:vAlign w:val="center"/>
          </w:tcPr>
          <w:p w:rsidRPr="00AD4F6B" w:rsidR="001B3E2F" w:rsidRDefault="001B3E2F" w14:paraId="4FB7F1BA" w14:textId="77777777">
            <w:pPr>
              <w:keepLines/>
              <w:jc w:val="center"/>
              <w:rPr>
                <w:rFonts w:ascii="Arial Narrow" w:hAnsi="Arial Narrow"/>
                <w:b/>
                <w:sz w:val="20"/>
                <w:szCs w:val="20"/>
              </w:rPr>
            </w:pPr>
            <w:r w:rsidRPr="00AD4F6B">
              <w:rPr>
                <w:rFonts w:ascii="Arial Narrow" w:hAnsi="Arial Narrow"/>
                <w:b/>
                <w:sz w:val="20"/>
                <w:szCs w:val="20"/>
              </w:rPr>
              <w:t>Max. qty packs</w:t>
            </w:r>
          </w:p>
        </w:tc>
        <w:tc>
          <w:tcPr>
            <w:tcW w:w="451" w:type="pct"/>
            <w:vAlign w:val="center"/>
          </w:tcPr>
          <w:p w:rsidRPr="00AD4F6B" w:rsidR="001B3E2F" w:rsidRDefault="001B3E2F" w14:paraId="5EC144D6" w14:textId="77777777">
            <w:pPr>
              <w:keepLines/>
              <w:jc w:val="center"/>
              <w:rPr>
                <w:rFonts w:ascii="Arial Narrow" w:hAnsi="Arial Narrow"/>
                <w:b/>
                <w:sz w:val="20"/>
                <w:szCs w:val="20"/>
              </w:rPr>
            </w:pPr>
            <w:r w:rsidRPr="00AD4F6B">
              <w:rPr>
                <w:rFonts w:ascii="Arial Narrow" w:hAnsi="Arial Narrow"/>
                <w:b/>
                <w:sz w:val="20"/>
                <w:szCs w:val="20"/>
              </w:rPr>
              <w:t>Max. qty units</w:t>
            </w:r>
          </w:p>
        </w:tc>
        <w:tc>
          <w:tcPr>
            <w:tcW w:w="451" w:type="pct"/>
            <w:vAlign w:val="center"/>
          </w:tcPr>
          <w:p w:rsidRPr="00AD4F6B" w:rsidR="001B3E2F" w:rsidRDefault="001B3E2F" w14:paraId="377A9E88" w14:textId="77777777">
            <w:pPr>
              <w:keepLines/>
              <w:jc w:val="center"/>
              <w:rPr>
                <w:rFonts w:ascii="Arial Narrow" w:hAnsi="Arial Narrow"/>
                <w:b/>
                <w:sz w:val="20"/>
                <w:szCs w:val="20"/>
              </w:rPr>
            </w:pPr>
            <w:r w:rsidRPr="00AD4F6B">
              <w:rPr>
                <w:rFonts w:ascii="Arial Narrow" w:hAnsi="Arial Narrow"/>
                <w:b/>
                <w:sz w:val="20"/>
                <w:szCs w:val="20"/>
              </w:rPr>
              <w:t>№.of</w:t>
            </w:r>
          </w:p>
          <w:p w:rsidRPr="00AD4F6B" w:rsidR="001B3E2F" w:rsidRDefault="001B3E2F" w14:paraId="7620AA9C" w14:textId="77777777">
            <w:pPr>
              <w:keepLines/>
              <w:jc w:val="center"/>
              <w:rPr>
                <w:rFonts w:ascii="Arial Narrow" w:hAnsi="Arial Narrow"/>
                <w:b/>
                <w:sz w:val="20"/>
                <w:szCs w:val="20"/>
              </w:rPr>
            </w:pPr>
            <w:r w:rsidRPr="00AD4F6B">
              <w:rPr>
                <w:rFonts w:ascii="Arial Narrow" w:hAnsi="Arial Narrow"/>
                <w:b/>
                <w:sz w:val="20"/>
                <w:szCs w:val="20"/>
              </w:rPr>
              <w:t>Rpts</w:t>
            </w:r>
          </w:p>
        </w:tc>
        <w:tc>
          <w:tcPr>
            <w:tcW w:w="1006" w:type="pct"/>
            <w:gridSpan w:val="2"/>
            <w:vAlign w:val="center"/>
          </w:tcPr>
          <w:p w:rsidRPr="00AD4F6B" w:rsidR="001B3E2F" w:rsidRDefault="001B3E2F" w14:paraId="5E3E0F64" w14:textId="77777777">
            <w:pPr>
              <w:keepLines/>
              <w:rPr>
                <w:rFonts w:ascii="Arial Narrow" w:hAnsi="Arial Narrow"/>
                <w:b/>
                <w:sz w:val="20"/>
                <w:szCs w:val="20"/>
                <w:lang w:val="fr-FR"/>
              </w:rPr>
            </w:pPr>
            <w:r w:rsidRPr="00AD4F6B">
              <w:rPr>
                <w:rFonts w:ascii="Arial Narrow" w:hAnsi="Arial Narrow"/>
                <w:b/>
                <w:sz w:val="20"/>
                <w:szCs w:val="20"/>
              </w:rPr>
              <w:t>Available brands</w:t>
            </w:r>
          </w:p>
        </w:tc>
      </w:tr>
      <w:tr w:rsidRPr="00AD4F6B" w:rsidR="00AD4F6B" w:rsidTr="00EA35AC" w14:paraId="0C07DF26" w14:textId="77777777">
        <w:trPr>
          <w:cantSplit/>
          <w:trHeight w:val="20"/>
        </w:trPr>
        <w:tc>
          <w:tcPr>
            <w:tcW w:w="5000" w:type="pct"/>
            <w:gridSpan w:val="7"/>
            <w:vAlign w:val="center"/>
          </w:tcPr>
          <w:p w:rsidRPr="00AD4F6B" w:rsidR="001B3E2F" w:rsidRDefault="001B3E2F" w14:paraId="19FCA30D" w14:textId="77777777">
            <w:pPr>
              <w:keepLines/>
              <w:rPr>
                <w:rFonts w:ascii="Arial Narrow" w:hAnsi="Arial Narrow"/>
                <w:sz w:val="20"/>
                <w:szCs w:val="20"/>
              </w:rPr>
            </w:pPr>
            <w:r w:rsidRPr="00AD4F6B">
              <w:rPr>
                <w:rFonts w:ascii="Arial Narrow" w:hAnsi="Arial Narrow"/>
                <w:sz w:val="20"/>
                <w:szCs w:val="20"/>
              </w:rPr>
              <w:t>ONASEMNOGENE ABEPARVOVEC</w:t>
            </w:r>
          </w:p>
        </w:tc>
      </w:tr>
      <w:tr w:rsidRPr="00AD4F6B" w:rsidR="00AD4F6B" w:rsidTr="00A865A0" w14:paraId="27EF9FAB" w14:textId="77777777">
        <w:trPr>
          <w:cantSplit/>
          <w:trHeight w:val="20"/>
        </w:trPr>
        <w:tc>
          <w:tcPr>
            <w:tcW w:w="2190" w:type="pct"/>
            <w:vAlign w:val="center"/>
          </w:tcPr>
          <w:p w:rsidRPr="00AD4F6B" w:rsidR="001B3E2F" w:rsidRDefault="001B3E2F" w14:paraId="25087BD7" w14:textId="77777777">
            <w:pPr>
              <w:keepLines/>
              <w:rPr>
                <w:rFonts w:ascii="Arial Narrow" w:hAnsi="Arial Narrow"/>
                <w:sz w:val="20"/>
                <w:szCs w:val="20"/>
              </w:rPr>
            </w:pPr>
            <w:r w:rsidRPr="00AD4F6B">
              <w:rPr>
                <w:rFonts w:ascii="Arial Narrow" w:hAnsi="Arial Narrow"/>
                <w:sz w:val="20"/>
                <w:szCs w:val="20"/>
              </w:rPr>
              <w:t>onasemnogene abeparvovec 20 trillion vector genomes/mL injection [2 x 5.5 mL vials] (&amp;) onasemnogene abeparvovec 20 trillion vector genomes/mL injection [2 x 8.3 mL vials], 1 pack</w:t>
            </w:r>
          </w:p>
        </w:tc>
        <w:tc>
          <w:tcPr>
            <w:tcW w:w="503" w:type="pct"/>
            <w:vAlign w:val="center"/>
          </w:tcPr>
          <w:p w:rsidRPr="00AD4F6B" w:rsidR="001B3E2F" w:rsidRDefault="001B3E2F" w14:paraId="5183A213" w14:textId="77777777">
            <w:pPr>
              <w:keepLines/>
              <w:jc w:val="center"/>
              <w:rPr>
                <w:rFonts w:ascii="Arial Narrow" w:hAnsi="Arial Narrow"/>
                <w:sz w:val="20"/>
                <w:szCs w:val="20"/>
              </w:rPr>
            </w:pPr>
            <w:r w:rsidRPr="00AD4F6B">
              <w:rPr>
                <w:rFonts w:ascii="Arial Narrow" w:hAnsi="Arial Narrow"/>
                <w:sz w:val="20"/>
                <w:szCs w:val="20"/>
              </w:rPr>
              <w:t>13669K</w:t>
            </w:r>
          </w:p>
        </w:tc>
        <w:tc>
          <w:tcPr>
            <w:tcW w:w="400" w:type="pct"/>
            <w:vAlign w:val="center"/>
          </w:tcPr>
          <w:p w:rsidRPr="00AD4F6B" w:rsidR="001B3E2F" w:rsidRDefault="001B3E2F" w14:paraId="41ED8ADE"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0F549ED"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6D21FCC9"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gridSpan w:val="2"/>
            <w:vMerge w:val="restart"/>
            <w:vAlign w:val="center"/>
          </w:tcPr>
          <w:p w:rsidRPr="00AD4F6B" w:rsidR="001B3E2F" w:rsidRDefault="001B3E2F" w14:paraId="4BEB963E" w14:textId="77777777">
            <w:pPr>
              <w:keepLines/>
              <w:jc w:val="center"/>
              <w:rPr>
                <w:rFonts w:ascii="Arial Narrow" w:hAnsi="Arial Narrow"/>
                <w:sz w:val="20"/>
                <w:szCs w:val="20"/>
              </w:rPr>
            </w:pPr>
            <w:proofErr w:type="spellStart"/>
            <w:r w:rsidRPr="00AD4F6B">
              <w:rPr>
                <w:rFonts w:ascii="Arial Narrow" w:hAnsi="Arial Narrow"/>
                <w:sz w:val="20"/>
                <w:szCs w:val="20"/>
              </w:rPr>
              <w:t>Zolgensma</w:t>
            </w:r>
            <w:proofErr w:type="spellEnd"/>
          </w:p>
        </w:tc>
      </w:tr>
      <w:tr w:rsidRPr="00AD4F6B" w:rsidR="00AD4F6B" w:rsidTr="00A865A0" w14:paraId="18FEE0CE" w14:textId="77777777">
        <w:trPr>
          <w:cantSplit/>
          <w:trHeight w:val="20"/>
        </w:trPr>
        <w:tc>
          <w:tcPr>
            <w:tcW w:w="2190" w:type="pct"/>
            <w:vAlign w:val="center"/>
          </w:tcPr>
          <w:p w:rsidRPr="00AD4F6B" w:rsidR="001B3E2F" w:rsidRDefault="001B3E2F" w14:paraId="2ECD201D" w14:textId="77777777">
            <w:pPr>
              <w:keepLines/>
              <w:rPr>
                <w:rFonts w:ascii="Arial Narrow" w:hAnsi="Arial Narrow"/>
                <w:sz w:val="20"/>
                <w:szCs w:val="20"/>
              </w:rPr>
            </w:pPr>
            <w:r w:rsidRPr="00AD4F6B">
              <w:rPr>
                <w:rFonts w:ascii="Arial Narrow" w:hAnsi="Arial Narrow"/>
                <w:sz w:val="20"/>
                <w:szCs w:val="20"/>
              </w:rPr>
              <w:t>13682D / onasemnogene abeparvovec 20 trillion vector genomes/mL injection [2 x 5.5 mL vials] (&amp;) onasemnogene abeparvovec 20 trillion vector genomes/mL injection [3 x 8.3 mL vials], 1 pack</w:t>
            </w:r>
          </w:p>
        </w:tc>
        <w:tc>
          <w:tcPr>
            <w:tcW w:w="503" w:type="pct"/>
            <w:vAlign w:val="center"/>
          </w:tcPr>
          <w:p w:rsidRPr="00AD4F6B" w:rsidR="001B3E2F" w:rsidRDefault="001B3E2F" w14:paraId="0E55CCD5" w14:textId="77777777">
            <w:pPr>
              <w:keepLines/>
              <w:jc w:val="center"/>
              <w:rPr>
                <w:rFonts w:ascii="Arial Narrow" w:hAnsi="Arial Narrow"/>
                <w:sz w:val="20"/>
                <w:szCs w:val="20"/>
              </w:rPr>
            </w:pPr>
            <w:r w:rsidRPr="00AD4F6B">
              <w:rPr>
                <w:rFonts w:ascii="Arial Narrow" w:hAnsi="Arial Narrow"/>
                <w:sz w:val="20"/>
                <w:szCs w:val="20"/>
              </w:rPr>
              <w:t>13682D</w:t>
            </w:r>
          </w:p>
        </w:tc>
        <w:tc>
          <w:tcPr>
            <w:tcW w:w="400" w:type="pct"/>
            <w:vAlign w:val="center"/>
          </w:tcPr>
          <w:p w:rsidRPr="00AD4F6B" w:rsidR="001B3E2F" w:rsidRDefault="001B3E2F" w14:paraId="0C9FC81F"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68CCFE56"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B462879"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6D8B6DC4" w14:textId="77777777">
            <w:pPr>
              <w:keepLines/>
              <w:rPr>
                <w:rFonts w:ascii="Arial Narrow" w:hAnsi="Arial Narrow"/>
                <w:sz w:val="20"/>
                <w:szCs w:val="20"/>
              </w:rPr>
            </w:pPr>
          </w:p>
        </w:tc>
      </w:tr>
      <w:tr w:rsidRPr="00AD4F6B" w:rsidR="00AD4F6B" w:rsidTr="00A865A0" w14:paraId="153BBF08" w14:textId="77777777">
        <w:trPr>
          <w:cantSplit/>
          <w:trHeight w:val="20"/>
        </w:trPr>
        <w:tc>
          <w:tcPr>
            <w:tcW w:w="2190" w:type="pct"/>
            <w:vAlign w:val="center"/>
          </w:tcPr>
          <w:p w:rsidRPr="00AD4F6B" w:rsidR="001B3E2F" w:rsidRDefault="001B3E2F" w14:paraId="05030832" w14:textId="77777777">
            <w:pPr>
              <w:keepLines/>
              <w:rPr>
                <w:rFonts w:ascii="Arial Narrow" w:hAnsi="Arial Narrow"/>
                <w:sz w:val="20"/>
                <w:szCs w:val="20"/>
              </w:rPr>
            </w:pPr>
            <w:r w:rsidRPr="00AD4F6B">
              <w:rPr>
                <w:rFonts w:ascii="Arial Narrow" w:hAnsi="Arial Narrow"/>
                <w:sz w:val="20"/>
                <w:szCs w:val="20"/>
              </w:rPr>
              <w:t>onasemnogene abeparvovec 20 trillion vector genomes/mL injection [2 x 5.5 mL vials] (&amp;) onasemnogene abeparvovec 20 trillion vector genomes/mL injection [4 x 8.3 mL vials], 1 pack</w:t>
            </w:r>
          </w:p>
        </w:tc>
        <w:tc>
          <w:tcPr>
            <w:tcW w:w="503" w:type="pct"/>
            <w:vAlign w:val="center"/>
          </w:tcPr>
          <w:p w:rsidRPr="00AD4F6B" w:rsidR="001B3E2F" w:rsidRDefault="001B3E2F" w14:paraId="605E12F8" w14:textId="77777777">
            <w:pPr>
              <w:keepLines/>
              <w:jc w:val="center"/>
              <w:rPr>
                <w:rFonts w:ascii="Arial Narrow" w:hAnsi="Arial Narrow"/>
                <w:sz w:val="20"/>
                <w:szCs w:val="20"/>
              </w:rPr>
            </w:pPr>
            <w:r w:rsidRPr="00AD4F6B">
              <w:rPr>
                <w:rFonts w:ascii="Arial Narrow" w:hAnsi="Arial Narrow"/>
                <w:sz w:val="20"/>
                <w:szCs w:val="20"/>
              </w:rPr>
              <w:t>13683E</w:t>
            </w:r>
          </w:p>
        </w:tc>
        <w:tc>
          <w:tcPr>
            <w:tcW w:w="400" w:type="pct"/>
            <w:vAlign w:val="center"/>
          </w:tcPr>
          <w:p w:rsidRPr="00AD4F6B" w:rsidR="001B3E2F" w:rsidRDefault="001B3E2F" w14:paraId="140AA5C3"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785F25E"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68AFF9C1"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420D59D3" w14:textId="77777777">
            <w:pPr>
              <w:keepLines/>
              <w:rPr>
                <w:rFonts w:ascii="Arial Narrow" w:hAnsi="Arial Narrow"/>
                <w:sz w:val="20"/>
                <w:szCs w:val="20"/>
              </w:rPr>
            </w:pPr>
          </w:p>
        </w:tc>
      </w:tr>
      <w:tr w:rsidRPr="00AD4F6B" w:rsidR="00AD4F6B" w:rsidTr="00A865A0" w14:paraId="62708C95" w14:textId="77777777">
        <w:trPr>
          <w:cantSplit/>
          <w:trHeight w:val="20"/>
        </w:trPr>
        <w:tc>
          <w:tcPr>
            <w:tcW w:w="2190" w:type="pct"/>
            <w:vAlign w:val="center"/>
          </w:tcPr>
          <w:p w:rsidRPr="00AD4F6B" w:rsidR="001B3E2F" w:rsidRDefault="001B3E2F" w14:paraId="301C6568" w14:textId="77777777">
            <w:pPr>
              <w:keepLines/>
              <w:rPr>
                <w:rFonts w:ascii="Arial Narrow" w:hAnsi="Arial Narrow"/>
                <w:sz w:val="20"/>
                <w:szCs w:val="20"/>
              </w:rPr>
            </w:pPr>
            <w:r w:rsidRPr="00AD4F6B">
              <w:rPr>
                <w:rFonts w:ascii="Arial Narrow" w:hAnsi="Arial Narrow"/>
                <w:sz w:val="20"/>
                <w:szCs w:val="20"/>
              </w:rPr>
              <w:t xml:space="preserve">onasemnogene abeparvovec 20 trillion vector genomes/mL injection [2 x 5.5 mL vials] (&amp;) </w:t>
            </w:r>
            <w:r w:rsidRPr="00AD4F6B">
              <w:rPr>
                <w:rFonts w:ascii="Arial Narrow" w:hAnsi="Arial Narrow"/>
                <w:sz w:val="20"/>
                <w:szCs w:val="20"/>
              </w:rPr>
              <w:t>onasemnogene abeparvovec 20 trillion vector genomes/mL injection [5 x 8.3 mL vials], 1 pack</w:t>
            </w:r>
          </w:p>
        </w:tc>
        <w:tc>
          <w:tcPr>
            <w:tcW w:w="503" w:type="pct"/>
            <w:vAlign w:val="center"/>
          </w:tcPr>
          <w:p w:rsidRPr="00AD4F6B" w:rsidR="001B3E2F" w:rsidRDefault="001B3E2F" w14:paraId="4C6B15E8" w14:textId="77777777">
            <w:pPr>
              <w:keepLines/>
              <w:jc w:val="center"/>
              <w:rPr>
                <w:rFonts w:ascii="Arial Narrow" w:hAnsi="Arial Narrow"/>
                <w:sz w:val="20"/>
                <w:szCs w:val="20"/>
              </w:rPr>
            </w:pPr>
            <w:r w:rsidRPr="00AD4F6B">
              <w:rPr>
                <w:rFonts w:ascii="Arial Narrow" w:hAnsi="Arial Narrow"/>
                <w:sz w:val="20"/>
                <w:szCs w:val="20"/>
              </w:rPr>
              <w:t>13681C</w:t>
            </w:r>
          </w:p>
        </w:tc>
        <w:tc>
          <w:tcPr>
            <w:tcW w:w="400" w:type="pct"/>
            <w:vAlign w:val="center"/>
          </w:tcPr>
          <w:p w:rsidRPr="00AD4F6B" w:rsidR="001B3E2F" w:rsidRDefault="001B3E2F" w14:paraId="433437ED"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45526659"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52D49B7"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35719BBE" w14:textId="77777777">
            <w:pPr>
              <w:keepLines/>
              <w:rPr>
                <w:rFonts w:ascii="Arial Narrow" w:hAnsi="Arial Narrow"/>
                <w:sz w:val="20"/>
                <w:szCs w:val="20"/>
              </w:rPr>
            </w:pPr>
          </w:p>
        </w:tc>
      </w:tr>
      <w:tr w:rsidRPr="00AD4F6B" w:rsidR="00AD4F6B" w:rsidTr="00A865A0" w14:paraId="3D3CD160" w14:textId="77777777">
        <w:trPr>
          <w:cantSplit/>
          <w:trHeight w:val="20"/>
        </w:trPr>
        <w:tc>
          <w:tcPr>
            <w:tcW w:w="2190" w:type="pct"/>
            <w:vAlign w:val="center"/>
          </w:tcPr>
          <w:p w:rsidRPr="00AD4F6B" w:rsidR="001B3E2F" w:rsidRDefault="001B3E2F" w14:paraId="12CE11B0" w14:textId="77777777">
            <w:pPr>
              <w:keepLines/>
              <w:rPr>
                <w:rFonts w:ascii="Arial Narrow" w:hAnsi="Arial Narrow"/>
                <w:sz w:val="20"/>
                <w:szCs w:val="20"/>
              </w:rPr>
            </w:pPr>
            <w:r w:rsidRPr="00AD4F6B">
              <w:rPr>
                <w:rFonts w:ascii="Arial Narrow" w:hAnsi="Arial Narrow"/>
                <w:sz w:val="20"/>
                <w:szCs w:val="20"/>
              </w:rPr>
              <w:t>onasemnogene abeparvovec 20 trillion vector genomes/mL injection [2 x 5.5 mL vials] (&amp;) onasemnogene abeparvovec 20 trillion vector genomes/mL injection [6 x 8.3 mL vials], 1 pack</w:t>
            </w:r>
          </w:p>
        </w:tc>
        <w:tc>
          <w:tcPr>
            <w:tcW w:w="503" w:type="pct"/>
            <w:vAlign w:val="center"/>
          </w:tcPr>
          <w:p w:rsidRPr="00AD4F6B" w:rsidR="001B3E2F" w:rsidRDefault="001B3E2F" w14:paraId="06895373" w14:textId="77777777">
            <w:pPr>
              <w:keepLines/>
              <w:jc w:val="center"/>
              <w:rPr>
                <w:rFonts w:ascii="Arial Narrow" w:hAnsi="Arial Narrow"/>
                <w:sz w:val="20"/>
                <w:szCs w:val="20"/>
              </w:rPr>
            </w:pPr>
            <w:r w:rsidRPr="00AD4F6B">
              <w:rPr>
                <w:rFonts w:ascii="Arial Narrow" w:hAnsi="Arial Narrow"/>
                <w:sz w:val="20"/>
                <w:szCs w:val="20"/>
              </w:rPr>
              <w:t>13679Y</w:t>
            </w:r>
          </w:p>
        </w:tc>
        <w:tc>
          <w:tcPr>
            <w:tcW w:w="400" w:type="pct"/>
            <w:vAlign w:val="center"/>
          </w:tcPr>
          <w:p w:rsidRPr="00AD4F6B" w:rsidR="001B3E2F" w:rsidRDefault="001B3E2F" w14:paraId="5D531354"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7197254"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643E12D"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75223AF5" w14:textId="77777777">
            <w:pPr>
              <w:keepLines/>
              <w:rPr>
                <w:rFonts w:ascii="Arial Narrow" w:hAnsi="Arial Narrow"/>
                <w:sz w:val="20"/>
                <w:szCs w:val="20"/>
              </w:rPr>
            </w:pPr>
          </w:p>
        </w:tc>
      </w:tr>
      <w:tr w:rsidRPr="00AD4F6B" w:rsidR="00AD4F6B" w:rsidTr="00A865A0" w14:paraId="2F30AA60" w14:textId="77777777">
        <w:trPr>
          <w:cantSplit/>
          <w:trHeight w:val="20"/>
        </w:trPr>
        <w:tc>
          <w:tcPr>
            <w:tcW w:w="2190" w:type="pct"/>
            <w:vAlign w:val="center"/>
          </w:tcPr>
          <w:p w:rsidRPr="00AD4F6B" w:rsidR="001B3E2F" w:rsidRDefault="001B3E2F" w14:paraId="613919D4" w14:textId="77777777">
            <w:pPr>
              <w:keepLines/>
              <w:rPr>
                <w:rFonts w:ascii="Arial Narrow" w:hAnsi="Arial Narrow"/>
                <w:sz w:val="20"/>
                <w:szCs w:val="20"/>
              </w:rPr>
            </w:pPr>
            <w:r w:rsidRPr="00AD4F6B">
              <w:rPr>
                <w:rFonts w:ascii="Arial Narrow" w:hAnsi="Arial Narrow"/>
                <w:sz w:val="20"/>
                <w:szCs w:val="20"/>
              </w:rPr>
              <w:t>onasemnogene abeparvovec 20 trillion vector genomes/mL injection [2 x 5.5 mL vials] (&amp;) onasemnogene abeparvovec 20 trillion vector genomes/mL injection [7 x 8.3 mL vials], 1 pack</w:t>
            </w:r>
          </w:p>
        </w:tc>
        <w:tc>
          <w:tcPr>
            <w:tcW w:w="503" w:type="pct"/>
            <w:vAlign w:val="center"/>
          </w:tcPr>
          <w:p w:rsidRPr="00AD4F6B" w:rsidR="001B3E2F" w:rsidRDefault="001B3E2F" w14:paraId="66A0BE91" w14:textId="77777777">
            <w:pPr>
              <w:keepLines/>
              <w:jc w:val="center"/>
              <w:rPr>
                <w:rFonts w:ascii="Arial Narrow" w:hAnsi="Arial Narrow"/>
                <w:sz w:val="20"/>
                <w:szCs w:val="20"/>
              </w:rPr>
            </w:pPr>
            <w:r w:rsidRPr="00AD4F6B">
              <w:rPr>
                <w:rFonts w:ascii="Arial Narrow" w:hAnsi="Arial Narrow"/>
                <w:sz w:val="20"/>
                <w:szCs w:val="20"/>
              </w:rPr>
              <w:t>13668J </w:t>
            </w:r>
          </w:p>
        </w:tc>
        <w:tc>
          <w:tcPr>
            <w:tcW w:w="400" w:type="pct"/>
            <w:vAlign w:val="center"/>
          </w:tcPr>
          <w:p w:rsidRPr="00AD4F6B" w:rsidR="001B3E2F" w:rsidRDefault="001B3E2F" w14:paraId="3FBBB7BD"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F849931" w14:textId="77777777">
            <w:pPr>
              <w:keepLines/>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CF5A3E0" w14:textId="77777777">
            <w:pPr>
              <w:keepLines/>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369C8F42" w14:textId="77777777">
            <w:pPr>
              <w:keepLines/>
              <w:rPr>
                <w:rFonts w:ascii="Arial Narrow" w:hAnsi="Arial Narrow"/>
                <w:sz w:val="20"/>
                <w:szCs w:val="20"/>
              </w:rPr>
            </w:pPr>
          </w:p>
        </w:tc>
      </w:tr>
      <w:tr w:rsidRPr="00AD4F6B" w:rsidR="00AD4F6B" w:rsidTr="00A865A0" w14:paraId="705BED88" w14:textId="77777777">
        <w:trPr>
          <w:cantSplit/>
          <w:trHeight w:val="20"/>
        </w:trPr>
        <w:tc>
          <w:tcPr>
            <w:tcW w:w="2190" w:type="pct"/>
            <w:vAlign w:val="center"/>
          </w:tcPr>
          <w:p w:rsidRPr="00AD4F6B" w:rsidR="001B3E2F" w:rsidRDefault="001B3E2F" w14:paraId="7904DEB7"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[2 x 5.5 mL vials] (&amp;) onasemnogene abeparvovec 20 trillion vector genomes/mL injection [8.3 mL vial], 1 pack</w:t>
            </w:r>
          </w:p>
        </w:tc>
        <w:tc>
          <w:tcPr>
            <w:tcW w:w="503" w:type="pct"/>
            <w:vAlign w:val="center"/>
          </w:tcPr>
          <w:p w:rsidRPr="00AD4F6B" w:rsidR="001B3E2F" w:rsidRDefault="001B3E2F" w14:paraId="4AE11B60" w14:textId="77777777">
            <w:pPr>
              <w:keepNext/>
              <w:jc w:val="center"/>
              <w:rPr>
                <w:rFonts w:ascii="Arial Narrow" w:hAnsi="Arial Narrow"/>
                <w:sz w:val="20"/>
                <w:szCs w:val="20"/>
              </w:rPr>
            </w:pPr>
            <w:r w:rsidRPr="00AD4F6B">
              <w:rPr>
                <w:rFonts w:ascii="Arial Narrow" w:hAnsi="Arial Narrow"/>
                <w:sz w:val="20"/>
                <w:szCs w:val="20"/>
              </w:rPr>
              <w:t>13663D</w:t>
            </w:r>
          </w:p>
        </w:tc>
        <w:tc>
          <w:tcPr>
            <w:tcW w:w="400" w:type="pct"/>
            <w:vAlign w:val="center"/>
          </w:tcPr>
          <w:p w:rsidRPr="00AD4F6B" w:rsidR="001B3E2F" w:rsidRDefault="001B3E2F" w14:paraId="38E40652"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ED34677"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A43126E"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6A26DF93" w14:textId="77777777">
            <w:pPr>
              <w:keepNext/>
              <w:jc w:val="center"/>
              <w:rPr>
                <w:rFonts w:ascii="Arial Narrow" w:hAnsi="Arial Narrow"/>
                <w:sz w:val="20"/>
                <w:szCs w:val="20"/>
              </w:rPr>
            </w:pPr>
          </w:p>
        </w:tc>
      </w:tr>
      <w:tr w:rsidRPr="00AD4F6B" w:rsidR="00AD4F6B" w:rsidTr="00A865A0" w14:paraId="5493BAA9" w14:textId="77777777">
        <w:trPr>
          <w:cantSplit/>
          <w:trHeight w:val="20"/>
        </w:trPr>
        <w:tc>
          <w:tcPr>
            <w:tcW w:w="2190" w:type="pct"/>
            <w:vAlign w:val="center"/>
          </w:tcPr>
          <w:p w:rsidRPr="00AD4F6B" w:rsidR="001B3E2F" w:rsidRDefault="001B3E2F" w14:paraId="11B46029"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[2 x 8.3 mL vials], 1 pack</w:t>
            </w:r>
          </w:p>
        </w:tc>
        <w:tc>
          <w:tcPr>
            <w:tcW w:w="503" w:type="pct"/>
            <w:vAlign w:val="center"/>
          </w:tcPr>
          <w:p w:rsidRPr="00AD4F6B" w:rsidR="001B3E2F" w:rsidRDefault="001B3E2F" w14:paraId="4FD9D225" w14:textId="77777777">
            <w:pPr>
              <w:keepNext/>
              <w:jc w:val="center"/>
              <w:rPr>
                <w:rFonts w:ascii="Arial Narrow" w:hAnsi="Arial Narrow"/>
                <w:sz w:val="20"/>
                <w:szCs w:val="20"/>
              </w:rPr>
            </w:pPr>
            <w:r w:rsidRPr="00AD4F6B">
              <w:rPr>
                <w:rFonts w:ascii="Arial Narrow" w:hAnsi="Arial Narrow"/>
                <w:sz w:val="20"/>
                <w:szCs w:val="20"/>
              </w:rPr>
              <w:t>13671M</w:t>
            </w:r>
          </w:p>
        </w:tc>
        <w:tc>
          <w:tcPr>
            <w:tcW w:w="400" w:type="pct"/>
            <w:vAlign w:val="center"/>
          </w:tcPr>
          <w:p w:rsidRPr="00AD4F6B" w:rsidR="001B3E2F" w:rsidRDefault="001B3E2F" w14:paraId="725FB9B1"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D63BCDA"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650D348"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75C6540F" w14:textId="77777777">
            <w:pPr>
              <w:keepNext/>
              <w:jc w:val="center"/>
              <w:rPr>
                <w:rFonts w:ascii="Arial Narrow" w:hAnsi="Arial Narrow"/>
                <w:sz w:val="20"/>
                <w:szCs w:val="20"/>
              </w:rPr>
            </w:pPr>
          </w:p>
        </w:tc>
      </w:tr>
      <w:tr w:rsidRPr="00AD4F6B" w:rsidR="00AD4F6B" w:rsidTr="00A865A0" w14:paraId="41AE545C" w14:textId="77777777">
        <w:trPr>
          <w:cantSplit/>
          <w:trHeight w:val="20"/>
        </w:trPr>
        <w:tc>
          <w:tcPr>
            <w:tcW w:w="2190" w:type="pct"/>
            <w:vAlign w:val="center"/>
          </w:tcPr>
          <w:p w:rsidRPr="00AD4F6B" w:rsidR="001B3E2F" w:rsidRDefault="001B3E2F" w14:paraId="426CBEEF"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[3 x 8.3 mL vials], 1 pack</w:t>
            </w:r>
          </w:p>
        </w:tc>
        <w:tc>
          <w:tcPr>
            <w:tcW w:w="503" w:type="pct"/>
            <w:vAlign w:val="center"/>
          </w:tcPr>
          <w:p w:rsidRPr="00AD4F6B" w:rsidR="001B3E2F" w:rsidRDefault="001B3E2F" w14:paraId="60E5B2FC" w14:textId="77777777">
            <w:pPr>
              <w:keepNext/>
              <w:jc w:val="center"/>
              <w:rPr>
                <w:rFonts w:ascii="Arial Narrow" w:hAnsi="Arial Narrow"/>
                <w:sz w:val="20"/>
                <w:szCs w:val="20"/>
              </w:rPr>
            </w:pPr>
            <w:r w:rsidRPr="00AD4F6B">
              <w:rPr>
                <w:rFonts w:ascii="Arial Narrow" w:hAnsi="Arial Narrow"/>
                <w:sz w:val="20"/>
                <w:szCs w:val="20"/>
              </w:rPr>
              <w:t>13670L</w:t>
            </w:r>
          </w:p>
        </w:tc>
        <w:tc>
          <w:tcPr>
            <w:tcW w:w="400" w:type="pct"/>
            <w:vAlign w:val="center"/>
          </w:tcPr>
          <w:p w:rsidRPr="00AD4F6B" w:rsidR="001B3E2F" w:rsidRDefault="001B3E2F" w14:paraId="6710576B"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8F696F5"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70A3535"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4DA80400" w14:textId="77777777">
            <w:pPr>
              <w:keepNext/>
              <w:jc w:val="center"/>
              <w:rPr>
                <w:rFonts w:ascii="Arial Narrow" w:hAnsi="Arial Narrow"/>
                <w:sz w:val="20"/>
                <w:szCs w:val="20"/>
              </w:rPr>
            </w:pPr>
          </w:p>
        </w:tc>
      </w:tr>
      <w:tr w:rsidRPr="00AD4F6B" w:rsidR="00AD4F6B" w:rsidTr="00A865A0" w14:paraId="64188D39" w14:textId="77777777">
        <w:trPr>
          <w:cantSplit/>
          <w:trHeight w:val="20"/>
        </w:trPr>
        <w:tc>
          <w:tcPr>
            <w:tcW w:w="2190" w:type="pct"/>
            <w:vAlign w:val="center"/>
          </w:tcPr>
          <w:p w:rsidRPr="00AD4F6B" w:rsidR="001B3E2F" w:rsidRDefault="001B3E2F" w14:paraId="57E71786"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[4 x 8.3 mL vials], 1 pack</w:t>
            </w:r>
          </w:p>
        </w:tc>
        <w:tc>
          <w:tcPr>
            <w:tcW w:w="503" w:type="pct"/>
            <w:vAlign w:val="center"/>
          </w:tcPr>
          <w:p w:rsidRPr="00AD4F6B" w:rsidR="001B3E2F" w:rsidRDefault="001B3E2F" w14:paraId="577E622B" w14:textId="77777777">
            <w:pPr>
              <w:keepNext/>
              <w:jc w:val="center"/>
              <w:rPr>
                <w:rFonts w:ascii="Arial Narrow" w:hAnsi="Arial Narrow"/>
                <w:sz w:val="20"/>
                <w:szCs w:val="20"/>
              </w:rPr>
            </w:pPr>
            <w:r w:rsidRPr="00AD4F6B">
              <w:rPr>
                <w:rFonts w:ascii="Arial Narrow" w:hAnsi="Arial Narrow"/>
                <w:sz w:val="20"/>
                <w:szCs w:val="20"/>
              </w:rPr>
              <w:t>13672N</w:t>
            </w:r>
          </w:p>
        </w:tc>
        <w:tc>
          <w:tcPr>
            <w:tcW w:w="400" w:type="pct"/>
            <w:vAlign w:val="center"/>
          </w:tcPr>
          <w:p w:rsidRPr="00AD4F6B" w:rsidR="001B3E2F" w:rsidRDefault="001B3E2F" w14:paraId="2688FA71"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6FFC8D53"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46C6A5E8"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4DD79FC1" w14:textId="77777777">
            <w:pPr>
              <w:keepNext/>
              <w:jc w:val="center"/>
              <w:rPr>
                <w:rFonts w:ascii="Arial Narrow" w:hAnsi="Arial Narrow"/>
                <w:sz w:val="20"/>
                <w:szCs w:val="20"/>
              </w:rPr>
            </w:pPr>
          </w:p>
        </w:tc>
      </w:tr>
      <w:tr w:rsidRPr="00AD4F6B" w:rsidR="00AD4F6B" w:rsidTr="00A865A0" w14:paraId="6A26AE55" w14:textId="77777777">
        <w:trPr>
          <w:cantSplit/>
          <w:trHeight w:val="20"/>
        </w:trPr>
        <w:tc>
          <w:tcPr>
            <w:tcW w:w="2190" w:type="pct"/>
            <w:vAlign w:val="center"/>
          </w:tcPr>
          <w:p w:rsidRPr="00AD4F6B" w:rsidR="001B3E2F" w:rsidRDefault="001B3E2F" w14:paraId="1CEEA2F1"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[5 x 8.3 mL vials], 1 pack</w:t>
            </w:r>
          </w:p>
        </w:tc>
        <w:tc>
          <w:tcPr>
            <w:tcW w:w="503" w:type="pct"/>
            <w:vAlign w:val="center"/>
          </w:tcPr>
          <w:p w:rsidRPr="00AD4F6B" w:rsidR="001B3E2F" w:rsidRDefault="001B3E2F" w14:paraId="09EDCC39" w14:textId="77777777">
            <w:pPr>
              <w:keepNext/>
              <w:jc w:val="center"/>
              <w:rPr>
                <w:rFonts w:ascii="Arial Narrow" w:hAnsi="Arial Narrow"/>
                <w:sz w:val="20"/>
                <w:szCs w:val="20"/>
              </w:rPr>
            </w:pPr>
            <w:r w:rsidRPr="00AD4F6B">
              <w:rPr>
                <w:rFonts w:ascii="Arial Narrow" w:hAnsi="Arial Narrow"/>
                <w:sz w:val="20"/>
                <w:szCs w:val="20"/>
              </w:rPr>
              <w:t>13680B</w:t>
            </w:r>
          </w:p>
        </w:tc>
        <w:tc>
          <w:tcPr>
            <w:tcW w:w="400" w:type="pct"/>
            <w:vAlign w:val="center"/>
          </w:tcPr>
          <w:p w:rsidRPr="00AD4F6B" w:rsidR="001B3E2F" w:rsidRDefault="001B3E2F" w14:paraId="02C063ED"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9C63DEF"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542D491"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5FE187E1" w14:textId="77777777">
            <w:pPr>
              <w:keepNext/>
              <w:jc w:val="center"/>
              <w:rPr>
                <w:rFonts w:ascii="Arial Narrow" w:hAnsi="Arial Narrow"/>
                <w:sz w:val="20"/>
                <w:szCs w:val="20"/>
              </w:rPr>
            </w:pPr>
          </w:p>
        </w:tc>
      </w:tr>
      <w:tr w:rsidRPr="00AD4F6B" w:rsidR="00AD4F6B" w:rsidTr="00A865A0" w14:paraId="783C1886" w14:textId="77777777">
        <w:trPr>
          <w:cantSplit/>
          <w:trHeight w:val="20"/>
        </w:trPr>
        <w:tc>
          <w:tcPr>
            <w:tcW w:w="2190" w:type="pct"/>
            <w:vAlign w:val="center"/>
          </w:tcPr>
          <w:p w:rsidRPr="00AD4F6B" w:rsidR="001B3E2F" w:rsidRDefault="001B3E2F" w14:paraId="68FAECC9"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[6 x 8.3 mL vials], 1 pack</w:t>
            </w:r>
          </w:p>
        </w:tc>
        <w:tc>
          <w:tcPr>
            <w:tcW w:w="503" w:type="pct"/>
            <w:vAlign w:val="center"/>
          </w:tcPr>
          <w:p w:rsidRPr="00AD4F6B" w:rsidR="001B3E2F" w:rsidRDefault="001B3E2F" w14:paraId="7D5AC929" w14:textId="77777777">
            <w:pPr>
              <w:keepNext/>
              <w:jc w:val="center"/>
              <w:rPr>
                <w:rFonts w:ascii="Arial Narrow" w:hAnsi="Arial Narrow"/>
                <w:sz w:val="20"/>
                <w:szCs w:val="20"/>
              </w:rPr>
            </w:pPr>
            <w:r w:rsidRPr="00AD4F6B">
              <w:rPr>
                <w:rFonts w:ascii="Arial Narrow" w:hAnsi="Arial Narrow"/>
                <w:sz w:val="20"/>
                <w:szCs w:val="20"/>
              </w:rPr>
              <w:t>13677W</w:t>
            </w:r>
          </w:p>
        </w:tc>
        <w:tc>
          <w:tcPr>
            <w:tcW w:w="400" w:type="pct"/>
            <w:vAlign w:val="center"/>
          </w:tcPr>
          <w:p w:rsidRPr="00AD4F6B" w:rsidR="001B3E2F" w:rsidRDefault="001B3E2F" w14:paraId="1EE42A8C"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241120E"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55E6AB9"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1230E133" w14:textId="77777777">
            <w:pPr>
              <w:keepNext/>
              <w:jc w:val="center"/>
              <w:rPr>
                <w:rFonts w:ascii="Arial Narrow" w:hAnsi="Arial Narrow"/>
                <w:sz w:val="20"/>
                <w:szCs w:val="20"/>
              </w:rPr>
            </w:pPr>
          </w:p>
        </w:tc>
      </w:tr>
      <w:tr w:rsidRPr="00AD4F6B" w:rsidR="00AD4F6B" w:rsidTr="00A865A0" w14:paraId="7B2037C7" w14:textId="77777777">
        <w:trPr>
          <w:cantSplit/>
          <w:trHeight w:val="20"/>
        </w:trPr>
        <w:tc>
          <w:tcPr>
            <w:tcW w:w="2190" w:type="pct"/>
            <w:vAlign w:val="center"/>
          </w:tcPr>
          <w:p w:rsidRPr="00AD4F6B" w:rsidR="001B3E2F" w:rsidRDefault="001B3E2F" w14:paraId="3485B2F5"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[7 x 8.3 mL vials], 1 pack</w:t>
            </w:r>
          </w:p>
        </w:tc>
        <w:tc>
          <w:tcPr>
            <w:tcW w:w="503" w:type="pct"/>
            <w:vAlign w:val="center"/>
          </w:tcPr>
          <w:p w:rsidRPr="00AD4F6B" w:rsidR="001B3E2F" w:rsidRDefault="001B3E2F" w14:paraId="082F3899" w14:textId="77777777">
            <w:pPr>
              <w:keepNext/>
              <w:jc w:val="center"/>
              <w:rPr>
                <w:rFonts w:ascii="Arial Narrow" w:hAnsi="Arial Narrow"/>
                <w:sz w:val="20"/>
                <w:szCs w:val="20"/>
              </w:rPr>
            </w:pPr>
            <w:r w:rsidRPr="00AD4F6B">
              <w:rPr>
                <w:rFonts w:ascii="Arial Narrow" w:hAnsi="Arial Narrow"/>
                <w:sz w:val="20"/>
                <w:szCs w:val="20"/>
              </w:rPr>
              <w:t>13662C </w:t>
            </w:r>
          </w:p>
        </w:tc>
        <w:tc>
          <w:tcPr>
            <w:tcW w:w="400" w:type="pct"/>
            <w:vAlign w:val="center"/>
          </w:tcPr>
          <w:p w:rsidRPr="00AD4F6B" w:rsidR="001B3E2F" w:rsidRDefault="001B3E2F" w14:paraId="169B0606"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442CFBF"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228BBBD"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0FB703FA" w14:textId="77777777">
            <w:pPr>
              <w:keepNext/>
              <w:jc w:val="center"/>
              <w:rPr>
                <w:rFonts w:ascii="Arial Narrow" w:hAnsi="Arial Narrow"/>
                <w:sz w:val="20"/>
                <w:szCs w:val="20"/>
              </w:rPr>
            </w:pPr>
          </w:p>
        </w:tc>
      </w:tr>
      <w:tr w:rsidRPr="00AD4F6B" w:rsidR="00AD4F6B" w:rsidTr="00A865A0" w14:paraId="455B7650" w14:textId="77777777">
        <w:trPr>
          <w:cantSplit/>
          <w:trHeight w:val="20"/>
        </w:trPr>
        <w:tc>
          <w:tcPr>
            <w:tcW w:w="2190" w:type="pct"/>
            <w:vAlign w:val="center"/>
          </w:tcPr>
          <w:p w:rsidRPr="00AD4F6B" w:rsidR="001B3E2F" w:rsidRDefault="001B3E2F" w14:paraId="1E08C2B5"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[5.5 mL vial] (&amp;) onasemnogene abeparvovec 20 trillion vector genomes/mL injection [8 x 8.3 mL vials], 1 pack</w:t>
            </w:r>
          </w:p>
        </w:tc>
        <w:tc>
          <w:tcPr>
            <w:tcW w:w="503" w:type="pct"/>
            <w:vAlign w:val="center"/>
          </w:tcPr>
          <w:p w:rsidRPr="00AD4F6B" w:rsidR="001B3E2F" w:rsidRDefault="001B3E2F" w14:paraId="51226581" w14:textId="77777777">
            <w:pPr>
              <w:keepNext/>
              <w:jc w:val="center"/>
              <w:rPr>
                <w:rFonts w:ascii="Arial Narrow" w:hAnsi="Arial Narrow"/>
                <w:sz w:val="20"/>
                <w:szCs w:val="20"/>
              </w:rPr>
            </w:pPr>
            <w:r w:rsidRPr="00AD4F6B">
              <w:rPr>
                <w:rFonts w:ascii="Arial Narrow" w:hAnsi="Arial Narrow"/>
                <w:sz w:val="20"/>
                <w:szCs w:val="20"/>
              </w:rPr>
              <w:t>13666G</w:t>
            </w:r>
          </w:p>
        </w:tc>
        <w:tc>
          <w:tcPr>
            <w:tcW w:w="400" w:type="pct"/>
            <w:vAlign w:val="center"/>
          </w:tcPr>
          <w:p w:rsidRPr="00AD4F6B" w:rsidR="001B3E2F" w:rsidRDefault="001B3E2F" w14:paraId="2F9CF835"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3EAC3C6"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0655773"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5AD8AC6B" w14:textId="77777777">
            <w:pPr>
              <w:keepNext/>
              <w:jc w:val="center"/>
              <w:rPr>
                <w:rFonts w:ascii="Arial Narrow" w:hAnsi="Arial Narrow"/>
                <w:sz w:val="20"/>
                <w:szCs w:val="20"/>
              </w:rPr>
            </w:pPr>
          </w:p>
        </w:tc>
      </w:tr>
      <w:tr w:rsidRPr="00AD4F6B" w:rsidR="00AD4F6B" w:rsidTr="00A865A0" w14:paraId="19F5C2FD" w14:textId="77777777">
        <w:trPr>
          <w:cantSplit/>
          <w:trHeight w:val="20"/>
        </w:trPr>
        <w:tc>
          <w:tcPr>
            <w:tcW w:w="2190" w:type="pct"/>
            <w:vAlign w:val="center"/>
          </w:tcPr>
          <w:p w:rsidRPr="00AD4F6B" w:rsidR="001B3E2F" w:rsidRDefault="001B3E2F" w14:paraId="60D6B50D"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2 x 8.3 mL vials</w:t>
            </w:r>
          </w:p>
        </w:tc>
        <w:tc>
          <w:tcPr>
            <w:tcW w:w="503" w:type="pct"/>
            <w:vAlign w:val="center"/>
          </w:tcPr>
          <w:p w:rsidRPr="00AD4F6B" w:rsidR="001B3E2F" w:rsidRDefault="001B3E2F" w14:paraId="27EC9355" w14:textId="77777777">
            <w:pPr>
              <w:keepNext/>
              <w:jc w:val="center"/>
              <w:rPr>
                <w:rFonts w:ascii="Arial Narrow" w:hAnsi="Arial Narrow"/>
                <w:sz w:val="20"/>
                <w:szCs w:val="20"/>
              </w:rPr>
            </w:pPr>
            <w:r w:rsidRPr="00AD4F6B">
              <w:rPr>
                <w:rFonts w:ascii="Arial Narrow" w:hAnsi="Arial Narrow"/>
                <w:sz w:val="20"/>
                <w:szCs w:val="20"/>
              </w:rPr>
              <w:t>13674Q</w:t>
            </w:r>
          </w:p>
        </w:tc>
        <w:tc>
          <w:tcPr>
            <w:tcW w:w="400" w:type="pct"/>
            <w:vAlign w:val="center"/>
          </w:tcPr>
          <w:p w:rsidRPr="00AD4F6B" w:rsidR="001B3E2F" w:rsidRDefault="001B3E2F" w14:paraId="39DCF507"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6CB0DC84"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8089F06"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5DC998BF" w14:textId="77777777">
            <w:pPr>
              <w:keepNext/>
              <w:jc w:val="center"/>
              <w:rPr>
                <w:rFonts w:ascii="Arial Narrow" w:hAnsi="Arial Narrow"/>
                <w:sz w:val="20"/>
                <w:szCs w:val="20"/>
              </w:rPr>
            </w:pPr>
          </w:p>
        </w:tc>
      </w:tr>
      <w:tr w:rsidRPr="00AD4F6B" w:rsidR="00AD4F6B" w:rsidTr="00A865A0" w14:paraId="314BB3F1" w14:textId="77777777">
        <w:trPr>
          <w:cantSplit/>
          <w:trHeight w:val="20"/>
        </w:trPr>
        <w:tc>
          <w:tcPr>
            <w:tcW w:w="2190" w:type="pct"/>
            <w:vAlign w:val="center"/>
          </w:tcPr>
          <w:p w:rsidRPr="00AD4F6B" w:rsidR="001B3E2F" w:rsidRDefault="001B3E2F" w14:paraId="04461119"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3 x 8.3 mL vials</w:t>
            </w:r>
          </w:p>
        </w:tc>
        <w:tc>
          <w:tcPr>
            <w:tcW w:w="503" w:type="pct"/>
            <w:vAlign w:val="center"/>
          </w:tcPr>
          <w:p w:rsidRPr="00AD4F6B" w:rsidR="001B3E2F" w:rsidRDefault="001B3E2F" w14:paraId="0F0A8D81" w14:textId="77777777">
            <w:pPr>
              <w:keepNext/>
              <w:jc w:val="center"/>
              <w:rPr>
                <w:rFonts w:ascii="Arial Narrow" w:hAnsi="Arial Narrow"/>
                <w:sz w:val="20"/>
                <w:szCs w:val="20"/>
              </w:rPr>
            </w:pPr>
            <w:r w:rsidRPr="00AD4F6B">
              <w:rPr>
                <w:rFonts w:ascii="Arial Narrow" w:hAnsi="Arial Narrow"/>
                <w:sz w:val="20"/>
                <w:szCs w:val="20"/>
              </w:rPr>
              <w:t>13678X </w:t>
            </w:r>
          </w:p>
        </w:tc>
        <w:tc>
          <w:tcPr>
            <w:tcW w:w="400" w:type="pct"/>
            <w:vAlign w:val="center"/>
          </w:tcPr>
          <w:p w:rsidRPr="00AD4F6B" w:rsidR="001B3E2F" w:rsidRDefault="001B3E2F" w14:paraId="22E341CA"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35FB781"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A0F9088"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12285B85" w14:textId="77777777">
            <w:pPr>
              <w:keepNext/>
              <w:jc w:val="center"/>
              <w:rPr>
                <w:rFonts w:ascii="Arial Narrow" w:hAnsi="Arial Narrow"/>
                <w:sz w:val="20"/>
                <w:szCs w:val="20"/>
              </w:rPr>
            </w:pPr>
          </w:p>
        </w:tc>
      </w:tr>
      <w:tr w:rsidRPr="00AD4F6B" w:rsidR="00AD4F6B" w:rsidTr="00A865A0" w14:paraId="79C6B1D3" w14:textId="77777777">
        <w:trPr>
          <w:cantSplit/>
          <w:trHeight w:val="20"/>
        </w:trPr>
        <w:tc>
          <w:tcPr>
            <w:tcW w:w="2190" w:type="pct"/>
            <w:vAlign w:val="center"/>
          </w:tcPr>
          <w:p w:rsidRPr="00AD4F6B" w:rsidR="001B3E2F" w:rsidRDefault="001B3E2F" w14:paraId="4042E7FD"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4 x 8.3 mL vials</w:t>
            </w:r>
          </w:p>
        </w:tc>
        <w:tc>
          <w:tcPr>
            <w:tcW w:w="503" w:type="pct"/>
            <w:vAlign w:val="center"/>
          </w:tcPr>
          <w:p w:rsidRPr="00AD4F6B" w:rsidR="001B3E2F" w:rsidRDefault="001B3E2F" w14:paraId="61CA9AAB" w14:textId="77777777">
            <w:pPr>
              <w:keepNext/>
              <w:jc w:val="center"/>
              <w:rPr>
                <w:rFonts w:ascii="Arial Narrow" w:hAnsi="Arial Narrow"/>
                <w:sz w:val="20"/>
                <w:szCs w:val="20"/>
              </w:rPr>
            </w:pPr>
            <w:r w:rsidRPr="00AD4F6B">
              <w:rPr>
                <w:rFonts w:ascii="Arial Narrow" w:hAnsi="Arial Narrow"/>
                <w:sz w:val="20"/>
                <w:szCs w:val="20"/>
              </w:rPr>
              <w:t>13665F</w:t>
            </w:r>
          </w:p>
        </w:tc>
        <w:tc>
          <w:tcPr>
            <w:tcW w:w="400" w:type="pct"/>
            <w:vAlign w:val="center"/>
          </w:tcPr>
          <w:p w:rsidRPr="00AD4F6B" w:rsidR="001B3E2F" w:rsidRDefault="001B3E2F" w14:paraId="349C7015"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084A6EC"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2C04AF03"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4ABAC28F" w14:textId="77777777">
            <w:pPr>
              <w:keepNext/>
              <w:jc w:val="center"/>
              <w:rPr>
                <w:rFonts w:ascii="Arial Narrow" w:hAnsi="Arial Narrow"/>
                <w:sz w:val="20"/>
                <w:szCs w:val="20"/>
              </w:rPr>
            </w:pPr>
          </w:p>
        </w:tc>
      </w:tr>
      <w:tr w:rsidRPr="00AD4F6B" w:rsidR="00AD4F6B" w:rsidTr="00A865A0" w14:paraId="2EB01506" w14:textId="77777777">
        <w:trPr>
          <w:cantSplit/>
          <w:trHeight w:val="20"/>
        </w:trPr>
        <w:tc>
          <w:tcPr>
            <w:tcW w:w="2190" w:type="pct"/>
            <w:vAlign w:val="center"/>
          </w:tcPr>
          <w:p w:rsidRPr="00AD4F6B" w:rsidR="001B3E2F" w:rsidRDefault="001B3E2F" w14:paraId="56A0EF9A"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5 x 8.3 mL vials</w:t>
            </w:r>
          </w:p>
        </w:tc>
        <w:tc>
          <w:tcPr>
            <w:tcW w:w="503" w:type="pct"/>
            <w:vAlign w:val="center"/>
          </w:tcPr>
          <w:p w:rsidRPr="00AD4F6B" w:rsidR="001B3E2F" w:rsidRDefault="001B3E2F" w14:paraId="7714BBD6" w14:textId="77777777">
            <w:pPr>
              <w:keepNext/>
              <w:jc w:val="center"/>
              <w:rPr>
                <w:rFonts w:ascii="Arial Narrow" w:hAnsi="Arial Narrow"/>
                <w:sz w:val="20"/>
                <w:szCs w:val="20"/>
              </w:rPr>
            </w:pPr>
            <w:r w:rsidRPr="00AD4F6B">
              <w:rPr>
                <w:rFonts w:ascii="Arial Narrow" w:hAnsi="Arial Narrow"/>
                <w:sz w:val="20"/>
                <w:szCs w:val="20"/>
              </w:rPr>
              <w:t>13667H</w:t>
            </w:r>
          </w:p>
        </w:tc>
        <w:tc>
          <w:tcPr>
            <w:tcW w:w="400" w:type="pct"/>
            <w:vAlign w:val="center"/>
          </w:tcPr>
          <w:p w:rsidRPr="00AD4F6B" w:rsidR="001B3E2F" w:rsidRDefault="001B3E2F" w14:paraId="7176F939"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C4402E7"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58305A38"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5201EB63" w14:textId="77777777">
            <w:pPr>
              <w:keepNext/>
              <w:jc w:val="center"/>
              <w:rPr>
                <w:rFonts w:ascii="Arial Narrow" w:hAnsi="Arial Narrow"/>
                <w:sz w:val="20"/>
                <w:szCs w:val="20"/>
              </w:rPr>
            </w:pPr>
          </w:p>
        </w:tc>
      </w:tr>
      <w:tr w:rsidRPr="00AD4F6B" w:rsidR="00AD4F6B" w:rsidTr="00A865A0" w14:paraId="3E0806EC" w14:textId="77777777">
        <w:trPr>
          <w:cantSplit/>
          <w:trHeight w:val="20"/>
        </w:trPr>
        <w:tc>
          <w:tcPr>
            <w:tcW w:w="2190" w:type="pct"/>
            <w:vAlign w:val="center"/>
          </w:tcPr>
          <w:p w:rsidRPr="00AD4F6B" w:rsidR="001B3E2F" w:rsidRDefault="001B3E2F" w14:paraId="34235BC6"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6 x 8.3 mL vials</w:t>
            </w:r>
          </w:p>
        </w:tc>
        <w:tc>
          <w:tcPr>
            <w:tcW w:w="503" w:type="pct"/>
            <w:vAlign w:val="center"/>
          </w:tcPr>
          <w:p w:rsidRPr="00AD4F6B" w:rsidR="001B3E2F" w:rsidRDefault="001B3E2F" w14:paraId="4B84978A" w14:textId="77777777">
            <w:pPr>
              <w:keepNext/>
              <w:jc w:val="center"/>
              <w:rPr>
                <w:rFonts w:ascii="Arial Narrow" w:hAnsi="Arial Narrow"/>
                <w:sz w:val="20"/>
                <w:szCs w:val="20"/>
              </w:rPr>
            </w:pPr>
            <w:r w:rsidRPr="00AD4F6B">
              <w:rPr>
                <w:rFonts w:ascii="Arial Narrow" w:hAnsi="Arial Narrow"/>
                <w:sz w:val="20"/>
                <w:szCs w:val="20"/>
              </w:rPr>
              <w:t>13664E</w:t>
            </w:r>
          </w:p>
        </w:tc>
        <w:tc>
          <w:tcPr>
            <w:tcW w:w="400" w:type="pct"/>
            <w:vAlign w:val="center"/>
          </w:tcPr>
          <w:p w:rsidRPr="00AD4F6B" w:rsidR="001B3E2F" w:rsidRDefault="001B3E2F" w14:paraId="38B67674"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4AEB1A81"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3864A2F3"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07CC2730" w14:textId="77777777">
            <w:pPr>
              <w:keepNext/>
              <w:jc w:val="center"/>
              <w:rPr>
                <w:rFonts w:ascii="Arial Narrow" w:hAnsi="Arial Narrow"/>
                <w:sz w:val="20"/>
                <w:szCs w:val="20"/>
              </w:rPr>
            </w:pPr>
          </w:p>
        </w:tc>
      </w:tr>
      <w:tr w:rsidRPr="00AD4F6B" w:rsidR="00AD4F6B" w:rsidTr="00A865A0" w14:paraId="2D29A2D5" w14:textId="77777777">
        <w:trPr>
          <w:cantSplit/>
          <w:trHeight w:val="20"/>
        </w:trPr>
        <w:tc>
          <w:tcPr>
            <w:tcW w:w="2190" w:type="pct"/>
            <w:vAlign w:val="center"/>
          </w:tcPr>
          <w:p w:rsidRPr="00AD4F6B" w:rsidR="001B3E2F" w:rsidRDefault="001B3E2F" w14:paraId="54FE6533"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7 x 8.3 mL vials</w:t>
            </w:r>
          </w:p>
        </w:tc>
        <w:tc>
          <w:tcPr>
            <w:tcW w:w="503" w:type="pct"/>
            <w:vAlign w:val="center"/>
          </w:tcPr>
          <w:p w:rsidRPr="00AD4F6B" w:rsidR="001B3E2F" w:rsidRDefault="001B3E2F" w14:paraId="3E7D2AB9" w14:textId="77777777">
            <w:pPr>
              <w:keepNext/>
              <w:jc w:val="center"/>
              <w:rPr>
                <w:rFonts w:ascii="Arial Narrow" w:hAnsi="Arial Narrow"/>
                <w:sz w:val="20"/>
                <w:szCs w:val="20"/>
              </w:rPr>
            </w:pPr>
            <w:r w:rsidRPr="00AD4F6B">
              <w:rPr>
                <w:rFonts w:ascii="Arial Narrow" w:hAnsi="Arial Narrow"/>
                <w:sz w:val="20"/>
                <w:szCs w:val="20"/>
              </w:rPr>
              <w:t>13675R</w:t>
            </w:r>
          </w:p>
        </w:tc>
        <w:tc>
          <w:tcPr>
            <w:tcW w:w="400" w:type="pct"/>
            <w:vAlign w:val="center"/>
          </w:tcPr>
          <w:p w:rsidRPr="00AD4F6B" w:rsidR="001B3E2F" w:rsidRDefault="001B3E2F" w14:paraId="62DCC2D6"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4A2B7E75"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019F2BDE"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5262A390" w14:textId="77777777">
            <w:pPr>
              <w:keepNext/>
              <w:jc w:val="center"/>
              <w:rPr>
                <w:rFonts w:ascii="Arial Narrow" w:hAnsi="Arial Narrow"/>
                <w:sz w:val="20"/>
                <w:szCs w:val="20"/>
              </w:rPr>
            </w:pPr>
          </w:p>
        </w:tc>
      </w:tr>
      <w:tr w:rsidRPr="00AD4F6B" w:rsidR="00AD4F6B" w:rsidTr="00A865A0" w14:paraId="3352A99F" w14:textId="77777777">
        <w:trPr>
          <w:cantSplit/>
          <w:trHeight w:val="20"/>
        </w:trPr>
        <w:tc>
          <w:tcPr>
            <w:tcW w:w="2190" w:type="pct"/>
            <w:vAlign w:val="center"/>
          </w:tcPr>
          <w:p w:rsidRPr="00AD4F6B" w:rsidR="001B3E2F" w:rsidRDefault="001B3E2F" w14:paraId="31588A50"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8 x 8.3 mL vials</w:t>
            </w:r>
          </w:p>
        </w:tc>
        <w:tc>
          <w:tcPr>
            <w:tcW w:w="503" w:type="pct"/>
            <w:vAlign w:val="center"/>
          </w:tcPr>
          <w:p w:rsidRPr="00AD4F6B" w:rsidR="001B3E2F" w:rsidRDefault="001B3E2F" w14:paraId="2CBEFD19" w14:textId="77777777">
            <w:pPr>
              <w:keepNext/>
              <w:jc w:val="center"/>
              <w:rPr>
                <w:rFonts w:ascii="Arial Narrow" w:hAnsi="Arial Narrow"/>
                <w:sz w:val="20"/>
                <w:szCs w:val="20"/>
              </w:rPr>
            </w:pPr>
            <w:r w:rsidRPr="00AD4F6B">
              <w:rPr>
                <w:rFonts w:ascii="Arial Narrow" w:hAnsi="Arial Narrow"/>
                <w:sz w:val="20"/>
                <w:szCs w:val="20"/>
              </w:rPr>
              <w:t>13673P</w:t>
            </w:r>
          </w:p>
        </w:tc>
        <w:tc>
          <w:tcPr>
            <w:tcW w:w="400" w:type="pct"/>
            <w:vAlign w:val="center"/>
          </w:tcPr>
          <w:p w:rsidRPr="00AD4F6B" w:rsidR="001B3E2F" w:rsidRDefault="001B3E2F" w14:paraId="36008059"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4C48AF1F"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B731B78"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29F190F4" w14:textId="77777777">
            <w:pPr>
              <w:keepNext/>
              <w:jc w:val="center"/>
              <w:rPr>
                <w:rFonts w:ascii="Arial Narrow" w:hAnsi="Arial Narrow"/>
                <w:sz w:val="20"/>
                <w:szCs w:val="20"/>
              </w:rPr>
            </w:pPr>
          </w:p>
        </w:tc>
      </w:tr>
      <w:tr w:rsidRPr="00AD4F6B" w:rsidR="00AD4F6B" w:rsidTr="00A865A0" w14:paraId="0EFE72CD" w14:textId="77777777">
        <w:trPr>
          <w:cantSplit/>
          <w:trHeight w:val="20"/>
        </w:trPr>
        <w:tc>
          <w:tcPr>
            <w:tcW w:w="2190" w:type="pct"/>
            <w:vAlign w:val="center"/>
          </w:tcPr>
          <w:p w:rsidRPr="00AD4F6B" w:rsidR="001B3E2F" w:rsidRDefault="001B3E2F" w14:paraId="05420F75" w14:textId="77777777">
            <w:pPr>
              <w:keepNext/>
              <w:tabs>
                <w:tab w:val="left" w:pos="1077"/>
              </w:tabs>
              <w:rPr>
                <w:rFonts w:ascii="Arial Narrow" w:hAnsi="Arial Narrow"/>
                <w:sz w:val="20"/>
                <w:szCs w:val="20"/>
              </w:rPr>
            </w:pPr>
            <w:r w:rsidRPr="00AD4F6B">
              <w:rPr>
                <w:rFonts w:ascii="Arial Narrow" w:hAnsi="Arial Narrow"/>
                <w:sz w:val="20"/>
                <w:szCs w:val="20"/>
              </w:rPr>
              <w:t>onasemnogene abeparvovec 20 trillion vector genomes/mL injection, 9 x 8.3 mL vials</w:t>
            </w:r>
          </w:p>
        </w:tc>
        <w:tc>
          <w:tcPr>
            <w:tcW w:w="503" w:type="pct"/>
            <w:vAlign w:val="center"/>
          </w:tcPr>
          <w:p w:rsidRPr="00AD4F6B" w:rsidR="001B3E2F" w:rsidRDefault="001B3E2F" w14:paraId="5257B50C" w14:textId="77777777">
            <w:pPr>
              <w:keepNext/>
              <w:jc w:val="center"/>
              <w:rPr>
                <w:rFonts w:ascii="Arial Narrow" w:hAnsi="Arial Narrow"/>
                <w:sz w:val="20"/>
                <w:szCs w:val="20"/>
              </w:rPr>
            </w:pPr>
            <w:r w:rsidRPr="00AD4F6B">
              <w:rPr>
                <w:rFonts w:ascii="Arial Narrow" w:hAnsi="Arial Narrow"/>
                <w:sz w:val="20"/>
                <w:szCs w:val="20"/>
              </w:rPr>
              <w:t>13676T</w:t>
            </w:r>
          </w:p>
        </w:tc>
        <w:tc>
          <w:tcPr>
            <w:tcW w:w="400" w:type="pct"/>
            <w:vAlign w:val="center"/>
          </w:tcPr>
          <w:p w:rsidRPr="00AD4F6B" w:rsidR="001B3E2F" w:rsidRDefault="001B3E2F" w14:paraId="09C97A62"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1168C018" w14:textId="77777777">
            <w:pPr>
              <w:keepNext/>
              <w:jc w:val="center"/>
              <w:rPr>
                <w:rFonts w:ascii="Arial Narrow" w:hAnsi="Arial Narrow"/>
                <w:sz w:val="20"/>
                <w:szCs w:val="20"/>
              </w:rPr>
            </w:pPr>
            <w:r w:rsidRPr="00AD4F6B">
              <w:rPr>
                <w:rFonts w:ascii="Arial Narrow" w:hAnsi="Arial Narrow"/>
                <w:sz w:val="20"/>
                <w:szCs w:val="20"/>
              </w:rPr>
              <w:t>1</w:t>
            </w:r>
          </w:p>
        </w:tc>
        <w:tc>
          <w:tcPr>
            <w:tcW w:w="451" w:type="pct"/>
            <w:vAlign w:val="center"/>
          </w:tcPr>
          <w:p w:rsidRPr="00AD4F6B" w:rsidR="001B3E2F" w:rsidRDefault="001B3E2F" w14:paraId="7A9E1EEC" w14:textId="77777777">
            <w:pPr>
              <w:keepNext/>
              <w:jc w:val="center"/>
              <w:rPr>
                <w:rFonts w:ascii="Arial Narrow" w:hAnsi="Arial Narrow"/>
                <w:sz w:val="20"/>
                <w:szCs w:val="20"/>
              </w:rPr>
            </w:pPr>
            <w:r w:rsidRPr="00AD4F6B">
              <w:rPr>
                <w:rFonts w:ascii="Arial Narrow" w:hAnsi="Arial Narrow"/>
                <w:sz w:val="20"/>
                <w:szCs w:val="20"/>
              </w:rPr>
              <w:t>0</w:t>
            </w:r>
          </w:p>
        </w:tc>
        <w:tc>
          <w:tcPr>
            <w:tcW w:w="1006" w:type="pct"/>
            <w:gridSpan w:val="2"/>
            <w:vMerge/>
            <w:vAlign w:val="center"/>
          </w:tcPr>
          <w:p w:rsidRPr="00AD4F6B" w:rsidR="001B3E2F" w:rsidRDefault="001B3E2F" w14:paraId="1F154B82" w14:textId="77777777">
            <w:pPr>
              <w:keepNext/>
              <w:jc w:val="center"/>
              <w:rPr>
                <w:rFonts w:ascii="Arial Narrow" w:hAnsi="Arial Narrow"/>
                <w:sz w:val="20"/>
                <w:szCs w:val="20"/>
              </w:rPr>
            </w:pPr>
          </w:p>
        </w:tc>
      </w:tr>
      <w:tr w:rsidRPr="00AD4F6B" w:rsidR="00AD4F6B" w:rsidTr="00EA35AC" w14:paraId="1A96B3C5"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right w:val="single" w:color="auto" w:sz="4" w:space="0"/>
            </w:tcBorders>
            <w:vAlign w:val="center"/>
          </w:tcPr>
          <w:p w:rsidRPr="00AD4F6B" w:rsidR="001B3E2F" w:rsidRDefault="001B3E2F" w14:paraId="5286DB44" w14:textId="77777777">
            <w:pPr>
              <w:rPr>
                <w:rFonts w:ascii="Arial Narrow" w:hAnsi="Arial Narrow"/>
                <w:sz w:val="20"/>
                <w:szCs w:val="20"/>
              </w:rPr>
            </w:pPr>
          </w:p>
        </w:tc>
      </w:tr>
      <w:tr w:rsidRPr="00AD4F6B" w:rsidR="003930DB" w:rsidTr="003930DB" w14:paraId="7BD50979"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16F97A49" w14:textId="77777777">
            <w:pPr>
              <w:keepLines/>
              <w:rPr>
                <w:rFonts w:ascii="Arial Narrow" w:hAnsi="Arial Narrow"/>
                <w:sz w:val="20"/>
                <w:szCs w:val="20"/>
              </w:rPr>
            </w:pPr>
            <w:r w:rsidRPr="00AD4F6B">
              <w:rPr>
                <w:rFonts w:ascii="Arial Narrow" w:hAnsi="Arial Narrow"/>
                <w:b/>
                <w:sz w:val="20"/>
                <w:szCs w:val="20"/>
              </w:rPr>
              <w:t>Category / Program:</w:t>
            </w:r>
            <w:r w:rsidRPr="00AD4F6B">
              <w:rPr>
                <w:rFonts w:ascii="Arial Narrow" w:hAnsi="Arial Narrow"/>
                <w:sz w:val="20"/>
                <w:szCs w:val="20"/>
              </w:rPr>
              <w:t xml:space="preserve"> </w:t>
            </w:r>
            <w:r w:rsidRPr="00AD4F6B">
              <w:rPr>
                <w:rFonts w:ascii="Arial Narrow" w:hAnsi="Arial Narrow"/>
                <w:sz w:val="20"/>
                <w:szCs w:val="20"/>
              </w:rPr>
              <w:fldChar w:fldCharType="begin">
                <w:ffData>
                  <w:name w:val=""/>
                  <w:enabled/>
                  <w:calcOnExit w:val="0"/>
                  <w:checkBox>
                    <w:sizeAuto/>
                    <w:default w:val="1"/>
                  </w:checkBox>
                </w:ffData>
              </w:fldChar>
            </w:r>
            <w:r w:rsidRPr="00AD4F6B">
              <w:rPr>
                <w:rFonts w:ascii="Arial Narrow" w:hAnsi="Arial Narrow"/>
                <w:sz w:val="20"/>
                <w:szCs w:val="20"/>
              </w:rPr>
              <w:instrText xml:space="preserve"> FORMCHECKBOX </w:instrText>
            </w:r>
            <w:r w:rsidRPr="00AD4F6B">
              <w:rPr>
                <w:rFonts w:ascii="Arial Narrow" w:hAnsi="Arial Narrow"/>
                <w:sz w:val="20"/>
                <w:szCs w:val="20"/>
              </w:rPr>
            </w:r>
            <w:r w:rsidRPr="00AD4F6B">
              <w:rPr>
                <w:rFonts w:ascii="Arial Narrow" w:hAnsi="Arial Narrow"/>
                <w:sz w:val="20"/>
                <w:szCs w:val="20"/>
              </w:rPr>
              <w:fldChar w:fldCharType="separate"/>
            </w:r>
            <w:r w:rsidRPr="00AD4F6B">
              <w:rPr>
                <w:rFonts w:ascii="Arial Narrow" w:hAnsi="Arial Narrow"/>
                <w:sz w:val="20"/>
                <w:szCs w:val="20"/>
              </w:rPr>
              <w:fldChar w:fldCharType="end"/>
            </w:r>
            <w:r w:rsidRPr="00AD4F6B">
              <w:rPr>
                <w:rFonts w:ascii="Arial Narrow" w:hAnsi="Arial Narrow"/>
                <w:sz w:val="20"/>
                <w:szCs w:val="20"/>
              </w:rPr>
              <w:t xml:space="preserve"> </w:t>
            </w:r>
            <w:r w:rsidRPr="00AD4F6B">
              <w:rPr>
                <w:rFonts w:ascii="Arial Narrow" w:hAnsi="Arial Narrow" w:eastAsia="Calibri"/>
                <w:sz w:val="20"/>
                <w:szCs w:val="20"/>
              </w:rPr>
              <w:t>Section 100 – Highly Specialised Drugs Program – Public (Code HB)</w:t>
            </w:r>
          </w:p>
        </w:tc>
      </w:tr>
      <w:tr w:rsidRPr="00AD4F6B" w:rsidR="003930DB" w:rsidTr="003930DB" w14:paraId="3039760B"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4D6B80CF" w14:textId="77777777">
            <w:pPr>
              <w:keepLines/>
              <w:rPr>
                <w:rFonts w:ascii="Arial Narrow" w:hAnsi="Arial Narrow"/>
                <w:b/>
                <w:sz w:val="20"/>
                <w:szCs w:val="20"/>
              </w:rPr>
            </w:pPr>
            <w:r w:rsidRPr="00AD4F6B">
              <w:rPr>
                <w:rFonts w:ascii="Arial Narrow" w:hAnsi="Arial Narrow"/>
                <w:b/>
                <w:sz w:val="20"/>
                <w:szCs w:val="20"/>
              </w:rPr>
              <w:t xml:space="preserve">Prescriber type: </w:t>
            </w:r>
            <w:r w:rsidRPr="00AD4F6B">
              <w:rPr>
                <w:rFonts w:ascii="Arial Narrow" w:hAnsi="Arial Narrow"/>
                <w:sz w:val="20"/>
                <w:szCs w:val="20"/>
              </w:rPr>
              <w:fldChar w:fldCharType="begin">
                <w:ffData>
                  <w:name w:val=""/>
                  <w:enabled/>
                  <w:calcOnExit w:val="0"/>
                  <w:checkBox>
                    <w:sizeAuto/>
                    <w:default w:val="1"/>
                  </w:checkBox>
                </w:ffData>
              </w:fldChar>
            </w:r>
            <w:r w:rsidRPr="00AD4F6B">
              <w:rPr>
                <w:rFonts w:ascii="Arial Narrow" w:hAnsi="Arial Narrow"/>
                <w:sz w:val="20"/>
                <w:szCs w:val="20"/>
              </w:rPr>
              <w:instrText xml:space="preserve"> FORMCHECKBOX </w:instrText>
            </w:r>
            <w:r w:rsidRPr="00AD4F6B">
              <w:rPr>
                <w:rFonts w:ascii="Arial Narrow" w:hAnsi="Arial Narrow"/>
                <w:sz w:val="20"/>
                <w:szCs w:val="20"/>
              </w:rPr>
            </w:r>
            <w:r w:rsidRPr="00AD4F6B">
              <w:rPr>
                <w:rFonts w:ascii="Arial Narrow" w:hAnsi="Arial Narrow"/>
                <w:sz w:val="20"/>
                <w:szCs w:val="20"/>
              </w:rPr>
              <w:fldChar w:fldCharType="separate"/>
            </w:r>
            <w:r w:rsidRPr="00AD4F6B">
              <w:rPr>
                <w:rFonts w:ascii="Arial Narrow" w:hAnsi="Arial Narrow"/>
                <w:sz w:val="20"/>
                <w:szCs w:val="20"/>
              </w:rPr>
              <w:fldChar w:fldCharType="end"/>
            </w:r>
            <w:r w:rsidRPr="00AD4F6B">
              <w:rPr>
                <w:rFonts w:ascii="Arial Narrow" w:hAnsi="Arial Narrow"/>
                <w:sz w:val="20"/>
                <w:szCs w:val="20"/>
              </w:rPr>
              <w:t xml:space="preserve"> Medical Practitioners </w:t>
            </w:r>
          </w:p>
        </w:tc>
      </w:tr>
      <w:tr w:rsidRPr="00AD4F6B" w:rsidR="003930DB" w:rsidTr="003930DB" w14:paraId="5B4E150B"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66F18A28" w14:textId="1D69E391">
            <w:pPr>
              <w:keepLines/>
              <w:rPr>
                <w:rFonts w:ascii="Arial Narrow" w:hAnsi="Arial Narrow" w:eastAsia="Calibri"/>
                <w:sz w:val="20"/>
                <w:szCs w:val="20"/>
              </w:rPr>
            </w:pPr>
            <w:r w:rsidRPr="00AD4F6B">
              <w:rPr>
                <w:rFonts w:ascii="Arial Narrow" w:hAnsi="Arial Narrow"/>
                <w:b/>
                <w:sz w:val="20"/>
                <w:szCs w:val="20"/>
              </w:rPr>
              <w:t xml:space="preserve">Benefit type: </w:t>
            </w:r>
            <w:r w:rsidRPr="00AD4F6B">
              <w:rPr>
                <w:rFonts w:ascii="Arial Narrow" w:hAnsi="Arial Narrow"/>
                <w:sz w:val="20"/>
                <w:szCs w:val="20"/>
              </w:rPr>
              <w:fldChar w:fldCharType="begin">
                <w:ffData>
                  <w:name w:val=""/>
                  <w:enabled/>
                  <w:calcOnExit w:val="0"/>
                  <w:checkBox>
                    <w:sizeAuto/>
                    <w:default w:val="1"/>
                  </w:checkBox>
                </w:ffData>
              </w:fldChar>
            </w:r>
            <w:r w:rsidRPr="00AD4F6B">
              <w:rPr>
                <w:rFonts w:ascii="Arial Narrow" w:hAnsi="Arial Narrow"/>
                <w:sz w:val="20"/>
                <w:szCs w:val="20"/>
              </w:rPr>
              <w:instrText xml:space="preserve"> FORMCHECKBOX </w:instrText>
            </w:r>
            <w:r w:rsidRPr="00AD4F6B">
              <w:rPr>
                <w:rFonts w:ascii="Arial Narrow" w:hAnsi="Arial Narrow"/>
                <w:sz w:val="20"/>
                <w:szCs w:val="20"/>
              </w:rPr>
            </w:r>
            <w:r w:rsidRPr="00AD4F6B">
              <w:rPr>
                <w:rFonts w:ascii="Arial Narrow" w:hAnsi="Arial Narrow"/>
                <w:sz w:val="20"/>
                <w:szCs w:val="20"/>
              </w:rPr>
              <w:fldChar w:fldCharType="separate"/>
            </w:r>
            <w:r w:rsidRPr="00AD4F6B">
              <w:rPr>
                <w:rFonts w:ascii="Arial Narrow" w:hAnsi="Arial Narrow"/>
                <w:sz w:val="20"/>
                <w:szCs w:val="20"/>
              </w:rPr>
              <w:fldChar w:fldCharType="end"/>
            </w:r>
            <w:r w:rsidRPr="00AD4F6B">
              <w:rPr>
                <w:rFonts w:ascii="Arial Narrow" w:hAnsi="Arial Narrow"/>
                <w:sz w:val="20"/>
                <w:szCs w:val="20"/>
              </w:rPr>
              <w:t xml:space="preserve"> </w:t>
            </w:r>
            <w:r w:rsidRPr="00AD4F6B">
              <w:rPr>
                <w:rFonts w:ascii="Arial Narrow" w:hAnsi="Arial Narrow" w:eastAsia="Calibri"/>
                <w:sz w:val="20"/>
                <w:szCs w:val="20"/>
              </w:rPr>
              <w:t xml:space="preserve">Authority Required (in writing only via OPA/post/HPOS upload)  </w:t>
            </w:r>
          </w:p>
        </w:tc>
      </w:tr>
      <w:tr w:rsidRPr="00AD4F6B" w:rsidR="003930DB" w:rsidTr="003930DB" w14:paraId="70B9DFA3"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19B2858B" w14:textId="77777777">
            <w:pPr>
              <w:keepLines/>
              <w:rPr>
                <w:rFonts w:ascii="Arial Narrow" w:hAnsi="Arial Narrow"/>
                <w:b/>
                <w:sz w:val="20"/>
                <w:szCs w:val="20"/>
              </w:rPr>
            </w:pPr>
            <w:r w:rsidRPr="00AD4F6B">
              <w:rPr>
                <w:rFonts w:ascii="Arial Narrow" w:hAnsi="Arial Narrow"/>
                <w:b/>
                <w:sz w:val="20"/>
                <w:szCs w:val="20"/>
              </w:rPr>
              <w:t xml:space="preserve">Authority type: </w:t>
            </w:r>
            <w:r w:rsidRPr="00AD4F6B">
              <w:rPr>
                <w:rFonts w:ascii="Arial Narrow" w:hAnsi="Arial Narrow"/>
                <w:sz w:val="20"/>
                <w:szCs w:val="20"/>
              </w:rPr>
              <w:fldChar w:fldCharType="begin">
                <w:ffData>
                  <w:name w:val=""/>
                  <w:enabled/>
                  <w:calcOnExit w:val="0"/>
                  <w:checkBox>
                    <w:sizeAuto/>
                    <w:default w:val="1"/>
                  </w:checkBox>
                </w:ffData>
              </w:fldChar>
            </w:r>
            <w:r w:rsidRPr="00AD4F6B">
              <w:rPr>
                <w:rFonts w:ascii="Arial Narrow" w:hAnsi="Arial Narrow"/>
                <w:sz w:val="20"/>
                <w:szCs w:val="20"/>
              </w:rPr>
              <w:instrText xml:space="preserve"> FORMCHECKBOX </w:instrText>
            </w:r>
            <w:r w:rsidRPr="00AD4F6B">
              <w:rPr>
                <w:rFonts w:ascii="Arial Narrow" w:hAnsi="Arial Narrow"/>
                <w:sz w:val="20"/>
                <w:szCs w:val="20"/>
              </w:rPr>
            </w:r>
            <w:r w:rsidRPr="00AD4F6B">
              <w:rPr>
                <w:rFonts w:ascii="Arial Narrow" w:hAnsi="Arial Narrow"/>
                <w:sz w:val="20"/>
                <w:szCs w:val="20"/>
              </w:rPr>
              <w:fldChar w:fldCharType="separate"/>
            </w:r>
            <w:r w:rsidRPr="00AD4F6B">
              <w:rPr>
                <w:rFonts w:ascii="Arial Narrow" w:hAnsi="Arial Narrow"/>
                <w:sz w:val="20"/>
                <w:szCs w:val="20"/>
              </w:rPr>
              <w:fldChar w:fldCharType="end"/>
            </w:r>
            <w:r w:rsidRPr="00AD4F6B">
              <w:rPr>
                <w:rFonts w:ascii="Arial Narrow" w:hAnsi="Arial Narrow"/>
                <w:sz w:val="20"/>
                <w:szCs w:val="20"/>
              </w:rPr>
              <w:t xml:space="preserve"> </w:t>
            </w:r>
            <w:r w:rsidRPr="00AD4F6B">
              <w:rPr>
                <w:rFonts w:ascii="Arial Narrow" w:hAnsi="Arial Narrow" w:eastAsia="Calibri"/>
                <w:sz w:val="20"/>
                <w:szCs w:val="20"/>
              </w:rPr>
              <w:t>Complex Authority Required (CAR)</w:t>
            </w:r>
          </w:p>
        </w:tc>
      </w:tr>
      <w:tr w:rsidRPr="00AD4F6B" w:rsidR="003930DB" w:rsidTr="003930DB" w14:paraId="6216C261" w14:textId="77777777">
        <w:tblPrEx>
          <w:tblCellMar>
            <w:top w:w="15" w:type="dxa"/>
            <w:bottom w:w="15" w:type="dxa"/>
          </w:tblCellMar>
          <w:tblLook w:val="04A0" w:firstRow="1" w:lastRow="0" w:firstColumn="1" w:lastColumn="0" w:noHBand="0" w:noVBand="1"/>
        </w:tblPrEx>
        <w:trPr>
          <w:trHeight w:val="172"/>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22318DB9" w14:textId="77777777">
            <w:pPr>
              <w:pStyle w:val="pf0"/>
              <w:spacing w:before="0" w:beforeAutospacing="0" w:after="0" w:afterAutospacing="0"/>
              <w:rPr>
                <w:rFonts w:ascii="Arial Narrow" w:hAnsi="Arial Narrow" w:cs="Arial"/>
                <w:b/>
                <w:sz w:val="20"/>
                <w:szCs w:val="20"/>
              </w:rPr>
            </w:pPr>
            <w:r w:rsidRPr="00AD4F6B">
              <w:rPr>
                <w:rFonts w:ascii="Arial Narrow" w:hAnsi="Arial Narrow" w:cs="Arial"/>
                <w:b/>
                <w:sz w:val="20"/>
                <w:szCs w:val="20"/>
              </w:rPr>
              <w:t xml:space="preserve">Prescribing rule level:  </w:t>
            </w:r>
          </w:p>
        </w:tc>
      </w:tr>
      <w:tr w:rsidRPr="00AD4F6B" w:rsidR="003930DB" w:rsidTr="003930DB" w14:paraId="317D31E5"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15D84267" w14:textId="77777777">
            <w:pPr>
              <w:rPr>
                <w:rFonts w:ascii="Arial Narrow" w:hAnsi="Arial Narrow"/>
                <w:b/>
                <w:bCs/>
                <w:sz w:val="20"/>
                <w:szCs w:val="20"/>
              </w:rPr>
            </w:pPr>
            <w:r w:rsidRPr="00AD4F6B">
              <w:rPr>
                <w:rFonts w:ascii="Arial Narrow" w:hAnsi="Arial Narrow"/>
                <w:b/>
                <w:bCs/>
                <w:sz w:val="20"/>
                <w:szCs w:val="20"/>
              </w:rPr>
              <w:t>Administrative Advice:</w:t>
            </w:r>
          </w:p>
          <w:p w:rsidRPr="00AD4F6B" w:rsidR="003930DB" w:rsidRDefault="003930DB" w14:paraId="24782DAE" w14:textId="77777777">
            <w:pPr>
              <w:rPr>
                <w:rFonts w:ascii="Arial Narrow" w:hAnsi="Arial Narrow"/>
                <w:sz w:val="20"/>
                <w:szCs w:val="20"/>
              </w:rPr>
            </w:pPr>
            <w:r w:rsidRPr="00AD4F6B">
              <w:rPr>
                <w:rFonts w:ascii="Arial Narrow" w:hAnsi="Arial Narrow"/>
                <w:sz w:val="20"/>
                <w:szCs w:val="20"/>
              </w:rPr>
              <w:t>No increase in the maximum quantity or number of units may be authorised.</w:t>
            </w:r>
          </w:p>
        </w:tc>
      </w:tr>
      <w:tr w:rsidRPr="00AD4F6B" w:rsidR="003930DB" w:rsidTr="003930DB" w14:paraId="77E76C0C"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529DE17E"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3930DB" w:rsidRDefault="003930DB" w14:paraId="0DE07B50" w14:textId="77777777">
            <w:pPr>
              <w:keepLines/>
              <w:rPr>
                <w:rFonts w:ascii="Arial Narrow" w:hAnsi="Arial Narrow"/>
                <w:bCs/>
                <w:sz w:val="20"/>
                <w:szCs w:val="20"/>
              </w:rPr>
            </w:pPr>
            <w:r w:rsidRPr="00AD4F6B">
              <w:rPr>
                <w:rFonts w:ascii="Arial Narrow" w:hAnsi="Arial Narrow"/>
                <w:bCs/>
                <w:sz w:val="20"/>
                <w:szCs w:val="20"/>
              </w:rPr>
              <w:t>No increase in the maximum number of repeats may be authorised.</w:t>
            </w:r>
          </w:p>
        </w:tc>
      </w:tr>
      <w:tr w:rsidRPr="00AD4F6B" w:rsidR="003930DB" w:rsidTr="003930DB" w14:paraId="031CBCE1"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35EC860B"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3930DB" w:rsidRDefault="003930DB" w14:paraId="4DDF1B07" w14:textId="77777777">
            <w:pPr>
              <w:keepLines/>
              <w:rPr>
                <w:rFonts w:ascii="Arial Narrow" w:hAnsi="Arial Narrow"/>
                <w:sz w:val="20"/>
                <w:szCs w:val="20"/>
              </w:rPr>
            </w:pPr>
            <w:r w:rsidRPr="00AD4F6B">
              <w:rPr>
                <w:rFonts w:ascii="Arial Narrow" w:hAnsi="Arial Narrow"/>
                <w:sz w:val="20"/>
                <w:szCs w:val="20"/>
              </w:rPr>
              <w:t>Special Pricing Arrangements apply.</w:t>
            </w:r>
          </w:p>
        </w:tc>
      </w:tr>
      <w:tr w:rsidRPr="00AD4F6B" w:rsidR="003930DB" w:rsidTr="003930DB" w14:paraId="5F45316E"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4AE7ADE3"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3930DB" w:rsidRDefault="003930DB" w14:paraId="3506C1CA" w14:textId="77777777">
            <w:pPr>
              <w:keepLines/>
              <w:rPr>
                <w:rFonts w:ascii="Arial Narrow" w:hAnsi="Arial Narrow"/>
                <w:bCs/>
                <w:sz w:val="20"/>
                <w:szCs w:val="20"/>
              </w:rPr>
            </w:pPr>
            <w:r w:rsidRPr="00AD4F6B">
              <w:rPr>
                <w:rFonts w:ascii="Arial Narrow" w:hAnsi="Arial Narrow"/>
                <w:bCs/>
                <w:sz w:val="20"/>
                <w:szCs w:val="20"/>
              </w:rPr>
              <w:t xml:space="preserve">Other disease modifying therapies for this condition are: (i) nusinersen, (ii) </w:t>
            </w:r>
            <w:proofErr w:type="spellStart"/>
            <w:r w:rsidRPr="00AD4F6B">
              <w:rPr>
                <w:rFonts w:ascii="Arial Narrow" w:hAnsi="Arial Narrow"/>
                <w:bCs/>
                <w:sz w:val="20"/>
                <w:szCs w:val="20"/>
              </w:rPr>
              <w:t>risdiplam</w:t>
            </w:r>
            <w:proofErr w:type="spellEnd"/>
            <w:r w:rsidRPr="00AD4F6B">
              <w:rPr>
                <w:rFonts w:ascii="Arial Narrow" w:hAnsi="Arial Narrow"/>
                <w:bCs/>
                <w:sz w:val="20"/>
                <w:szCs w:val="20"/>
              </w:rPr>
              <w:t>.</w:t>
            </w:r>
          </w:p>
        </w:tc>
      </w:tr>
      <w:tr w:rsidRPr="00AD4F6B" w:rsidR="003930DB" w:rsidTr="003930DB" w14:paraId="043F22F9"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44925A5F"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3930DB" w:rsidRDefault="003930DB" w14:paraId="3DA1D397" w14:textId="77777777">
            <w:pPr>
              <w:keepLines/>
              <w:rPr>
                <w:rFonts w:ascii="Arial Narrow" w:hAnsi="Arial Narrow"/>
                <w:bCs/>
                <w:sz w:val="20"/>
                <w:szCs w:val="20"/>
              </w:rPr>
            </w:pPr>
            <w:r w:rsidRPr="00AD4F6B">
              <w:rPr>
                <w:rFonts w:ascii="Arial Narrow" w:hAnsi="Arial Narrow"/>
                <w:bCs/>
                <w:sz w:val="20"/>
                <w:szCs w:val="20"/>
              </w:rPr>
              <w:t>Recognised hospitals in the management of SMA are Queensland Children's Hospital (Brisbane), Royal Children's Hospital Melbourne, Monash Children's Hospital (Melbourne), John Hunter Hospital (Newcastle), Sydney Children's Hospital Randwick, Children's Hospital at Westmead, Adelaide Women and Children's Hospital and Perth Children's Hospital.</w:t>
            </w:r>
          </w:p>
        </w:tc>
      </w:tr>
      <w:tr w:rsidRPr="00AD4F6B" w:rsidR="003930DB" w:rsidTr="003930DB" w14:paraId="6738B541"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RDefault="003930DB" w14:paraId="37C173C6"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3930DB" w:rsidRDefault="003930DB" w14:paraId="13834787" w14:textId="77777777">
            <w:pPr>
              <w:keepLines/>
              <w:rPr>
                <w:rFonts w:ascii="Arial Narrow" w:hAnsi="Arial Narrow"/>
                <w:bCs/>
                <w:sz w:val="20"/>
                <w:szCs w:val="20"/>
              </w:rPr>
            </w:pPr>
            <w:r w:rsidRPr="00AD4F6B">
              <w:rPr>
                <w:rFonts w:ascii="Arial Narrow" w:hAnsi="Arial Narrow"/>
                <w:bCs/>
                <w:sz w:val="20"/>
                <w:szCs w:val="20"/>
              </w:rPr>
              <w:t>Accredited treatment centres and suppliers are those organisations accredited by the Gene Technology Regulator under section 92 of the Gene Technology Act 2000.</w:t>
            </w:r>
          </w:p>
          <w:p w:rsidRPr="00AD4F6B" w:rsidR="003930DB" w:rsidRDefault="003930DB" w14:paraId="2E5BBC4B" w14:textId="77777777">
            <w:pPr>
              <w:keepLines/>
              <w:rPr>
                <w:rFonts w:ascii="Arial Narrow" w:hAnsi="Arial Narrow"/>
                <w:bCs/>
                <w:sz w:val="20"/>
                <w:szCs w:val="20"/>
              </w:rPr>
            </w:pPr>
            <w:r w:rsidRPr="00AD4F6B">
              <w:rPr>
                <w:rFonts w:ascii="Arial Narrow" w:hAnsi="Arial Narrow"/>
                <w:bCs/>
                <w:sz w:val="20"/>
                <w:szCs w:val="20"/>
              </w:rPr>
              <w:t>The following website provides a list of accredited organisations and may update without notice:</w:t>
            </w:r>
          </w:p>
          <w:p w:rsidRPr="00AD4F6B" w:rsidR="003930DB" w:rsidRDefault="003930DB" w14:paraId="10535035" w14:textId="77777777">
            <w:pPr>
              <w:keepLines/>
              <w:rPr>
                <w:rFonts w:ascii="Arial Narrow" w:hAnsi="Arial Narrow"/>
                <w:bCs/>
                <w:sz w:val="20"/>
                <w:szCs w:val="20"/>
              </w:rPr>
            </w:pPr>
            <w:r w:rsidRPr="00AD4F6B">
              <w:rPr>
                <w:rFonts w:ascii="Arial Narrow" w:hAnsi="Arial Narrow"/>
                <w:bCs/>
                <w:sz w:val="20"/>
                <w:szCs w:val="20"/>
              </w:rPr>
              <w:t>https://www.ogtr.gov.au/what-weve-approved/accredited-organisations</w:t>
            </w:r>
          </w:p>
        </w:tc>
      </w:tr>
      <w:tr w:rsidRPr="00AD4F6B" w:rsidR="003930DB" w:rsidTr="003930DB" w14:paraId="73E91FC5"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vAlign w:val="center"/>
          </w:tcPr>
          <w:p w:rsidRPr="00AD4F6B" w:rsidR="003930DB" w:rsidP="00781328" w:rsidRDefault="003930DB" w14:paraId="51691E66" w14:textId="77777777">
            <w:pPr>
              <w:keepLines/>
              <w:rPr>
                <w:rFonts w:ascii="Arial Narrow" w:hAnsi="Arial Narrow"/>
                <w:b/>
                <w:bCs/>
                <w:sz w:val="20"/>
                <w:szCs w:val="20"/>
              </w:rPr>
            </w:pPr>
            <w:r w:rsidRPr="00AD4F6B">
              <w:rPr>
                <w:rFonts w:ascii="Arial Narrow" w:hAnsi="Arial Narrow"/>
                <w:b/>
                <w:bCs/>
                <w:sz w:val="20"/>
                <w:szCs w:val="20"/>
              </w:rPr>
              <w:t>Administrative Advice:</w:t>
            </w:r>
          </w:p>
          <w:p w:rsidRPr="00AD4F6B" w:rsidR="003930DB" w:rsidRDefault="003930DB" w14:paraId="413A67EF" w14:textId="5AD313C6">
            <w:pPr>
              <w:keepLines/>
              <w:rPr>
                <w:rFonts w:ascii="Arial Narrow" w:hAnsi="Arial Narrow"/>
                <w:bCs/>
                <w:sz w:val="20"/>
                <w:szCs w:val="20"/>
              </w:rPr>
            </w:pPr>
            <w:r w:rsidRPr="00AD4F6B">
              <w:rPr>
                <w:rFonts w:ascii="Arial Narrow" w:hAnsi="Arial Narrow"/>
                <w:bCs/>
                <w:sz w:val="20"/>
                <w:szCs w:val="20"/>
              </w:rPr>
              <w:t>Any queries concerning the arrangements to prescribe may be directed to Services Australia on 1800 700 270 (hours of operation 8 a.m. to 5 p.m. Monday to Friday).</w:t>
            </w:r>
          </w:p>
          <w:p w:rsidRPr="00AD4F6B" w:rsidR="003930DB" w:rsidRDefault="003930DB" w14:paraId="78B20CAB" w14:textId="77777777">
            <w:pPr>
              <w:keepLines/>
              <w:rPr>
                <w:rFonts w:ascii="Arial Narrow" w:hAnsi="Arial Narrow"/>
                <w:bCs/>
                <w:sz w:val="20"/>
                <w:szCs w:val="20"/>
              </w:rPr>
            </w:pPr>
          </w:p>
          <w:p w:rsidRPr="00AD4F6B" w:rsidR="003930DB" w:rsidRDefault="003930DB" w14:paraId="619CFBF2" w14:textId="77777777">
            <w:pPr>
              <w:keepLines/>
              <w:rPr>
                <w:rFonts w:ascii="Arial Narrow" w:hAnsi="Arial Narrow"/>
                <w:bCs/>
                <w:sz w:val="20"/>
                <w:szCs w:val="20"/>
              </w:rPr>
            </w:pPr>
            <w:r w:rsidRPr="00AD4F6B">
              <w:rPr>
                <w:rFonts w:ascii="Arial Narrow" w:hAnsi="Arial Narrow"/>
                <w:bCs/>
                <w:sz w:val="20"/>
                <w:szCs w:val="20"/>
              </w:rPr>
              <w:t xml:space="preserve">Prescribing information (including Authority Application forms and other relevant documentation as applicable) is available on the Services Australia website at </w:t>
            </w:r>
            <w:hyperlink w:history="1" r:id="rId16">
              <w:r w:rsidRPr="00AD4F6B">
                <w:rPr>
                  <w:rStyle w:val="Hyperlink"/>
                  <w:rFonts w:ascii="Arial Narrow" w:hAnsi="Arial Narrow"/>
                  <w:bCs/>
                  <w:color w:val="auto"/>
                  <w:sz w:val="20"/>
                  <w:szCs w:val="20"/>
                </w:rPr>
                <w:t>www.servicesaustralia.gov.au</w:t>
              </w:r>
            </w:hyperlink>
          </w:p>
          <w:p w:rsidRPr="00AD4F6B" w:rsidR="003930DB" w:rsidRDefault="003930DB" w14:paraId="5E7A6E9E" w14:textId="77777777">
            <w:pPr>
              <w:keepLines/>
              <w:rPr>
                <w:rFonts w:ascii="Arial Narrow" w:hAnsi="Arial Narrow"/>
                <w:bCs/>
                <w:sz w:val="20"/>
                <w:szCs w:val="20"/>
              </w:rPr>
            </w:pPr>
          </w:p>
          <w:p w:rsidRPr="00AD4F6B" w:rsidR="003930DB" w:rsidRDefault="003930DB" w14:paraId="19F29F55" w14:textId="77777777">
            <w:pPr>
              <w:keepLines/>
              <w:rPr>
                <w:rFonts w:ascii="Arial Narrow" w:hAnsi="Arial Narrow"/>
                <w:i/>
                <w:sz w:val="20"/>
                <w:szCs w:val="20"/>
              </w:rPr>
            </w:pPr>
            <w:r w:rsidRPr="00AD4F6B">
              <w:rPr>
                <w:rFonts w:ascii="Arial Narrow" w:hAnsi="Arial Narrow"/>
                <w:i/>
                <w:sz w:val="20"/>
                <w:szCs w:val="20"/>
              </w:rPr>
              <w:t xml:space="preserve">Applications for authorisation under this restriction should be made using the Online PBS Authorities system (see </w:t>
            </w:r>
            <w:hyperlink w:history="1" r:id="rId17">
              <w:r w:rsidRPr="00AD4F6B">
                <w:rPr>
                  <w:rStyle w:val="Hyperlink"/>
                  <w:rFonts w:ascii="Arial Narrow" w:hAnsi="Arial Narrow"/>
                  <w:i/>
                  <w:color w:val="auto"/>
                  <w:sz w:val="20"/>
                  <w:szCs w:val="20"/>
                </w:rPr>
                <w:t>www.servicesaustralia.gov.au/hpos</w:t>
              </w:r>
            </w:hyperlink>
            <w:r w:rsidRPr="00AD4F6B">
              <w:rPr>
                <w:rFonts w:ascii="Arial Narrow" w:hAnsi="Arial Narrow"/>
                <w:i/>
                <w:sz w:val="20"/>
                <w:szCs w:val="20"/>
              </w:rPr>
              <w:t>)</w:t>
            </w:r>
          </w:p>
          <w:p w:rsidRPr="00AD4F6B" w:rsidR="003930DB" w:rsidRDefault="003930DB" w14:paraId="0BD743FE" w14:textId="77777777">
            <w:pPr>
              <w:keepLines/>
              <w:rPr>
                <w:rFonts w:ascii="Arial Narrow" w:hAnsi="Arial Narrow"/>
                <w:bCs/>
                <w:sz w:val="20"/>
                <w:szCs w:val="20"/>
              </w:rPr>
            </w:pPr>
          </w:p>
          <w:p w:rsidRPr="00AD4F6B" w:rsidR="003930DB" w:rsidRDefault="003930DB" w14:paraId="5C581F05" w14:textId="3D00516A">
            <w:pPr>
              <w:keepLines/>
              <w:rPr>
                <w:rFonts w:ascii="Arial Narrow" w:hAnsi="Arial Narrow"/>
                <w:bCs/>
                <w:sz w:val="20"/>
                <w:szCs w:val="20"/>
              </w:rPr>
            </w:pPr>
            <w:r w:rsidRPr="00AD4F6B">
              <w:rPr>
                <w:rFonts w:ascii="Arial Narrow" w:hAnsi="Arial Narrow"/>
                <w:i/>
                <w:sz w:val="20"/>
                <w:szCs w:val="20"/>
              </w:rPr>
              <w:t>Alternatively,</w:t>
            </w:r>
            <w:r w:rsidRPr="00AD4F6B">
              <w:rPr>
                <w:rFonts w:ascii="Arial Narrow" w:hAnsi="Arial Narrow"/>
                <w:bCs/>
                <w:sz w:val="20"/>
                <w:szCs w:val="20"/>
              </w:rPr>
              <w:t xml:space="preserve"> </w:t>
            </w:r>
            <w:r w:rsidRPr="00AD4F6B">
              <w:rPr>
                <w:rFonts w:ascii="Arial Narrow" w:hAnsi="Arial Narrow"/>
                <w:bCs/>
                <w:strike/>
                <w:sz w:val="20"/>
                <w:szCs w:val="20"/>
              </w:rPr>
              <w:t>A</w:t>
            </w:r>
            <w:r w:rsidRPr="00AD4F6B">
              <w:rPr>
                <w:rFonts w:ascii="Arial Narrow" w:hAnsi="Arial Narrow"/>
                <w:strike/>
                <w:sz w:val="20"/>
                <w:szCs w:val="20"/>
              </w:rPr>
              <w:t xml:space="preserve"> </w:t>
            </w:r>
            <w:r w:rsidRPr="00AD4F6B">
              <w:rPr>
                <w:rFonts w:ascii="Arial Narrow" w:hAnsi="Arial Narrow"/>
                <w:i/>
                <w:sz w:val="20"/>
                <w:szCs w:val="20"/>
              </w:rPr>
              <w:t>a</w:t>
            </w:r>
            <w:r w:rsidRPr="00AD4F6B">
              <w:rPr>
                <w:rFonts w:ascii="Arial Narrow" w:hAnsi="Arial Narrow"/>
                <w:bCs/>
                <w:sz w:val="20"/>
                <w:szCs w:val="20"/>
              </w:rPr>
              <w:t xml:space="preserve">pplications for authority to prescribe can be submitted online using the form upload facility in Health Professional Online Services (HPOS) at </w:t>
            </w:r>
            <w:hyperlink w:history="1" r:id="rId18">
              <w:r w:rsidRPr="00AD4F6B">
                <w:rPr>
                  <w:rStyle w:val="Hyperlink"/>
                  <w:rFonts w:ascii="Arial Narrow" w:hAnsi="Arial Narrow"/>
                  <w:bCs/>
                  <w:color w:val="auto"/>
                  <w:sz w:val="20"/>
                  <w:szCs w:val="20"/>
                </w:rPr>
                <w:t>www.servicesaustralia.gov.au/hpos</w:t>
              </w:r>
            </w:hyperlink>
          </w:p>
          <w:p w:rsidRPr="00AD4F6B" w:rsidR="003930DB" w:rsidRDefault="003930DB" w14:paraId="3BAAE20D" w14:textId="77777777">
            <w:pPr>
              <w:keepLines/>
              <w:rPr>
                <w:rFonts w:ascii="Arial Narrow" w:hAnsi="Arial Narrow"/>
                <w:bCs/>
                <w:sz w:val="20"/>
                <w:szCs w:val="20"/>
              </w:rPr>
            </w:pPr>
          </w:p>
          <w:p w:rsidRPr="00AD4F6B" w:rsidR="003930DB" w:rsidRDefault="003930DB" w14:paraId="25AEE165" w14:textId="77777777">
            <w:pPr>
              <w:keepLines/>
              <w:rPr>
                <w:rFonts w:ascii="Arial Narrow" w:hAnsi="Arial Narrow"/>
                <w:bCs/>
                <w:sz w:val="20"/>
                <w:szCs w:val="20"/>
              </w:rPr>
            </w:pPr>
            <w:r w:rsidRPr="00AD4F6B">
              <w:rPr>
                <w:rFonts w:ascii="Arial Narrow" w:hAnsi="Arial Narrow"/>
                <w:bCs/>
                <w:sz w:val="20"/>
                <w:szCs w:val="20"/>
              </w:rPr>
              <w:t>Or mailed to:</w:t>
            </w:r>
          </w:p>
          <w:p w:rsidRPr="00AD4F6B" w:rsidR="003930DB" w:rsidRDefault="003930DB" w14:paraId="41099CE8" w14:textId="77777777">
            <w:pPr>
              <w:keepLines/>
              <w:rPr>
                <w:rFonts w:ascii="Arial Narrow" w:hAnsi="Arial Narrow"/>
                <w:bCs/>
                <w:sz w:val="20"/>
                <w:szCs w:val="20"/>
              </w:rPr>
            </w:pPr>
            <w:r w:rsidRPr="00AD4F6B">
              <w:rPr>
                <w:rFonts w:ascii="Arial Narrow" w:hAnsi="Arial Narrow"/>
                <w:bCs/>
                <w:sz w:val="20"/>
                <w:szCs w:val="20"/>
              </w:rPr>
              <w:t>Services Australia</w:t>
            </w:r>
          </w:p>
          <w:p w:rsidRPr="00AD4F6B" w:rsidR="003930DB" w:rsidRDefault="003930DB" w14:paraId="28D5597B" w14:textId="77777777">
            <w:pPr>
              <w:keepLines/>
              <w:rPr>
                <w:rFonts w:ascii="Arial Narrow" w:hAnsi="Arial Narrow"/>
                <w:bCs/>
                <w:sz w:val="20"/>
                <w:szCs w:val="20"/>
              </w:rPr>
            </w:pPr>
            <w:r w:rsidRPr="00AD4F6B">
              <w:rPr>
                <w:rFonts w:ascii="Arial Narrow" w:hAnsi="Arial Narrow"/>
                <w:bCs/>
                <w:sz w:val="20"/>
                <w:szCs w:val="20"/>
              </w:rPr>
              <w:t>Complex Drugs</w:t>
            </w:r>
          </w:p>
          <w:p w:rsidRPr="00AD4F6B" w:rsidR="003930DB" w:rsidRDefault="003930DB" w14:paraId="1BD69E6D" w14:textId="77777777">
            <w:pPr>
              <w:keepLines/>
              <w:rPr>
                <w:rFonts w:ascii="Arial Narrow" w:hAnsi="Arial Narrow"/>
                <w:bCs/>
                <w:sz w:val="20"/>
                <w:szCs w:val="20"/>
              </w:rPr>
            </w:pPr>
            <w:r w:rsidRPr="00AD4F6B">
              <w:rPr>
                <w:rFonts w:ascii="Arial Narrow" w:hAnsi="Arial Narrow"/>
                <w:bCs/>
                <w:sz w:val="20"/>
                <w:szCs w:val="20"/>
              </w:rPr>
              <w:t>Reply Paid 9826</w:t>
            </w:r>
          </w:p>
          <w:p w:rsidRPr="00AD4F6B" w:rsidR="003930DB" w:rsidRDefault="003930DB" w14:paraId="13886DCD" w14:textId="77777777">
            <w:pPr>
              <w:keepLines/>
              <w:rPr>
                <w:rFonts w:ascii="Arial Narrow" w:hAnsi="Arial Narrow"/>
                <w:b/>
                <w:sz w:val="20"/>
                <w:szCs w:val="20"/>
              </w:rPr>
            </w:pPr>
            <w:r w:rsidRPr="00AD4F6B">
              <w:rPr>
                <w:rFonts w:ascii="Arial Narrow" w:hAnsi="Arial Narrow"/>
                <w:bCs/>
                <w:sz w:val="20"/>
                <w:szCs w:val="20"/>
              </w:rPr>
              <w:t>HOBART TAS 7001</w:t>
            </w:r>
          </w:p>
        </w:tc>
      </w:tr>
      <w:tr w:rsidRPr="00AD4F6B" w:rsidR="003930DB" w:rsidTr="003930DB" w14:paraId="3A9954F0" w14:textId="77777777">
        <w:tblPrEx>
          <w:tblCellMar>
            <w:top w:w="15" w:type="dxa"/>
            <w:bottom w:w="15" w:type="dxa"/>
          </w:tblCellMar>
          <w:tblLook w:val="04A0" w:firstRow="1" w:lastRow="0" w:firstColumn="1" w:lastColumn="0" w:noHBand="0" w:noVBand="1"/>
        </w:tblPrEx>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AD4F6B" w:rsidR="003930DB" w:rsidRDefault="003930DB" w14:paraId="0735EB87" w14:textId="77777777">
            <w:pPr>
              <w:keepLines/>
              <w:rPr>
                <w:rFonts w:ascii="Arial Narrow" w:hAnsi="Arial Narrow"/>
                <w:b/>
                <w:bCs/>
                <w:sz w:val="20"/>
                <w:szCs w:val="20"/>
              </w:rPr>
            </w:pPr>
            <w:r w:rsidRPr="00AD4F6B">
              <w:rPr>
                <w:rFonts w:ascii="Arial Narrow" w:hAnsi="Arial Narrow"/>
                <w:b/>
                <w:sz w:val="20"/>
                <w:szCs w:val="20"/>
              </w:rPr>
              <w:t>Restriction Summary edit 15987 / Treatment of Concept: edit 16045</w:t>
            </w:r>
          </w:p>
        </w:tc>
      </w:tr>
      <w:tr w:rsidRPr="00AD4F6B" w:rsidR="003930DB" w:rsidTr="003930DB" w14:paraId="26DDAB4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1AE38E7A" w14:textId="77777777">
            <w:pPr>
              <w:keepLines/>
              <w:rPr>
                <w:rFonts w:ascii="Arial Narrow" w:hAnsi="Arial Narrow"/>
                <w:sz w:val="20"/>
                <w:szCs w:val="20"/>
              </w:rPr>
            </w:pPr>
            <w:r w:rsidRPr="00AD4F6B">
              <w:rPr>
                <w:rFonts w:ascii="Arial Narrow" w:hAnsi="Arial Narrow"/>
                <w:b/>
                <w:bCs/>
                <w:sz w:val="20"/>
                <w:szCs w:val="20"/>
              </w:rPr>
              <w:t>Indication:</w:t>
            </w:r>
            <w:r w:rsidRPr="00AD4F6B">
              <w:rPr>
                <w:rFonts w:ascii="Arial Narrow" w:hAnsi="Arial Narrow"/>
                <w:sz w:val="20"/>
                <w:szCs w:val="20"/>
              </w:rPr>
              <w:t xml:space="preserve"> Spinal muscular atrophy (SMA)</w:t>
            </w:r>
          </w:p>
        </w:tc>
      </w:tr>
      <w:tr w:rsidRPr="00AD4F6B" w:rsidR="003930DB" w:rsidTr="003930DB" w14:paraId="4EE6F98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272844DF" w14:textId="77777777">
            <w:pPr>
              <w:rPr>
                <w:rFonts w:ascii="Arial Narrow" w:hAnsi="Arial Narrow"/>
                <w:sz w:val="20"/>
                <w:szCs w:val="20"/>
              </w:rPr>
            </w:pPr>
            <w:r w:rsidRPr="00AD4F6B">
              <w:rPr>
                <w:rFonts w:ascii="Arial Narrow" w:hAnsi="Arial Narrow"/>
                <w:b/>
                <w:bCs/>
                <w:sz w:val="20"/>
                <w:szCs w:val="20"/>
              </w:rPr>
              <w:t>Treatment Phase:</w:t>
            </w:r>
            <w:r w:rsidRPr="00AD4F6B">
              <w:rPr>
                <w:rFonts w:ascii="Arial Narrow" w:hAnsi="Arial Narrow"/>
                <w:sz w:val="20"/>
                <w:szCs w:val="20"/>
              </w:rPr>
              <w:t xml:space="preserve"> Use in a patient untreated with disease modifying therapies for this condition</w:t>
            </w:r>
          </w:p>
        </w:tc>
      </w:tr>
      <w:tr w:rsidRPr="00AD4F6B" w:rsidR="003930DB" w:rsidTr="003930DB" w14:paraId="447739A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1C069B0E" w14:textId="77777777">
            <w:pPr>
              <w:rPr>
                <w:rFonts w:ascii="Arial Narrow" w:hAnsi="Arial Narrow"/>
                <w:sz w:val="20"/>
                <w:szCs w:val="20"/>
              </w:rPr>
            </w:pPr>
            <w:r w:rsidRPr="00AD4F6B">
              <w:rPr>
                <w:rFonts w:ascii="Arial Narrow" w:hAnsi="Arial Narrow"/>
                <w:b/>
                <w:bCs/>
                <w:sz w:val="20"/>
                <w:szCs w:val="20"/>
              </w:rPr>
              <w:t xml:space="preserve">Clinical criteria: </w:t>
            </w:r>
          </w:p>
        </w:tc>
      </w:tr>
      <w:tr w:rsidRPr="00AD4F6B" w:rsidR="003930DB" w:rsidTr="003930DB" w14:paraId="5F8F36EC"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11B4C8FC" w14:textId="77777777">
            <w:pPr>
              <w:rPr>
                <w:rFonts w:ascii="Arial Narrow" w:hAnsi="Arial Narrow"/>
                <w:sz w:val="20"/>
                <w:szCs w:val="20"/>
              </w:rPr>
            </w:pPr>
            <w:r w:rsidRPr="00AD4F6B">
              <w:rPr>
                <w:rFonts w:ascii="Arial Narrow" w:hAnsi="Arial Narrow"/>
                <w:sz w:val="20"/>
                <w:szCs w:val="20"/>
              </w:rPr>
              <w:t>The condition must have genetic confirmation of 5q homozygous deletion of the survival motor neuron 1 (SMN1) gene; OR</w:t>
            </w:r>
          </w:p>
        </w:tc>
      </w:tr>
      <w:tr w:rsidRPr="00AD4F6B" w:rsidR="003930DB" w:rsidTr="003930DB" w14:paraId="7A3F776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345349B5" w14:textId="77777777">
            <w:pPr>
              <w:rPr>
                <w:rFonts w:ascii="Arial Narrow" w:hAnsi="Arial Narrow" w:cs="Arial Narrow"/>
                <w:iCs/>
                <w:sz w:val="20"/>
                <w:szCs w:val="20"/>
              </w:rPr>
            </w:pPr>
            <w:r w:rsidRPr="00AD4F6B">
              <w:rPr>
                <w:rFonts w:ascii="Arial Narrow" w:hAnsi="Arial Narrow"/>
                <w:sz w:val="20"/>
                <w:szCs w:val="20"/>
              </w:rPr>
              <w:t>The condition must have genetic confirmation of deletion of one copy of the SMN1 gene in addition to a pathogenic/likely pathogenic variant in the remaining single copy of the SMN1 gene</w:t>
            </w:r>
          </w:p>
        </w:tc>
      </w:tr>
      <w:tr w:rsidRPr="00AD4F6B" w:rsidR="003930DB" w:rsidTr="00861BA2" w14:paraId="0F0120EC"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432574DD" w14:textId="77777777">
            <w:pPr>
              <w:rPr>
                <w:rFonts w:ascii="Arial Narrow" w:hAnsi="Arial Narrow"/>
                <w:i/>
                <w:iCs/>
                <w:sz w:val="20"/>
                <w:szCs w:val="20"/>
              </w:rPr>
            </w:pPr>
            <w:r w:rsidRPr="00AD4F6B">
              <w:rPr>
                <w:rFonts w:ascii="Arial Narrow" w:hAnsi="Arial Narrow"/>
                <w:b/>
                <w:bCs/>
                <w:i/>
                <w:iCs/>
                <w:sz w:val="20"/>
                <w:szCs w:val="20"/>
              </w:rPr>
              <w:t>AND</w:t>
            </w:r>
          </w:p>
        </w:tc>
      </w:tr>
      <w:tr w:rsidRPr="00AD4F6B" w:rsidR="003930DB" w:rsidTr="00861BA2" w14:paraId="009FD535"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1CF1BB01" w14:textId="77777777">
            <w:pPr>
              <w:rPr>
                <w:rFonts w:ascii="Arial Narrow" w:hAnsi="Arial Narrow"/>
                <w:b/>
                <w:bCs/>
                <w:sz w:val="20"/>
                <w:szCs w:val="20"/>
              </w:rPr>
            </w:pPr>
            <w:r w:rsidRPr="00AD4F6B">
              <w:rPr>
                <w:rFonts w:ascii="Arial Narrow" w:hAnsi="Arial Narrow"/>
                <w:b/>
                <w:bCs/>
                <w:sz w:val="20"/>
                <w:szCs w:val="20"/>
              </w:rPr>
              <w:t>Clinical criteria:</w:t>
            </w:r>
          </w:p>
        </w:tc>
      </w:tr>
      <w:tr w:rsidRPr="00AD4F6B" w:rsidR="003930DB" w:rsidTr="00861BA2" w14:paraId="6B98DCC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695B38A4" w14:textId="77777777">
            <w:pPr>
              <w:rPr>
                <w:rFonts w:ascii="Arial Narrow" w:hAnsi="Arial Narrow"/>
                <w:sz w:val="20"/>
                <w:szCs w:val="20"/>
              </w:rPr>
            </w:pPr>
            <w:r w:rsidRPr="00AD4F6B">
              <w:rPr>
                <w:rFonts w:ascii="Arial Narrow" w:hAnsi="Arial Narrow"/>
                <w:sz w:val="20"/>
                <w:szCs w:val="20"/>
              </w:rPr>
              <w:t>The condition must be pre-symptomatic SMA, with genetic confirmation that there are 3 copies of the survival motor neuron 2 (</w:t>
            </w:r>
            <w:r w:rsidRPr="00AD4F6B">
              <w:rPr>
                <w:rFonts w:ascii="Arial Narrow" w:hAnsi="Arial Narrow"/>
                <w:i/>
                <w:iCs/>
                <w:sz w:val="20"/>
                <w:szCs w:val="20"/>
              </w:rPr>
              <w:t>SMN2</w:t>
            </w:r>
            <w:r w:rsidRPr="00AD4F6B">
              <w:rPr>
                <w:rFonts w:ascii="Arial Narrow" w:hAnsi="Arial Narrow"/>
                <w:sz w:val="20"/>
                <w:szCs w:val="20"/>
              </w:rPr>
              <w:t>) gene</w:t>
            </w:r>
          </w:p>
        </w:tc>
      </w:tr>
      <w:tr w:rsidRPr="00AD4F6B" w:rsidR="003930DB" w:rsidTr="00861BA2" w14:paraId="00147AC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2B0BD5C4" w14:textId="77777777">
            <w:pPr>
              <w:rPr>
                <w:rFonts w:ascii="Arial Narrow" w:hAnsi="Arial Narrow"/>
                <w:b/>
                <w:bCs/>
                <w:sz w:val="20"/>
                <w:szCs w:val="20"/>
              </w:rPr>
            </w:pPr>
            <w:r w:rsidRPr="00AD4F6B">
              <w:rPr>
                <w:rFonts w:ascii="Arial Narrow" w:hAnsi="Arial Narrow"/>
                <w:b/>
                <w:bCs/>
                <w:sz w:val="20"/>
                <w:szCs w:val="20"/>
              </w:rPr>
              <w:t>AND</w:t>
            </w:r>
          </w:p>
        </w:tc>
      </w:tr>
      <w:tr w:rsidRPr="00AD4F6B" w:rsidR="003930DB" w:rsidTr="00861BA2" w14:paraId="0AAF3EE7"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203E221C" w14:textId="77777777">
            <w:pPr>
              <w:rPr>
                <w:rFonts w:ascii="Arial Narrow" w:hAnsi="Arial Narrow"/>
                <w:sz w:val="20"/>
                <w:szCs w:val="20"/>
              </w:rPr>
            </w:pPr>
            <w:r w:rsidRPr="00AD4F6B">
              <w:rPr>
                <w:rFonts w:ascii="Arial Narrow" w:hAnsi="Arial Narrow"/>
                <w:b/>
                <w:bCs/>
                <w:sz w:val="20"/>
                <w:szCs w:val="20"/>
              </w:rPr>
              <w:t>Clinical criteria:</w:t>
            </w:r>
          </w:p>
        </w:tc>
      </w:tr>
      <w:tr w:rsidRPr="00AD4F6B" w:rsidR="003930DB" w:rsidTr="00861BA2" w14:paraId="122A07D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0784F14F" w14:textId="77777777">
            <w:pPr>
              <w:rPr>
                <w:rFonts w:ascii="Arial Narrow" w:hAnsi="Arial Narrow"/>
                <w:sz w:val="20"/>
                <w:szCs w:val="20"/>
              </w:rPr>
            </w:pPr>
            <w:r w:rsidRPr="00AD4F6B">
              <w:rPr>
                <w:rFonts w:ascii="Arial Narrow" w:hAnsi="Arial Narrow"/>
                <w:sz w:val="20"/>
                <w:szCs w:val="20"/>
              </w:rPr>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tc>
      </w:tr>
      <w:tr w:rsidRPr="00AD4F6B" w:rsidR="003930DB" w:rsidTr="00861BA2" w14:paraId="26B6809E"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0B390D0E" w14:textId="77777777">
            <w:pPr>
              <w:rPr>
                <w:rFonts w:ascii="Arial Narrow" w:hAnsi="Arial Narrow"/>
                <w:sz w:val="20"/>
                <w:szCs w:val="20"/>
              </w:rPr>
            </w:pPr>
            <w:r w:rsidRPr="00AD4F6B">
              <w:rPr>
                <w:rFonts w:ascii="Arial Narrow" w:hAnsi="Arial Narrow"/>
                <w:b/>
                <w:bCs/>
                <w:sz w:val="20"/>
                <w:szCs w:val="20"/>
              </w:rPr>
              <w:t>AND</w:t>
            </w:r>
          </w:p>
        </w:tc>
      </w:tr>
      <w:tr w:rsidRPr="00AD4F6B" w:rsidR="003930DB" w:rsidTr="00861BA2" w14:paraId="2C19AA08"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04076E28" w14:textId="77777777">
            <w:pPr>
              <w:rPr>
                <w:rFonts w:ascii="Arial Narrow" w:hAnsi="Arial Narrow"/>
                <w:sz w:val="20"/>
                <w:szCs w:val="20"/>
              </w:rPr>
            </w:pPr>
            <w:r w:rsidRPr="00AD4F6B">
              <w:rPr>
                <w:rFonts w:ascii="Arial Narrow" w:hAnsi="Arial Narrow"/>
                <w:b/>
                <w:bCs/>
                <w:sz w:val="20"/>
                <w:szCs w:val="20"/>
              </w:rPr>
              <w:t>Clinical criteria:</w:t>
            </w:r>
          </w:p>
        </w:tc>
      </w:tr>
      <w:tr w:rsidRPr="00AD4F6B" w:rsidR="003930DB" w:rsidTr="00861BA2" w14:paraId="28A1891E"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6BEE1B7D" w14:textId="77777777">
            <w:pPr>
              <w:rPr>
                <w:rFonts w:ascii="Arial Narrow" w:hAnsi="Arial Narrow"/>
                <w:sz w:val="20"/>
                <w:szCs w:val="20"/>
              </w:rPr>
            </w:pPr>
            <w:r w:rsidRPr="00AD4F6B">
              <w:rPr>
                <w:rFonts w:ascii="Arial Narrow" w:hAnsi="Arial Narrow"/>
                <w:sz w:val="20"/>
                <w:szCs w:val="20"/>
              </w:rPr>
              <w:t>The treatment must be given concomitantly with best supportive care for this condition</w:t>
            </w:r>
          </w:p>
        </w:tc>
      </w:tr>
      <w:tr w:rsidRPr="00AD4F6B" w:rsidR="003930DB" w:rsidTr="00861BA2" w14:paraId="1D56BE8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5EA5E533" w14:textId="77777777">
            <w:pPr>
              <w:keepNext/>
              <w:rPr>
                <w:rFonts w:ascii="Arial Narrow" w:hAnsi="Arial Narrow"/>
                <w:sz w:val="20"/>
                <w:szCs w:val="20"/>
              </w:rPr>
            </w:pPr>
            <w:r w:rsidRPr="00AD4F6B">
              <w:rPr>
                <w:rFonts w:ascii="Arial Narrow" w:hAnsi="Arial Narrow"/>
                <w:b/>
                <w:bCs/>
                <w:sz w:val="20"/>
                <w:szCs w:val="20"/>
              </w:rPr>
              <w:t>Treatment criteria:</w:t>
            </w:r>
          </w:p>
        </w:tc>
      </w:tr>
      <w:tr w:rsidRPr="00AD4F6B" w:rsidR="003930DB" w:rsidTr="00861BA2" w14:paraId="2E916165"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0F0E3199" w14:textId="77777777">
            <w:pPr>
              <w:autoSpaceDE w:val="0"/>
              <w:autoSpaceDN w:val="0"/>
              <w:adjustRightInd w:val="0"/>
              <w:rPr>
                <w:rFonts w:ascii="Arial Narrow" w:hAnsi="Arial Narrow" w:cs="Arial Narrow"/>
                <w:i/>
                <w:iCs/>
                <w:sz w:val="20"/>
                <w:szCs w:val="20"/>
              </w:rPr>
            </w:pPr>
            <w:r w:rsidRPr="00AD4F6B">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Pr="00AD4F6B" w:rsidR="003930DB" w:rsidTr="00861BA2" w14:paraId="19FC27A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5FFA2221" w14:textId="77777777">
            <w:pPr>
              <w:autoSpaceDE w:val="0"/>
              <w:autoSpaceDN w:val="0"/>
              <w:adjustRightInd w:val="0"/>
              <w:rPr>
                <w:rFonts w:ascii="Arial Narrow" w:hAnsi="Arial Narrow" w:cs="Arial Narrow"/>
                <w:b/>
                <w:bCs/>
                <w:iCs/>
                <w:sz w:val="20"/>
                <w:szCs w:val="20"/>
              </w:rPr>
            </w:pPr>
            <w:r w:rsidRPr="00AD4F6B">
              <w:rPr>
                <w:rFonts w:ascii="Arial Narrow" w:hAnsi="Arial Narrow" w:cs="Arial Narrow"/>
                <w:b/>
                <w:bCs/>
                <w:iCs/>
                <w:sz w:val="20"/>
                <w:szCs w:val="20"/>
              </w:rPr>
              <w:t>AND</w:t>
            </w:r>
          </w:p>
        </w:tc>
      </w:tr>
      <w:tr w:rsidRPr="00AD4F6B" w:rsidR="003930DB" w:rsidTr="00861BA2" w14:paraId="428B1DA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1881B1B5" w14:textId="77777777">
            <w:pPr>
              <w:autoSpaceDE w:val="0"/>
              <w:autoSpaceDN w:val="0"/>
              <w:adjustRightInd w:val="0"/>
              <w:rPr>
                <w:rFonts w:ascii="Arial Narrow" w:hAnsi="Arial Narrow" w:cs="Arial Narrow"/>
                <w:iCs/>
                <w:sz w:val="20"/>
                <w:szCs w:val="20"/>
              </w:rPr>
            </w:pPr>
            <w:r w:rsidRPr="00AD4F6B">
              <w:rPr>
                <w:rFonts w:ascii="Arial Narrow" w:hAnsi="Arial Narrow"/>
                <w:b/>
                <w:bCs/>
                <w:sz w:val="20"/>
                <w:szCs w:val="20"/>
              </w:rPr>
              <w:t>Treatment criteria:</w:t>
            </w:r>
          </w:p>
        </w:tc>
      </w:tr>
      <w:tr w:rsidRPr="00AD4F6B" w:rsidR="003930DB" w:rsidTr="00861BA2" w14:paraId="38914DE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598759EA" w14:textId="77777777">
            <w:pPr>
              <w:autoSpaceDE w:val="0"/>
              <w:autoSpaceDN w:val="0"/>
              <w:adjustRightInd w:val="0"/>
              <w:rPr>
                <w:rFonts w:ascii="Arial Narrow" w:hAnsi="Arial Narrow"/>
                <w:sz w:val="20"/>
                <w:szCs w:val="20"/>
              </w:rPr>
            </w:pPr>
            <w:r w:rsidRPr="00AD4F6B">
              <w:rPr>
                <w:rFonts w:ascii="Arial Narrow" w:hAnsi="Arial Narrow"/>
                <w:sz w:val="20"/>
                <w:szCs w:val="20"/>
              </w:rPr>
              <w:t>Must be treated in a treatment centre that is each of: (i) recognised in the management of SMA, (ii) accredited in the use of this gene technology by the relevant authority, (iii) will(has) source(d) this product from an accredited supplier, as specified in the administrative notes to this listing</w:t>
            </w:r>
          </w:p>
        </w:tc>
      </w:tr>
      <w:tr w:rsidRPr="00AD4F6B" w:rsidR="003930DB" w:rsidTr="00861BA2" w14:paraId="22CAE8F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579FA6B2" w14:textId="77777777">
            <w:pPr>
              <w:rPr>
                <w:rFonts w:ascii="Arial Narrow" w:hAnsi="Arial Narrow"/>
                <w:b/>
                <w:bCs/>
                <w:sz w:val="20"/>
                <w:szCs w:val="20"/>
              </w:rPr>
            </w:pPr>
            <w:r w:rsidRPr="00AD4F6B">
              <w:rPr>
                <w:rFonts w:ascii="Arial Narrow" w:hAnsi="Arial Narrow" w:cs="Arial Narrow"/>
                <w:b/>
                <w:bCs/>
                <w:iCs/>
                <w:sz w:val="20"/>
                <w:szCs w:val="20"/>
              </w:rPr>
              <w:t>AND</w:t>
            </w:r>
          </w:p>
        </w:tc>
      </w:tr>
      <w:tr w:rsidRPr="00AD4F6B" w:rsidR="003930DB" w:rsidTr="00861BA2" w14:paraId="30DCB17A"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104E8F50" w14:textId="77777777">
            <w:pPr>
              <w:rPr>
                <w:rFonts w:ascii="Arial Narrow" w:hAnsi="Arial Narrow" w:cs="Arial Narrow"/>
                <w:b/>
                <w:bCs/>
                <w:iCs/>
                <w:sz w:val="20"/>
                <w:szCs w:val="20"/>
              </w:rPr>
            </w:pPr>
            <w:r w:rsidRPr="00AD4F6B">
              <w:rPr>
                <w:rFonts w:ascii="Arial Narrow" w:hAnsi="Arial Narrow"/>
                <w:b/>
                <w:bCs/>
                <w:sz w:val="20"/>
                <w:szCs w:val="20"/>
              </w:rPr>
              <w:t>Treatment criteria:</w:t>
            </w:r>
          </w:p>
        </w:tc>
      </w:tr>
      <w:tr w:rsidRPr="00AD4F6B" w:rsidR="003930DB" w:rsidTr="00861BA2" w14:paraId="5270830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6CECC5E3" w14:textId="77777777">
            <w:pPr>
              <w:rPr>
                <w:rFonts w:ascii="Arial Narrow" w:hAnsi="Arial Narrow" w:cs="Arial Narrow"/>
                <w:b/>
                <w:bCs/>
                <w:iCs/>
                <w:sz w:val="20"/>
                <w:szCs w:val="20"/>
              </w:rPr>
            </w:pPr>
            <w:r w:rsidRPr="00AD4F6B">
              <w:rPr>
                <w:rFonts w:ascii="Arial Narrow" w:hAnsi="Arial Narrow"/>
                <w:sz w:val="20"/>
                <w:szCs w:val="20"/>
              </w:rPr>
              <w:t>Patient must be undergoing treatment with this pharmaceutical benefit once only in a lifetime</w:t>
            </w:r>
          </w:p>
        </w:tc>
      </w:tr>
      <w:tr w:rsidRPr="00AD4F6B" w:rsidR="003930DB" w:rsidTr="00861BA2" w14:paraId="6E91913B"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6DD71019"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3930DB" w:rsidTr="00861BA2" w14:paraId="002A7F10"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2487934C"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3930DB" w:rsidTr="00861BA2" w14:paraId="2885030E"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70452ABA" w14:textId="77777777">
            <w:pPr>
              <w:rPr>
                <w:rFonts w:ascii="Arial Narrow" w:hAnsi="Arial Narrow"/>
                <w:sz w:val="20"/>
                <w:szCs w:val="20"/>
              </w:rPr>
            </w:pPr>
            <w:r w:rsidRPr="00AD4F6B">
              <w:rPr>
                <w:rFonts w:ascii="Arial Narrow" w:hAnsi="Arial Narrow"/>
                <w:sz w:val="20"/>
                <w:szCs w:val="20"/>
              </w:rPr>
              <w:t xml:space="preserve">Patient must not be undergoing treatment with this pharmaceutical benefit through this listing where prior treatment has occurred with any of: (i) nusinersen, (ii) </w:t>
            </w:r>
            <w:proofErr w:type="spellStart"/>
            <w:r w:rsidRPr="00AD4F6B">
              <w:rPr>
                <w:rFonts w:ascii="Arial Narrow" w:hAnsi="Arial Narrow"/>
                <w:sz w:val="20"/>
                <w:szCs w:val="20"/>
              </w:rPr>
              <w:t>risdiplam</w:t>
            </w:r>
            <w:proofErr w:type="spellEnd"/>
          </w:p>
        </w:tc>
      </w:tr>
      <w:tr w:rsidRPr="00AD4F6B" w:rsidR="003930DB" w:rsidTr="00861BA2" w14:paraId="570EEE4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67698B39" w14:textId="77777777">
            <w:pPr>
              <w:rPr>
                <w:rFonts w:ascii="Arial Narrow" w:hAnsi="Arial Narrow"/>
                <w:sz w:val="20"/>
                <w:szCs w:val="20"/>
              </w:rPr>
            </w:pPr>
            <w:r w:rsidRPr="00AD4F6B">
              <w:rPr>
                <w:rFonts w:ascii="Arial Narrow" w:hAnsi="Arial Narrow"/>
                <w:b/>
                <w:bCs/>
                <w:sz w:val="20"/>
                <w:szCs w:val="20"/>
              </w:rPr>
              <w:t>Population criteria:</w:t>
            </w:r>
          </w:p>
        </w:tc>
      </w:tr>
      <w:tr w:rsidRPr="00AD4F6B" w:rsidR="003930DB" w:rsidTr="00861BA2" w14:paraId="0B86CD3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rsidRPr="00AD4F6B" w:rsidR="003930DB" w:rsidRDefault="003930DB" w14:paraId="1F41DA55" w14:textId="77777777">
            <w:pPr>
              <w:rPr>
                <w:rFonts w:ascii="Arial Narrow" w:hAnsi="Arial Narrow"/>
                <w:strike/>
                <w:sz w:val="20"/>
                <w:szCs w:val="20"/>
              </w:rPr>
            </w:pPr>
            <w:r w:rsidRPr="00AD4F6B">
              <w:rPr>
                <w:rFonts w:ascii="Arial Narrow" w:hAnsi="Arial Narrow"/>
                <w:strike/>
                <w:sz w:val="20"/>
                <w:szCs w:val="20"/>
              </w:rPr>
              <w:t>Patient must be no older than 9 months of age</w:t>
            </w:r>
          </w:p>
          <w:p w:rsidRPr="00AD4F6B" w:rsidR="003930DB" w:rsidRDefault="003930DB" w14:paraId="3C61B5C3" w14:textId="5AD127E3">
            <w:pPr>
              <w:rPr>
                <w:rFonts w:ascii="Arial Narrow" w:hAnsi="Arial Narrow"/>
                <w:sz w:val="20"/>
                <w:szCs w:val="20"/>
              </w:rPr>
            </w:pPr>
            <w:r w:rsidRPr="00AD4F6B">
              <w:rPr>
                <w:rFonts w:ascii="Arial Narrow" w:hAnsi="Arial Narrow"/>
                <w:sz w:val="20"/>
                <w:szCs w:val="20"/>
              </w:rPr>
              <w:t>Patient must weigh 21 kg or less</w:t>
            </w:r>
          </w:p>
        </w:tc>
      </w:tr>
      <w:tr w:rsidRPr="00AD4F6B" w:rsidR="003930DB" w:rsidTr="00861BA2" w14:paraId="72CDF998"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6EC7672C" w14:textId="4AB3F156">
            <w:pPr>
              <w:rPr>
                <w:rFonts w:ascii="Arial Narrow" w:hAnsi="Arial Narrow"/>
                <w:strike/>
                <w:sz w:val="20"/>
                <w:szCs w:val="20"/>
              </w:rPr>
            </w:pPr>
            <w:r w:rsidRPr="00AD4F6B">
              <w:rPr>
                <w:rFonts w:ascii="Arial Narrow" w:hAnsi="Arial Narrow" w:cs="Arial Narrow"/>
                <w:b/>
                <w:bCs/>
                <w:sz w:val="20"/>
                <w:szCs w:val="20"/>
              </w:rPr>
              <w:t>AND</w:t>
            </w:r>
          </w:p>
        </w:tc>
      </w:tr>
      <w:tr w:rsidRPr="00AD4F6B" w:rsidR="003930DB" w:rsidTr="00861BA2" w14:paraId="01EB3114"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6B99AF69" w14:textId="01F63F52">
            <w:pPr>
              <w:rPr>
                <w:rFonts w:ascii="Arial Narrow" w:hAnsi="Arial Narrow" w:cs="Arial Narrow"/>
                <w:b/>
                <w:bCs/>
                <w:sz w:val="20"/>
                <w:szCs w:val="20"/>
              </w:rPr>
            </w:pPr>
            <w:r w:rsidRPr="00AD4F6B">
              <w:rPr>
                <w:rFonts w:ascii="Arial Narrow" w:hAnsi="Arial Narrow"/>
                <w:b/>
                <w:bCs/>
                <w:sz w:val="20"/>
                <w:szCs w:val="20"/>
              </w:rPr>
              <w:t>Population criteria:</w:t>
            </w:r>
          </w:p>
        </w:tc>
      </w:tr>
      <w:tr w:rsidRPr="00AD4F6B" w:rsidR="003930DB" w:rsidTr="00861BA2" w14:paraId="79FF7E4C"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401B7FB8" w14:textId="212D55CB">
            <w:pPr>
              <w:rPr>
                <w:rFonts w:ascii="Arial Narrow" w:hAnsi="Arial Narrow"/>
                <w:strike/>
                <w:sz w:val="20"/>
                <w:szCs w:val="20"/>
              </w:rPr>
            </w:pPr>
            <w:r w:rsidRPr="00AD4F6B">
              <w:rPr>
                <w:rFonts w:ascii="Arial Narrow" w:hAnsi="Arial Narrow"/>
                <w:sz w:val="20"/>
                <w:szCs w:val="20"/>
              </w:rPr>
              <w:t>Patient must be under 36 months of age</w:t>
            </w:r>
          </w:p>
        </w:tc>
      </w:tr>
      <w:tr w:rsidRPr="00AD4F6B" w:rsidR="003930DB" w:rsidTr="00861BA2" w14:paraId="69F65C8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3622A3E5" w14:textId="77777777">
            <w:pPr>
              <w:rPr>
                <w:rFonts w:ascii="Arial Narrow" w:hAnsi="Arial Narrow"/>
                <w:b/>
                <w:bCs/>
                <w:i/>
                <w:iCs/>
                <w:strike/>
                <w:sz w:val="20"/>
                <w:szCs w:val="20"/>
              </w:rPr>
            </w:pPr>
            <w:r w:rsidRPr="00AD4F6B">
              <w:rPr>
                <w:rFonts w:ascii="Arial Narrow" w:hAnsi="Arial Narrow" w:cs="Arial Narrow"/>
                <w:b/>
                <w:bCs/>
                <w:iCs/>
                <w:strike/>
                <w:sz w:val="20"/>
                <w:szCs w:val="20"/>
              </w:rPr>
              <w:t>AND</w:t>
            </w:r>
          </w:p>
        </w:tc>
      </w:tr>
      <w:tr w:rsidRPr="00AD4F6B" w:rsidR="003930DB" w:rsidTr="00861BA2" w14:paraId="206886F5"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488B3B23" w14:textId="77777777">
            <w:pPr>
              <w:rPr>
                <w:rFonts w:ascii="Arial Narrow" w:hAnsi="Arial Narrow"/>
                <w:b/>
                <w:bCs/>
                <w:strike/>
                <w:sz w:val="20"/>
                <w:szCs w:val="20"/>
              </w:rPr>
            </w:pPr>
            <w:r w:rsidRPr="00AD4F6B">
              <w:rPr>
                <w:rFonts w:ascii="Arial Narrow" w:hAnsi="Arial Narrow"/>
                <w:b/>
                <w:bCs/>
                <w:strike/>
                <w:sz w:val="20"/>
                <w:szCs w:val="20"/>
              </w:rPr>
              <w:t>Population criteria:</w:t>
            </w:r>
          </w:p>
        </w:tc>
      </w:tr>
      <w:tr w:rsidRPr="00AD4F6B" w:rsidR="003930DB" w:rsidTr="00861BA2" w14:paraId="69C64FC0" w14:textId="77777777">
        <w:tblPrEx>
          <w:tblCellMar>
            <w:top w:w="15" w:type="dxa"/>
            <w:bottom w:w="15" w:type="dxa"/>
          </w:tblCellMar>
          <w:tblLook w:val="04A0" w:firstRow="1" w:lastRow="0" w:firstColumn="1" w:lastColumn="0" w:noHBand="0" w:noVBand="1"/>
        </w:tblPrEx>
        <w:trPr>
          <w:cantSplit/>
          <w:trHeight w:val="20"/>
        </w:trPr>
        <w:tc>
          <w:tcPr>
            <w:tcW w:w="5000" w:type="pct"/>
            <w:gridSpan w:val="7"/>
          </w:tcPr>
          <w:p w:rsidRPr="00AD4F6B" w:rsidR="003930DB" w:rsidRDefault="003930DB" w14:paraId="6AB9823D" w14:textId="77777777">
            <w:pPr>
              <w:rPr>
                <w:rFonts w:ascii="Arial Narrow" w:hAnsi="Arial Narrow"/>
                <w:b/>
                <w:bCs/>
                <w:strike/>
                <w:sz w:val="20"/>
                <w:szCs w:val="20"/>
              </w:rPr>
            </w:pPr>
            <w:r w:rsidRPr="00AD4F6B">
              <w:rPr>
                <w:rFonts w:ascii="Arial Narrow" w:hAnsi="Arial Narrow"/>
                <w:strike/>
                <w:sz w:val="20"/>
                <w:szCs w:val="20"/>
              </w:rPr>
              <w:t>Patient must have pre-symptomatic SMA with 3 copies of the SMN2 gene</w:t>
            </w:r>
          </w:p>
        </w:tc>
      </w:tr>
      <w:tr w:rsidRPr="00AD4F6B" w:rsidR="003930DB" w:rsidTr="00861BA2" w14:paraId="34505BE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004BA408"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3930DB" w:rsidRDefault="003930DB" w14:paraId="70E07668" w14:textId="77777777">
            <w:pPr>
              <w:rPr>
                <w:rFonts w:ascii="Arial Narrow" w:hAnsi="Arial Narrow"/>
                <w:sz w:val="20"/>
                <w:szCs w:val="20"/>
              </w:rPr>
            </w:pPr>
            <w:r w:rsidRPr="00AD4F6B">
              <w:rPr>
                <w:rFonts w:ascii="Arial Narrow" w:hAnsi="Arial Narrow"/>
                <w:sz w:val="20"/>
                <w:szCs w:val="20"/>
              </w:rPr>
              <w:t>The authority application must be made via the Online PBS Authorities System, or in writing via HPOS form upload or mail and must include:</w:t>
            </w:r>
          </w:p>
          <w:p w:rsidRPr="00AD4F6B" w:rsidR="003930DB" w:rsidRDefault="003930DB" w14:paraId="6E2B7A20" w14:textId="77777777">
            <w:pPr>
              <w:rPr>
                <w:rFonts w:ascii="Arial Narrow" w:hAnsi="Arial Narrow"/>
                <w:sz w:val="20"/>
                <w:szCs w:val="20"/>
              </w:rPr>
            </w:pPr>
            <w:r w:rsidRPr="00AD4F6B">
              <w:rPr>
                <w:rFonts w:ascii="Arial Narrow" w:hAnsi="Arial Narrow"/>
                <w:sz w:val="20"/>
                <w:szCs w:val="20"/>
              </w:rPr>
              <w:t>(1) details of the proposed prescription</w:t>
            </w:r>
            <w:r w:rsidRPr="00AD4F6B">
              <w:rPr>
                <w:rFonts w:ascii="Arial Narrow" w:hAnsi="Arial Narrow"/>
                <w:i/>
                <w:sz w:val="20"/>
                <w:szCs w:val="20"/>
              </w:rPr>
              <w:t>(s)</w:t>
            </w:r>
            <w:r w:rsidRPr="00AD4F6B">
              <w:rPr>
                <w:rFonts w:ascii="Arial Narrow" w:hAnsi="Arial Narrow"/>
                <w:sz w:val="20"/>
                <w:szCs w:val="20"/>
              </w:rPr>
              <w:t>; and</w:t>
            </w:r>
          </w:p>
          <w:p w:rsidRPr="00AD4F6B" w:rsidR="003930DB" w:rsidRDefault="003930DB" w14:paraId="14F92014" w14:textId="77777777">
            <w:pPr>
              <w:rPr>
                <w:rFonts w:ascii="Arial Narrow" w:hAnsi="Arial Narrow"/>
                <w:sz w:val="20"/>
                <w:szCs w:val="20"/>
              </w:rPr>
            </w:pPr>
            <w:r w:rsidRPr="00AD4F6B">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Pr="00AD4F6B" w:rsidR="003930DB" w:rsidTr="00861BA2" w14:paraId="621D103C"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3930DB" w:rsidRDefault="003930DB" w14:paraId="495B820C"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3930DB" w:rsidRDefault="003930DB" w14:paraId="5698F0D5" w14:textId="77777777">
            <w:pPr>
              <w:rPr>
                <w:rFonts w:ascii="Arial Narrow" w:hAnsi="Arial Narrow"/>
                <w:sz w:val="20"/>
                <w:szCs w:val="20"/>
              </w:rPr>
            </w:pPr>
            <w:r w:rsidRPr="00AD4F6B">
              <w:rPr>
                <w:rFonts w:ascii="Arial Narrow" w:hAnsi="Arial Narrow"/>
                <w:sz w:val="20"/>
                <w:szCs w:val="20"/>
              </w:rPr>
              <w:t>State the weight of the patient in kilograms and request the appropriate product pack presentation with respect to the mix of 5.5 mL and 8.3 mL vials.</w:t>
            </w:r>
          </w:p>
          <w:p w:rsidRPr="00AD4F6B" w:rsidR="003930DB" w:rsidRDefault="003930DB" w14:paraId="445BF97D" w14:textId="77777777">
            <w:pPr>
              <w:rPr>
                <w:rFonts w:ascii="Arial Narrow" w:hAnsi="Arial Narrow"/>
                <w:sz w:val="20"/>
                <w:szCs w:val="20"/>
              </w:rPr>
            </w:pPr>
          </w:p>
          <w:p w:rsidRPr="00AD4F6B" w:rsidR="003930DB" w:rsidRDefault="003930DB" w14:paraId="177F0FA6" w14:textId="77777777">
            <w:pPr>
              <w:rPr>
                <w:rFonts w:ascii="Arial Narrow" w:hAnsi="Arial Narrow"/>
                <w:sz w:val="20"/>
                <w:szCs w:val="20"/>
              </w:rPr>
            </w:pPr>
            <w:r w:rsidRPr="00AD4F6B">
              <w:rPr>
                <w:rFonts w:ascii="Arial Narrow" w:hAnsi="Arial Narrow"/>
                <w:sz w:val="20"/>
                <w:szCs w:val="20"/>
              </w:rPr>
              <w:t>Confirm that genetic testing has been completed to demonstrate the following in support of an SMA diagnosis:</w:t>
            </w:r>
          </w:p>
          <w:p w:rsidRPr="00AD4F6B" w:rsidR="003930DB" w:rsidRDefault="003930DB" w14:paraId="0088019D" w14:textId="77777777">
            <w:pPr>
              <w:rPr>
                <w:rFonts w:ascii="Arial Narrow" w:hAnsi="Arial Narrow"/>
                <w:sz w:val="20"/>
                <w:szCs w:val="20"/>
              </w:rPr>
            </w:pPr>
            <w:r w:rsidRPr="00AD4F6B">
              <w:rPr>
                <w:rFonts w:ascii="Arial Narrow" w:hAnsi="Arial Narrow"/>
                <w:sz w:val="20"/>
                <w:szCs w:val="20"/>
              </w:rPr>
              <w:t>(i) 5q homozygous deletion of the survival motor neuron 1 (SMN1) gene; or</w:t>
            </w:r>
          </w:p>
          <w:p w:rsidRPr="00AD4F6B" w:rsidR="003930DB" w:rsidRDefault="003930DB" w14:paraId="7CB2A140" w14:textId="77777777">
            <w:pPr>
              <w:rPr>
                <w:rFonts w:ascii="Arial Narrow" w:hAnsi="Arial Narrow"/>
                <w:sz w:val="20"/>
                <w:szCs w:val="20"/>
              </w:rPr>
            </w:pPr>
            <w:r w:rsidRPr="00AD4F6B">
              <w:rPr>
                <w:rFonts w:ascii="Arial Narrow" w:hAnsi="Arial Narrow"/>
                <w:sz w:val="20"/>
                <w:szCs w:val="20"/>
              </w:rPr>
              <w:t>(ii) deletion of one copy of the SMN1 gene in addition to a pathogenic/likely pathogenic variance in the remaining single copy of the SMN1 gene.</w:t>
            </w:r>
          </w:p>
          <w:p w:rsidRPr="00AD4F6B" w:rsidR="003930DB" w:rsidRDefault="003930DB" w14:paraId="6BE0FD73" w14:textId="77777777">
            <w:pPr>
              <w:rPr>
                <w:rFonts w:ascii="Arial Narrow" w:hAnsi="Arial Narrow"/>
                <w:sz w:val="20"/>
                <w:szCs w:val="20"/>
              </w:rPr>
            </w:pPr>
          </w:p>
          <w:p w:rsidRPr="00AD4F6B" w:rsidR="003930DB" w:rsidRDefault="003930DB" w14:paraId="31680B0E" w14:textId="77777777">
            <w:pPr>
              <w:rPr>
                <w:rFonts w:ascii="Arial Narrow" w:hAnsi="Arial Narrow"/>
                <w:sz w:val="20"/>
                <w:szCs w:val="20"/>
              </w:rPr>
            </w:pPr>
            <w:r w:rsidRPr="00AD4F6B">
              <w:rPr>
                <w:rFonts w:ascii="Arial Narrow" w:hAnsi="Arial Narrow"/>
                <w:sz w:val="20"/>
                <w:szCs w:val="20"/>
              </w:rPr>
              <w:t>Confirm that there is a genetic test finding that substantiates the number of SMN2 gene copies to be 3 and has been determined by quantitative polymerase chain reaction (qPCR) or multiple ligation dependent probe amplification (MLPA).</w:t>
            </w:r>
          </w:p>
          <w:p w:rsidRPr="00AD4F6B" w:rsidR="003930DB" w:rsidRDefault="003930DB" w14:paraId="7F7CEFAC" w14:textId="77777777">
            <w:pPr>
              <w:rPr>
                <w:rFonts w:ascii="Arial Narrow" w:hAnsi="Arial Narrow"/>
                <w:sz w:val="20"/>
                <w:szCs w:val="20"/>
              </w:rPr>
            </w:pPr>
          </w:p>
          <w:p w:rsidRPr="00AD4F6B" w:rsidR="003930DB" w:rsidRDefault="003930DB" w14:paraId="7703A6A5" w14:textId="77777777">
            <w:pPr>
              <w:rPr>
                <w:rFonts w:ascii="Arial Narrow" w:hAnsi="Arial Narrow"/>
                <w:sz w:val="20"/>
                <w:szCs w:val="20"/>
              </w:rPr>
            </w:pPr>
            <w:r w:rsidRPr="00AD4F6B">
              <w:rPr>
                <w:rFonts w:ascii="Arial Narrow" w:hAnsi="Arial Narrow"/>
                <w:sz w:val="20"/>
                <w:szCs w:val="20"/>
              </w:rPr>
              <w:t>Quote the date, pathology provider name and any unique identifying serial number/code that links the genetic test result to the patient.</w:t>
            </w:r>
          </w:p>
        </w:tc>
      </w:tr>
      <w:tr w:rsidRPr="00AD4F6B" w:rsidR="00861BA2" w:rsidTr="001F0135" w14:paraId="469603F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861BA2" w:rsidRDefault="00861BA2" w14:paraId="1FF5CEFD"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861BA2" w:rsidRDefault="00861BA2" w14:paraId="34128C1D" w14:textId="77777777">
            <w:pPr>
              <w:rPr>
                <w:rFonts w:ascii="Arial Narrow" w:hAnsi="Arial Narrow"/>
                <w:sz w:val="20"/>
                <w:szCs w:val="20"/>
              </w:rPr>
            </w:pPr>
            <w:r w:rsidRPr="00AD4F6B">
              <w:rPr>
                <w:rFonts w:ascii="Arial Narrow" w:hAnsi="Arial Narrow"/>
                <w:sz w:val="20"/>
                <w:szCs w:val="20"/>
              </w:rPr>
              <w:t xml:space="preserve">An outcome on the authority application is not </w:t>
            </w:r>
            <w:proofErr w:type="gramStart"/>
            <w:r w:rsidRPr="00AD4F6B">
              <w:rPr>
                <w:rFonts w:ascii="Arial Narrow" w:hAnsi="Arial Narrow"/>
                <w:sz w:val="20"/>
                <w:szCs w:val="20"/>
              </w:rPr>
              <w:t>immediate, but</w:t>
            </w:r>
            <w:proofErr w:type="gramEnd"/>
            <w:r w:rsidRPr="00AD4F6B">
              <w:rPr>
                <w:rFonts w:ascii="Arial Narrow" w:hAnsi="Arial Narrow"/>
                <w:sz w:val="20"/>
                <w:szCs w:val="20"/>
              </w:rPr>
              <w:t xml:space="preserve"> will follow in due course. Electronic upload is encouraged to reduce processing time.</w:t>
            </w:r>
          </w:p>
        </w:tc>
      </w:tr>
      <w:tr w:rsidRPr="00AD4F6B" w:rsidR="00AD4F6B" w:rsidTr="00EA35AC" w14:paraId="0106F74B" w14:textId="77777777">
        <w:tblPrEx>
          <w:tblCellMar>
            <w:top w:w="15" w:type="dxa"/>
            <w:bottom w:w="15" w:type="dxa"/>
          </w:tblCellMar>
          <w:tblLook w:val="04A0" w:firstRow="1" w:lastRow="0" w:firstColumn="1" w:lastColumn="0" w:noHBand="0" w:noVBand="1"/>
        </w:tblPrEx>
        <w:trPr>
          <w:cantSplit/>
          <w:trHeight w:val="20"/>
        </w:trPr>
        <w:tc>
          <w:tcPr>
            <w:tcW w:w="5000" w:type="pct"/>
            <w:gridSpan w:val="7"/>
          </w:tcPr>
          <w:p w:rsidRPr="00AD4F6B" w:rsidR="001B3E2F" w:rsidRDefault="001B3E2F" w14:paraId="0422BC87" w14:textId="77777777">
            <w:pPr>
              <w:rPr>
                <w:rFonts w:ascii="Arial Narrow" w:hAnsi="Arial Narrow"/>
                <w:sz w:val="20"/>
                <w:szCs w:val="20"/>
              </w:rPr>
            </w:pPr>
          </w:p>
          <w:p w:rsidRPr="00AD4F6B" w:rsidR="001B3E2F" w:rsidRDefault="001B3E2F" w14:paraId="43A73772" w14:textId="77777777">
            <w:pPr>
              <w:rPr>
                <w:rFonts w:ascii="Arial Narrow" w:hAnsi="Arial Narrow"/>
                <w:sz w:val="20"/>
                <w:szCs w:val="20"/>
              </w:rPr>
            </w:pPr>
          </w:p>
        </w:tc>
      </w:tr>
      <w:tr w:rsidRPr="00AD4F6B" w:rsidR="001F0135" w:rsidTr="00A74C0B" w14:paraId="1FC425A7" w14:textId="77777777">
        <w:tblPrEx>
          <w:tblCellMar>
            <w:top w:w="15" w:type="dxa"/>
            <w:bottom w:w="15" w:type="dxa"/>
          </w:tblCellMar>
          <w:tblLook w:val="04A0" w:firstRow="1" w:lastRow="0" w:firstColumn="1" w:lastColumn="0" w:noHBand="0" w:noVBand="1"/>
        </w:tblPrEx>
        <w:trPr>
          <w:cantSplit/>
          <w:trHeight w:val="20"/>
        </w:trPr>
        <w:tc>
          <w:tcPr>
            <w:tcW w:w="5000" w:type="pct"/>
            <w:gridSpan w:val="7"/>
            <w:shd w:val="clear" w:color="auto" w:fill="BFBFBF" w:themeFill="background1" w:themeFillShade="BF"/>
            <w:vAlign w:val="center"/>
          </w:tcPr>
          <w:p w:rsidRPr="00AD4F6B" w:rsidR="001F0135" w:rsidRDefault="001F0135" w14:paraId="3E8F6FE3" w14:textId="77777777">
            <w:pPr>
              <w:rPr>
                <w:rFonts w:ascii="Arial Narrow" w:hAnsi="Arial Narrow"/>
                <w:sz w:val="20"/>
                <w:szCs w:val="20"/>
              </w:rPr>
            </w:pPr>
            <w:r w:rsidRPr="00AD4F6B">
              <w:rPr>
                <w:rFonts w:ascii="Arial Narrow" w:hAnsi="Arial Narrow"/>
                <w:b/>
                <w:sz w:val="20"/>
                <w:szCs w:val="20"/>
              </w:rPr>
              <w:t>Restriction Summary edit 15988 / Treatment of Concept: edit 15989</w:t>
            </w:r>
          </w:p>
        </w:tc>
      </w:tr>
      <w:tr w:rsidRPr="00AD4F6B" w:rsidR="001F0135" w:rsidTr="00A74C0B" w14:paraId="3EA8A31B"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6F417EC1" w14:textId="77777777">
            <w:pPr>
              <w:rPr>
                <w:rFonts w:ascii="Arial Narrow" w:hAnsi="Arial Narrow"/>
                <w:sz w:val="20"/>
                <w:szCs w:val="20"/>
              </w:rPr>
            </w:pPr>
            <w:r w:rsidRPr="00AD4F6B">
              <w:rPr>
                <w:rFonts w:ascii="Arial Narrow" w:hAnsi="Arial Narrow"/>
                <w:b/>
                <w:bCs/>
                <w:sz w:val="20"/>
                <w:szCs w:val="20"/>
              </w:rPr>
              <w:t>Indication:</w:t>
            </w:r>
            <w:r w:rsidRPr="00AD4F6B">
              <w:rPr>
                <w:rFonts w:ascii="Arial Narrow" w:hAnsi="Arial Narrow"/>
                <w:sz w:val="20"/>
                <w:szCs w:val="20"/>
              </w:rPr>
              <w:t xml:space="preserve"> Spinal muscular atrophy (SMA)</w:t>
            </w:r>
          </w:p>
        </w:tc>
      </w:tr>
      <w:tr w:rsidRPr="00AD4F6B" w:rsidR="001F0135" w:rsidTr="00A74C0B" w14:paraId="02076606"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418763AB" w14:textId="77777777">
            <w:pPr>
              <w:rPr>
                <w:rFonts w:ascii="Arial Narrow" w:hAnsi="Arial Narrow"/>
                <w:sz w:val="20"/>
                <w:szCs w:val="20"/>
              </w:rPr>
            </w:pPr>
            <w:r w:rsidRPr="00AD4F6B">
              <w:rPr>
                <w:rFonts w:ascii="Arial Narrow" w:hAnsi="Arial Narrow"/>
                <w:b/>
                <w:bCs/>
                <w:sz w:val="20"/>
                <w:szCs w:val="20"/>
              </w:rPr>
              <w:t>Treatment Phase:</w:t>
            </w:r>
            <w:r w:rsidRPr="00AD4F6B">
              <w:rPr>
                <w:rFonts w:ascii="Arial Narrow" w:hAnsi="Arial Narrow"/>
                <w:sz w:val="20"/>
                <w:szCs w:val="20"/>
              </w:rPr>
              <w:t xml:space="preserve"> Use occurring after treatment with at least one disease modifying therapy for this condition (i.e. switching from nusinersen/</w:t>
            </w:r>
            <w:proofErr w:type="spellStart"/>
            <w:r w:rsidRPr="00AD4F6B">
              <w:rPr>
                <w:rFonts w:ascii="Arial Narrow" w:hAnsi="Arial Narrow"/>
                <w:sz w:val="20"/>
                <w:szCs w:val="20"/>
              </w:rPr>
              <w:t>risdiplam</w:t>
            </w:r>
            <w:proofErr w:type="spellEnd"/>
            <w:r w:rsidRPr="00AD4F6B">
              <w:rPr>
                <w:rFonts w:ascii="Arial Narrow" w:hAnsi="Arial Narrow"/>
                <w:sz w:val="20"/>
                <w:szCs w:val="20"/>
              </w:rPr>
              <w:t xml:space="preserve"> to onasemnogene abeparvovec)</w:t>
            </w:r>
          </w:p>
        </w:tc>
      </w:tr>
      <w:tr w:rsidRPr="00AD4F6B" w:rsidR="001F0135" w:rsidTr="00A74C0B" w14:paraId="71CEF9C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1D7377FD" w14:textId="77777777">
            <w:pPr>
              <w:rPr>
                <w:rFonts w:ascii="Arial Narrow" w:hAnsi="Arial Narrow"/>
                <w:sz w:val="20"/>
                <w:szCs w:val="20"/>
              </w:rPr>
            </w:pPr>
            <w:r w:rsidRPr="00AD4F6B">
              <w:rPr>
                <w:rFonts w:ascii="Arial Narrow" w:hAnsi="Arial Narrow"/>
                <w:b/>
                <w:bCs/>
                <w:sz w:val="20"/>
                <w:szCs w:val="20"/>
              </w:rPr>
              <w:t xml:space="preserve">Clinical criteria: </w:t>
            </w:r>
          </w:p>
        </w:tc>
      </w:tr>
      <w:tr w:rsidRPr="00AD4F6B" w:rsidR="001F0135" w:rsidTr="00A74C0B" w14:paraId="64D187F7"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668704D7" w14:textId="77777777">
            <w:pPr>
              <w:rPr>
                <w:rFonts w:ascii="Arial Narrow" w:hAnsi="Arial Narrow"/>
                <w:sz w:val="20"/>
                <w:szCs w:val="20"/>
              </w:rPr>
            </w:pPr>
            <w:r w:rsidRPr="00AD4F6B">
              <w:rPr>
                <w:rFonts w:ascii="Arial Narrow" w:hAnsi="Arial Narrow"/>
                <w:sz w:val="20"/>
                <w:szCs w:val="20"/>
              </w:rPr>
              <w:t>The treatment must be given concomitantly with best supportive care for this condition</w:t>
            </w:r>
          </w:p>
        </w:tc>
      </w:tr>
      <w:tr w:rsidRPr="00AD4F6B" w:rsidR="001F0135" w:rsidTr="00A74C0B" w14:paraId="166C5ECE"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79358CED"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1F0135" w:rsidTr="00A74C0B" w14:paraId="194E6AF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30FA9C64" w14:textId="77777777">
            <w:pPr>
              <w:rPr>
                <w:rFonts w:ascii="Arial Narrow" w:hAnsi="Arial Narrow"/>
                <w:sz w:val="20"/>
                <w:szCs w:val="20"/>
              </w:rPr>
            </w:pPr>
            <w:r w:rsidRPr="00AD4F6B">
              <w:rPr>
                <w:rFonts w:ascii="Arial Narrow" w:hAnsi="Arial Narrow"/>
                <w:b/>
                <w:bCs/>
                <w:sz w:val="20"/>
                <w:szCs w:val="20"/>
              </w:rPr>
              <w:t>Clinical criteria:</w:t>
            </w:r>
          </w:p>
        </w:tc>
      </w:tr>
      <w:tr w:rsidRPr="00AD4F6B" w:rsidR="001F0135" w:rsidTr="00A74C0B" w14:paraId="796F3FA7"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16634588" w14:textId="77777777">
            <w:pPr>
              <w:rPr>
                <w:rFonts w:ascii="Arial Narrow" w:hAnsi="Arial Narrow"/>
                <w:sz w:val="20"/>
                <w:szCs w:val="20"/>
              </w:rPr>
            </w:pPr>
            <w:r w:rsidRPr="00AD4F6B">
              <w:rPr>
                <w:rFonts w:ascii="Arial Narrow" w:hAnsi="Arial Narrow"/>
                <w:sz w:val="20"/>
                <w:szCs w:val="20"/>
              </w:rPr>
              <w:t>The treatment must not be a PBS-subsidised benefit where the condition has progressed to a point where invasive permanent assisted ventilation (i.e. ventilation via tracheostomy tube for at least 16 hours per day) is required in the absence of potentially reversible causes</w:t>
            </w:r>
          </w:p>
        </w:tc>
      </w:tr>
      <w:tr w:rsidRPr="00AD4F6B" w:rsidR="001F0135" w:rsidTr="00A74C0B" w14:paraId="4AC90E8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194D6FDC"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1F0135" w:rsidTr="00A74C0B" w14:paraId="0E033F3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5AB28773" w14:textId="3FE48B21">
            <w:pPr>
              <w:rPr>
                <w:rFonts w:ascii="Arial Narrow" w:hAnsi="Arial Narrow"/>
                <w:sz w:val="20"/>
                <w:szCs w:val="20"/>
              </w:rPr>
            </w:pPr>
            <w:r w:rsidRPr="00AD4F6B">
              <w:rPr>
                <w:rFonts w:ascii="Arial Narrow" w:hAnsi="Arial Narrow"/>
                <w:sz w:val="20"/>
                <w:szCs w:val="20"/>
              </w:rPr>
              <w:t>Patient must be undergoing treatment with this pharmaceutical benefit following prior PBS-subsidised treatment with at least one other disease modifying therapy for this condition prior to 36 months of age</w:t>
            </w:r>
          </w:p>
        </w:tc>
      </w:tr>
      <w:tr w:rsidRPr="00AD4F6B" w:rsidR="001F0135" w:rsidTr="00A74C0B" w14:paraId="1992216B"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51789251"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1F0135" w:rsidTr="00A74C0B" w14:paraId="17C9D6B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4E93D11B"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1F0135" w:rsidTr="00A74C0B" w14:paraId="129AF3CB"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2E83D54F" w14:textId="77777777">
            <w:pPr>
              <w:rPr>
                <w:rFonts w:ascii="Arial Narrow" w:hAnsi="Arial Narrow"/>
                <w:sz w:val="20"/>
                <w:szCs w:val="20"/>
              </w:rPr>
            </w:pPr>
            <w:r w:rsidRPr="00AD4F6B">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Pr="00AD4F6B" w:rsidR="001F0135" w:rsidTr="00A74C0B" w14:paraId="284E02C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324BFDA2"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1F0135" w:rsidTr="00A74C0B" w14:paraId="30BBE167"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2702C7E8"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1F0135" w:rsidTr="00A74C0B" w14:paraId="5CD1BC52"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7F46DE79" w14:textId="77777777">
            <w:pPr>
              <w:rPr>
                <w:rFonts w:ascii="Arial Narrow" w:hAnsi="Arial Narrow"/>
                <w:sz w:val="20"/>
                <w:szCs w:val="20"/>
              </w:rPr>
            </w:pPr>
            <w:r w:rsidRPr="00AD4F6B">
              <w:rPr>
                <w:rFonts w:ascii="Arial Narrow" w:hAnsi="Arial Narrow"/>
                <w:sz w:val="20"/>
                <w:szCs w:val="20"/>
              </w:rPr>
              <w:t>Must be treated in a treatment centre that is each of: (i) recognised in the management of SMA, (ii) accredited in the use of this gene technology by the relevant authority, (iii) will(has) source(d) this product from an accredited supplier, as specified in the administrative notes to this listing</w:t>
            </w:r>
          </w:p>
        </w:tc>
      </w:tr>
      <w:tr w:rsidRPr="00AD4F6B" w:rsidR="001F0135" w:rsidTr="00A74C0B" w14:paraId="559E164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2B757F36"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1F0135" w:rsidTr="00A74C0B" w14:paraId="29D58EC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26F1EB1D"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1F0135" w:rsidTr="00A74C0B" w14:paraId="5F9D1B61"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1DD71714"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once only in a lifetime</w:t>
            </w:r>
          </w:p>
        </w:tc>
      </w:tr>
      <w:tr w:rsidRPr="00AD4F6B" w:rsidR="001F0135" w:rsidTr="00A74C0B" w14:paraId="1A0D0380"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39D42144" w14:textId="77777777">
            <w:pPr>
              <w:rPr>
                <w:rFonts w:ascii="Arial Narrow" w:hAnsi="Arial Narrow"/>
                <w:sz w:val="20"/>
                <w:szCs w:val="20"/>
              </w:rPr>
            </w:pPr>
            <w:r w:rsidRPr="00AD4F6B">
              <w:rPr>
                <w:rFonts w:ascii="Arial Narrow" w:hAnsi="Arial Narrow" w:cs="Arial Narrow"/>
                <w:b/>
                <w:bCs/>
                <w:iCs/>
                <w:sz w:val="20"/>
                <w:szCs w:val="20"/>
              </w:rPr>
              <w:t>AND</w:t>
            </w:r>
          </w:p>
        </w:tc>
      </w:tr>
      <w:tr w:rsidRPr="00AD4F6B" w:rsidR="001F0135" w:rsidTr="00A74C0B" w14:paraId="0FCB0E5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7D7BC1E9" w14:textId="77777777">
            <w:pPr>
              <w:rPr>
                <w:rFonts w:ascii="Arial Narrow" w:hAnsi="Arial Narrow"/>
                <w:sz w:val="20"/>
                <w:szCs w:val="20"/>
              </w:rPr>
            </w:pPr>
            <w:r w:rsidRPr="00AD4F6B">
              <w:rPr>
                <w:rFonts w:ascii="Arial Narrow" w:hAnsi="Arial Narrow"/>
                <w:b/>
                <w:bCs/>
                <w:sz w:val="20"/>
                <w:szCs w:val="20"/>
              </w:rPr>
              <w:t>Treatment criteria:</w:t>
            </w:r>
          </w:p>
        </w:tc>
      </w:tr>
      <w:tr w:rsidRPr="00AD4F6B" w:rsidR="001F0135" w:rsidTr="00A74C0B" w14:paraId="3ADF977D"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3505CEE9" w14:textId="77777777">
            <w:pPr>
              <w:rPr>
                <w:rFonts w:ascii="Arial Narrow" w:hAnsi="Arial Narrow"/>
                <w:sz w:val="20"/>
                <w:szCs w:val="20"/>
              </w:rPr>
            </w:pPr>
            <w:r w:rsidRPr="00AD4F6B">
              <w:rPr>
                <w:rFonts w:ascii="Arial Narrow" w:hAnsi="Arial Narrow"/>
                <w:sz w:val="20"/>
                <w:szCs w:val="20"/>
              </w:rPr>
              <w:t>Patient must be undergoing treatment with this pharmaceutical benefit with the intent that treatment with the replaced disease modifying agent is/has ceased</w:t>
            </w:r>
          </w:p>
        </w:tc>
      </w:tr>
      <w:tr w:rsidRPr="00AD4F6B" w:rsidR="001F0135" w:rsidTr="00A74C0B" w14:paraId="4C67AB2C"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4D8397E9" w14:textId="77777777">
            <w:pPr>
              <w:rPr>
                <w:rFonts w:ascii="Arial Narrow" w:hAnsi="Arial Narrow"/>
                <w:sz w:val="20"/>
                <w:szCs w:val="20"/>
              </w:rPr>
            </w:pPr>
            <w:r w:rsidRPr="00AD4F6B">
              <w:rPr>
                <w:rFonts w:ascii="Arial Narrow" w:hAnsi="Arial Narrow"/>
                <w:b/>
                <w:bCs/>
                <w:sz w:val="20"/>
                <w:szCs w:val="20"/>
              </w:rPr>
              <w:t>Population criteria:</w:t>
            </w:r>
          </w:p>
        </w:tc>
      </w:tr>
      <w:tr w:rsidRPr="00AD4F6B" w:rsidR="001F0135" w:rsidTr="00A74C0B" w14:paraId="33027035"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0E8118A8" w14:textId="77777777">
            <w:pPr>
              <w:rPr>
                <w:rFonts w:ascii="Arial Narrow" w:hAnsi="Arial Narrow"/>
                <w:strike/>
                <w:sz w:val="20"/>
                <w:szCs w:val="20"/>
              </w:rPr>
            </w:pPr>
            <w:r w:rsidRPr="00AD4F6B">
              <w:rPr>
                <w:rFonts w:ascii="Arial Narrow" w:hAnsi="Arial Narrow"/>
                <w:strike/>
                <w:sz w:val="20"/>
                <w:szCs w:val="20"/>
              </w:rPr>
              <w:t>Patient must be no older than 9 months of age</w:t>
            </w:r>
          </w:p>
          <w:p w:rsidRPr="00AD4F6B" w:rsidR="001F0135" w:rsidRDefault="001F0135" w14:paraId="099BA480" w14:textId="7670E027">
            <w:pPr>
              <w:rPr>
                <w:rFonts w:ascii="Arial Narrow" w:hAnsi="Arial Narrow"/>
                <w:sz w:val="20"/>
                <w:szCs w:val="20"/>
              </w:rPr>
            </w:pPr>
            <w:r w:rsidRPr="00AD4F6B">
              <w:rPr>
                <w:rFonts w:ascii="Arial Narrow" w:hAnsi="Arial Narrow"/>
                <w:sz w:val="20"/>
                <w:szCs w:val="20"/>
              </w:rPr>
              <w:t>Patient must weigh 21 kg or less</w:t>
            </w:r>
          </w:p>
        </w:tc>
      </w:tr>
      <w:tr w:rsidRPr="00AD4F6B" w:rsidR="001F0135" w:rsidTr="00A74C0B" w14:paraId="387EB9D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7034E694" w14:textId="77777777">
            <w:pPr>
              <w:rPr>
                <w:rFonts w:ascii="Arial Narrow" w:hAnsi="Arial Narrow"/>
                <w:strike/>
                <w:sz w:val="20"/>
                <w:szCs w:val="20"/>
              </w:rPr>
            </w:pPr>
            <w:r w:rsidRPr="00AD4F6B">
              <w:rPr>
                <w:rFonts w:ascii="Arial Narrow" w:hAnsi="Arial Narrow" w:cs="Arial Narrow"/>
                <w:b/>
                <w:bCs/>
                <w:iCs/>
                <w:strike/>
                <w:sz w:val="20"/>
                <w:szCs w:val="20"/>
              </w:rPr>
              <w:t>AND</w:t>
            </w:r>
          </w:p>
        </w:tc>
      </w:tr>
      <w:tr w:rsidRPr="00AD4F6B" w:rsidR="001F0135" w:rsidTr="00A74C0B" w14:paraId="12D64BCF" w14:textId="77777777">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rsidRPr="00AD4F6B" w:rsidR="001F0135" w:rsidRDefault="001F0135" w14:paraId="48738586" w14:textId="77777777">
            <w:pPr>
              <w:rPr>
                <w:rFonts w:ascii="Arial Narrow" w:hAnsi="Arial Narrow"/>
                <w:strike/>
                <w:sz w:val="20"/>
                <w:szCs w:val="20"/>
              </w:rPr>
            </w:pPr>
            <w:r w:rsidRPr="00AD4F6B">
              <w:rPr>
                <w:rFonts w:ascii="Arial Narrow" w:hAnsi="Arial Narrow"/>
                <w:b/>
                <w:bCs/>
                <w:strike/>
                <w:sz w:val="20"/>
                <w:szCs w:val="20"/>
              </w:rPr>
              <w:t>Population criteria:</w:t>
            </w:r>
          </w:p>
        </w:tc>
      </w:tr>
      <w:tr w:rsidRPr="00AD4F6B" w:rsidR="00A74C0B" w:rsidTr="00A865A0" w14:paraId="497EC274" w14:textId="77777777">
        <w:tblPrEx>
          <w:tblCellMar>
            <w:top w:w="15" w:type="dxa"/>
            <w:bottom w:w="15" w:type="dxa"/>
          </w:tblCellMar>
          <w:tblLook w:val="04A0" w:firstRow="1" w:lastRow="0" w:firstColumn="1" w:lastColumn="0" w:noHBand="0" w:noVBand="1"/>
        </w:tblPrEx>
        <w:trPr>
          <w:gridAfter w:val="1"/>
          <w:wAfter w:w="50" w:type="pct"/>
          <w:cantSplit/>
          <w:trHeight w:val="20"/>
        </w:trPr>
        <w:tc>
          <w:tcPr>
            <w:tcW w:w="4950" w:type="pct"/>
            <w:gridSpan w:val="6"/>
          </w:tcPr>
          <w:p w:rsidRPr="00AD4F6B" w:rsidR="00A74C0B" w:rsidRDefault="00A74C0B" w14:paraId="6F48735E" w14:textId="77777777">
            <w:pPr>
              <w:rPr>
                <w:rFonts w:ascii="Arial Narrow" w:hAnsi="Arial Narrow"/>
                <w:strike/>
                <w:sz w:val="20"/>
                <w:szCs w:val="20"/>
              </w:rPr>
            </w:pPr>
            <w:r w:rsidRPr="00AD4F6B">
              <w:rPr>
                <w:rFonts w:ascii="Arial Narrow" w:hAnsi="Arial Narrow"/>
                <w:strike/>
                <w:sz w:val="20"/>
                <w:szCs w:val="20"/>
              </w:rPr>
              <w:t>Patient must have pre-symptomatic SMA with 3 copies of the SMN2 gene</w:t>
            </w:r>
          </w:p>
        </w:tc>
      </w:tr>
      <w:tr w:rsidRPr="00AD4F6B" w:rsidR="00A74C0B" w:rsidTr="00A865A0" w14:paraId="4D3E567D" w14:textId="77777777">
        <w:tblPrEx>
          <w:tblCellMar>
            <w:top w:w="15" w:type="dxa"/>
            <w:bottom w:w="15" w:type="dxa"/>
          </w:tblCellMar>
          <w:tblLook w:val="04A0" w:firstRow="1" w:lastRow="0" w:firstColumn="1" w:lastColumn="0" w:noHBand="0" w:noVBand="1"/>
        </w:tblPrEx>
        <w:trPr>
          <w:gridAfter w:val="1"/>
          <w:wAfter w:w="50" w:type="pct"/>
          <w:cantSplit/>
          <w:trHeight w:val="20"/>
        </w:trPr>
        <w:tc>
          <w:tcPr>
            <w:tcW w:w="4950" w:type="pct"/>
            <w:gridSpan w:val="6"/>
            <w:vAlign w:val="center"/>
          </w:tcPr>
          <w:p w:rsidRPr="00AD4F6B" w:rsidR="00A74C0B" w:rsidRDefault="00A74C0B" w14:paraId="6BBF6590"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A74C0B" w:rsidRDefault="00A74C0B" w14:paraId="28A835C8" w14:textId="77777777">
            <w:pPr>
              <w:rPr>
                <w:rFonts w:ascii="Arial Narrow" w:hAnsi="Arial Narrow"/>
                <w:sz w:val="20"/>
                <w:szCs w:val="20"/>
              </w:rPr>
            </w:pPr>
            <w:r w:rsidRPr="00AD4F6B">
              <w:rPr>
                <w:rFonts w:ascii="Arial Narrow" w:hAnsi="Arial Narrow"/>
                <w:sz w:val="20"/>
                <w:szCs w:val="20"/>
              </w:rPr>
              <w:t xml:space="preserve">The authority application must be made </w:t>
            </w:r>
            <w:r w:rsidRPr="00AD4F6B">
              <w:rPr>
                <w:rFonts w:ascii="Arial Narrow" w:hAnsi="Arial Narrow"/>
                <w:i/>
                <w:sz w:val="20"/>
                <w:szCs w:val="20"/>
              </w:rPr>
              <w:t>via the Online PBS Authorities System, or</w:t>
            </w:r>
            <w:r w:rsidRPr="00AD4F6B">
              <w:rPr>
                <w:rFonts w:ascii="Arial Narrow" w:hAnsi="Arial Narrow"/>
                <w:sz w:val="20"/>
                <w:szCs w:val="20"/>
              </w:rPr>
              <w:t xml:space="preserve"> in writing </w:t>
            </w:r>
            <w:r w:rsidRPr="00AD4F6B">
              <w:rPr>
                <w:rFonts w:ascii="Arial Narrow" w:hAnsi="Arial Narrow"/>
                <w:i/>
                <w:sz w:val="20"/>
                <w:szCs w:val="20"/>
              </w:rPr>
              <w:t>via HPOS form upload or mail</w:t>
            </w:r>
            <w:r w:rsidRPr="00AD4F6B">
              <w:rPr>
                <w:rFonts w:ascii="Arial Narrow" w:hAnsi="Arial Narrow"/>
                <w:sz w:val="20"/>
                <w:szCs w:val="20"/>
              </w:rPr>
              <w:t xml:space="preserve"> and must include:</w:t>
            </w:r>
          </w:p>
          <w:p w:rsidRPr="00AD4F6B" w:rsidR="00A74C0B" w:rsidRDefault="00A74C0B" w14:paraId="582405DB" w14:textId="77777777">
            <w:pPr>
              <w:rPr>
                <w:rFonts w:ascii="Arial Narrow" w:hAnsi="Arial Narrow"/>
                <w:sz w:val="20"/>
                <w:szCs w:val="20"/>
              </w:rPr>
            </w:pPr>
            <w:r w:rsidRPr="00AD4F6B">
              <w:rPr>
                <w:rFonts w:ascii="Arial Narrow" w:hAnsi="Arial Narrow"/>
                <w:sz w:val="20"/>
                <w:szCs w:val="20"/>
              </w:rPr>
              <w:t>(1) details of the proposed prescription</w:t>
            </w:r>
            <w:r w:rsidRPr="00AD4F6B">
              <w:rPr>
                <w:rFonts w:ascii="Arial Narrow" w:hAnsi="Arial Narrow"/>
                <w:i/>
                <w:sz w:val="20"/>
                <w:szCs w:val="20"/>
              </w:rPr>
              <w:t>(s)</w:t>
            </w:r>
            <w:r w:rsidRPr="00AD4F6B">
              <w:rPr>
                <w:rFonts w:ascii="Arial Narrow" w:hAnsi="Arial Narrow"/>
                <w:sz w:val="20"/>
                <w:szCs w:val="20"/>
              </w:rPr>
              <w:t>; and</w:t>
            </w:r>
          </w:p>
          <w:p w:rsidRPr="00AD4F6B" w:rsidR="00A74C0B" w:rsidRDefault="00A74C0B" w14:paraId="79019858" w14:textId="77777777">
            <w:pPr>
              <w:rPr>
                <w:rFonts w:ascii="Arial Narrow" w:hAnsi="Arial Narrow"/>
                <w:sz w:val="20"/>
                <w:szCs w:val="20"/>
              </w:rPr>
            </w:pPr>
            <w:r w:rsidRPr="00AD4F6B">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Pr="00AD4F6B" w:rsidR="00A74C0B" w:rsidTr="00A865A0" w14:paraId="7EE16DB1" w14:textId="77777777">
        <w:tblPrEx>
          <w:tblCellMar>
            <w:top w:w="15" w:type="dxa"/>
            <w:bottom w:w="15" w:type="dxa"/>
          </w:tblCellMar>
          <w:tblLook w:val="04A0" w:firstRow="1" w:lastRow="0" w:firstColumn="1" w:lastColumn="0" w:noHBand="0" w:noVBand="1"/>
        </w:tblPrEx>
        <w:trPr>
          <w:gridAfter w:val="1"/>
          <w:wAfter w:w="50" w:type="pct"/>
          <w:cantSplit/>
          <w:trHeight w:val="20"/>
        </w:trPr>
        <w:tc>
          <w:tcPr>
            <w:tcW w:w="4950" w:type="pct"/>
            <w:gridSpan w:val="6"/>
            <w:vAlign w:val="center"/>
          </w:tcPr>
          <w:p w:rsidRPr="00AD4F6B" w:rsidR="00A74C0B" w:rsidRDefault="00A74C0B" w14:paraId="7AAA1517"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A74C0B" w:rsidRDefault="00A74C0B" w14:paraId="69F81EA5" w14:textId="77777777">
            <w:pPr>
              <w:rPr>
                <w:rFonts w:ascii="Arial Narrow" w:hAnsi="Arial Narrow"/>
                <w:sz w:val="20"/>
                <w:szCs w:val="20"/>
              </w:rPr>
            </w:pPr>
            <w:r w:rsidRPr="00AD4F6B">
              <w:rPr>
                <w:rFonts w:ascii="Arial Narrow" w:hAnsi="Arial Narrow"/>
                <w:sz w:val="20"/>
                <w:szCs w:val="20"/>
              </w:rPr>
              <w:t>Do not resubmit previously submitted documentation concerning the diagnosis and type of SMA.</w:t>
            </w:r>
          </w:p>
          <w:p w:rsidRPr="00AD4F6B" w:rsidR="00A74C0B" w:rsidRDefault="00A74C0B" w14:paraId="6EBC938E" w14:textId="77777777">
            <w:pPr>
              <w:rPr>
                <w:rFonts w:ascii="Arial Narrow" w:hAnsi="Arial Narrow"/>
                <w:sz w:val="20"/>
                <w:szCs w:val="20"/>
              </w:rPr>
            </w:pPr>
          </w:p>
          <w:p w:rsidRPr="00AD4F6B" w:rsidR="00A74C0B" w:rsidRDefault="00A74C0B" w14:paraId="537592D7" w14:textId="77777777">
            <w:pPr>
              <w:rPr>
                <w:rFonts w:ascii="Arial Narrow" w:hAnsi="Arial Narrow"/>
                <w:sz w:val="20"/>
                <w:szCs w:val="20"/>
              </w:rPr>
            </w:pPr>
            <w:r w:rsidRPr="00AD4F6B">
              <w:rPr>
                <w:rFonts w:ascii="Arial Narrow" w:hAnsi="Arial Narrow"/>
                <w:sz w:val="20"/>
                <w:szCs w:val="20"/>
              </w:rPr>
              <w:t>Confirm that a previous PBS authority application has been approved for pre-symptomatic SMA with 3 copies of SMN2 gene.</w:t>
            </w:r>
          </w:p>
          <w:p w:rsidRPr="00AD4F6B" w:rsidR="00A74C0B" w:rsidRDefault="00A74C0B" w14:paraId="608F1D71" w14:textId="77777777">
            <w:pPr>
              <w:rPr>
                <w:rFonts w:ascii="Arial Narrow" w:hAnsi="Arial Narrow"/>
                <w:sz w:val="20"/>
                <w:szCs w:val="20"/>
              </w:rPr>
            </w:pPr>
          </w:p>
          <w:p w:rsidRPr="00AD4F6B" w:rsidR="00A74C0B" w:rsidRDefault="00A74C0B" w14:paraId="6D6961FF" w14:textId="77777777">
            <w:pPr>
              <w:rPr>
                <w:rFonts w:ascii="Arial Narrow" w:hAnsi="Arial Narrow"/>
                <w:sz w:val="20"/>
                <w:szCs w:val="20"/>
              </w:rPr>
            </w:pPr>
            <w:r w:rsidRPr="00AD4F6B">
              <w:rPr>
                <w:rFonts w:ascii="Arial Narrow" w:hAnsi="Arial Narrow"/>
                <w:sz w:val="20"/>
                <w:szCs w:val="20"/>
              </w:rPr>
              <w:t>State the weight of the patient in kilograms and request the appropriate product pack presentation with respect to the mix of 5.5 mL and 8.3 mL vials.</w:t>
            </w:r>
          </w:p>
        </w:tc>
      </w:tr>
      <w:tr w:rsidRPr="00AD4F6B" w:rsidR="00A74C0B" w:rsidTr="00A865A0" w14:paraId="4C6D200F" w14:textId="77777777">
        <w:tblPrEx>
          <w:tblCellMar>
            <w:top w:w="15" w:type="dxa"/>
            <w:bottom w:w="15" w:type="dxa"/>
          </w:tblCellMar>
          <w:tblLook w:val="04A0" w:firstRow="1" w:lastRow="0" w:firstColumn="1" w:lastColumn="0" w:noHBand="0" w:noVBand="1"/>
        </w:tblPrEx>
        <w:trPr>
          <w:gridAfter w:val="1"/>
          <w:wAfter w:w="50" w:type="pct"/>
          <w:cantSplit/>
          <w:trHeight w:val="20"/>
        </w:trPr>
        <w:tc>
          <w:tcPr>
            <w:tcW w:w="4950" w:type="pct"/>
            <w:gridSpan w:val="6"/>
            <w:vAlign w:val="center"/>
          </w:tcPr>
          <w:p w:rsidRPr="00AD4F6B" w:rsidR="00A74C0B" w:rsidRDefault="00A74C0B" w14:paraId="353C3098"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A74C0B" w:rsidRDefault="00A74C0B" w14:paraId="61210FEF" w14:textId="77777777">
            <w:pPr>
              <w:rPr>
                <w:rFonts w:ascii="Arial Narrow" w:hAnsi="Arial Narrow"/>
                <w:sz w:val="20"/>
                <w:szCs w:val="20"/>
              </w:rPr>
            </w:pPr>
            <w:r w:rsidRPr="00AD4F6B">
              <w:rPr>
                <w:rFonts w:ascii="Arial Narrow" w:hAnsi="Arial Narrow"/>
                <w:sz w:val="20"/>
                <w:szCs w:val="20"/>
              </w:rPr>
              <w:t>Adhere to any Product Information or local treatment guidelines with respect to treatment-free ('wash out') periods prior to administering this benefit.</w:t>
            </w:r>
          </w:p>
        </w:tc>
      </w:tr>
      <w:tr w:rsidRPr="00AD4F6B" w:rsidR="00A74C0B" w:rsidTr="00A865A0" w14:paraId="3AB3D84C" w14:textId="77777777">
        <w:tblPrEx>
          <w:tblCellMar>
            <w:top w:w="15" w:type="dxa"/>
            <w:bottom w:w="15" w:type="dxa"/>
          </w:tblCellMar>
          <w:tblLook w:val="04A0" w:firstRow="1" w:lastRow="0" w:firstColumn="1" w:lastColumn="0" w:noHBand="0" w:noVBand="1"/>
        </w:tblPrEx>
        <w:trPr>
          <w:gridAfter w:val="1"/>
          <w:wAfter w:w="50" w:type="pct"/>
          <w:cantSplit/>
          <w:trHeight w:val="20"/>
        </w:trPr>
        <w:tc>
          <w:tcPr>
            <w:tcW w:w="4950" w:type="pct"/>
            <w:gridSpan w:val="6"/>
            <w:vAlign w:val="center"/>
          </w:tcPr>
          <w:p w:rsidRPr="00AD4F6B" w:rsidR="00A74C0B" w:rsidRDefault="00A74C0B" w14:paraId="230A95DB" w14:textId="77777777">
            <w:pPr>
              <w:rPr>
                <w:rFonts w:ascii="Arial Narrow" w:hAnsi="Arial Narrow"/>
                <w:b/>
                <w:bCs/>
                <w:sz w:val="20"/>
                <w:szCs w:val="20"/>
              </w:rPr>
            </w:pPr>
            <w:r w:rsidRPr="00AD4F6B">
              <w:rPr>
                <w:rFonts w:ascii="Arial Narrow" w:hAnsi="Arial Narrow"/>
                <w:b/>
                <w:bCs/>
                <w:sz w:val="20"/>
                <w:szCs w:val="20"/>
              </w:rPr>
              <w:t xml:space="preserve">Prescribing Instructions: </w:t>
            </w:r>
          </w:p>
          <w:p w:rsidRPr="00AD4F6B" w:rsidR="00A74C0B" w:rsidRDefault="00A74C0B" w14:paraId="6823A668" w14:textId="77777777">
            <w:pPr>
              <w:rPr>
                <w:rFonts w:ascii="Arial Narrow" w:hAnsi="Arial Narrow"/>
                <w:sz w:val="20"/>
                <w:szCs w:val="20"/>
              </w:rPr>
            </w:pPr>
            <w:r w:rsidRPr="00AD4F6B">
              <w:rPr>
                <w:rFonts w:ascii="Arial Narrow" w:hAnsi="Arial Narrow"/>
                <w:sz w:val="20"/>
                <w:szCs w:val="20"/>
              </w:rPr>
              <w:t xml:space="preserve">An outcome on the authority application is not </w:t>
            </w:r>
            <w:proofErr w:type="gramStart"/>
            <w:r w:rsidRPr="00AD4F6B">
              <w:rPr>
                <w:rFonts w:ascii="Arial Narrow" w:hAnsi="Arial Narrow"/>
                <w:sz w:val="20"/>
                <w:szCs w:val="20"/>
              </w:rPr>
              <w:t>immediate, but</w:t>
            </w:r>
            <w:proofErr w:type="gramEnd"/>
            <w:r w:rsidRPr="00AD4F6B">
              <w:rPr>
                <w:rFonts w:ascii="Arial Narrow" w:hAnsi="Arial Narrow"/>
                <w:sz w:val="20"/>
                <w:szCs w:val="20"/>
              </w:rPr>
              <w:t xml:space="preserve"> will follow in due course. Electronic upload is encouraged to reduce processing time.</w:t>
            </w:r>
          </w:p>
        </w:tc>
      </w:tr>
    </w:tbl>
    <w:p w:rsidRPr="00AD4F6B" w:rsidR="00753B29" w:rsidP="00753B29" w:rsidRDefault="00753B29" w14:paraId="77C8D733" w14:textId="77777777"/>
    <w:p w:rsidRPr="00464F52" w:rsidR="00C07C04" w:rsidP="00464F52" w:rsidRDefault="00686EB8" w14:paraId="3ABDE07A" w14:textId="3384192D">
      <w:pPr>
        <w:spacing w:before="120"/>
        <w:rPr>
          <w:rFonts w:asciiTheme="minorHAnsi" w:hAnsiTheme="minorHAnsi"/>
          <w:b/>
          <w:i/>
          <w:iCs/>
          <w:snapToGrid w:val="0"/>
          <w:lang w:val="en-GB"/>
        </w:rPr>
      </w:pPr>
      <w:r w:rsidRPr="00AD4F6B">
        <w:rPr>
          <w:rFonts w:asciiTheme="minorHAnsi" w:hAnsiTheme="minorHAnsi"/>
          <w:b/>
          <w:i/>
          <w:iCs/>
          <w:snapToGrid w:val="0"/>
          <w:lang w:val="en-GB"/>
        </w:rPr>
        <w:t>These restrictions may be subject to further review. Should there be any changes made to the restriction the sponsor will be informed.</w:t>
      </w:r>
    </w:p>
    <w:p w:rsidR="004278DA" w:rsidP="004278DA" w:rsidRDefault="004278DA" w14:paraId="16E9812F" w14:textId="77777777">
      <w:pPr>
        <w:pStyle w:val="COMH1numbered"/>
        <w:numPr>
          <w:ilvl w:val="0"/>
          <w:numId w:val="0"/>
        </w:numPr>
        <w:ind w:left="720" w:hanging="720"/>
        <w:rPr>
          <w:bCs/>
          <w:lang w:val="en-GB"/>
        </w:rPr>
      </w:pPr>
      <w:bookmarkStart w:name="_Hlk219795394" w:id="65"/>
      <w:r w:rsidRPr="00C07617">
        <w:t>9</w:t>
      </w:r>
      <w:r w:rsidRPr="00C07617">
        <w:tab/>
      </w:r>
      <w:r w:rsidRPr="00C07617">
        <w:t>Context for Decision</w:t>
      </w:r>
    </w:p>
    <w:p w:rsidRPr="00311EEF" w:rsidR="004278DA" w:rsidP="004278DA" w:rsidRDefault="004278DA" w14:paraId="170DB447" w14:textId="77777777">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Pr="00311EEF" w:rsidR="004278DA" w:rsidP="004278DA" w:rsidRDefault="004278DA" w14:paraId="03C9D739" w14:textId="77777777">
      <w:pPr>
        <w:pStyle w:val="COMH1numbered"/>
        <w:numPr>
          <w:ilvl w:val="0"/>
          <w:numId w:val="0"/>
        </w:numPr>
        <w:ind w:left="720" w:hanging="720"/>
      </w:pPr>
      <w:r w:rsidRPr="00311EEF">
        <w:t>10</w:t>
      </w:r>
      <w:r>
        <w:tab/>
      </w:r>
      <w:r w:rsidRPr="00311EEF">
        <w:t>Sponsor’s Comment</w:t>
      </w:r>
    </w:p>
    <w:p w:rsidRPr="006B3D3B" w:rsidR="00BF799F" w:rsidP="00852A17" w:rsidRDefault="00BF799F" w14:paraId="0CB4C6AF" w14:textId="7A7D39A1">
      <w:pPr>
        <w:spacing w:after="120"/>
        <w:ind w:left="720"/>
        <w:rPr>
          <w:rFonts w:asciiTheme="minorHAnsi" w:hAnsiTheme="minorHAnsi"/>
          <w:bCs/>
          <w:lang w:val="en-GB"/>
        </w:rPr>
      </w:pPr>
      <w:r w:rsidRPr="006B3D3B">
        <w:rPr>
          <w:rFonts w:asciiTheme="minorHAnsi" w:hAnsiTheme="minorHAnsi"/>
          <w:bCs/>
          <w:lang w:val="en-GB"/>
        </w:rPr>
        <w:t>Novartis welcomes the PBAC’s decision to extend the listing of ONA</w:t>
      </w:r>
      <w:r w:rsidRPr="006B3D3B" w:rsidR="008E7418">
        <w:rPr>
          <w:rFonts w:asciiTheme="minorHAnsi" w:hAnsiTheme="minorHAnsi"/>
          <w:bCs/>
          <w:lang w:val="en-GB"/>
        </w:rPr>
        <w:t xml:space="preserve"> to include </w:t>
      </w:r>
      <w:r w:rsidRPr="006B3D3B" w:rsidR="003D200F">
        <w:rPr>
          <w:rFonts w:asciiTheme="minorHAnsi" w:hAnsiTheme="minorHAnsi"/>
          <w:bCs/>
          <w:lang w:val="en-GB"/>
        </w:rPr>
        <w:t>paediatric patients weighing up to 21kg who have previously been unable to access treatment</w:t>
      </w:r>
      <w:r w:rsidRPr="006B3D3B" w:rsidR="00290B90">
        <w:rPr>
          <w:rFonts w:asciiTheme="minorHAnsi" w:hAnsiTheme="minorHAnsi"/>
          <w:bCs/>
          <w:lang w:val="en-GB"/>
        </w:rPr>
        <w:t xml:space="preserve"> and </w:t>
      </w:r>
      <w:r w:rsidRPr="006B3D3B" w:rsidR="00926BBD">
        <w:rPr>
          <w:rFonts w:asciiTheme="minorHAnsi" w:hAnsiTheme="minorHAnsi"/>
          <w:bCs/>
          <w:lang w:val="en-GB"/>
        </w:rPr>
        <w:t>t</w:t>
      </w:r>
      <w:r w:rsidRPr="006B3D3B" w:rsidR="00290B90">
        <w:rPr>
          <w:rFonts w:asciiTheme="minorHAnsi" w:hAnsiTheme="minorHAnsi"/>
          <w:bCs/>
          <w:lang w:val="en-GB"/>
        </w:rPr>
        <w:t xml:space="preserve">he pragmatic approach to evaluating </w:t>
      </w:r>
      <w:r w:rsidRPr="006B3D3B" w:rsidR="00CF2BCB">
        <w:rPr>
          <w:rFonts w:asciiTheme="minorHAnsi" w:hAnsiTheme="minorHAnsi"/>
          <w:bCs/>
          <w:lang w:val="en-GB"/>
        </w:rPr>
        <w:t>data</w:t>
      </w:r>
      <w:r w:rsidRPr="006B3D3B" w:rsidR="00217872">
        <w:rPr>
          <w:rFonts w:asciiTheme="minorHAnsi" w:hAnsiTheme="minorHAnsi"/>
          <w:bCs/>
          <w:lang w:val="en-GB"/>
        </w:rPr>
        <w:t xml:space="preserve"> for </w:t>
      </w:r>
      <w:r w:rsidRPr="006B3D3B" w:rsidR="00CB6B8E">
        <w:rPr>
          <w:rFonts w:asciiTheme="minorHAnsi" w:hAnsiTheme="minorHAnsi"/>
          <w:bCs/>
          <w:lang w:val="en-GB"/>
        </w:rPr>
        <w:t xml:space="preserve">a rare disease. </w:t>
      </w:r>
      <w:r w:rsidRPr="006B3D3B" w:rsidR="00A41C9D">
        <w:rPr>
          <w:rFonts w:asciiTheme="minorHAnsi" w:hAnsiTheme="minorHAnsi"/>
          <w:bCs/>
          <w:lang w:val="en-GB"/>
        </w:rPr>
        <w:t xml:space="preserve">Novartis will work with the Department </w:t>
      </w:r>
      <w:r w:rsidRPr="006B3D3B" w:rsidR="0023437A">
        <w:rPr>
          <w:rFonts w:asciiTheme="minorHAnsi" w:hAnsiTheme="minorHAnsi"/>
          <w:bCs/>
          <w:lang w:val="en-GB"/>
        </w:rPr>
        <w:t xml:space="preserve">in the hope we can advance this listing. </w:t>
      </w:r>
    </w:p>
    <w:bookmarkEnd w:id="65"/>
    <w:p w:rsidRPr="00AD4F6B" w:rsidR="000C4A28" w:rsidP="00216607" w:rsidRDefault="000C4A28" w14:paraId="534DABC0" w14:textId="0BD3C46A">
      <w:pPr>
        <w:spacing w:after="120"/>
        <w:ind w:left="720"/>
      </w:pPr>
    </w:p>
    <w:sectPr w:rsidRPr="00AD4F6B" w:rsidR="000C4A28" w:rsidSect="00F667A5">
      <w:headerReference w:type="even" r:id="rId19"/>
      <w:headerReference w:type="default" r:id="rId20"/>
      <w:footerReference w:type="even" r:id="rId21"/>
      <w:footerReference w:type="default" r:id="rId22"/>
      <w:headerReference w:type="first" r:id="rId23"/>
      <w:footerReference w:type="first" r:id="rId24"/>
      <w:pgSz w:w="11907" w:h="16840" w:orient="portrait"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0CA" w:rsidP="00124A51" w:rsidRDefault="00CD20CA" w14:paraId="41586343" w14:textId="77777777">
      <w:r>
        <w:separator/>
      </w:r>
    </w:p>
    <w:p w:rsidR="00CD20CA" w:rsidRDefault="00CD20CA" w14:paraId="76E4D9C1" w14:textId="77777777"/>
  </w:endnote>
  <w:endnote w:type="continuationSeparator" w:id="0">
    <w:p w:rsidR="00CD20CA" w:rsidP="00124A51" w:rsidRDefault="00CD20CA" w14:paraId="636DBE24" w14:textId="77777777">
      <w:r>
        <w:continuationSeparator/>
      </w:r>
    </w:p>
    <w:p w:rsidR="00CD20CA" w:rsidRDefault="00CD20CA" w14:paraId="04245F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444EC" w:rsidRDefault="007426FF" w14:paraId="50C6A057" w14:textId="4705507D">
    <w:pPr>
      <w:pStyle w:val="Footer"/>
    </w:pPr>
    <w:r>
      <w:rPr>
        <w:noProof/>
      </w:rPr>
      <mc:AlternateContent>
        <mc:Choice Requires="wps">
          <w:drawing>
            <wp:anchor distT="0" distB="0" distL="0" distR="0" simplePos="0" relativeHeight="251669509" behindDoc="0" locked="0" layoutInCell="1" allowOverlap="1" wp14:anchorId="31ED979D" wp14:editId="4764E2AE">
              <wp:simplePos x="635" y="635"/>
              <wp:positionH relativeFrom="page">
                <wp:align>center</wp:align>
              </wp:positionH>
              <wp:positionV relativeFrom="page">
                <wp:align>bottom</wp:align>
              </wp:positionV>
              <wp:extent cx="622300" cy="376555"/>
              <wp:effectExtent l="0" t="0" r="6350" b="0"/>
              <wp:wrapNone/>
              <wp:docPr id="4775492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7426FF" w:rsidR="007426FF" w:rsidP="007426FF" w:rsidRDefault="007426FF" w14:paraId="211C4406" w14:textId="546A70F3">
                          <w:pPr>
                            <w:rPr>
                              <w:rFonts w:ascii="Aptos" w:hAnsi="Aptos" w:eastAsia="Aptos" w:cs="Aptos"/>
                              <w:noProof/>
                              <w:color w:val="FF0000"/>
                            </w:rPr>
                          </w:pPr>
                          <w:r w:rsidRPr="007426FF">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1B829B0">
            <v:shapetype id="_x0000_t202" coordsize="21600,21600" o:spt="202" path="m,l,21600r21600,l21600,xe" w14:anchorId="31ED979D">
              <v:stroke joinstyle="miter"/>
              <v:path gradientshapeok="t" o:connecttype="rect"/>
            </v:shapetype>
            <v:shape id="Text Box 5" style="position:absolute;left:0;text-align:left;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v:textbox style="mso-fit-shape-to-text:t" inset="0,0,0,15pt">
                <w:txbxContent>
                  <w:p w:rsidRPr="007426FF" w:rsidR="007426FF" w:rsidP="007426FF" w:rsidRDefault="007426FF" w14:paraId="08CE8BEA" w14:textId="546A70F3">
                    <w:pPr>
                      <w:rPr>
                        <w:rFonts w:ascii="Aptos" w:hAnsi="Aptos" w:eastAsia="Aptos" w:cs="Aptos"/>
                        <w:noProof/>
                        <w:color w:val="FF0000"/>
                      </w:rPr>
                    </w:pPr>
                    <w:r w:rsidRPr="007426FF">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43F2" w:rsidP="00753B29" w:rsidRDefault="007426FF" w14:paraId="1B063511" w14:textId="648A8540">
    <w:pPr>
      <w:pStyle w:val="Footer"/>
      <w:jc w:val="center"/>
    </w:pPr>
    <w:r>
      <w:rPr>
        <w:noProof/>
      </w:rPr>
      <mc:AlternateContent>
        <mc:Choice Requires="wps">
          <w:drawing>
            <wp:anchor distT="0" distB="0" distL="0" distR="0" simplePos="0" relativeHeight="251670533" behindDoc="0" locked="0" layoutInCell="1" allowOverlap="1" wp14:anchorId="3126C78F" wp14:editId="7233109C">
              <wp:simplePos x="914400" y="9406393"/>
              <wp:positionH relativeFrom="page">
                <wp:align>center</wp:align>
              </wp:positionH>
              <wp:positionV relativeFrom="page">
                <wp:align>bottom</wp:align>
              </wp:positionV>
              <wp:extent cx="622300" cy="376555"/>
              <wp:effectExtent l="0" t="0" r="6350" b="0"/>
              <wp:wrapNone/>
              <wp:docPr id="20052817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7426FF" w:rsidR="007426FF" w:rsidP="007426FF" w:rsidRDefault="007426FF" w14:paraId="3ECB1DF4" w14:textId="1148DCDB">
                          <w:pPr>
                            <w:rPr>
                              <w:rFonts w:ascii="Aptos" w:hAnsi="Aptos" w:eastAsia="Aptos" w:cs="Aptos"/>
                              <w:noProof/>
                              <w:color w:val="FF0000"/>
                            </w:rPr>
                          </w:pPr>
                          <w:r w:rsidRPr="007426FF">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ABC82D9">
            <v:shapetype id="_x0000_t202" coordsize="21600,21600" o:spt="202" path="m,l,21600r21600,l21600,xe" w14:anchorId="3126C78F">
              <v:stroke joinstyle="miter"/>
              <v:path gradientshapeok="t" o:connecttype="rect"/>
            </v:shapetype>
            <v:shape id="Text Box 6" style="position:absolute;left:0;text-align:left;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v:textbox style="mso-fit-shape-to-text:t" inset="0,0,0,15pt">
                <w:txbxContent>
                  <w:p w:rsidRPr="007426FF" w:rsidR="007426FF" w:rsidP="007426FF" w:rsidRDefault="007426FF" w14:paraId="2CCFEE10" w14:textId="1148DCDB">
                    <w:pPr>
                      <w:rPr>
                        <w:rFonts w:ascii="Aptos" w:hAnsi="Aptos" w:eastAsia="Aptos" w:cs="Aptos"/>
                        <w:noProof/>
                        <w:color w:val="FF0000"/>
                      </w:rPr>
                    </w:pPr>
                    <w:r w:rsidRPr="007426FF">
                      <w:rPr>
                        <w:rFonts w:ascii="Aptos" w:hAnsi="Aptos" w:eastAsia="Aptos" w:cs="Aptos"/>
                        <w:noProof/>
                        <w:color w:val="FF0000"/>
                      </w:rPr>
                      <w:t>OFFICIAL</w:t>
                    </w:r>
                  </w:p>
                </w:txbxContent>
              </v:textbox>
              <w10:wrap anchorx="page" anchory="page"/>
            </v:shape>
          </w:pict>
        </mc:Fallback>
      </mc:AlternateContent>
    </w:r>
  </w:p>
  <w:p w:rsidRPr="007C1CD9" w:rsidR="00D843F2" w:rsidP="006028D3" w:rsidRDefault="00D843F2" w14:paraId="37484CD3" w14:textId="4AAFB0C0">
    <w:pPr>
      <w:pStyle w:val="PageFoo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444EC" w:rsidRDefault="007426FF" w14:paraId="48D9A532" w14:textId="1B6E6373">
    <w:pPr>
      <w:pStyle w:val="Footer"/>
    </w:pPr>
    <w:r>
      <w:rPr>
        <w:noProof/>
      </w:rPr>
      <mc:AlternateContent>
        <mc:Choice Requires="wps">
          <w:drawing>
            <wp:anchor distT="0" distB="0" distL="0" distR="0" simplePos="0" relativeHeight="251668485" behindDoc="0" locked="0" layoutInCell="1" allowOverlap="1" wp14:anchorId="74EA0100" wp14:editId="00292D10">
              <wp:simplePos x="635" y="635"/>
              <wp:positionH relativeFrom="page">
                <wp:align>center</wp:align>
              </wp:positionH>
              <wp:positionV relativeFrom="page">
                <wp:align>bottom</wp:align>
              </wp:positionV>
              <wp:extent cx="622300" cy="376555"/>
              <wp:effectExtent l="0" t="0" r="6350" b="0"/>
              <wp:wrapNone/>
              <wp:docPr id="6907978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7426FF" w:rsidR="007426FF" w:rsidP="007426FF" w:rsidRDefault="007426FF" w14:paraId="2828FDF4" w14:textId="47A33B21">
                          <w:pPr>
                            <w:rPr>
                              <w:rFonts w:ascii="Aptos" w:hAnsi="Aptos" w:eastAsia="Aptos" w:cs="Aptos"/>
                              <w:noProof/>
                              <w:color w:val="FF0000"/>
                            </w:rPr>
                          </w:pPr>
                          <w:r w:rsidRPr="007426FF">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E0A5386">
            <v:shapetype id="_x0000_t202" coordsize="21600,21600" o:spt="202" path="m,l,21600r21600,l21600,xe" w14:anchorId="74EA0100">
              <v:stroke joinstyle="miter"/>
              <v:path gradientshapeok="t" o:connecttype="rect"/>
            </v:shapetype>
            <v:shape id="Text Box 4" style="position:absolute;left:0;text-align:left;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v:textbox style="mso-fit-shape-to-text:t" inset="0,0,0,15pt">
                <w:txbxContent>
                  <w:p w:rsidRPr="007426FF" w:rsidR="007426FF" w:rsidP="007426FF" w:rsidRDefault="007426FF" w14:paraId="75F360E3" w14:textId="47A33B21">
                    <w:pPr>
                      <w:rPr>
                        <w:rFonts w:ascii="Aptos" w:hAnsi="Aptos" w:eastAsia="Aptos" w:cs="Aptos"/>
                        <w:noProof/>
                        <w:color w:val="FF0000"/>
                      </w:rPr>
                    </w:pPr>
                    <w:r w:rsidRPr="007426FF">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0CA" w:rsidP="00124A51" w:rsidRDefault="00CD20CA" w14:paraId="1285B81C" w14:textId="77777777">
      <w:r>
        <w:separator/>
      </w:r>
    </w:p>
    <w:p w:rsidR="00CD20CA" w:rsidRDefault="00CD20CA" w14:paraId="2EF4C36B" w14:textId="77777777"/>
  </w:footnote>
  <w:footnote w:type="continuationSeparator" w:id="0">
    <w:p w:rsidR="00CD20CA" w:rsidP="00124A51" w:rsidRDefault="00CD20CA" w14:paraId="4C08DBCA" w14:textId="77777777">
      <w:r>
        <w:continuationSeparator/>
      </w:r>
    </w:p>
    <w:p w:rsidR="00CD20CA" w:rsidRDefault="00CD20CA" w14:paraId="0AE4BF9C" w14:textId="77777777"/>
  </w:footnote>
  <w:footnote w:id="1">
    <w:p w:rsidRPr="009B13C3" w:rsidR="009B13C3" w:rsidRDefault="009B13C3" w14:paraId="1CFD676D" w14:textId="26B4A305">
      <w:pPr>
        <w:pStyle w:val="FootnoteText"/>
        <w:rPr>
          <w:lang w:val="en-US"/>
        </w:rPr>
      </w:pPr>
      <w:r>
        <w:rPr>
          <w:rStyle w:val="FootnoteReference"/>
        </w:rPr>
        <w:footnoteRef/>
      </w:r>
      <w:r>
        <w:t xml:space="preserve"> </w:t>
      </w:r>
      <w:r w:rsidRPr="0093693D">
        <w:rPr>
          <w:sz w:val="18"/>
          <w:szCs w:val="18"/>
        </w:rPr>
        <w:t>Woodcock, IR</w:t>
      </w:r>
      <w:r>
        <w:rPr>
          <w:sz w:val="18"/>
          <w:szCs w:val="18"/>
        </w:rPr>
        <w:t>., et al,</w:t>
      </w:r>
      <w:r w:rsidRPr="0093693D">
        <w:rPr>
          <w:sz w:val="18"/>
          <w:szCs w:val="18"/>
        </w:rPr>
        <w:t xml:space="preserve"> (2025)</w:t>
      </w:r>
      <w:r>
        <w:rPr>
          <w:sz w:val="18"/>
          <w:szCs w:val="18"/>
        </w:rPr>
        <w:t>,</w:t>
      </w:r>
      <w:r w:rsidRPr="0093693D">
        <w:rPr>
          <w:sz w:val="18"/>
          <w:szCs w:val="18"/>
        </w:rPr>
        <w:t xml:space="preserve"> </w:t>
      </w:r>
      <w:r>
        <w:rPr>
          <w:sz w:val="18"/>
          <w:szCs w:val="18"/>
        </w:rPr>
        <w:t>‘</w:t>
      </w:r>
      <w:r w:rsidRPr="0093693D">
        <w:rPr>
          <w:sz w:val="18"/>
          <w:szCs w:val="18"/>
        </w:rPr>
        <w:t>Cost-Effectiveness of Newborn Screening for Spinal Muscular Atrophy in Australian Hospitals</w:t>
      </w:r>
      <w:r>
        <w:rPr>
          <w:sz w:val="18"/>
          <w:szCs w:val="18"/>
        </w:rPr>
        <w:t>’,</w:t>
      </w:r>
      <w:r w:rsidRPr="0093693D">
        <w:rPr>
          <w:sz w:val="18"/>
          <w:szCs w:val="18"/>
        </w:rPr>
        <w:t xml:space="preserve"> Neurology and </w:t>
      </w:r>
      <w:r>
        <w:rPr>
          <w:sz w:val="18"/>
          <w:szCs w:val="18"/>
        </w:rPr>
        <w:t>T</w:t>
      </w:r>
      <w:r w:rsidRPr="0093693D">
        <w:rPr>
          <w:sz w:val="18"/>
          <w:szCs w:val="18"/>
        </w:rPr>
        <w:t xml:space="preserve">herapy, 14(3), 1007–1022. </w:t>
      </w:r>
      <w:hyperlink w:history="1" r:id="rId1">
        <w:r w:rsidRPr="00CC0E1F">
          <w:rPr>
            <w:rStyle w:val="Hyperlink"/>
            <w:sz w:val="18"/>
            <w:szCs w:val="18"/>
          </w:rPr>
          <w:t>https://doi.org/10.1007/s40120-025-00744-8</w:t>
        </w:r>
      </w:hyperlink>
    </w:p>
  </w:footnote>
  <w:footnote w:id="2">
    <w:p w:rsidR="00E420E0" w:rsidRDefault="00E420E0" w14:paraId="5DB79094" w14:textId="6D1D52F5">
      <w:pPr>
        <w:pStyle w:val="FootnoteText"/>
      </w:pPr>
      <w:r>
        <w:rPr>
          <w:rStyle w:val="FootnoteReference"/>
        </w:rPr>
        <w:footnoteRef/>
      </w:r>
      <w:r>
        <w:t xml:space="preserve"> </w:t>
      </w:r>
      <w:r w:rsidRPr="00EC6DE1" w:rsidR="005B680F">
        <w:rPr>
          <w:sz w:val="18"/>
          <w:szCs w:val="18"/>
        </w:rPr>
        <w:t xml:space="preserve">World Health Organisation weight-for-age data; </w:t>
      </w:r>
      <w:r w:rsidRPr="00EC6DE1" w:rsidR="00EA289E">
        <w:rPr>
          <w:sz w:val="18"/>
          <w:szCs w:val="18"/>
        </w:rPr>
        <w:t>50</w:t>
      </w:r>
      <w:r w:rsidRPr="00EC6DE1" w:rsidR="00EA289E">
        <w:rPr>
          <w:sz w:val="18"/>
          <w:szCs w:val="18"/>
          <w:vertAlign w:val="superscript"/>
        </w:rPr>
        <w:t>th</w:t>
      </w:r>
      <w:r w:rsidRPr="00EC6DE1" w:rsidR="00EA289E">
        <w:rPr>
          <w:sz w:val="18"/>
          <w:szCs w:val="18"/>
        </w:rPr>
        <w:t xml:space="preserve"> percentile: </w:t>
      </w:r>
      <w:hyperlink w:history="1" r:id="rId2">
        <w:r w:rsidRPr="00EC6DE1" w:rsidR="00EA289E">
          <w:rPr>
            <w:rStyle w:val="Hyperlink"/>
            <w:sz w:val="18"/>
            <w:szCs w:val="18"/>
          </w:rPr>
          <w:t>https://www.who.int/tools/growth-reference-data-for-5to19-years/indicators/weight-for-age-5to10-years</w:t>
        </w:r>
      </w:hyperlink>
    </w:p>
  </w:footnote>
  <w:footnote w:id="3">
    <w:p w:rsidR="00E952E4" w:rsidRDefault="00E952E4" w14:paraId="39DBFD12" w14:textId="2CBC5BFB">
      <w:pPr>
        <w:pStyle w:val="FootnoteText"/>
      </w:pPr>
      <w:r>
        <w:rPr>
          <w:rStyle w:val="FootnoteReference"/>
        </w:rPr>
        <w:footnoteRef/>
      </w:r>
      <w:r>
        <w:t xml:space="preserve"> </w:t>
      </w:r>
      <w:r w:rsidRPr="00E952E4">
        <w:rPr>
          <w:sz w:val="18"/>
          <w:szCs w:val="18"/>
        </w:rPr>
        <w:t>For START: The first nine patients were enrolled under previous version(s) of the protocol, which allowed an age range of 9 months or younger (p23, START CSR).</w:t>
      </w:r>
    </w:p>
  </w:footnote>
  <w:footnote w:id="4">
    <w:p w:rsidR="006A088C" w:rsidP="006A088C" w:rsidRDefault="006A088C" w14:paraId="5B211E05" w14:textId="4BBF4512">
      <w:pPr>
        <w:pStyle w:val="FootnoteText"/>
      </w:pPr>
      <w:r>
        <w:rPr>
          <w:rStyle w:val="FootnoteReference"/>
        </w:rPr>
        <w:footnoteRef/>
      </w:r>
      <w:r>
        <w:t xml:space="preserve"> </w:t>
      </w:r>
      <w:r w:rsidRPr="003B6250">
        <w:rPr>
          <w:sz w:val="18"/>
          <w:szCs w:val="18"/>
        </w:rPr>
        <w:t>Glanzman</w:t>
      </w:r>
      <w:r w:rsidR="00DD0B70">
        <w:rPr>
          <w:sz w:val="18"/>
          <w:szCs w:val="18"/>
        </w:rPr>
        <w:t>,</w:t>
      </w:r>
      <w:r w:rsidRPr="003B6250">
        <w:rPr>
          <w:sz w:val="18"/>
          <w:szCs w:val="18"/>
        </w:rPr>
        <w:t xml:space="preserve"> AM</w:t>
      </w:r>
      <w:r w:rsidR="001F021E">
        <w:rPr>
          <w:sz w:val="18"/>
          <w:szCs w:val="18"/>
        </w:rPr>
        <w:t>.,</w:t>
      </w:r>
      <w:r>
        <w:rPr>
          <w:sz w:val="18"/>
          <w:szCs w:val="18"/>
        </w:rPr>
        <w:t xml:space="preserve"> et al</w:t>
      </w:r>
      <w:r w:rsidR="00DD0B70">
        <w:rPr>
          <w:sz w:val="18"/>
          <w:szCs w:val="18"/>
        </w:rPr>
        <w:t xml:space="preserve">, </w:t>
      </w:r>
      <w:r w:rsidR="001873A1">
        <w:rPr>
          <w:sz w:val="18"/>
          <w:szCs w:val="18"/>
        </w:rPr>
        <w:t xml:space="preserve">(2011), </w:t>
      </w:r>
      <w:r w:rsidR="00DD0B70">
        <w:rPr>
          <w:sz w:val="18"/>
          <w:szCs w:val="18"/>
        </w:rPr>
        <w:t>‘</w:t>
      </w:r>
      <w:r w:rsidRPr="003B6250">
        <w:rPr>
          <w:sz w:val="18"/>
          <w:szCs w:val="18"/>
        </w:rPr>
        <w:t>Validation of the Expanded Hammersmith Functional Motor Scale in spinal muscular atrophy type II and III</w:t>
      </w:r>
      <w:r w:rsidR="001873A1">
        <w:rPr>
          <w:sz w:val="18"/>
          <w:szCs w:val="18"/>
        </w:rPr>
        <w:t>’,</w:t>
      </w:r>
      <w:r w:rsidRPr="003B6250">
        <w:rPr>
          <w:sz w:val="18"/>
          <w:szCs w:val="18"/>
        </w:rPr>
        <w:t xml:space="preserve"> J</w:t>
      </w:r>
      <w:r w:rsidR="001873A1">
        <w:rPr>
          <w:sz w:val="18"/>
          <w:szCs w:val="18"/>
        </w:rPr>
        <w:t xml:space="preserve">ournal of </w:t>
      </w:r>
      <w:r w:rsidR="00996F2C">
        <w:rPr>
          <w:sz w:val="18"/>
          <w:szCs w:val="18"/>
        </w:rPr>
        <w:t>C</w:t>
      </w:r>
      <w:r w:rsidRPr="003B6250">
        <w:rPr>
          <w:sz w:val="18"/>
          <w:szCs w:val="18"/>
        </w:rPr>
        <w:t xml:space="preserve">hild </w:t>
      </w:r>
      <w:r w:rsidR="00996F2C">
        <w:rPr>
          <w:sz w:val="18"/>
          <w:szCs w:val="18"/>
        </w:rPr>
        <w:t>N</w:t>
      </w:r>
      <w:r w:rsidRPr="003B6250">
        <w:rPr>
          <w:sz w:val="18"/>
          <w:szCs w:val="18"/>
        </w:rPr>
        <w:t>eurol</w:t>
      </w:r>
      <w:r w:rsidR="001873A1">
        <w:rPr>
          <w:sz w:val="18"/>
          <w:szCs w:val="18"/>
        </w:rPr>
        <w:t xml:space="preserve">ogy, </w:t>
      </w:r>
      <w:r w:rsidRPr="003B6250">
        <w:rPr>
          <w:sz w:val="18"/>
          <w:szCs w:val="18"/>
        </w:rPr>
        <w:t>26(12):</w:t>
      </w:r>
      <w:r w:rsidR="001873A1">
        <w:rPr>
          <w:sz w:val="18"/>
          <w:szCs w:val="18"/>
        </w:rPr>
        <w:t xml:space="preserve"> pp</w:t>
      </w:r>
      <w:r w:rsidRPr="003B6250">
        <w:rPr>
          <w:sz w:val="18"/>
          <w:szCs w:val="18"/>
        </w:rPr>
        <w:t>1499-507. doi: 10.1177/0883073811420294.</w:t>
      </w:r>
    </w:p>
  </w:footnote>
  <w:footnote w:id="5">
    <w:p w:rsidR="00DA00D4" w:rsidP="00DA00D4" w:rsidRDefault="00DA00D4" w14:paraId="29AC2B8D" w14:textId="77777777">
      <w:pPr>
        <w:pStyle w:val="FootnoteText"/>
      </w:pPr>
      <w:r>
        <w:rPr>
          <w:rStyle w:val="FootnoteReference"/>
        </w:rPr>
        <w:footnoteRef/>
      </w:r>
      <w:r>
        <w:t xml:space="preserve"> </w:t>
      </w:r>
      <w:hyperlink w:history="1" r:id="rId3">
        <w:r w:rsidRPr="002B0ABA">
          <w:rPr>
            <w:rStyle w:val="Hyperlink"/>
            <w:sz w:val="18"/>
            <w:szCs w:val="18"/>
          </w:rPr>
          <w:t>https://clinicaltrials.gov/study/NCT02594124?tab=results</w:t>
        </w:r>
      </w:hyperlink>
      <w:r w:rsidRPr="002B0ABA">
        <w:rPr>
          <w:sz w:val="18"/>
          <w:szCs w:val="18"/>
        </w:rPr>
        <w:t xml:space="preserve"> </w:t>
      </w:r>
    </w:p>
  </w:footnote>
  <w:footnote w:id="6">
    <w:p w:rsidR="00DA00D4" w:rsidP="00DA00D4" w:rsidRDefault="00DA00D4" w14:paraId="4D0F7D24" w14:textId="42FBEB03">
      <w:pPr>
        <w:pStyle w:val="FootnoteText"/>
      </w:pPr>
      <w:r>
        <w:rPr>
          <w:rStyle w:val="FootnoteReference"/>
        </w:rPr>
        <w:footnoteRef/>
      </w:r>
      <w:r>
        <w:t xml:space="preserve"> </w:t>
      </w:r>
      <w:r w:rsidRPr="001A0174">
        <w:rPr>
          <w:sz w:val="18"/>
          <w:szCs w:val="18"/>
        </w:rPr>
        <w:t>Kokaliaris</w:t>
      </w:r>
      <w:r w:rsidR="004149B7">
        <w:rPr>
          <w:sz w:val="18"/>
          <w:szCs w:val="18"/>
        </w:rPr>
        <w:t>,</w:t>
      </w:r>
      <w:r w:rsidRPr="001A0174">
        <w:rPr>
          <w:sz w:val="18"/>
          <w:szCs w:val="18"/>
        </w:rPr>
        <w:t xml:space="preserve"> C</w:t>
      </w:r>
      <w:r w:rsidR="004219D5">
        <w:rPr>
          <w:sz w:val="18"/>
          <w:szCs w:val="18"/>
        </w:rPr>
        <w:t>.,</w:t>
      </w:r>
      <w:r w:rsidR="00846F90">
        <w:rPr>
          <w:sz w:val="18"/>
          <w:szCs w:val="18"/>
        </w:rPr>
        <w:t xml:space="preserve"> </w:t>
      </w:r>
      <w:r w:rsidR="00305278">
        <w:rPr>
          <w:sz w:val="18"/>
          <w:szCs w:val="18"/>
        </w:rPr>
        <w:t>et al, (2024), ‘</w:t>
      </w:r>
      <w:r w:rsidRPr="001A0174">
        <w:rPr>
          <w:sz w:val="18"/>
          <w:szCs w:val="18"/>
        </w:rPr>
        <w:t>Long-Term Comparative Efficacy and Safety of Risdiplam and Nusinersen in Children with Type 1 Spinal Muscular Atrophy</w:t>
      </w:r>
      <w:r w:rsidR="00305278">
        <w:rPr>
          <w:sz w:val="18"/>
          <w:szCs w:val="18"/>
        </w:rPr>
        <w:t>’,</w:t>
      </w:r>
      <w:r w:rsidRPr="001A0174">
        <w:rPr>
          <w:sz w:val="18"/>
          <w:szCs w:val="18"/>
        </w:rPr>
        <w:t xml:space="preserve"> Adv</w:t>
      </w:r>
      <w:r w:rsidR="007536DE">
        <w:rPr>
          <w:sz w:val="18"/>
          <w:szCs w:val="18"/>
        </w:rPr>
        <w:t>ances in</w:t>
      </w:r>
      <w:r w:rsidRPr="001A0174">
        <w:rPr>
          <w:sz w:val="18"/>
          <w:szCs w:val="18"/>
        </w:rPr>
        <w:t xml:space="preserve"> Ther</w:t>
      </w:r>
      <w:r w:rsidR="007536DE">
        <w:rPr>
          <w:sz w:val="18"/>
          <w:szCs w:val="18"/>
        </w:rPr>
        <w:t>apy</w:t>
      </w:r>
      <w:r w:rsidR="003F11AF">
        <w:rPr>
          <w:sz w:val="18"/>
          <w:szCs w:val="18"/>
        </w:rPr>
        <w:t xml:space="preserve">, </w:t>
      </w:r>
      <w:r w:rsidRPr="001A0174">
        <w:rPr>
          <w:sz w:val="18"/>
          <w:szCs w:val="18"/>
        </w:rPr>
        <w:t>41(6):</w:t>
      </w:r>
      <w:r w:rsidR="007536DE">
        <w:rPr>
          <w:sz w:val="18"/>
          <w:szCs w:val="18"/>
        </w:rPr>
        <w:t xml:space="preserve"> </w:t>
      </w:r>
      <w:r w:rsidR="003F11AF">
        <w:rPr>
          <w:sz w:val="18"/>
          <w:szCs w:val="18"/>
        </w:rPr>
        <w:t>pp</w:t>
      </w:r>
      <w:r w:rsidRPr="001A0174">
        <w:rPr>
          <w:sz w:val="18"/>
          <w:szCs w:val="18"/>
        </w:rPr>
        <w:t>2414-2434. doi: 10.1007/s12325-024-02845-6.</w:t>
      </w:r>
    </w:p>
  </w:footnote>
  <w:footnote w:id="7">
    <w:p w:rsidR="009E3A23" w:rsidP="009E3A23" w:rsidRDefault="009E3A23" w14:paraId="79F4920C" w14:textId="77777777">
      <w:pPr>
        <w:pStyle w:val="FootnoteText"/>
      </w:pPr>
      <w:r>
        <w:rPr>
          <w:rStyle w:val="FootnoteReference"/>
        </w:rPr>
        <w:footnoteRef/>
      </w:r>
      <w:r>
        <w:t xml:space="preserve"> </w:t>
      </w:r>
      <w:r w:rsidRPr="00EB7A64">
        <w:rPr>
          <w:sz w:val="18"/>
          <w:szCs w:val="18"/>
        </w:rPr>
        <w:t>STR1VE-AP only enrolled two patients</w:t>
      </w:r>
      <w:r>
        <w:rPr>
          <w:sz w:val="18"/>
          <w:szCs w:val="18"/>
        </w:rPr>
        <w:t>;</w:t>
      </w:r>
      <w:r w:rsidRPr="00EB7A64">
        <w:rPr>
          <w:sz w:val="18"/>
          <w:szCs w:val="18"/>
        </w:rPr>
        <w:t xml:space="preserve"> therefore</w:t>
      </w:r>
      <w:r>
        <w:rPr>
          <w:sz w:val="18"/>
          <w:szCs w:val="18"/>
        </w:rPr>
        <w:t>,</w:t>
      </w:r>
      <w:r w:rsidRPr="00EB7A64">
        <w:rPr>
          <w:sz w:val="18"/>
          <w:szCs w:val="18"/>
        </w:rPr>
        <w:t xml:space="preserve"> this comparison </w:t>
      </w:r>
      <w:r>
        <w:rPr>
          <w:sz w:val="18"/>
          <w:szCs w:val="18"/>
        </w:rPr>
        <w:t xml:space="preserve">should be similar to that of the </w:t>
      </w:r>
      <w:r w:rsidRPr="00EB7A64">
        <w:rPr>
          <w:sz w:val="18"/>
          <w:szCs w:val="18"/>
        </w:rPr>
        <w:t xml:space="preserve">submission’s included studies. </w:t>
      </w:r>
    </w:p>
  </w:footnote>
  <w:footnote w:id="8">
    <w:p w:rsidR="009F2D69" w:rsidP="009F2D69" w:rsidRDefault="009F2D69" w14:paraId="0A2EB4C0" w14:textId="77777777">
      <w:pPr>
        <w:pStyle w:val="FootnoteText"/>
      </w:pPr>
      <w:r>
        <w:rPr>
          <w:rStyle w:val="FootnoteReference"/>
        </w:rPr>
        <w:footnoteRef/>
      </w:r>
      <w:hyperlink w:history="1" r:id="rId4">
        <w:r w:rsidRPr="006A74E9">
          <w:rPr>
            <w:rStyle w:val="Hyperlink"/>
            <w:sz w:val="18"/>
            <w:szCs w:val="18"/>
          </w:rPr>
          <w:t>https://medicarestatistics.humanservices.gov.au/SASStoredProcess/guest?_PROGRAM=SBIP%3A%2F%2FMETASERVER%2FShared+Data%2Fsasdata%2Fprod%2FVEA0032%2FSAS.StoredProcess%2Fstatistics%2Fpbs_item_standard_report&amp;itemlst=%2712959C%27%2C%2712943F%27%2C%2712972R%27&amp;ITEMCNT=3&amp;LIST=12959C%2C12943F%2C12972R&amp;VAR=SERVICES&amp;RPT_FMT=7&amp;start_dt=202007&amp;end_dt=202506</w:t>
        </w:r>
      </w:hyperlink>
      <w:r w:rsidRPr="006A74E9">
        <w:rPr>
          <w:sz w:val="18"/>
          <w:szCs w:val="18"/>
        </w:rPr>
        <w:t xml:space="preserve"> (Items processed up until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444EC" w:rsidRDefault="007426FF" w14:paraId="7F561BBE" w14:textId="7CE5B392">
    <w:pPr>
      <w:pStyle w:val="Header"/>
    </w:pPr>
    <w:r>
      <w:rPr>
        <w:noProof/>
      </w:rPr>
      <mc:AlternateContent>
        <mc:Choice Requires="wps">
          <w:drawing>
            <wp:anchor distT="0" distB="0" distL="0" distR="0" simplePos="0" relativeHeight="251666437" behindDoc="0" locked="0" layoutInCell="1" allowOverlap="1" wp14:anchorId="1326EBEA" wp14:editId="763EAE3E">
              <wp:simplePos x="635" y="635"/>
              <wp:positionH relativeFrom="page">
                <wp:align>center</wp:align>
              </wp:positionH>
              <wp:positionV relativeFrom="page">
                <wp:align>top</wp:align>
              </wp:positionV>
              <wp:extent cx="622300" cy="376555"/>
              <wp:effectExtent l="0" t="0" r="6350" b="4445"/>
              <wp:wrapNone/>
              <wp:docPr id="6100942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7426FF" w:rsidR="007426FF" w:rsidP="007426FF" w:rsidRDefault="007426FF" w14:paraId="3092F033" w14:textId="10158EC0">
                          <w:pPr>
                            <w:rPr>
                              <w:rFonts w:ascii="Aptos" w:hAnsi="Aptos" w:eastAsia="Aptos" w:cs="Aptos"/>
                              <w:noProof/>
                              <w:color w:val="FF0000"/>
                            </w:rPr>
                          </w:pPr>
                          <w:r w:rsidRPr="007426FF">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5A66CCA">
            <v:shapetype id="_x0000_t202" coordsize="21600,21600" o:spt="202" path="m,l,21600r21600,l21600,xe" w14:anchorId="1326EBEA">
              <v:stroke joinstyle="miter"/>
              <v:path gradientshapeok="t" o:connecttype="rect"/>
            </v:shapetype>
            <v:shape id="Text Box 2" style="position:absolute;left:0;text-align:left;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textbox style="mso-fit-shape-to-text:t" inset="0,15pt,0,0">
                <w:txbxContent>
                  <w:p w:rsidRPr="007426FF" w:rsidR="007426FF" w:rsidP="007426FF" w:rsidRDefault="007426FF" w14:paraId="171AAEBA" w14:textId="10158EC0">
                    <w:pPr>
                      <w:rPr>
                        <w:rFonts w:ascii="Aptos" w:hAnsi="Aptos" w:eastAsia="Aptos" w:cs="Aptos"/>
                        <w:noProof/>
                        <w:color w:val="FF0000"/>
                      </w:rPr>
                    </w:pPr>
                    <w:r w:rsidRPr="007426FF">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43F2" w:rsidP="00D351ED" w:rsidRDefault="007426FF" w14:paraId="03AF943B" w14:textId="2E57EF02">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67461" behindDoc="0" locked="0" layoutInCell="1" allowOverlap="1" wp14:anchorId="7E78F7B0" wp14:editId="1CD5E888">
              <wp:simplePos x="914400" y="914400"/>
              <wp:positionH relativeFrom="page">
                <wp:align>center</wp:align>
              </wp:positionH>
              <wp:positionV relativeFrom="page">
                <wp:align>top</wp:align>
              </wp:positionV>
              <wp:extent cx="622300" cy="376555"/>
              <wp:effectExtent l="0" t="0" r="6350" b="4445"/>
              <wp:wrapNone/>
              <wp:docPr id="20331344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7426FF" w:rsidR="007426FF" w:rsidP="007426FF" w:rsidRDefault="007426FF" w14:paraId="365F3588" w14:textId="7D956E3C">
                          <w:pPr>
                            <w:rPr>
                              <w:rFonts w:ascii="Aptos" w:hAnsi="Aptos" w:eastAsia="Aptos" w:cs="Aptos"/>
                              <w:noProof/>
                              <w:color w:val="FF0000"/>
                            </w:rPr>
                          </w:pPr>
                          <w:r w:rsidRPr="007426FF">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EEA6C6E">
            <v:shapetype id="_x0000_t202" coordsize="21600,21600" o:spt="202" path="m,l,21600r21600,l21600,xe" w14:anchorId="7E78F7B0">
              <v:stroke joinstyle="miter"/>
              <v:path gradientshapeok="t" o:connecttype="rect"/>
            </v:shapetype>
            <v:shape id="Text Box 3"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v:textbox style="mso-fit-shape-to-text:t" inset="0,15pt,0,0">
                <w:txbxContent>
                  <w:p w:rsidRPr="007426FF" w:rsidR="007426FF" w:rsidP="007426FF" w:rsidRDefault="007426FF" w14:paraId="09E77742" w14:textId="7D956E3C">
                    <w:pPr>
                      <w:rPr>
                        <w:rFonts w:ascii="Aptos" w:hAnsi="Aptos" w:eastAsia="Aptos" w:cs="Aptos"/>
                        <w:noProof/>
                        <w:color w:val="FF0000"/>
                      </w:rPr>
                    </w:pPr>
                    <w:r w:rsidRPr="007426FF">
                      <w:rPr>
                        <w:rFonts w:ascii="Aptos" w:hAnsi="Aptos" w:eastAsia="Aptos" w:cs="Aptos"/>
                        <w:noProof/>
                        <w:color w:val="FF0000"/>
                      </w:rPr>
                      <w:t>OFFICIAL</w:t>
                    </w:r>
                  </w:p>
                </w:txbxContent>
              </v:textbox>
              <w10:wrap anchorx="page" anchory="page"/>
            </v:shape>
          </w:pict>
        </mc:Fallback>
      </mc:AlternateContent>
    </w:r>
    <w:r w:rsidR="00D351ED">
      <w:rPr>
        <w:rFonts w:asciiTheme="minorHAnsi" w:hAnsiTheme="minorHAnsi"/>
        <w:noProof/>
        <w:color w:val="808080"/>
      </w:rPr>
      <w:t>Public Summary Document</w:t>
    </w:r>
    <w:r w:rsidR="00B93060">
      <w:rPr>
        <w:rFonts w:asciiTheme="minorHAnsi" w:hAnsiTheme="minorHAnsi"/>
        <w:color w:val="808080"/>
      </w:rPr>
      <w:t xml:space="preserve"> - </w:t>
    </w:r>
    <w:r w:rsidR="005B2705">
      <w:rPr>
        <w:rFonts w:asciiTheme="minorHAnsi" w:hAnsiTheme="minorHAnsi"/>
        <w:color w:val="808080"/>
      </w:rPr>
      <w:t>November 2025</w:t>
    </w:r>
    <w:r w:rsidR="00D843F2">
      <w:rPr>
        <w:rFonts w:asciiTheme="minorHAnsi" w:hAnsiTheme="minorHAnsi"/>
        <w:color w:val="808080"/>
      </w:rPr>
      <w:t xml:space="preserve"> </w:t>
    </w:r>
    <w:r w:rsidRPr="00195452" w:rsidR="00D843F2">
      <w:rPr>
        <w:rFonts w:asciiTheme="minorHAnsi" w:hAnsiTheme="minorHAnsi"/>
        <w:color w:val="808080"/>
      </w:rPr>
      <w:t>PBAC Meeting</w:t>
    </w:r>
  </w:p>
  <w:p w:rsidRPr="00D351ED" w:rsidR="007351B1" w:rsidP="00D351ED" w:rsidRDefault="007351B1" w14:paraId="3D082C0F" w14:textId="77777777">
    <w:pPr>
      <w:pStyle w:val="Header"/>
      <w:rPr>
        <w:rFonts w:asciiTheme="minorHAnsi" w:hAnsiTheme="minorHAnsi"/>
        <w:i w:val="0"/>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444EC" w:rsidRDefault="007426FF" w14:paraId="3AE0A2DF" w14:textId="51DEAFFB">
    <w:pPr>
      <w:pStyle w:val="Header"/>
    </w:pPr>
    <w:r>
      <w:rPr>
        <w:noProof/>
      </w:rPr>
      <mc:AlternateContent>
        <mc:Choice Requires="wps">
          <w:drawing>
            <wp:anchor distT="0" distB="0" distL="0" distR="0" simplePos="0" relativeHeight="251665413" behindDoc="0" locked="0" layoutInCell="1" allowOverlap="1" wp14:anchorId="671217A8" wp14:editId="7EE62820">
              <wp:simplePos x="635" y="635"/>
              <wp:positionH relativeFrom="page">
                <wp:align>center</wp:align>
              </wp:positionH>
              <wp:positionV relativeFrom="page">
                <wp:align>top</wp:align>
              </wp:positionV>
              <wp:extent cx="622300" cy="376555"/>
              <wp:effectExtent l="0" t="0" r="6350" b="4445"/>
              <wp:wrapNone/>
              <wp:docPr id="15341726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7426FF" w:rsidR="007426FF" w:rsidP="007426FF" w:rsidRDefault="007426FF" w14:paraId="12EE21B0" w14:textId="548F229F">
                          <w:pPr>
                            <w:rPr>
                              <w:rFonts w:ascii="Aptos" w:hAnsi="Aptos" w:eastAsia="Aptos" w:cs="Aptos"/>
                              <w:noProof/>
                              <w:color w:val="FF0000"/>
                            </w:rPr>
                          </w:pPr>
                          <w:r w:rsidRPr="007426FF">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23F8677">
            <v:shapetype id="_x0000_t202" coordsize="21600,21600" o:spt="202" path="m,l,21600r21600,l21600,xe" w14:anchorId="671217A8">
              <v:stroke joinstyle="miter"/>
              <v:path gradientshapeok="t" o:connecttype="rect"/>
            </v:shapetype>
            <v:shape id="Text Box 1"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v:textbox style="mso-fit-shape-to-text:t" inset="0,15pt,0,0">
                <w:txbxContent>
                  <w:p w:rsidRPr="007426FF" w:rsidR="007426FF" w:rsidP="007426FF" w:rsidRDefault="007426FF" w14:paraId="17D1F485" w14:textId="548F229F">
                    <w:pPr>
                      <w:rPr>
                        <w:rFonts w:ascii="Aptos" w:hAnsi="Aptos" w:eastAsia="Aptos" w:cs="Aptos"/>
                        <w:noProof/>
                        <w:color w:val="FF0000"/>
                      </w:rPr>
                    </w:pPr>
                    <w:r w:rsidRPr="007426FF">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hint="default" w:ascii="Symbol" w:hAnsi="Symbol"/>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hint="default" w:ascii="Cambria" w:hAnsi="Cambria"/>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B831793"/>
    <w:multiLevelType w:val="hybridMultilevel"/>
    <w:tmpl w:val="2AF41B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FB219F8"/>
    <w:multiLevelType w:val="hybridMultilevel"/>
    <w:tmpl w:val="41E20E42"/>
    <w:lvl w:ilvl="0" w:tplc="0C090001">
      <w:start w:val="1"/>
      <w:numFmt w:val="bullet"/>
      <w:lvlText w:val=""/>
      <w:lvlJc w:val="left"/>
      <w:pPr>
        <w:ind w:left="360" w:hanging="360"/>
      </w:pPr>
      <w:rPr>
        <w:rFonts w:hint="default" w:ascii="Symbol" w:hAnsi="Symbol"/>
      </w:rPr>
    </w:lvl>
    <w:lvl w:ilvl="1" w:tplc="0C090001">
      <w:start w:val="1"/>
      <w:numFmt w:val="bullet"/>
      <w:lvlText w:val=""/>
      <w:lvlJc w:val="left"/>
      <w:pPr>
        <w:ind w:left="709" w:hanging="360"/>
      </w:pPr>
      <w:rPr>
        <w:rFonts w:hint="default" w:ascii="Symbol" w:hAnsi="Symbol"/>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23B6274A"/>
    <w:multiLevelType w:val="hybridMultilevel"/>
    <w:tmpl w:val="E226622A"/>
    <w:lvl w:ilvl="0" w:tplc="54747976">
      <w:start w:val="1"/>
      <w:numFmt w:val="decimal"/>
      <w:lvlText w:val="%1."/>
      <w:lvlJc w:val="left"/>
      <w:pPr>
        <w:ind w:left="360" w:hanging="360"/>
      </w:pPr>
      <w:rPr>
        <w:b w:val="0"/>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FD2FC8"/>
    <w:multiLevelType w:val="hybridMultilevel"/>
    <w:tmpl w:val="AD88C1E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FEC2BD1"/>
    <w:multiLevelType w:val="hybridMultilevel"/>
    <w:tmpl w:val="39DADE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0346AD7"/>
    <w:multiLevelType w:val="hybridMultilevel"/>
    <w:tmpl w:val="71A65F8E"/>
    <w:lvl w:ilvl="0" w:tplc="CFBE442A">
      <w:start w:val="1"/>
      <w:numFmt w:val="bullet"/>
      <w:pStyle w:val="ListParagraph"/>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3" w15:restartNumberingAfterBreak="0">
    <w:nsid w:val="312D5244"/>
    <w:multiLevelType w:val="hybridMultilevel"/>
    <w:tmpl w:val="00E250B2"/>
    <w:lvl w:ilvl="0" w:tplc="32AE89D0">
      <w:start w:val="1"/>
      <w:numFmt w:val="bullet"/>
      <w:pStyle w:val="Dash"/>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AA57FD8"/>
    <w:multiLevelType w:val="hybridMultilevel"/>
    <w:tmpl w:val="EBB07876"/>
    <w:lvl w:ilvl="0" w:tplc="59800C30">
      <w:numFmt w:val="bullet"/>
      <w:lvlText w:val="•"/>
      <w:lvlJc w:val="left"/>
      <w:pPr>
        <w:ind w:left="1080" w:hanging="720"/>
      </w:pPr>
      <w:rPr>
        <w:rFonts w:hint="default" w:ascii="Calibri" w:hAnsi="Calibri" w:eastAsia="Aptos" w:cs="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2376C72"/>
    <w:multiLevelType w:val="hybridMultilevel"/>
    <w:tmpl w:val="C5DAD28E"/>
    <w:lvl w:ilvl="0" w:tplc="1CCADDF4">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44442297"/>
    <w:multiLevelType w:val="hybridMultilevel"/>
    <w:tmpl w:val="6EBCBEAE"/>
    <w:lvl w:ilvl="0" w:tplc="8DD82B94">
      <w:start w:val="1"/>
      <w:numFmt w:val="bullet"/>
      <w:pStyle w:val="Bulletpoints"/>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C2157F8"/>
    <w:multiLevelType w:val="hybridMultilevel"/>
    <w:tmpl w:val="C6203E82"/>
    <w:lvl w:ilvl="0" w:tplc="5D5CFDE0">
      <w:start w:val="1"/>
      <w:numFmt w:val="bullet"/>
      <w:pStyle w:val="PBAC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BF1793F"/>
    <w:multiLevelType w:val="hybridMultilevel"/>
    <w:tmpl w:val="1F927906"/>
    <w:lvl w:ilvl="0" w:tplc="89CAAFFE">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611FD5"/>
    <w:multiLevelType w:val="hybridMultilevel"/>
    <w:tmpl w:val="09020654"/>
    <w:lvl w:ilvl="0" w:tplc="0C09001B">
      <w:start w:val="1"/>
      <w:numFmt w:val="lowerRoman"/>
      <w:lvlText w:val="%1."/>
      <w:lvlJc w:val="right"/>
      <w:pPr>
        <w:ind w:left="360" w:hanging="360"/>
      </w:pPr>
      <w:rPr>
        <w:rFonts w:hint="default" w:cs="Times New Roman"/>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AF22442"/>
    <w:multiLevelType w:val="hybridMultilevel"/>
    <w:tmpl w:val="9BA0DDBE"/>
    <w:lvl w:ilvl="0" w:tplc="0C090001">
      <w:start w:val="1"/>
      <w:numFmt w:val="bullet"/>
      <w:lvlText w:val=""/>
      <w:lvlJc w:val="left"/>
      <w:pPr>
        <w:ind w:left="360" w:hanging="360"/>
      </w:pPr>
      <w:rPr>
        <w:rFonts w:hint="default" w:ascii="Symbol" w:hAnsi="Symbol"/>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800" w:hanging="360"/>
      </w:pPr>
      <w:rPr>
        <w:rFonts w:hint="default" w:ascii="Symbol" w:hAnsi="Symbol"/>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4D033C"/>
    <w:multiLevelType w:val="multilevel"/>
    <w:tmpl w:val="42F2C03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bullet"/>
      <w:lvlText w:val=""/>
      <w:lvlJc w:val="left"/>
      <w:pPr>
        <w:ind w:left="360" w:hanging="360"/>
      </w:pPr>
      <w:rPr>
        <w:rFonts w:hint="default" w:ascii="Symbol" w:hAnsi="Symbo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72F0D22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816186631">
    <w:abstractNumId w:val="25"/>
  </w:num>
  <w:num w:numId="2" w16cid:durableId="917793048">
    <w:abstractNumId w:val="16"/>
  </w:num>
  <w:num w:numId="3" w16cid:durableId="263461728">
    <w:abstractNumId w:val="0"/>
  </w:num>
  <w:num w:numId="4" w16cid:durableId="1863592879">
    <w:abstractNumId w:val="5"/>
  </w:num>
  <w:num w:numId="5" w16cid:durableId="139346788">
    <w:abstractNumId w:val="26"/>
  </w:num>
  <w:num w:numId="6" w16cid:durableId="1533883230">
    <w:abstractNumId w:val="15"/>
  </w:num>
  <w:num w:numId="7" w16cid:durableId="220360847">
    <w:abstractNumId w:val="22"/>
  </w:num>
  <w:num w:numId="8" w16cid:durableId="268196418">
    <w:abstractNumId w:val="12"/>
  </w:num>
  <w:num w:numId="9" w16cid:durableId="1048839230">
    <w:abstractNumId w:val="25"/>
  </w:num>
  <w:num w:numId="10" w16cid:durableId="1067412084">
    <w:abstractNumId w:val="13"/>
  </w:num>
  <w:num w:numId="11" w16cid:durableId="263539272">
    <w:abstractNumId w:val="17"/>
  </w:num>
  <w:num w:numId="12" w16cid:durableId="261576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9691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240624">
    <w:abstractNumId w:val="23"/>
  </w:num>
  <w:num w:numId="15" w16cid:durableId="1398161995">
    <w:abstractNumId w:val="21"/>
  </w:num>
  <w:num w:numId="16" w16cid:durableId="408699874">
    <w:abstractNumId w:val="18"/>
  </w:num>
  <w:num w:numId="17" w16cid:durableId="1569418770">
    <w:abstractNumId w:val="2"/>
  </w:num>
  <w:num w:numId="18" w16cid:durableId="705176722">
    <w:abstractNumId w:val="1"/>
  </w:num>
  <w:num w:numId="19" w16cid:durableId="1926569401">
    <w:abstractNumId w:val="8"/>
  </w:num>
  <w:num w:numId="20" w16cid:durableId="1979457665">
    <w:abstractNumId w:val="10"/>
  </w:num>
  <w:num w:numId="21" w16cid:durableId="2038313566">
    <w:abstractNumId w:val="6"/>
  </w:num>
  <w:num w:numId="22" w16cid:durableId="12974431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97201">
    <w:abstractNumId w:val="24"/>
  </w:num>
  <w:num w:numId="24" w16cid:durableId="422726651">
    <w:abstractNumId w:val="9"/>
  </w:num>
  <w:num w:numId="25" w16cid:durableId="1516731818">
    <w:abstractNumId w:val="7"/>
  </w:num>
  <w:num w:numId="26" w16cid:durableId="1878664898">
    <w:abstractNumId w:val="4"/>
  </w:num>
  <w:num w:numId="27" w16cid:durableId="1130590049">
    <w:abstractNumId w:val="11"/>
  </w:num>
  <w:num w:numId="28" w16cid:durableId="1356955457">
    <w:abstractNumId w:val="14"/>
  </w:num>
  <w:num w:numId="29" w16cid:durableId="341587399">
    <w:abstractNumId w:val="3"/>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A9"/>
    <w:rsid w:val="00000790"/>
    <w:rsid w:val="00000B73"/>
    <w:rsid w:val="00000FEC"/>
    <w:rsid w:val="00000FEE"/>
    <w:rsid w:val="0000110B"/>
    <w:rsid w:val="0000171F"/>
    <w:rsid w:val="00001D77"/>
    <w:rsid w:val="000024D1"/>
    <w:rsid w:val="00002650"/>
    <w:rsid w:val="000029E3"/>
    <w:rsid w:val="00002AE5"/>
    <w:rsid w:val="00003499"/>
    <w:rsid w:val="000035A3"/>
    <w:rsid w:val="0000364A"/>
    <w:rsid w:val="00003909"/>
    <w:rsid w:val="000039B7"/>
    <w:rsid w:val="00003CA5"/>
    <w:rsid w:val="00003FC4"/>
    <w:rsid w:val="00004004"/>
    <w:rsid w:val="00004043"/>
    <w:rsid w:val="000041F7"/>
    <w:rsid w:val="000044F3"/>
    <w:rsid w:val="00004A06"/>
    <w:rsid w:val="00004BE4"/>
    <w:rsid w:val="0000511A"/>
    <w:rsid w:val="000056B9"/>
    <w:rsid w:val="00005782"/>
    <w:rsid w:val="00005BF3"/>
    <w:rsid w:val="0000639A"/>
    <w:rsid w:val="00006AB2"/>
    <w:rsid w:val="00006E7F"/>
    <w:rsid w:val="0000715B"/>
    <w:rsid w:val="0000756B"/>
    <w:rsid w:val="00010198"/>
    <w:rsid w:val="00010627"/>
    <w:rsid w:val="00010E2C"/>
    <w:rsid w:val="00010ECF"/>
    <w:rsid w:val="00011064"/>
    <w:rsid w:val="00011374"/>
    <w:rsid w:val="00011AEF"/>
    <w:rsid w:val="000121BB"/>
    <w:rsid w:val="0001247D"/>
    <w:rsid w:val="00013247"/>
    <w:rsid w:val="0001397D"/>
    <w:rsid w:val="00013B3B"/>
    <w:rsid w:val="00013E62"/>
    <w:rsid w:val="00014AB1"/>
    <w:rsid w:val="00014C0D"/>
    <w:rsid w:val="00014FFE"/>
    <w:rsid w:val="000155ED"/>
    <w:rsid w:val="00015886"/>
    <w:rsid w:val="00015E66"/>
    <w:rsid w:val="000162EF"/>
    <w:rsid w:val="00016503"/>
    <w:rsid w:val="0001678F"/>
    <w:rsid w:val="0001705B"/>
    <w:rsid w:val="0001798B"/>
    <w:rsid w:val="00017DBF"/>
    <w:rsid w:val="00017DF6"/>
    <w:rsid w:val="00020043"/>
    <w:rsid w:val="00020201"/>
    <w:rsid w:val="00020504"/>
    <w:rsid w:val="000207C9"/>
    <w:rsid w:val="00020AC8"/>
    <w:rsid w:val="00020FC3"/>
    <w:rsid w:val="00021CF9"/>
    <w:rsid w:val="00022181"/>
    <w:rsid w:val="00022199"/>
    <w:rsid w:val="0002225F"/>
    <w:rsid w:val="000224BF"/>
    <w:rsid w:val="000225BD"/>
    <w:rsid w:val="000225C7"/>
    <w:rsid w:val="000229D6"/>
    <w:rsid w:val="00022DCA"/>
    <w:rsid w:val="00022FD4"/>
    <w:rsid w:val="00023563"/>
    <w:rsid w:val="00023763"/>
    <w:rsid w:val="00023B1B"/>
    <w:rsid w:val="0002436A"/>
    <w:rsid w:val="000246B1"/>
    <w:rsid w:val="00024801"/>
    <w:rsid w:val="00024EB5"/>
    <w:rsid w:val="0002612C"/>
    <w:rsid w:val="00026253"/>
    <w:rsid w:val="000262EE"/>
    <w:rsid w:val="00026C40"/>
    <w:rsid w:val="00026D91"/>
    <w:rsid w:val="0002719D"/>
    <w:rsid w:val="000274B8"/>
    <w:rsid w:val="000277AA"/>
    <w:rsid w:val="000279E8"/>
    <w:rsid w:val="00027C43"/>
    <w:rsid w:val="00027DAA"/>
    <w:rsid w:val="00030448"/>
    <w:rsid w:val="000307EE"/>
    <w:rsid w:val="00030A3D"/>
    <w:rsid w:val="00030A5C"/>
    <w:rsid w:val="00030A82"/>
    <w:rsid w:val="00030EB2"/>
    <w:rsid w:val="0003145E"/>
    <w:rsid w:val="000315A5"/>
    <w:rsid w:val="00031611"/>
    <w:rsid w:val="00032119"/>
    <w:rsid w:val="0003222E"/>
    <w:rsid w:val="00033863"/>
    <w:rsid w:val="000339F6"/>
    <w:rsid w:val="00033D98"/>
    <w:rsid w:val="00035510"/>
    <w:rsid w:val="00035DC0"/>
    <w:rsid w:val="00036489"/>
    <w:rsid w:val="00036829"/>
    <w:rsid w:val="00036D89"/>
    <w:rsid w:val="0003768A"/>
    <w:rsid w:val="00037BAE"/>
    <w:rsid w:val="000404D5"/>
    <w:rsid w:val="00040593"/>
    <w:rsid w:val="000407B1"/>
    <w:rsid w:val="00040862"/>
    <w:rsid w:val="00040895"/>
    <w:rsid w:val="000408E0"/>
    <w:rsid w:val="00040B2B"/>
    <w:rsid w:val="00040E4D"/>
    <w:rsid w:val="00041018"/>
    <w:rsid w:val="000410A0"/>
    <w:rsid w:val="0004141A"/>
    <w:rsid w:val="000415C1"/>
    <w:rsid w:val="00041DB3"/>
    <w:rsid w:val="0004225E"/>
    <w:rsid w:val="00042529"/>
    <w:rsid w:val="0004293D"/>
    <w:rsid w:val="00042DE2"/>
    <w:rsid w:val="000435EE"/>
    <w:rsid w:val="00043C37"/>
    <w:rsid w:val="00044454"/>
    <w:rsid w:val="00044DC7"/>
    <w:rsid w:val="00045017"/>
    <w:rsid w:val="000459FE"/>
    <w:rsid w:val="00045A2B"/>
    <w:rsid w:val="00045C16"/>
    <w:rsid w:val="000464C7"/>
    <w:rsid w:val="0004698F"/>
    <w:rsid w:val="00046D64"/>
    <w:rsid w:val="00046EEC"/>
    <w:rsid w:val="00047B14"/>
    <w:rsid w:val="00050270"/>
    <w:rsid w:val="000506C0"/>
    <w:rsid w:val="000508C2"/>
    <w:rsid w:val="00050B73"/>
    <w:rsid w:val="00051131"/>
    <w:rsid w:val="00051779"/>
    <w:rsid w:val="00051D32"/>
    <w:rsid w:val="000520E3"/>
    <w:rsid w:val="000521E0"/>
    <w:rsid w:val="000525F3"/>
    <w:rsid w:val="00052F52"/>
    <w:rsid w:val="0005312C"/>
    <w:rsid w:val="000538B8"/>
    <w:rsid w:val="0005394A"/>
    <w:rsid w:val="000539D0"/>
    <w:rsid w:val="00053EAD"/>
    <w:rsid w:val="000544C6"/>
    <w:rsid w:val="00054621"/>
    <w:rsid w:val="000546D7"/>
    <w:rsid w:val="00054A8D"/>
    <w:rsid w:val="00054BE2"/>
    <w:rsid w:val="00055991"/>
    <w:rsid w:val="000559DF"/>
    <w:rsid w:val="000563D4"/>
    <w:rsid w:val="00056ECF"/>
    <w:rsid w:val="000570A5"/>
    <w:rsid w:val="00057190"/>
    <w:rsid w:val="000574E8"/>
    <w:rsid w:val="0005756C"/>
    <w:rsid w:val="00057A6F"/>
    <w:rsid w:val="00057B21"/>
    <w:rsid w:val="000602D9"/>
    <w:rsid w:val="000603FA"/>
    <w:rsid w:val="000604DF"/>
    <w:rsid w:val="00060597"/>
    <w:rsid w:val="00060827"/>
    <w:rsid w:val="00060A0D"/>
    <w:rsid w:val="0006177E"/>
    <w:rsid w:val="00061A5A"/>
    <w:rsid w:val="00061ADD"/>
    <w:rsid w:val="00061C1D"/>
    <w:rsid w:val="00062324"/>
    <w:rsid w:val="000627E2"/>
    <w:rsid w:val="00062AB8"/>
    <w:rsid w:val="00062D91"/>
    <w:rsid w:val="000633F2"/>
    <w:rsid w:val="00063941"/>
    <w:rsid w:val="000643D5"/>
    <w:rsid w:val="00064654"/>
    <w:rsid w:val="00064A77"/>
    <w:rsid w:val="00064A82"/>
    <w:rsid w:val="00064D75"/>
    <w:rsid w:val="000653B5"/>
    <w:rsid w:val="00065EAC"/>
    <w:rsid w:val="00065FDE"/>
    <w:rsid w:val="00066360"/>
    <w:rsid w:val="000666CA"/>
    <w:rsid w:val="00066AF8"/>
    <w:rsid w:val="00067C50"/>
    <w:rsid w:val="00067F79"/>
    <w:rsid w:val="00070D3F"/>
    <w:rsid w:val="00071075"/>
    <w:rsid w:val="00071248"/>
    <w:rsid w:val="00071589"/>
    <w:rsid w:val="0007168D"/>
    <w:rsid w:val="0007189F"/>
    <w:rsid w:val="000720B9"/>
    <w:rsid w:val="000725C6"/>
    <w:rsid w:val="000725CA"/>
    <w:rsid w:val="00072BE6"/>
    <w:rsid w:val="0007321C"/>
    <w:rsid w:val="000732E7"/>
    <w:rsid w:val="000737F7"/>
    <w:rsid w:val="00073DEE"/>
    <w:rsid w:val="00073FBE"/>
    <w:rsid w:val="00074673"/>
    <w:rsid w:val="000746A7"/>
    <w:rsid w:val="000750C2"/>
    <w:rsid w:val="00075D68"/>
    <w:rsid w:val="00075F16"/>
    <w:rsid w:val="000760C0"/>
    <w:rsid w:val="00076414"/>
    <w:rsid w:val="0007643C"/>
    <w:rsid w:val="0007672F"/>
    <w:rsid w:val="0007689F"/>
    <w:rsid w:val="00076B54"/>
    <w:rsid w:val="000774F0"/>
    <w:rsid w:val="000777CF"/>
    <w:rsid w:val="00077F7E"/>
    <w:rsid w:val="00080685"/>
    <w:rsid w:val="00080909"/>
    <w:rsid w:val="000809D1"/>
    <w:rsid w:val="00080CB4"/>
    <w:rsid w:val="000812CA"/>
    <w:rsid w:val="000816C3"/>
    <w:rsid w:val="000819A7"/>
    <w:rsid w:val="00081ABF"/>
    <w:rsid w:val="00081CA7"/>
    <w:rsid w:val="00081E63"/>
    <w:rsid w:val="0008258D"/>
    <w:rsid w:val="0008312F"/>
    <w:rsid w:val="0008326D"/>
    <w:rsid w:val="00083766"/>
    <w:rsid w:val="000837BC"/>
    <w:rsid w:val="00083E99"/>
    <w:rsid w:val="00084B8B"/>
    <w:rsid w:val="00084E24"/>
    <w:rsid w:val="00084E7E"/>
    <w:rsid w:val="00084EFD"/>
    <w:rsid w:val="00084FA8"/>
    <w:rsid w:val="000856C5"/>
    <w:rsid w:val="00085BE8"/>
    <w:rsid w:val="00085C31"/>
    <w:rsid w:val="00086172"/>
    <w:rsid w:val="0008639C"/>
    <w:rsid w:val="0008661C"/>
    <w:rsid w:val="00086ECE"/>
    <w:rsid w:val="00087234"/>
    <w:rsid w:val="0008734B"/>
    <w:rsid w:val="0008745A"/>
    <w:rsid w:val="00087D84"/>
    <w:rsid w:val="000900EF"/>
    <w:rsid w:val="0009023C"/>
    <w:rsid w:val="000902C2"/>
    <w:rsid w:val="000902D9"/>
    <w:rsid w:val="0009039E"/>
    <w:rsid w:val="00090C7E"/>
    <w:rsid w:val="0009105B"/>
    <w:rsid w:val="00091111"/>
    <w:rsid w:val="00091156"/>
    <w:rsid w:val="000911AC"/>
    <w:rsid w:val="00091858"/>
    <w:rsid w:val="00091993"/>
    <w:rsid w:val="00091C98"/>
    <w:rsid w:val="00092600"/>
    <w:rsid w:val="0009262B"/>
    <w:rsid w:val="00092683"/>
    <w:rsid w:val="00092F52"/>
    <w:rsid w:val="000932FE"/>
    <w:rsid w:val="00093310"/>
    <w:rsid w:val="00093706"/>
    <w:rsid w:val="00093845"/>
    <w:rsid w:val="00093C80"/>
    <w:rsid w:val="00093EF3"/>
    <w:rsid w:val="000942F1"/>
    <w:rsid w:val="00094399"/>
    <w:rsid w:val="000943E0"/>
    <w:rsid w:val="0009445C"/>
    <w:rsid w:val="000946FE"/>
    <w:rsid w:val="00094EFD"/>
    <w:rsid w:val="00095200"/>
    <w:rsid w:val="00095639"/>
    <w:rsid w:val="00095698"/>
    <w:rsid w:val="00095C10"/>
    <w:rsid w:val="00095FE5"/>
    <w:rsid w:val="00096204"/>
    <w:rsid w:val="00096284"/>
    <w:rsid w:val="00096DDD"/>
    <w:rsid w:val="00097717"/>
    <w:rsid w:val="00097FEE"/>
    <w:rsid w:val="000A0075"/>
    <w:rsid w:val="000A0E26"/>
    <w:rsid w:val="000A11DD"/>
    <w:rsid w:val="000A129F"/>
    <w:rsid w:val="000A1BC0"/>
    <w:rsid w:val="000A21DC"/>
    <w:rsid w:val="000A260E"/>
    <w:rsid w:val="000A27EA"/>
    <w:rsid w:val="000A2F9E"/>
    <w:rsid w:val="000A30BC"/>
    <w:rsid w:val="000A381C"/>
    <w:rsid w:val="000A3E47"/>
    <w:rsid w:val="000A4537"/>
    <w:rsid w:val="000A455C"/>
    <w:rsid w:val="000A460F"/>
    <w:rsid w:val="000A522B"/>
    <w:rsid w:val="000A6039"/>
    <w:rsid w:val="000A617C"/>
    <w:rsid w:val="000A717A"/>
    <w:rsid w:val="000A71FA"/>
    <w:rsid w:val="000A725E"/>
    <w:rsid w:val="000A7453"/>
    <w:rsid w:val="000A7D08"/>
    <w:rsid w:val="000A7E70"/>
    <w:rsid w:val="000B00B0"/>
    <w:rsid w:val="000B0121"/>
    <w:rsid w:val="000B0670"/>
    <w:rsid w:val="000B0752"/>
    <w:rsid w:val="000B0E75"/>
    <w:rsid w:val="000B11EF"/>
    <w:rsid w:val="000B12C8"/>
    <w:rsid w:val="000B1349"/>
    <w:rsid w:val="000B195A"/>
    <w:rsid w:val="000B19A3"/>
    <w:rsid w:val="000B1CCB"/>
    <w:rsid w:val="000B2111"/>
    <w:rsid w:val="000B219B"/>
    <w:rsid w:val="000B21E5"/>
    <w:rsid w:val="000B27A2"/>
    <w:rsid w:val="000B2DCB"/>
    <w:rsid w:val="000B3066"/>
    <w:rsid w:val="000B3144"/>
    <w:rsid w:val="000B31D5"/>
    <w:rsid w:val="000B3977"/>
    <w:rsid w:val="000B4365"/>
    <w:rsid w:val="000B555F"/>
    <w:rsid w:val="000B5CE0"/>
    <w:rsid w:val="000B5CEB"/>
    <w:rsid w:val="000B5F25"/>
    <w:rsid w:val="000B5F34"/>
    <w:rsid w:val="000B63BD"/>
    <w:rsid w:val="000B6CAC"/>
    <w:rsid w:val="000B6F73"/>
    <w:rsid w:val="000B6FAC"/>
    <w:rsid w:val="000B7612"/>
    <w:rsid w:val="000B78AE"/>
    <w:rsid w:val="000B7954"/>
    <w:rsid w:val="000B7AD4"/>
    <w:rsid w:val="000B7E10"/>
    <w:rsid w:val="000C07AA"/>
    <w:rsid w:val="000C0947"/>
    <w:rsid w:val="000C1126"/>
    <w:rsid w:val="000C1296"/>
    <w:rsid w:val="000C15A9"/>
    <w:rsid w:val="000C1646"/>
    <w:rsid w:val="000C18D3"/>
    <w:rsid w:val="000C1971"/>
    <w:rsid w:val="000C1FED"/>
    <w:rsid w:val="000C22BB"/>
    <w:rsid w:val="000C258A"/>
    <w:rsid w:val="000C32F5"/>
    <w:rsid w:val="000C39E0"/>
    <w:rsid w:val="000C3A1C"/>
    <w:rsid w:val="000C3C14"/>
    <w:rsid w:val="000C3DF9"/>
    <w:rsid w:val="000C3E0D"/>
    <w:rsid w:val="000C3FC3"/>
    <w:rsid w:val="000C441D"/>
    <w:rsid w:val="000C45AE"/>
    <w:rsid w:val="000C4750"/>
    <w:rsid w:val="000C4A28"/>
    <w:rsid w:val="000C4CF2"/>
    <w:rsid w:val="000C52AC"/>
    <w:rsid w:val="000C5FA7"/>
    <w:rsid w:val="000C6357"/>
    <w:rsid w:val="000C6713"/>
    <w:rsid w:val="000C6A83"/>
    <w:rsid w:val="000D0181"/>
    <w:rsid w:val="000D0312"/>
    <w:rsid w:val="000D0447"/>
    <w:rsid w:val="000D0DFC"/>
    <w:rsid w:val="000D113C"/>
    <w:rsid w:val="000D1695"/>
    <w:rsid w:val="000D1BFC"/>
    <w:rsid w:val="000D1D5D"/>
    <w:rsid w:val="000D23ED"/>
    <w:rsid w:val="000D2550"/>
    <w:rsid w:val="000D281A"/>
    <w:rsid w:val="000D2848"/>
    <w:rsid w:val="000D2B39"/>
    <w:rsid w:val="000D2C7E"/>
    <w:rsid w:val="000D2FE6"/>
    <w:rsid w:val="000D326A"/>
    <w:rsid w:val="000D334F"/>
    <w:rsid w:val="000D3D3E"/>
    <w:rsid w:val="000D410D"/>
    <w:rsid w:val="000D51B4"/>
    <w:rsid w:val="000D51FB"/>
    <w:rsid w:val="000D545B"/>
    <w:rsid w:val="000D59E9"/>
    <w:rsid w:val="000D59F7"/>
    <w:rsid w:val="000D5DD8"/>
    <w:rsid w:val="000D62C2"/>
    <w:rsid w:val="000D6434"/>
    <w:rsid w:val="000D7097"/>
    <w:rsid w:val="000D7436"/>
    <w:rsid w:val="000D7A0C"/>
    <w:rsid w:val="000D7E6E"/>
    <w:rsid w:val="000D7ECA"/>
    <w:rsid w:val="000E0108"/>
    <w:rsid w:val="000E04EF"/>
    <w:rsid w:val="000E0640"/>
    <w:rsid w:val="000E0A99"/>
    <w:rsid w:val="000E10DB"/>
    <w:rsid w:val="000E135D"/>
    <w:rsid w:val="000E139F"/>
    <w:rsid w:val="000E158F"/>
    <w:rsid w:val="000E2427"/>
    <w:rsid w:val="000E2A3A"/>
    <w:rsid w:val="000E309A"/>
    <w:rsid w:val="000E317C"/>
    <w:rsid w:val="000E31E3"/>
    <w:rsid w:val="000E39D5"/>
    <w:rsid w:val="000E3AD9"/>
    <w:rsid w:val="000E3AEC"/>
    <w:rsid w:val="000E3D35"/>
    <w:rsid w:val="000E3F54"/>
    <w:rsid w:val="000E42A6"/>
    <w:rsid w:val="000E4D16"/>
    <w:rsid w:val="000E5038"/>
    <w:rsid w:val="000E55D4"/>
    <w:rsid w:val="000E5A02"/>
    <w:rsid w:val="000E6314"/>
    <w:rsid w:val="000E64DD"/>
    <w:rsid w:val="000E6881"/>
    <w:rsid w:val="000E6905"/>
    <w:rsid w:val="000E6BE0"/>
    <w:rsid w:val="000E6F9F"/>
    <w:rsid w:val="000E7442"/>
    <w:rsid w:val="000E77BB"/>
    <w:rsid w:val="000E7D89"/>
    <w:rsid w:val="000F00BA"/>
    <w:rsid w:val="000F0899"/>
    <w:rsid w:val="000F091D"/>
    <w:rsid w:val="000F0A8B"/>
    <w:rsid w:val="000F0C29"/>
    <w:rsid w:val="000F0E39"/>
    <w:rsid w:val="000F0F1D"/>
    <w:rsid w:val="000F16EE"/>
    <w:rsid w:val="000F1DE5"/>
    <w:rsid w:val="000F2516"/>
    <w:rsid w:val="000F271B"/>
    <w:rsid w:val="000F2A12"/>
    <w:rsid w:val="000F2EAD"/>
    <w:rsid w:val="000F316A"/>
    <w:rsid w:val="000F32F2"/>
    <w:rsid w:val="000F3529"/>
    <w:rsid w:val="000F3C74"/>
    <w:rsid w:val="000F4BB8"/>
    <w:rsid w:val="000F4C40"/>
    <w:rsid w:val="000F4F19"/>
    <w:rsid w:val="000F4F5E"/>
    <w:rsid w:val="000F4FA9"/>
    <w:rsid w:val="000F53FB"/>
    <w:rsid w:val="000F5550"/>
    <w:rsid w:val="000F576C"/>
    <w:rsid w:val="000F5D56"/>
    <w:rsid w:val="000F6E19"/>
    <w:rsid w:val="000F7056"/>
    <w:rsid w:val="000F7127"/>
    <w:rsid w:val="000F727D"/>
    <w:rsid w:val="000F7501"/>
    <w:rsid w:val="000F790B"/>
    <w:rsid w:val="000F7AC9"/>
    <w:rsid w:val="000F7B40"/>
    <w:rsid w:val="000F7B54"/>
    <w:rsid w:val="001000B3"/>
    <w:rsid w:val="0010079B"/>
    <w:rsid w:val="00100891"/>
    <w:rsid w:val="00100908"/>
    <w:rsid w:val="00100CE8"/>
    <w:rsid w:val="00100D51"/>
    <w:rsid w:val="00100DA8"/>
    <w:rsid w:val="00100F8A"/>
    <w:rsid w:val="0010127B"/>
    <w:rsid w:val="001018FF"/>
    <w:rsid w:val="00101A75"/>
    <w:rsid w:val="00102549"/>
    <w:rsid w:val="0010296C"/>
    <w:rsid w:val="001029D4"/>
    <w:rsid w:val="00102A35"/>
    <w:rsid w:val="00102CCC"/>
    <w:rsid w:val="00102D09"/>
    <w:rsid w:val="0010337C"/>
    <w:rsid w:val="00103861"/>
    <w:rsid w:val="00103D85"/>
    <w:rsid w:val="0010452E"/>
    <w:rsid w:val="00104A6C"/>
    <w:rsid w:val="00104F90"/>
    <w:rsid w:val="0010504A"/>
    <w:rsid w:val="0010577B"/>
    <w:rsid w:val="0010598F"/>
    <w:rsid w:val="00105AE2"/>
    <w:rsid w:val="00105C48"/>
    <w:rsid w:val="001060C6"/>
    <w:rsid w:val="00106106"/>
    <w:rsid w:val="0010675A"/>
    <w:rsid w:val="001068AA"/>
    <w:rsid w:val="00106B80"/>
    <w:rsid w:val="00106C3E"/>
    <w:rsid w:val="00106E9F"/>
    <w:rsid w:val="001073D2"/>
    <w:rsid w:val="001077C3"/>
    <w:rsid w:val="001078EC"/>
    <w:rsid w:val="00107D84"/>
    <w:rsid w:val="001102E7"/>
    <w:rsid w:val="0011032E"/>
    <w:rsid w:val="001115FF"/>
    <w:rsid w:val="00111A22"/>
    <w:rsid w:val="00111A5C"/>
    <w:rsid w:val="00111E15"/>
    <w:rsid w:val="00111E7F"/>
    <w:rsid w:val="00112109"/>
    <w:rsid w:val="0011211D"/>
    <w:rsid w:val="0011348B"/>
    <w:rsid w:val="00113D03"/>
    <w:rsid w:val="00114090"/>
    <w:rsid w:val="001140DF"/>
    <w:rsid w:val="001140E7"/>
    <w:rsid w:val="001147DC"/>
    <w:rsid w:val="00114962"/>
    <w:rsid w:val="00115081"/>
    <w:rsid w:val="00115279"/>
    <w:rsid w:val="0011540F"/>
    <w:rsid w:val="00115982"/>
    <w:rsid w:val="00115B09"/>
    <w:rsid w:val="00115B9D"/>
    <w:rsid w:val="00116041"/>
    <w:rsid w:val="00116867"/>
    <w:rsid w:val="00116C53"/>
    <w:rsid w:val="00117214"/>
    <w:rsid w:val="001177B9"/>
    <w:rsid w:val="00117B85"/>
    <w:rsid w:val="001206D2"/>
    <w:rsid w:val="00120F44"/>
    <w:rsid w:val="0012150F"/>
    <w:rsid w:val="00121799"/>
    <w:rsid w:val="00121D44"/>
    <w:rsid w:val="001222FC"/>
    <w:rsid w:val="0012230F"/>
    <w:rsid w:val="0012354C"/>
    <w:rsid w:val="0012371A"/>
    <w:rsid w:val="00123902"/>
    <w:rsid w:val="00123C91"/>
    <w:rsid w:val="001245CF"/>
    <w:rsid w:val="00124743"/>
    <w:rsid w:val="00124A51"/>
    <w:rsid w:val="00124AB5"/>
    <w:rsid w:val="00125395"/>
    <w:rsid w:val="00125614"/>
    <w:rsid w:val="00125706"/>
    <w:rsid w:val="00125750"/>
    <w:rsid w:val="00125B89"/>
    <w:rsid w:val="00125BBB"/>
    <w:rsid w:val="00126314"/>
    <w:rsid w:val="00126621"/>
    <w:rsid w:val="00126B1D"/>
    <w:rsid w:val="00126EFF"/>
    <w:rsid w:val="0012734C"/>
    <w:rsid w:val="00127B45"/>
    <w:rsid w:val="001301E9"/>
    <w:rsid w:val="001302ED"/>
    <w:rsid w:val="00130690"/>
    <w:rsid w:val="00130858"/>
    <w:rsid w:val="00130AD1"/>
    <w:rsid w:val="00131D82"/>
    <w:rsid w:val="001321A0"/>
    <w:rsid w:val="001322A6"/>
    <w:rsid w:val="0013246A"/>
    <w:rsid w:val="00132486"/>
    <w:rsid w:val="00132A2D"/>
    <w:rsid w:val="00132A69"/>
    <w:rsid w:val="00132B22"/>
    <w:rsid w:val="00132C79"/>
    <w:rsid w:val="00132DC4"/>
    <w:rsid w:val="00133B74"/>
    <w:rsid w:val="00133D36"/>
    <w:rsid w:val="00134A1A"/>
    <w:rsid w:val="00134FC0"/>
    <w:rsid w:val="00135198"/>
    <w:rsid w:val="00135863"/>
    <w:rsid w:val="00135F28"/>
    <w:rsid w:val="001360E4"/>
    <w:rsid w:val="00136660"/>
    <w:rsid w:val="00136A0C"/>
    <w:rsid w:val="0013703E"/>
    <w:rsid w:val="00137080"/>
    <w:rsid w:val="0013720B"/>
    <w:rsid w:val="00137645"/>
    <w:rsid w:val="001379B7"/>
    <w:rsid w:val="001379BC"/>
    <w:rsid w:val="00137B63"/>
    <w:rsid w:val="00137D3D"/>
    <w:rsid w:val="0014015A"/>
    <w:rsid w:val="001403BF"/>
    <w:rsid w:val="001407E8"/>
    <w:rsid w:val="00140909"/>
    <w:rsid w:val="001409AA"/>
    <w:rsid w:val="00140B38"/>
    <w:rsid w:val="00140E99"/>
    <w:rsid w:val="00141605"/>
    <w:rsid w:val="00141A02"/>
    <w:rsid w:val="001427DD"/>
    <w:rsid w:val="00142879"/>
    <w:rsid w:val="00143234"/>
    <w:rsid w:val="001432CC"/>
    <w:rsid w:val="001434D5"/>
    <w:rsid w:val="001435B1"/>
    <w:rsid w:val="00143AC7"/>
    <w:rsid w:val="00143CDC"/>
    <w:rsid w:val="00143DE2"/>
    <w:rsid w:val="00143F67"/>
    <w:rsid w:val="001441CC"/>
    <w:rsid w:val="00144DBF"/>
    <w:rsid w:val="00145234"/>
    <w:rsid w:val="00145540"/>
    <w:rsid w:val="001456B0"/>
    <w:rsid w:val="001456C3"/>
    <w:rsid w:val="001456F8"/>
    <w:rsid w:val="00145AFB"/>
    <w:rsid w:val="00145F41"/>
    <w:rsid w:val="0014611F"/>
    <w:rsid w:val="00146616"/>
    <w:rsid w:val="0014665D"/>
    <w:rsid w:val="0014666B"/>
    <w:rsid w:val="001476D8"/>
    <w:rsid w:val="00147A08"/>
    <w:rsid w:val="00147C98"/>
    <w:rsid w:val="00150575"/>
    <w:rsid w:val="001508F0"/>
    <w:rsid w:val="00150916"/>
    <w:rsid w:val="00150AE4"/>
    <w:rsid w:val="00151053"/>
    <w:rsid w:val="001513B7"/>
    <w:rsid w:val="0015158D"/>
    <w:rsid w:val="001515C9"/>
    <w:rsid w:val="001517F7"/>
    <w:rsid w:val="001523F1"/>
    <w:rsid w:val="00152DF8"/>
    <w:rsid w:val="001534EE"/>
    <w:rsid w:val="00153597"/>
    <w:rsid w:val="0015370E"/>
    <w:rsid w:val="00153A83"/>
    <w:rsid w:val="00153C13"/>
    <w:rsid w:val="0015470A"/>
    <w:rsid w:val="001547AB"/>
    <w:rsid w:val="00154C00"/>
    <w:rsid w:val="00156481"/>
    <w:rsid w:val="001569EC"/>
    <w:rsid w:val="00156C54"/>
    <w:rsid w:val="00156F4C"/>
    <w:rsid w:val="00156F8F"/>
    <w:rsid w:val="00157130"/>
    <w:rsid w:val="001576B1"/>
    <w:rsid w:val="00157922"/>
    <w:rsid w:val="00157CFD"/>
    <w:rsid w:val="00157ECF"/>
    <w:rsid w:val="00160007"/>
    <w:rsid w:val="0016011A"/>
    <w:rsid w:val="0016023A"/>
    <w:rsid w:val="0016047B"/>
    <w:rsid w:val="001606DA"/>
    <w:rsid w:val="00160A4C"/>
    <w:rsid w:val="001612EA"/>
    <w:rsid w:val="001614B7"/>
    <w:rsid w:val="00161589"/>
    <w:rsid w:val="00162555"/>
    <w:rsid w:val="001627DA"/>
    <w:rsid w:val="00162913"/>
    <w:rsid w:val="00162A44"/>
    <w:rsid w:val="00162B37"/>
    <w:rsid w:val="00163070"/>
    <w:rsid w:val="001634D8"/>
    <w:rsid w:val="001635FA"/>
    <w:rsid w:val="0016399A"/>
    <w:rsid w:val="00163B6D"/>
    <w:rsid w:val="00163DF2"/>
    <w:rsid w:val="00163EFF"/>
    <w:rsid w:val="00163F66"/>
    <w:rsid w:val="0016478E"/>
    <w:rsid w:val="00164E77"/>
    <w:rsid w:val="00165966"/>
    <w:rsid w:val="00165C07"/>
    <w:rsid w:val="00165E96"/>
    <w:rsid w:val="00165EC4"/>
    <w:rsid w:val="001661FB"/>
    <w:rsid w:val="001664CF"/>
    <w:rsid w:val="001671A0"/>
    <w:rsid w:val="0016767F"/>
    <w:rsid w:val="00167B04"/>
    <w:rsid w:val="00170449"/>
    <w:rsid w:val="001714FE"/>
    <w:rsid w:val="001715DE"/>
    <w:rsid w:val="00171B0B"/>
    <w:rsid w:val="00171E43"/>
    <w:rsid w:val="0017285A"/>
    <w:rsid w:val="001728CE"/>
    <w:rsid w:val="00172C05"/>
    <w:rsid w:val="00172D09"/>
    <w:rsid w:val="00173565"/>
    <w:rsid w:val="001735E0"/>
    <w:rsid w:val="00173722"/>
    <w:rsid w:val="00173B07"/>
    <w:rsid w:val="00173B41"/>
    <w:rsid w:val="00173D64"/>
    <w:rsid w:val="00174349"/>
    <w:rsid w:val="00174B77"/>
    <w:rsid w:val="00175037"/>
    <w:rsid w:val="00175071"/>
    <w:rsid w:val="001751FA"/>
    <w:rsid w:val="00176184"/>
    <w:rsid w:val="00176404"/>
    <w:rsid w:val="00176515"/>
    <w:rsid w:val="001766CC"/>
    <w:rsid w:val="0017699C"/>
    <w:rsid w:val="00176AC0"/>
    <w:rsid w:val="00176AD5"/>
    <w:rsid w:val="00176B36"/>
    <w:rsid w:val="00176C20"/>
    <w:rsid w:val="00176CF2"/>
    <w:rsid w:val="00177326"/>
    <w:rsid w:val="00177497"/>
    <w:rsid w:val="00180931"/>
    <w:rsid w:val="00180950"/>
    <w:rsid w:val="00180B28"/>
    <w:rsid w:val="00180F24"/>
    <w:rsid w:val="00181150"/>
    <w:rsid w:val="001815C9"/>
    <w:rsid w:val="001819D5"/>
    <w:rsid w:val="00181C10"/>
    <w:rsid w:val="00181D9C"/>
    <w:rsid w:val="00181E26"/>
    <w:rsid w:val="001820DF"/>
    <w:rsid w:val="00182734"/>
    <w:rsid w:val="00182944"/>
    <w:rsid w:val="00183331"/>
    <w:rsid w:val="001837FF"/>
    <w:rsid w:val="00183DDD"/>
    <w:rsid w:val="001844E8"/>
    <w:rsid w:val="001848CA"/>
    <w:rsid w:val="00184B0E"/>
    <w:rsid w:val="00184B2E"/>
    <w:rsid w:val="00184D23"/>
    <w:rsid w:val="0018514C"/>
    <w:rsid w:val="001858A8"/>
    <w:rsid w:val="00186016"/>
    <w:rsid w:val="00186395"/>
    <w:rsid w:val="00186A69"/>
    <w:rsid w:val="00186AC1"/>
    <w:rsid w:val="00186ACB"/>
    <w:rsid w:val="00186F70"/>
    <w:rsid w:val="001873A1"/>
    <w:rsid w:val="0018752F"/>
    <w:rsid w:val="0018794D"/>
    <w:rsid w:val="00187DF9"/>
    <w:rsid w:val="00190056"/>
    <w:rsid w:val="00190D1F"/>
    <w:rsid w:val="00191A2E"/>
    <w:rsid w:val="00192919"/>
    <w:rsid w:val="00192B1B"/>
    <w:rsid w:val="00192DCD"/>
    <w:rsid w:val="0019341B"/>
    <w:rsid w:val="001935BA"/>
    <w:rsid w:val="001936B6"/>
    <w:rsid w:val="0019371B"/>
    <w:rsid w:val="00193838"/>
    <w:rsid w:val="00193F33"/>
    <w:rsid w:val="0019439C"/>
    <w:rsid w:val="001944DC"/>
    <w:rsid w:val="00194AD8"/>
    <w:rsid w:val="00194BC7"/>
    <w:rsid w:val="001950C6"/>
    <w:rsid w:val="00195222"/>
    <w:rsid w:val="00195452"/>
    <w:rsid w:val="00195B64"/>
    <w:rsid w:val="00195DEC"/>
    <w:rsid w:val="00195FC7"/>
    <w:rsid w:val="001961E8"/>
    <w:rsid w:val="00196FD6"/>
    <w:rsid w:val="001975D8"/>
    <w:rsid w:val="0019770F"/>
    <w:rsid w:val="00197CCF"/>
    <w:rsid w:val="00197E02"/>
    <w:rsid w:val="001A0174"/>
    <w:rsid w:val="001A0AB8"/>
    <w:rsid w:val="001A1520"/>
    <w:rsid w:val="001A1616"/>
    <w:rsid w:val="001A178E"/>
    <w:rsid w:val="001A1CB7"/>
    <w:rsid w:val="001A1D4B"/>
    <w:rsid w:val="001A2374"/>
    <w:rsid w:val="001A2BC5"/>
    <w:rsid w:val="001A2C71"/>
    <w:rsid w:val="001A2D62"/>
    <w:rsid w:val="001A30CB"/>
    <w:rsid w:val="001A32EB"/>
    <w:rsid w:val="001A4092"/>
    <w:rsid w:val="001A4117"/>
    <w:rsid w:val="001A426F"/>
    <w:rsid w:val="001A43FA"/>
    <w:rsid w:val="001A47C5"/>
    <w:rsid w:val="001A4ECF"/>
    <w:rsid w:val="001A5555"/>
    <w:rsid w:val="001A555C"/>
    <w:rsid w:val="001A5697"/>
    <w:rsid w:val="001A57D1"/>
    <w:rsid w:val="001A580D"/>
    <w:rsid w:val="001A59FB"/>
    <w:rsid w:val="001A5BC9"/>
    <w:rsid w:val="001A5E2C"/>
    <w:rsid w:val="001A5E9E"/>
    <w:rsid w:val="001A6039"/>
    <w:rsid w:val="001A61DB"/>
    <w:rsid w:val="001A6354"/>
    <w:rsid w:val="001A6366"/>
    <w:rsid w:val="001A6AA3"/>
    <w:rsid w:val="001A6C01"/>
    <w:rsid w:val="001A6D47"/>
    <w:rsid w:val="001A6FB4"/>
    <w:rsid w:val="001A72EE"/>
    <w:rsid w:val="001A76B1"/>
    <w:rsid w:val="001A7AE8"/>
    <w:rsid w:val="001B00A7"/>
    <w:rsid w:val="001B0278"/>
    <w:rsid w:val="001B04A3"/>
    <w:rsid w:val="001B122C"/>
    <w:rsid w:val="001B1FB6"/>
    <w:rsid w:val="001B204E"/>
    <w:rsid w:val="001B2303"/>
    <w:rsid w:val="001B2372"/>
    <w:rsid w:val="001B27E9"/>
    <w:rsid w:val="001B2951"/>
    <w:rsid w:val="001B3443"/>
    <w:rsid w:val="001B372C"/>
    <w:rsid w:val="001B3D14"/>
    <w:rsid w:val="001B3E2F"/>
    <w:rsid w:val="001B3F11"/>
    <w:rsid w:val="001B408B"/>
    <w:rsid w:val="001B41CC"/>
    <w:rsid w:val="001B4305"/>
    <w:rsid w:val="001B4517"/>
    <w:rsid w:val="001B4541"/>
    <w:rsid w:val="001B4B83"/>
    <w:rsid w:val="001B4D20"/>
    <w:rsid w:val="001B56EB"/>
    <w:rsid w:val="001B57E0"/>
    <w:rsid w:val="001B584F"/>
    <w:rsid w:val="001B5A80"/>
    <w:rsid w:val="001B65A0"/>
    <w:rsid w:val="001B66B3"/>
    <w:rsid w:val="001B6BBE"/>
    <w:rsid w:val="001B70F5"/>
    <w:rsid w:val="001B721A"/>
    <w:rsid w:val="001B7737"/>
    <w:rsid w:val="001B7B2F"/>
    <w:rsid w:val="001B7C11"/>
    <w:rsid w:val="001B7F84"/>
    <w:rsid w:val="001C044A"/>
    <w:rsid w:val="001C0611"/>
    <w:rsid w:val="001C07B0"/>
    <w:rsid w:val="001C0B5D"/>
    <w:rsid w:val="001C0E92"/>
    <w:rsid w:val="001C2A9B"/>
    <w:rsid w:val="001C2E5D"/>
    <w:rsid w:val="001C3297"/>
    <w:rsid w:val="001C3514"/>
    <w:rsid w:val="001C3B78"/>
    <w:rsid w:val="001C3DD6"/>
    <w:rsid w:val="001C3F3E"/>
    <w:rsid w:val="001C4131"/>
    <w:rsid w:val="001C4299"/>
    <w:rsid w:val="001C46EA"/>
    <w:rsid w:val="001C4874"/>
    <w:rsid w:val="001C4F82"/>
    <w:rsid w:val="001C551D"/>
    <w:rsid w:val="001C5F94"/>
    <w:rsid w:val="001C6E66"/>
    <w:rsid w:val="001C7301"/>
    <w:rsid w:val="001C7346"/>
    <w:rsid w:val="001C78F1"/>
    <w:rsid w:val="001C7E14"/>
    <w:rsid w:val="001D002A"/>
    <w:rsid w:val="001D02C6"/>
    <w:rsid w:val="001D1024"/>
    <w:rsid w:val="001D1100"/>
    <w:rsid w:val="001D11EB"/>
    <w:rsid w:val="001D1391"/>
    <w:rsid w:val="001D19E2"/>
    <w:rsid w:val="001D1B9E"/>
    <w:rsid w:val="001D1E99"/>
    <w:rsid w:val="001D2056"/>
    <w:rsid w:val="001D20D7"/>
    <w:rsid w:val="001D243E"/>
    <w:rsid w:val="001D24C0"/>
    <w:rsid w:val="001D25D7"/>
    <w:rsid w:val="001D382C"/>
    <w:rsid w:val="001D403C"/>
    <w:rsid w:val="001D50B2"/>
    <w:rsid w:val="001D5E5F"/>
    <w:rsid w:val="001D5E63"/>
    <w:rsid w:val="001D60AD"/>
    <w:rsid w:val="001D6BF9"/>
    <w:rsid w:val="001D6F08"/>
    <w:rsid w:val="001D70C0"/>
    <w:rsid w:val="001D71F4"/>
    <w:rsid w:val="001D7645"/>
    <w:rsid w:val="001D7C25"/>
    <w:rsid w:val="001D7D35"/>
    <w:rsid w:val="001E0118"/>
    <w:rsid w:val="001E0DA4"/>
    <w:rsid w:val="001E12FD"/>
    <w:rsid w:val="001E1A63"/>
    <w:rsid w:val="001E1AB6"/>
    <w:rsid w:val="001E1C20"/>
    <w:rsid w:val="001E1E86"/>
    <w:rsid w:val="001E20E4"/>
    <w:rsid w:val="001E2178"/>
    <w:rsid w:val="001E22AB"/>
    <w:rsid w:val="001E22E9"/>
    <w:rsid w:val="001E2361"/>
    <w:rsid w:val="001E238E"/>
    <w:rsid w:val="001E2483"/>
    <w:rsid w:val="001E24FE"/>
    <w:rsid w:val="001E2B1E"/>
    <w:rsid w:val="001E2CFF"/>
    <w:rsid w:val="001E2F24"/>
    <w:rsid w:val="001E30D4"/>
    <w:rsid w:val="001E34DF"/>
    <w:rsid w:val="001E39E2"/>
    <w:rsid w:val="001E3A4F"/>
    <w:rsid w:val="001E3FF3"/>
    <w:rsid w:val="001E4024"/>
    <w:rsid w:val="001E4362"/>
    <w:rsid w:val="001E46E9"/>
    <w:rsid w:val="001E48D4"/>
    <w:rsid w:val="001E4B66"/>
    <w:rsid w:val="001E4CB2"/>
    <w:rsid w:val="001E52EB"/>
    <w:rsid w:val="001E61D2"/>
    <w:rsid w:val="001E61F3"/>
    <w:rsid w:val="001E6964"/>
    <w:rsid w:val="001E740C"/>
    <w:rsid w:val="001E75A3"/>
    <w:rsid w:val="001E7B1E"/>
    <w:rsid w:val="001E7CD8"/>
    <w:rsid w:val="001F005D"/>
    <w:rsid w:val="001F0135"/>
    <w:rsid w:val="001F01FE"/>
    <w:rsid w:val="001F021E"/>
    <w:rsid w:val="001F0990"/>
    <w:rsid w:val="001F1235"/>
    <w:rsid w:val="001F1690"/>
    <w:rsid w:val="001F1A22"/>
    <w:rsid w:val="001F1CB3"/>
    <w:rsid w:val="001F1D65"/>
    <w:rsid w:val="001F21E2"/>
    <w:rsid w:val="001F291D"/>
    <w:rsid w:val="001F2BE3"/>
    <w:rsid w:val="001F2E3D"/>
    <w:rsid w:val="001F30F4"/>
    <w:rsid w:val="001F33FF"/>
    <w:rsid w:val="001F38B5"/>
    <w:rsid w:val="001F3ABD"/>
    <w:rsid w:val="001F4081"/>
    <w:rsid w:val="001F4E0B"/>
    <w:rsid w:val="001F54AB"/>
    <w:rsid w:val="001F578F"/>
    <w:rsid w:val="001F597F"/>
    <w:rsid w:val="001F5D82"/>
    <w:rsid w:val="001F5DB9"/>
    <w:rsid w:val="001F630D"/>
    <w:rsid w:val="001F632F"/>
    <w:rsid w:val="001F6D64"/>
    <w:rsid w:val="001F72C1"/>
    <w:rsid w:val="001F7361"/>
    <w:rsid w:val="001F73BA"/>
    <w:rsid w:val="001F73C9"/>
    <w:rsid w:val="001F783D"/>
    <w:rsid w:val="001F7E78"/>
    <w:rsid w:val="002001C0"/>
    <w:rsid w:val="00200586"/>
    <w:rsid w:val="00200A79"/>
    <w:rsid w:val="00200CC0"/>
    <w:rsid w:val="00200CFC"/>
    <w:rsid w:val="002011B0"/>
    <w:rsid w:val="002013D5"/>
    <w:rsid w:val="0020146F"/>
    <w:rsid w:val="00201723"/>
    <w:rsid w:val="002020F7"/>
    <w:rsid w:val="0020231C"/>
    <w:rsid w:val="00202AA2"/>
    <w:rsid w:val="00202B22"/>
    <w:rsid w:val="00202E9E"/>
    <w:rsid w:val="00203181"/>
    <w:rsid w:val="002031CB"/>
    <w:rsid w:val="002033B6"/>
    <w:rsid w:val="002033E7"/>
    <w:rsid w:val="00203429"/>
    <w:rsid w:val="00203783"/>
    <w:rsid w:val="0020385F"/>
    <w:rsid w:val="00203A12"/>
    <w:rsid w:val="00203A46"/>
    <w:rsid w:val="00203D5D"/>
    <w:rsid w:val="00203D6B"/>
    <w:rsid w:val="00203DCB"/>
    <w:rsid w:val="002043C2"/>
    <w:rsid w:val="00204A63"/>
    <w:rsid w:val="00204A96"/>
    <w:rsid w:val="0020589F"/>
    <w:rsid w:val="00205922"/>
    <w:rsid w:val="002059F7"/>
    <w:rsid w:val="00205C37"/>
    <w:rsid w:val="00205D44"/>
    <w:rsid w:val="002061A6"/>
    <w:rsid w:val="002068A0"/>
    <w:rsid w:val="00207021"/>
    <w:rsid w:val="002070FA"/>
    <w:rsid w:val="00207326"/>
    <w:rsid w:val="0020732F"/>
    <w:rsid w:val="0020763D"/>
    <w:rsid w:val="002079D5"/>
    <w:rsid w:val="00207D00"/>
    <w:rsid w:val="00207F08"/>
    <w:rsid w:val="002105C1"/>
    <w:rsid w:val="00210A05"/>
    <w:rsid w:val="00210AE4"/>
    <w:rsid w:val="0021120A"/>
    <w:rsid w:val="0021139A"/>
    <w:rsid w:val="002116FD"/>
    <w:rsid w:val="002117F7"/>
    <w:rsid w:val="00211CE5"/>
    <w:rsid w:val="002122C4"/>
    <w:rsid w:val="00212567"/>
    <w:rsid w:val="002127F7"/>
    <w:rsid w:val="002129BC"/>
    <w:rsid w:val="00212EAD"/>
    <w:rsid w:val="002135CE"/>
    <w:rsid w:val="00213876"/>
    <w:rsid w:val="00213EF5"/>
    <w:rsid w:val="002146F1"/>
    <w:rsid w:val="00214A7F"/>
    <w:rsid w:val="002156AA"/>
    <w:rsid w:val="002156F5"/>
    <w:rsid w:val="00215BC1"/>
    <w:rsid w:val="00215FC2"/>
    <w:rsid w:val="00216607"/>
    <w:rsid w:val="00216BF5"/>
    <w:rsid w:val="00216FB3"/>
    <w:rsid w:val="0021761F"/>
    <w:rsid w:val="00217872"/>
    <w:rsid w:val="00217D63"/>
    <w:rsid w:val="00220350"/>
    <w:rsid w:val="00220AC2"/>
    <w:rsid w:val="00220EB6"/>
    <w:rsid w:val="00220FC2"/>
    <w:rsid w:val="0022102A"/>
    <w:rsid w:val="00221273"/>
    <w:rsid w:val="002212B7"/>
    <w:rsid w:val="002213E0"/>
    <w:rsid w:val="00221713"/>
    <w:rsid w:val="002218CB"/>
    <w:rsid w:val="00221C94"/>
    <w:rsid w:val="0022226D"/>
    <w:rsid w:val="00222617"/>
    <w:rsid w:val="002226CB"/>
    <w:rsid w:val="00222775"/>
    <w:rsid w:val="002228E6"/>
    <w:rsid w:val="00222F28"/>
    <w:rsid w:val="0022383E"/>
    <w:rsid w:val="00223B49"/>
    <w:rsid w:val="00223D5A"/>
    <w:rsid w:val="002246EF"/>
    <w:rsid w:val="00224DD4"/>
    <w:rsid w:val="0022502E"/>
    <w:rsid w:val="002265E9"/>
    <w:rsid w:val="00227103"/>
    <w:rsid w:val="00227257"/>
    <w:rsid w:val="002276AA"/>
    <w:rsid w:val="00227751"/>
    <w:rsid w:val="0022787E"/>
    <w:rsid w:val="002278A0"/>
    <w:rsid w:val="00227B11"/>
    <w:rsid w:val="00227DD2"/>
    <w:rsid w:val="00227E15"/>
    <w:rsid w:val="002302F6"/>
    <w:rsid w:val="002303B1"/>
    <w:rsid w:val="0023092A"/>
    <w:rsid w:val="002309CC"/>
    <w:rsid w:val="00230D1D"/>
    <w:rsid w:val="00230DBA"/>
    <w:rsid w:val="0023117F"/>
    <w:rsid w:val="002312E9"/>
    <w:rsid w:val="0023134C"/>
    <w:rsid w:val="002313B7"/>
    <w:rsid w:val="00231BA9"/>
    <w:rsid w:val="00232073"/>
    <w:rsid w:val="0023209F"/>
    <w:rsid w:val="00232387"/>
    <w:rsid w:val="00232633"/>
    <w:rsid w:val="0023285E"/>
    <w:rsid w:val="002331D2"/>
    <w:rsid w:val="0023325D"/>
    <w:rsid w:val="002335E3"/>
    <w:rsid w:val="00233A7F"/>
    <w:rsid w:val="00233C01"/>
    <w:rsid w:val="00233E23"/>
    <w:rsid w:val="00233F6A"/>
    <w:rsid w:val="0023413C"/>
    <w:rsid w:val="0023437A"/>
    <w:rsid w:val="002346F0"/>
    <w:rsid w:val="0023472D"/>
    <w:rsid w:val="0023527C"/>
    <w:rsid w:val="00235DAA"/>
    <w:rsid w:val="00235F9D"/>
    <w:rsid w:val="00236217"/>
    <w:rsid w:val="0023629D"/>
    <w:rsid w:val="0023662C"/>
    <w:rsid w:val="002367E6"/>
    <w:rsid w:val="00236F5E"/>
    <w:rsid w:val="00237213"/>
    <w:rsid w:val="00237255"/>
    <w:rsid w:val="00240E02"/>
    <w:rsid w:val="002410DE"/>
    <w:rsid w:val="00241137"/>
    <w:rsid w:val="002413F5"/>
    <w:rsid w:val="0024185D"/>
    <w:rsid w:val="00241B35"/>
    <w:rsid w:val="00241DBB"/>
    <w:rsid w:val="00241EF2"/>
    <w:rsid w:val="002424AF"/>
    <w:rsid w:val="00242743"/>
    <w:rsid w:val="002429D2"/>
    <w:rsid w:val="002438D7"/>
    <w:rsid w:val="0024399A"/>
    <w:rsid w:val="002439DC"/>
    <w:rsid w:val="00243C8B"/>
    <w:rsid w:val="002441D2"/>
    <w:rsid w:val="0024446A"/>
    <w:rsid w:val="00244DC8"/>
    <w:rsid w:val="00244EA4"/>
    <w:rsid w:val="00245093"/>
    <w:rsid w:val="002458BA"/>
    <w:rsid w:val="0024594D"/>
    <w:rsid w:val="00245CE9"/>
    <w:rsid w:val="0024636C"/>
    <w:rsid w:val="002464BE"/>
    <w:rsid w:val="00246D8D"/>
    <w:rsid w:val="002470EE"/>
    <w:rsid w:val="002474F2"/>
    <w:rsid w:val="002476C4"/>
    <w:rsid w:val="00247772"/>
    <w:rsid w:val="00247925"/>
    <w:rsid w:val="00247CB5"/>
    <w:rsid w:val="0025044F"/>
    <w:rsid w:val="00250D93"/>
    <w:rsid w:val="00251006"/>
    <w:rsid w:val="002513FB"/>
    <w:rsid w:val="00251CDA"/>
    <w:rsid w:val="00251F6F"/>
    <w:rsid w:val="0025207F"/>
    <w:rsid w:val="002522E5"/>
    <w:rsid w:val="002524D5"/>
    <w:rsid w:val="00252996"/>
    <w:rsid w:val="00252FC2"/>
    <w:rsid w:val="002539B8"/>
    <w:rsid w:val="00253B1D"/>
    <w:rsid w:val="00253C72"/>
    <w:rsid w:val="00253D74"/>
    <w:rsid w:val="00253F88"/>
    <w:rsid w:val="00253FDD"/>
    <w:rsid w:val="00254BEF"/>
    <w:rsid w:val="00254C3C"/>
    <w:rsid w:val="00254DCF"/>
    <w:rsid w:val="002551FE"/>
    <w:rsid w:val="0025534B"/>
    <w:rsid w:val="0025543B"/>
    <w:rsid w:val="002557EF"/>
    <w:rsid w:val="00255AE7"/>
    <w:rsid w:val="00255BB7"/>
    <w:rsid w:val="00255D9F"/>
    <w:rsid w:val="0025668F"/>
    <w:rsid w:val="00256B90"/>
    <w:rsid w:val="00256D62"/>
    <w:rsid w:val="00257541"/>
    <w:rsid w:val="00257A39"/>
    <w:rsid w:val="00257AC4"/>
    <w:rsid w:val="00257BBE"/>
    <w:rsid w:val="00257E78"/>
    <w:rsid w:val="002604DF"/>
    <w:rsid w:val="00260589"/>
    <w:rsid w:val="002606DA"/>
    <w:rsid w:val="00260730"/>
    <w:rsid w:val="0026079F"/>
    <w:rsid w:val="00260BFB"/>
    <w:rsid w:val="00261310"/>
    <w:rsid w:val="00261336"/>
    <w:rsid w:val="0026154D"/>
    <w:rsid w:val="00261BEA"/>
    <w:rsid w:val="00261D65"/>
    <w:rsid w:val="00261E78"/>
    <w:rsid w:val="00261EED"/>
    <w:rsid w:val="00261EEF"/>
    <w:rsid w:val="002620F9"/>
    <w:rsid w:val="00262213"/>
    <w:rsid w:val="0026225F"/>
    <w:rsid w:val="00262434"/>
    <w:rsid w:val="00262A1A"/>
    <w:rsid w:val="00262A87"/>
    <w:rsid w:val="00262CCB"/>
    <w:rsid w:val="00263098"/>
    <w:rsid w:val="00263165"/>
    <w:rsid w:val="002631F0"/>
    <w:rsid w:val="00263A4C"/>
    <w:rsid w:val="002640D0"/>
    <w:rsid w:val="00264189"/>
    <w:rsid w:val="00264423"/>
    <w:rsid w:val="00264BAB"/>
    <w:rsid w:val="00264CF6"/>
    <w:rsid w:val="00264D26"/>
    <w:rsid w:val="00265276"/>
    <w:rsid w:val="0026539A"/>
    <w:rsid w:val="00265DF6"/>
    <w:rsid w:val="00265EEA"/>
    <w:rsid w:val="00266132"/>
    <w:rsid w:val="00266193"/>
    <w:rsid w:val="002668C2"/>
    <w:rsid w:val="00266AC5"/>
    <w:rsid w:val="00266F75"/>
    <w:rsid w:val="00267642"/>
    <w:rsid w:val="0026779D"/>
    <w:rsid w:val="00267AEA"/>
    <w:rsid w:val="00267E80"/>
    <w:rsid w:val="00267EDF"/>
    <w:rsid w:val="00270074"/>
    <w:rsid w:val="002700E6"/>
    <w:rsid w:val="002709FE"/>
    <w:rsid w:val="00270D47"/>
    <w:rsid w:val="00270EF7"/>
    <w:rsid w:val="0027114C"/>
    <w:rsid w:val="00271439"/>
    <w:rsid w:val="00271441"/>
    <w:rsid w:val="002715B9"/>
    <w:rsid w:val="002718B4"/>
    <w:rsid w:val="00271F0E"/>
    <w:rsid w:val="002721E7"/>
    <w:rsid w:val="0027294B"/>
    <w:rsid w:val="0027327A"/>
    <w:rsid w:val="00273402"/>
    <w:rsid w:val="002735F5"/>
    <w:rsid w:val="00273D99"/>
    <w:rsid w:val="00273EB4"/>
    <w:rsid w:val="00274682"/>
    <w:rsid w:val="00274757"/>
    <w:rsid w:val="00274D38"/>
    <w:rsid w:val="00275158"/>
    <w:rsid w:val="002752A2"/>
    <w:rsid w:val="002756A3"/>
    <w:rsid w:val="00275C5A"/>
    <w:rsid w:val="00275F71"/>
    <w:rsid w:val="0027611B"/>
    <w:rsid w:val="002764B6"/>
    <w:rsid w:val="00276D1B"/>
    <w:rsid w:val="00276ED9"/>
    <w:rsid w:val="00277148"/>
    <w:rsid w:val="00277F5A"/>
    <w:rsid w:val="002800ED"/>
    <w:rsid w:val="002809C4"/>
    <w:rsid w:val="00280BD3"/>
    <w:rsid w:val="00281014"/>
    <w:rsid w:val="002813D4"/>
    <w:rsid w:val="0028189B"/>
    <w:rsid w:val="00281A3C"/>
    <w:rsid w:val="00281FF3"/>
    <w:rsid w:val="0028254C"/>
    <w:rsid w:val="00282BBB"/>
    <w:rsid w:val="0028408B"/>
    <w:rsid w:val="002840EB"/>
    <w:rsid w:val="00284354"/>
    <w:rsid w:val="00284575"/>
    <w:rsid w:val="00284B8A"/>
    <w:rsid w:val="002850B5"/>
    <w:rsid w:val="002856AF"/>
    <w:rsid w:val="00285713"/>
    <w:rsid w:val="00285BCE"/>
    <w:rsid w:val="002860FE"/>
    <w:rsid w:val="0028665D"/>
    <w:rsid w:val="00286A65"/>
    <w:rsid w:val="00286B43"/>
    <w:rsid w:val="00286DE0"/>
    <w:rsid w:val="00287538"/>
    <w:rsid w:val="002875A4"/>
    <w:rsid w:val="00287AF3"/>
    <w:rsid w:val="00287D88"/>
    <w:rsid w:val="002900AA"/>
    <w:rsid w:val="0029061E"/>
    <w:rsid w:val="00290B90"/>
    <w:rsid w:val="00290E13"/>
    <w:rsid w:val="00290FCB"/>
    <w:rsid w:val="002919CF"/>
    <w:rsid w:val="002924D2"/>
    <w:rsid w:val="002925D2"/>
    <w:rsid w:val="00292630"/>
    <w:rsid w:val="00292A49"/>
    <w:rsid w:val="00292B8F"/>
    <w:rsid w:val="00292ED5"/>
    <w:rsid w:val="00292F8E"/>
    <w:rsid w:val="002931D2"/>
    <w:rsid w:val="002933EF"/>
    <w:rsid w:val="00293B9A"/>
    <w:rsid w:val="00293C58"/>
    <w:rsid w:val="00293F9C"/>
    <w:rsid w:val="00294A15"/>
    <w:rsid w:val="00295265"/>
    <w:rsid w:val="002953E4"/>
    <w:rsid w:val="00295A6B"/>
    <w:rsid w:val="00295C03"/>
    <w:rsid w:val="00295C87"/>
    <w:rsid w:val="0029609D"/>
    <w:rsid w:val="002965AE"/>
    <w:rsid w:val="00296FF7"/>
    <w:rsid w:val="0029757D"/>
    <w:rsid w:val="002A006E"/>
    <w:rsid w:val="002A026F"/>
    <w:rsid w:val="002A0590"/>
    <w:rsid w:val="002A0692"/>
    <w:rsid w:val="002A0D07"/>
    <w:rsid w:val="002A0FA6"/>
    <w:rsid w:val="002A0FE4"/>
    <w:rsid w:val="002A12A9"/>
    <w:rsid w:val="002A14AB"/>
    <w:rsid w:val="002A154D"/>
    <w:rsid w:val="002A1931"/>
    <w:rsid w:val="002A2460"/>
    <w:rsid w:val="002A2A73"/>
    <w:rsid w:val="002A2ADE"/>
    <w:rsid w:val="002A2BB8"/>
    <w:rsid w:val="002A2C6E"/>
    <w:rsid w:val="002A2F33"/>
    <w:rsid w:val="002A2F50"/>
    <w:rsid w:val="002A327F"/>
    <w:rsid w:val="002A33DD"/>
    <w:rsid w:val="002A34F5"/>
    <w:rsid w:val="002A429A"/>
    <w:rsid w:val="002A55D0"/>
    <w:rsid w:val="002A64DC"/>
    <w:rsid w:val="002A64DF"/>
    <w:rsid w:val="002A65E1"/>
    <w:rsid w:val="002A6EC8"/>
    <w:rsid w:val="002A7024"/>
    <w:rsid w:val="002A71A6"/>
    <w:rsid w:val="002A74E9"/>
    <w:rsid w:val="002A75EA"/>
    <w:rsid w:val="002A7943"/>
    <w:rsid w:val="002A7A59"/>
    <w:rsid w:val="002B0076"/>
    <w:rsid w:val="002B0263"/>
    <w:rsid w:val="002B0442"/>
    <w:rsid w:val="002B05A1"/>
    <w:rsid w:val="002B065B"/>
    <w:rsid w:val="002B0789"/>
    <w:rsid w:val="002B07D8"/>
    <w:rsid w:val="002B082B"/>
    <w:rsid w:val="002B09A4"/>
    <w:rsid w:val="002B0A11"/>
    <w:rsid w:val="002B0ABA"/>
    <w:rsid w:val="002B0ABF"/>
    <w:rsid w:val="002B1641"/>
    <w:rsid w:val="002B1C1F"/>
    <w:rsid w:val="002B1F9E"/>
    <w:rsid w:val="002B2073"/>
    <w:rsid w:val="002B23A3"/>
    <w:rsid w:val="002B23A6"/>
    <w:rsid w:val="002B2751"/>
    <w:rsid w:val="002B279E"/>
    <w:rsid w:val="002B28D3"/>
    <w:rsid w:val="002B28E0"/>
    <w:rsid w:val="002B2C21"/>
    <w:rsid w:val="002B3787"/>
    <w:rsid w:val="002B3998"/>
    <w:rsid w:val="002B432F"/>
    <w:rsid w:val="002B455E"/>
    <w:rsid w:val="002B4802"/>
    <w:rsid w:val="002B4AB5"/>
    <w:rsid w:val="002B4F37"/>
    <w:rsid w:val="002B55A6"/>
    <w:rsid w:val="002B5C00"/>
    <w:rsid w:val="002B62B3"/>
    <w:rsid w:val="002B6714"/>
    <w:rsid w:val="002B6754"/>
    <w:rsid w:val="002B6CCE"/>
    <w:rsid w:val="002B6DF5"/>
    <w:rsid w:val="002B71CD"/>
    <w:rsid w:val="002B727C"/>
    <w:rsid w:val="002B7B54"/>
    <w:rsid w:val="002B7FB7"/>
    <w:rsid w:val="002C0610"/>
    <w:rsid w:val="002C0C23"/>
    <w:rsid w:val="002C0CD4"/>
    <w:rsid w:val="002C11B8"/>
    <w:rsid w:val="002C1385"/>
    <w:rsid w:val="002C1758"/>
    <w:rsid w:val="002C2510"/>
    <w:rsid w:val="002C2775"/>
    <w:rsid w:val="002C27C1"/>
    <w:rsid w:val="002C2CF6"/>
    <w:rsid w:val="002C2DD3"/>
    <w:rsid w:val="002C2E48"/>
    <w:rsid w:val="002C3364"/>
    <w:rsid w:val="002C36E3"/>
    <w:rsid w:val="002C392A"/>
    <w:rsid w:val="002C446A"/>
    <w:rsid w:val="002C4D35"/>
    <w:rsid w:val="002C4DA6"/>
    <w:rsid w:val="002C5099"/>
    <w:rsid w:val="002C57B0"/>
    <w:rsid w:val="002C5889"/>
    <w:rsid w:val="002C66F1"/>
    <w:rsid w:val="002C6913"/>
    <w:rsid w:val="002C6B92"/>
    <w:rsid w:val="002C6FB7"/>
    <w:rsid w:val="002C7167"/>
    <w:rsid w:val="002C71CE"/>
    <w:rsid w:val="002C7343"/>
    <w:rsid w:val="002C74A8"/>
    <w:rsid w:val="002D007E"/>
    <w:rsid w:val="002D08F8"/>
    <w:rsid w:val="002D0B78"/>
    <w:rsid w:val="002D1050"/>
    <w:rsid w:val="002D135E"/>
    <w:rsid w:val="002D13EA"/>
    <w:rsid w:val="002D1705"/>
    <w:rsid w:val="002D1803"/>
    <w:rsid w:val="002D1CAF"/>
    <w:rsid w:val="002D1D72"/>
    <w:rsid w:val="002D1EB8"/>
    <w:rsid w:val="002D1EE5"/>
    <w:rsid w:val="002D2347"/>
    <w:rsid w:val="002D275A"/>
    <w:rsid w:val="002D31EE"/>
    <w:rsid w:val="002D3535"/>
    <w:rsid w:val="002D430E"/>
    <w:rsid w:val="002D4739"/>
    <w:rsid w:val="002D4ADC"/>
    <w:rsid w:val="002D5364"/>
    <w:rsid w:val="002D55AB"/>
    <w:rsid w:val="002D577C"/>
    <w:rsid w:val="002D5D42"/>
    <w:rsid w:val="002D6079"/>
    <w:rsid w:val="002D7300"/>
    <w:rsid w:val="002D7832"/>
    <w:rsid w:val="002D7DF8"/>
    <w:rsid w:val="002D7F14"/>
    <w:rsid w:val="002E0056"/>
    <w:rsid w:val="002E0233"/>
    <w:rsid w:val="002E04F4"/>
    <w:rsid w:val="002E0600"/>
    <w:rsid w:val="002E09AD"/>
    <w:rsid w:val="002E09BB"/>
    <w:rsid w:val="002E0B69"/>
    <w:rsid w:val="002E0F2C"/>
    <w:rsid w:val="002E1071"/>
    <w:rsid w:val="002E15B9"/>
    <w:rsid w:val="002E1C1A"/>
    <w:rsid w:val="002E2158"/>
    <w:rsid w:val="002E2DFE"/>
    <w:rsid w:val="002E3157"/>
    <w:rsid w:val="002E342B"/>
    <w:rsid w:val="002E3A07"/>
    <w:rsid w:val="002E3A84"/>
    <w:rsid w:val="002E405D"/>
    <w:rsid w:val="002E408F"/>
    <w:rsid w:val="002E462E"/>
    <w:rsid w:val="002E4F02"/>
    <w:rsid w:val="002E5115"/>
    <w:rsid w:val="002E57C0"/>
    <w:rsid w:val="002E5ACA"/>
    <w:rsid w:val="002E6183"/>
    <w:rsid w:val="002E62A9"/>
    <w:rsid w:val="002E652D"/>
    <w:rsid w:val="002E672C"/>
    <w:rsid w:val="002E6876"/>
    <w:rsid w:val="002E6ABC"/>
    <w:rsid w:val="002E6D6C"/>
    <w:rsid w:val="002E701A"/>
    <w:rsid w:val="002E70EC"/>
    <w:rsid w:val="002E7722"/>
    <w:rsid w:val="002E775B"/>
    <w:rsid w:val="002E78FB"/>
    <w:rsid w:val="002E7973"/>
    <w:rsid w:val="002E7B9F"/>
    <w:rsid w:val="002F06E4"/>
    <w:rsid w:val="002F07BA"/>
    <w:rsid w:val="002F0BD0"/>
    <w:rsid w:val="002F0DA9"/>
    <w:rsid w:val="002F1014"/>
    <w:rsid w:val="002F1084"/>
    <w:rsid w:val="002F19E4"/>
    <w:rsid w:val="002F1BCC"/>
    <w:rsid w:val="002F1E3B"/>
    <w:rsid w:val="002F246B"/>
    <w:rsid w:val="002F2627"/>
    <w:rsid w:val="002F29B8"/>
    <w:rsid w:val="002F2A6C"/>
    <w:rsid w:val="002F2C3E"/>
    <w:rsid w:val="002F2D48"/>
    <w:rsid w:val="002F3136"/>
    <w:rsid w:val="002F394E"/>
    <w:rsid w:val="002F4320"/>
    <w:rsid w:val="002F4449"/>
    <w:rsid w:val="002F481B"/>
    <w:rsid w:val="002F4E89"/>
    <w:rsid w:val="002F4F7F"/>
    <w:rsid w:val="002F53A6"/>
    <w:rsid w:val="002F5687"/>
    <w:rsid w:val="002F5736"/>
    <w:rsid w:val="002F643C"/>
    <w:rsid w:val="002F66A8"/>
    <w:rsid w:val="002F69C7"/>
    <w:rsid w:val="002F6B08"/>
    <w:rsid w:val="002F6D06"/>
    <w:rsid w:val="002F71C0"/>
    <w:rsid w:val="002F72CA"/>
    <w:rsid w:val="002F74F1"/>
    <w:rsid w:val="002F7828"/>
    <w:rsid w:val="002F78F6"/>
    <w:rsid w:val="002F792B"/>
    <w:rsid w:val="002F7971"/>
    <w:rsid w:val="002F79B9"/>
    <w:rsid w:val="002F7C5A"/>
    <w:rsid w:val="00300317"/>
    <w:rsid w:val="003005AE"/>
    <w:rsid w:val="003006D5"/>
    <w:rsid w:val="003009BE"/>
    <w:rsid w:val="003009F7"/>
    <w:rsid w:val="00301017"/>
    <w:rsid w:val="00301079"/>
    <w:rsid w:val="0030155F"/>
    <w:rsid w:val="0030184B"/>
    <w:rsid w:val="003018D3"/>
    <w:rsid w:val="00301F23"/>
    <w:rsid w:val="0030205A"/>
    <w:rsid w:val="0030208F"/>
    <w:rsid w:val="00302F1E"/>
    <w:rsid w:val="00302FB4"/>
    <w:rsid w:val="003035A0"/>
    <w:rsid w:val="00303E1D"/>
    <w:rsid w:val="00304C1B"/>
    <w:rsid w:val="00304EB5"/>
    <w:rsid w:val="00305278"/>
    <w:rsid w:val="003052CB"/>
    <w:rsid w:val="003054F4"/>
    <w:rsid w:val="0030574A"/>
    <w:rsid w:val="0030587B"/>
    <w:rsid w:val="00305A4B"/>
    <w:rsid w:val="00305D1E"/>
    <w:rsid w:val="003063E1"/>
    <w:rsid w:val="0030640F"/>
    <w:rsid w:val="003068EC"/>
    <w:rsid w:val="00306C62"/>
    <w:rsid w:val="00306D98"/>
    <w:rsid w:val="00306FAE"/>
    <w:rsid w:val="003075A2"/>
    <w:rsid w:val="0030766C"/>
    <w:rsid w:val="0030786C"/>
    <w:rsid w:val="00307938"/>
    <w:rsid w:val="00307EC9"/>
    <w:rsid w:val="0031031A"/>
    <w:rsid w:val="00310608"/>
    <w:rsid w:val="00310981"/>
    <w:rsid w:val="00310C8F"/>
    <w:rsid w:val="00310D3A"/>
    <w:rsid w:val="00310F84"/>
    <w:rsid w:val="003112B3"/>
    <w:rsid w:val="00311A15"/>
    <w:rsid w:val="00311D9B"/>
    <w:rsid w:val="00311DC4"/>
    <w:rsid w:val="00312082"/>
    <w:rsid w:val="003124D9"/>
    <w:rsid w:val="00312594"/>
    <w:rsid w:val="003127D1"/>
    <w:rsid w:val="00312949"/>
    <w:rsid w:val="00312CC5"/>
    <w:rsid w:val="003130B1"/>
    <w:rsid w:val="0031314B"/>
    <w:rsid w:val="00313828"/>
    <w:rsid w:val="0031389D"/>
    <w:rsid w:val="00313C6A"/>
    <w:rsid w:val="00314197"/>
    <w:rsid w:val="003141CF"/>
    <w:rsid w:val="0031420A"/>
    <w:rsid w:val="0031442D"/>
    <w:rsid w:val="00314D22"/>
    <w:rsid w:val="00315498"/>
    <w:rsid w:val="00315B73"/>
    <w:rsid w:val="00315BB5"/>
    <w:rsid w:val="00316474"/>
    <w:rsid w:val="00316C0D"/>
    <w:rsid w:val="00316D2F"/>
    <w:rsid w:val="00316E0B"/>
    <w:rsid w:val="003174BE"/>
    <w:rsid w:val="003216B5"/>
    <w:rsid w:val="0032183E"/>
    <w:rsid w:val="00321A18"/>
    <w:rsid w:val="00321CED"/>
    <w:rsid w:val="00321F08"/>
    <w:rsid w:val="00321F2B"/>
    <w:rsid w:val="00322107"/>
    <w:rsid w:val="00322355"/>
    <w:rsid w:val="003223C0"/>
    <w:rsid w:val="0032273A"/>
    <w:rsid w:val="0032280A"/>
    <w:rsid w:val="00322846"/>
    <w:rsid w:val="00322B5A"/>
    <w:rsid w:val="00322F69"/>
    <w:rsid w:val="00323058"/>
    <w:rsid w:val="0032476D"/>
    <w:rsid w:val="003249DE"/>
    <w:rsid w:val="00324B62"/>
    <w:rsid w:val="00325697"/>
    <w:rsid w:val="0032609F"/>
    <w:rsid w:val="00326219"/>
    <w:rsid w:val="00326DA7"/>
    <w:rsid w:val="00326DF5"/>
    <w:rsid w:val="0032705F"/>
    <w:rsid w:val="003270E4"/>
    <w:rsid w:val="00327C2E"/>
    <w:rsid w:val="00327CCC"/>
    <w:rsid w:val="00330362"/>
    <w:rsid w:val="00330753"/>
    <w:rsid w:val="00330A8D"/>
    <w:rsid w:val="00330DAA"/>
    <w:rsid w:val="00330F5C"/>
    <w:rsid w:val="003328EA"/>
    <w:rsid w:val="003338B5"/>
    <w:rsid w:val="0033454B"/>
    <w:rsid w:val="00334A90"/>
    <w:rsid w:val="00334C98"/>
    <w:rsid w:val="00334CF8"/>
    <w:rsid w:val="00334EC9"/>
    <w:rsid w:val="00334F52"/>
    <w:rsid w:val="00335775"/>
    <w:rsid w:val="00335A86"/>
    <w:rsid w:val="00335C45"/>
    <w:rsid w:val="00335D68"/>
    <w:rsid w:val="003366C9"/>
    <w:rsid w:val="00336A83"/>
    <w:rsid w:val="003371B0"/>
    <w:rsid w:val="0033721D"/>
    <w:rsid w:val="00337DD8"/>
    <w:rsid w:val="00337E21"/>
    <w:rsid w:val="003401BB"/>
    <w:rsid w:val="0034071D"/>
    <w:rsid w:val="00340907"/>
    <w:rsid w:val="00340DF1"/>
    <w:rsid w:val="003412B3"/>
    <w:rsid w:val="003420B7"/>
    <w:rsid w:val="00342926"/>
    <w:rsid w:val="00342D3E"/>
    <w:rsid w:val="00343440"/>
    <w:rsid w:val="0034378E"/>
    <w:rsid w:val="00343962"/>
    <w:rsid w:val="00343A96"/>
    <w:rsid w:val="00344182"/>
    <w:rsid w:val="0034447F"/>
    <w:rsid w:val="00344B1B"/>
    <w:rsid w:val="00345709"/>
    <w:rsid w:val="00345715"/>
    <w:rsid w:val="003457C1"/>
    <w:rsid w:val="00345D02"/>
    <w:rsid w:val="003469D4"/>
    <w:rsid w:val="00346F31"/>
    <w:rsid w:val="00347BC2"/>
    <w:rsid w:val="00347C89"/>
    <w:rsid w:val="0035056F"/>
    <w:rsid w:val="00350FA5"/>
    <w:rsid w:val="0035128C"/>
    <w:rsid w:val="003517F9"/>
    <w:rsid w:val="00351BA9"/>
    <w:rsid w:val="003525B9"/>
    <w:rsid w:val="003526B4"/>
    <w:rsid w:val="003528FA"/>
    <w:rsid w:val="00352A32"/>
    <w:rsid w:val="00352E04"/>
    <w:rsid w:val="00352F11"/>
    <w:rsid w:val="00353258"/>
    <w:rsid w:val="00353CE9"/>
    <w:rsid w:val="00353D40"/>
    <w:rsid w:val="00354906"/>
    <w:rsid w:val="00354C86"/>
    <w:rsid w:val="00354D93"/>
    <w:rsid w:val="00354F64"/>
    <w:rsid w:val="0035620E"/>
    <w:rsid w:val="00356475"/>
    <w:rsid w:val="00356947"/>
    <w:rsid w:val="003575BE"/>
    <w:rsid w:val="0035768E"/>
    <w:rsid w:val="003579AF"/>
    <w:rsid w:val="0036004A"/>
    <w:rsid w:val="00360345"/>
    <w:rsid w:val="003606A0"/>
    <w:rsid w:val="003609D5"/>
    <w:rsid w:val="00360B74"/>
    <w:rsid w:val="0036187B"/>
    <w:rsid w:val="00361A05"/>
    <w:rsid w:val="003624C4"/>
    <w:rsid w:val="003624FA"/>
    <w:rsid w:val="00362FBE"/>
    <w:rsid w:val="00363B00"/>
    <w:rsid w:val="00363C53"/>
    <w:rsid w:val="003642D1"/>
    <w:rsid w:val="00364AB1"/>
    <w:rsid w:val="003654AC"/>
    <w:rsid w:val="003656BA"/>
    <w:rsid w:val="00365A46"/>
    <w:rsid w:val="00365EB4"/>
    <w:rsid w:val="00365EE1"/>
    <w:rsid w:val="00366BC6"/>
    <w:rsid w:val="00366C69"/>
    <w:rsid w:val="00367EBE"/>
    <w:rsid w:val="00370CF3"/>
    <w:rsid w:val="00370F7E"/>
    <w:rsid w:val="003710CF"/>
    <w:rsid w:val="00371DA6"/>
    <w:rsid w:val="003724B4"/>
    <w:rsid w:val="0037250E"/>
    <w:rsid w:val="0037252C"/>
    <w:rsid w:val="003727D9"/>
    <w:rsid w:val="00372981"/>
    <w:rsid w:val="00372B27"/>
    <w:rsid w:val="00372C11"/>
    <w:rsid w:val="00372FB0"/>
    <w:rsid w:val="00373011"/>
    <w:rsid w:val="00373135"/>
    <w:rsid w:val="0037323C"/>
    <w:rsid w:val="0037358A"/>
    <w:rsid w:val="00373ED3"/>
    <w:rsid w:val="00373EEA"/>
    <w:rsid w:val="003741FB"/>
    <w:rsid w:val="00374217"/>
    <w:rsid w:val="0037426F"/>
    <w:rsid w:val="00374300"/>
    <w:rsid w:val="00374560"/>
    <w:rsid w:val="00374D80"/>
    <w:rsid w:val="00375091"/>
    <w:rsid w:val="003750F6"/>
    <w:rsid w:val="0037531F"/>
    <w:rsid w:val="00375373"/>
    <w:rsid w:val="00375B63"/>
    <w:rsid w:val="00375E82"/>
    <w:rsid w:val="00376097"/>
    <w:rsid w:val="003760FC"/>
    <w:rsid w:val="00376392"/>
    <w:rsid w:val="00376A4E"/>
    <w:rsid w:val="003770FB"/>
    <w:rsid w:val="0037744C"/>
    <w:rsid w:val="003774BC"/>
    <w:rsid w:val="00377952"/>
    <w:rsid w:val="00377CCF"/>
    <w:rsid w:val="00377D1F"/>
    <w:rsid w:val="003806EE"/>
    <w:rsid w:val="003809F3"/>
    <w:rsid w:val="00380B9C"/>
    <w:rsid w:val="00380E39"/>
    <w:rsid w:val="003813DC"/>
    <w:rsid w:val="003814D3"/>
    <w:rsid w:val="0038180C"/>
    <w:rsid w:val="00381849"/>
    <w:rsid w:val="00381F13"/>
    <w:rsid w:val="00382080"/>
    <w:rsid w:val="00382685"/>
    <w:rsid w:val="00382FCB"/>
    <w:rsid w:val="0038319B"/>
    <w:rsid w:val="003833C7"/>
    <w:rsid w:val="0038365C"/>
    <w:rsid w:val="0038369B"/>
    <w:rsid w:val="00383717"/>
    <w:rsid w:val="00383B78"/>
    <w:rsid w:val="00384AF6"/>
    <w:rsid w:val="00384C38"/>
    <w:rsid w:val="00384D08"/>
    <w:rsid w:val="00384DCD"/>
    <w:rsid w:val="00384E1D"/>
    <w:rsid w:val="00385831"/>
    <w:rsid w:val="00385A9D"/>
    <w:rsid w:val="003866AB"/>
    <w:rsid w:val="00386B19"/>
    <w:rsid w:val="00386B4D"/>
    <w:rsid w:val="00386C02"/>
    <w:rsid w:val="00387121"/>
    <w:rsid w:val="00387750"/>
    <w:rsid w:val="00387D85"/>
    <w:rsid w:val="003902B1"/>
    <w:rsid w:val="00390A50"/>
    <w:rsid w:val="00390FA5"/>
    <w:rsid w:val="00391167"/>
    <w:rsid w:val="0039118D"/>
    <w:rsid w:val="003913E9"/>
    <w:rsid w:val="0039179C"/>
    <w:rsid w:val="00392779"/>
    <w:rsid w:val="00392A43"/>
    <w:rsid w:val="00392F31"/>
    <w:rsid w:val="003930DB"/>
    <w:rsid w:val="003934ED"/>
    <w:rsid w:val="00393777"/>
    <w:rsid w:val="00393AA4"/>
    <w:rsid w:val="00393F84"/>
    <w:rsid w:val="003940EE"/>
    <w:rsid w:val="00394346"/>
    <w:rsid w:val="003946CF"/>
    <w:rsid w:val="003949BC"/>
    <w:rsid w:val="00395010"/>
    <w:rsid w:val="0039505F"/>
    <w:rsid w:val="003952F6"/>
    <w:rsid w:val="00396896"/>
    <w:rsid w:val="00396B3D"/>
    <w:rsid w:val="00396FD0"/>
    <w:rsid w:val="00397297"/>
    <w:rsid w:val="00397946"/>
    <w:rsid w:val="00397DF6"/>
    <w:rsid w:val="003A008F"/>
    <w:rsid w:val="003A02F7"/>
    <w:rsid w:val="003A0BDF"/>
    <w:rsid w:val="003A1574"/>
    <w:rsid w:val="003A1A7A"/>
    <w:rsid w:val="003A1F0E"/>
    <w:rsid w:val="003A2392"/>
    <w:rsid w:val="003A254D"/>
    <w:rsid w:val="003A2831"/>
    <w:rsid w:val="003A375E"/>
    <w:rsid w:val="003A3797"/>
    <w:rsid w:val="003A3A0D"/>
    <w:rsid w:val="003A3A89"/>
    <w:rsid w:val="003A3CB6"/>
    <w:rsid w:val="003A3ED1"/>
    <w:rsid w:val="003A3F5C"/>
    <w:rsid w:val="003A4062"/>
    <w:rsid w:val="003A40E3"/>
    <w:rsid w:val="003A44DB"/>
    <w:rsid w:val="003A4C14"/>
    <w:rsid w:val="003A4E3A"/>
    <w:rsid w:val="003A4FBC"/>
    <w:rsid w:val="003A5354"/>
    <w:rsid w:val="003A535A"/>
    <w:rsid w:val="003A5445"/>
    <w:rsid w:val="003A58F2"/>
    <w:rsid w:val="003A5F2F"/>
    <w:rsid w:val="003A6081"/>
    <w:rsid w:val="003A6250"/>
    <w:rsid w:val="003A6261"/>
    <w:rsid w:val="003A62A0"/>
    <w:rsid w:val="003A637F"/>
    <w:rsid w:val="003A6551"/>
    <w:rsid w:val="003A6B49"/>
    <w:rsid w:val="003A6CA9"/>
    <w:rsid w:val="003A7137"/>
    <w:rsid w:val="003A74D7"/>
    <w:rsid w:val="003A7620"/>
    <w:rsid w:val="003B0102"/>
    <w:rsid w:val="003B05B2"/>
    <w:rsid w:val="003B0602"/>
    <w:rsid w:val="003B0B91"/>
    <w:rsid w:val="003B1EBA"/>
    <w:rsid w:val="003B1FC3"/>
    <w:rsid w:val="003B258E"/>
    <w:rsid w:val="003B2DE7"/>
    <w:rsid w:val="003B363D"/>
    <w:rsid w:val="003B37C8"/>
    <w:rsid w:val="003B3971"/>
    <w:rsid w:val="003B3CBB"/>
    <w:rsid w:val="003B4383"/>
    <w:rsid w:val="003B44FF"/>
    <w:rsid w:val="003B466C"/>
    <w:rsid w:val="003B477F"/>
    <w:rsid w:val="003B558F"/>
    <w:rsid w:val="003B55D1"/>
    <w:rsid w:val="003B577B"/>
    <w:rsid w:val="003B5932"/>
    <w:rsid w:val="003B5B61"/>
    <w:rsid w:val="003B5F5E"/>
    <w:rsid w:val="003B60D9"/>
    <w:rsid w:val="003B6193"/>
    <w:rsid w:val="003B6250"/>
    <w:rsid w:val="003B6D78"/>
    <w:rsid w:val="003B75D3"/>
    <w:rsid w:val="003B770E"/>
    <w:rsid w:val="003B7B42"/>
    <w:rsid w:val="003C047E"/>
    <w:rsid w:val="003C04DB"/>
    <w:rsid w:val="003C06E2"/>
    <w:rsid w:val="003C0A6C"/>
    <w:rsid w:val="003C0B0B"/>
    <w:rsid w:val="003C1654"/>
    <w:rsid w:val="003C240A"/>
    <w:rsid w:val="003C29C4"/>
    <w:rsid w:val="003C2DEA"/>
    <w:rsid w:val="003C35C5"/>
    <w:rsid w:val="003C3E52"/>
    <w:rsid w:val="003C43A4"/>
    <w:rsid w:val="003C4974"/>
    <w:rsid w:val="003C4E18"/>
    <w:rsid w:val="003C4F23"/>
    <w:rsid w:val="003C5542"/>
    <w:rsid w:val="003C5B35"/>
    <w:rsid w:val="003C6832"/>
    <w:rsid w:val="003C6A81"/>
    <w:rsid w:val="003C6DB3"/>
    <w:rsid w:val="003C703F"/>
    <w:rsid w:val="003C7077"/>
    <w:rsid w:val="003C7128"/>
    <w:rsid w:val="003C798B"/>
    <w:rsid w:val="003C7C15"/>
    <w:rsid w:val="003C7D19"/>
    <w:rsid w:val="003C7D2F"/>
    <w:rsid w:val="003D0074"/>
    <w:rsid w:val="003D0160"/>
    <w:rsid w:val="003D019E"/>
    <w:rsid w:val="003D0913"/>
    <w:rsid w:val="003D0C5A"/>
    <w:rsid w:val="003D11E8"/>
    <w:rsid w:val="003D1241"/>
    <w:rsid w:val="003D1458"/>
    <w:rsid w:val="003D1828"/>
    <w:rsid w:val="003D1892"/>
    <w:rsid w:val="003D1DE4"/>
    <w:rsid w:val="003D1E9A"/>
    <w:rsid w:val="003D200F"/>
    <w:rsid w:val="003D2422"/>
    <w:rsid w:val="003D28EE"/>
    <w:rsid w:val="003D2A9A"/>
    <w:rsid w:val="003D2BAD"/>
    <w:rsid w:val="003D39A1"/>
    <w:rsid w:val="003D3FB4"/>
    <w:rsid w:val="003D3FBF"/>
    <w:rsid w:val="003D4015"/>
    <w:rsid w:val="003D413C"/>
    <w:rsid w:val="003D4243"/>
    <w:rsid w:val="003D4A30"/>
    <w:rsid w:val="003D5153"/>
    <w:rsid w:val="003D53EC"/>
    <w:rsid w:val="003D61B1"/>
    <w:rsid w:val="003D6798"/>
    <w:rsid w:val="003D6B78"/>
    <w:rsid w:val="003D6B9B"/>
    <w:rsid w:val="003D7072"/>
    <w:rsid w:val="003D7452"/>
    <w:rsid w:val="003D79BB"/>
    <w:rsid w:val="003D7C64"/>
    <w:rsid w:val="003D7C98"/>
    <w:rsid w:val="003D7D9D"/>
    <w:rsid w:val="003E0418"/>
    <w:rsid w:val="003E0543"/>
    <w:rsid w:val="003E1141"/>
    <w:rsid w:val="003E1432"/>
    <w:rsid w:val="003E16FC"/>
    <w:rsid w:val="003E1A09"/>
    <w:rsid w:val="003E21A7"/>
    <w:rsid w:val="003E21D0"/>
    <w:rsid w:val="003E223F"/>
    <w:rsid w:val="003E2D67"/>
    <w:rsid w:val="003E2FD0"/>
    <w:rsid w:val="003E349D"/>
    <w:rsid w:val="003E355A"/>
    <w:rsid w:val="003E3E19"/>
    <w:rsid w:val="003E3FE3"/>
    <w:rsid w:val="003E4D40"/>
    <w:rsid w:val="003E530D"/>
    <w:rsid w:val="003E532E"/>
    <w:rsid w:val="003E543B"/>
    <w:rsid w:val="003E55BA"/>
    <w:rsid w:val="003E5603"/>
    <w:rsid w:val="003E5EC7"/>
    <w:rsid w:val="003E60C0"/>
    <w:rsid w:val="003E61B2"/>
    <w:rsid w:val="003E62A9"/>
    <w:rsid w:val="003E63B9"/>
    <w:rsid w:val="003E6CB4"/>
    <w:rsid w:val="003E6DE7"/>
    <w:rsid w:val="003E7052"/>
    <w:rsid w:val="003E749E"/>
    <w:rsid w:val="003E7882"/>
    <w:rsid w:val="003F0052"/>
    <w:rsid w:val="003F00E9"/>
    <w:rsid w:val="003F0FA7"/>
    <w:rsid w:val="003F11AF"/>
    <w:rsid w:val="003F241B"/>
    <w:rsid w:val="003F2798"/>
    <w:rsid w:val="003F3187"/>
    <w:rsid w:val="003F33BA"/>
    <w:rsid w:val="003F35ED"/>
    <w:rsid w:val="003F3805"/>
    <w:rsid w:val="003F4156"/>
    <w:rsid w:val="003F44FE"/>
    <w:rsid w:val="003F553B"/>
    <w:rsid w:val="003F5ADF"/>
    <w:rsid w:val="003F60CE"/>
    <w:rsid w:val="003F64E8"/>
    <w:rsid w:val="003F69DB"/>
    <w:rsid w:val="003F6C42"/>
    <w:rsid w:val="003F7283"/>
    <w:rsid w:val="003F7646"/>
    <w:rsid w:val="003F7CE3"/>
    <w:rsid w:val="003F7D5E"/>
    <w:rsid w:val="0040052E"/>
    <w:rsid w:val="004006D2"/>
    <w:rsid w:val="004009F9"/>
    <w:rsid w:val="00400B29"/>
    <w:rsid w:val="00400CC3"/>
    <w:rsid w:val="00400F83"/>
    <w:rsid w:val="0040113E"/>
    <w:rsid w:val="00401153"/>
    <w:rsid w:val="004013C7"/>
    <w:rsid w:val="00401847"/>
    <w:rsid w:val="00401898"/>
    <w:rsid w:val="00401B3E"/>
    <w:rsid w:val="00402022"/>
    <w:rsid w:val="004021D7"/>
    <w:rsid w:val="00402812"/>
    <w:rsid w:val="00402E24"/>
    <w:rsid w:val="00403551"/>
    <w:rsid w:val="00403EB3"/>
    <w:rsid w:val="0040479C"/>
    <w:rsid w:val="0040487D"/>
    <w:rsid w:val="0040504B"/>
    <w:rsid w:val="00405190"/>
    <w:rsid w:val="0040558D"/>
    <w:rsid w:val="004059F4"/>
    <w:rsid w:val="004063C5"/>
    <w:rsid w:val="00406728"/>
    <w:rsid w:val="0040680C"/>
    <w:rsid w:val="00406823"/>
    <w:rsid w:val="0040684E"/>
    <w:rsid w:val="0040698F"/>
    <w:rsid w:val="004070CE"/>
    <w:rsid w:val="00407220"/>
    <w:rsid w:val="00407A58"/>
    <w:rsid w:val="00407B03"/>
    <w:rsid w:val="00407BA5"/>
    <w:rsid w:val="00407FE5"/>
    <w:rsid w:val="004101B0"/>
    <w:rsid w:val="004102D7"/>
    <w:rsid w:val="00410326"/>
    <w:rsid w:val="00410708"/>
    <w:rsid w:val="00410A34"/>
    <w:rsid w:val="00410D5A"/>
    <w:rsid w:val="00410EBC"/>
    <w:rsid w:val="00410EC7"/>
    <w:rsid w:val="00411130"/>
    <w:rsid w:val="004116EB"/>
    <w:rsid w:val="00411AB2"/>
    <w:rsid w:val="00411B39"/>
    <w:rsid w:val="00411E92"/>
    <w:rsid w:val="004121BB"/>
    <w:rsid w:val="00412229"/>
    <w:rsid w:val="00412333"/>
    <w:rsid w:val="00412558"/>
    <w:rsid w:val="0041262B"/>
    <w:rsid w:val="004127A7"/>
    <w:rsid w:val="004127B5"/>
    <w:rsid w:val="00412906"/>
    <w:rsid w:val="00412C76"/>
    <w:rsid w:val="00412ED9"/>
    <w:rsid w:val="0041317C"/>
    <w:rsid w:val="00413243"/>
    <w:rsid w:val="004135D1"/>
    <w:rsid w:val="00413833"/>
    <w:rsid w:val="00413A1E"/>
    <w:rsid w:val="00414476"/>
    <w:rsid w:val="004149B7"/>
    <w:rsid w:val="00414BD6"/>
    <w:rsid w:val="00414C2E"/>
    <w:rsid w:val="00414F56"/>
    <w:rsid w:val="004151CF"/>
    <w:rsid w:val="0041538A"/>
    <w:rsid w:val="004156C6"/>
    <w:rsid w:val="00415E24"/>
    <w:rsid w:val="00416364"/>
    <w:rsid w:val="00417B54"/>
    <w:rsid w:val="00417BF3"/>
    <w:rsid w:val="0042047F"/>
    <w:rsid w:val="00420AA6"/>
    <w:rsid w:val="00420B9F"/>
    <w:rsid w:val="00420FB1"/>
    <w:rsid w:val="00421729"/>
    <w:rsid w:val="0042192C"/>
    <w:rsid w:val="004219D5"/>
    <w:rsid w:val="00421BF1"/>
    <w:rsid w:val="00422137"/>
    <w:rsid w:val="00422260"/>
    <w:rsid w:val="00423334"/>
    <w:rsid w:val="0042361C"/>
    <w:rsid w:val="00423AD5"/>
    <w:rsid w:val="00423B97"/>
    <w:rsid w:val="00424076"/>
    <w:rsid w:val="0042413F"/>
    <w:rsid w:val="00424238"/>
    <w:rsid w:val="004258AE"/>
    <w:rsid w:val="00425B54"/>
    <w:rsid w:val="00426353"/>
    <w:rsid w:val="004269FA"/>
    <w:rsid w:val="00426BDC"/>
    <w:rsid w:val="00427333"/>
    <w:rsid w:val="00427374"/>
    <w:rsid w:val="004278DA"/>
    <w:rsid w:val="00427CCE"/>
    <w:rsid w:val="00427DF4"/>
    <w:rsid w:val="00430966"/>
    <w:rsid w:val="00430BA7"/>
    <w:rsid w:val="0043114C"/>
    <w:rsid w:val="00431303"/>
    <w:rsid w:val="004314DF"/>
    <w:rsid w:val="00431818"/>
    <w:rsid w:val="004319F8"/>
    <w:rsid w:val="00431E55"/>
    <w:rsid w:val="004321F6"/>
    <w:rsid w:val="004322CB"/>
    <w:rsid w:val="0043259C"/>
    <w:rsid w:val="004329D7"/>
    <w:rsid w:val="00432BBF"/>
    <w:rsid w:val="00432E61"/>
    <w:rsid w:val="00433044"/>
    <w:rsid w:val="00433764"/>
    <w:rsid w:val="00433E7D"/>
    <w:rsid w:val="00433F4A"/>
    <w:rsid w:val="0043407A"/>
    <w:rsid w:val="00434088"/>
    <w:rsid w:val="004340C8"/>
    <w:rsid w:val="00434501"/>
    <w:rsid w:val="0043472F"/>
    <w:rsid w:val="004349AD"/>
    <w:rsid w:val="004353D5"/>
    <w:rsid w:val="00435BA9"/>
    <w:rsid w:val="00435C0B"/>
    <w:rsid w:val="00435E75"/>
    <w:rsid w:val="004360C6"/>
    <w:rsid w:val="004361E6"/>
    <w:rsid w:val="00436530"/>
    <w:rsid w:val="00436BAE"/>
    <w:rsid w:val="00436E00"/>
    <w:rsid w:val="00436E6E"/>
    <w:rsid w:val="004375B9"/>
    <w:rsid w:val="0043784B"/>
    <w:rsid w:val="00440136"/>
    <w:rsid w:val="0044085C"/>
    <w:rsid w:val="00440F46"/>
    <w:rsid w:val="00441348"/>
    <w:rsid w:val="0044174D"/>
    <w:rsid w:val="00441C0D"/>
    <w:rsid w:val="00442522"/>
    <w:rsid w:val="004428D0"/>
    <w:rsid w:val="00442D7E"/>
    <w:rsid w:val="00442D81"/>
    <w:rsid w:val="00442E14"/>
    <w:rsid w:val="00442EEA"/>
    <w:rsid w:val="0044416A"/>
    <w:rsid w:val="00444185"/>
    <w:rsid w:val="00444235"/>
    <w:rsid w:val="004443A7"/>
    <w:rsid w:val="0044442C"/>
    <w:rsid w:val="004444EC"/>
    <w:rsid w:val="00444AD3"/>
    <w:rsid w:val="00445478"/>
    <w:rsid w:val="00445811"/>
    <w:rsid w:val="00445941"/>
    <w:rsid w:val="00445B7C"/>
    <w:rsid w:val="004464EB"/>
    <w:rsid w:val="004468B4"/>
    <w:rsid w:val="00446AD0"/>
    <w:rsid w:val="00446C48"/>
    <w:rsid w:val="00446FB9"/>
    <w:rsid w:val="00447D26"/>
    <w:rsid w:val="00447DFC"/>
    <w:rsid w:val="00447FB6"/>
    <w:rsid w:val="004501C6"/>
    <w:rsid w:val="00450A9F"/>
    <w:rsid w:val="00450AB4"/>
    <w:rsid w:val="00450C67"/>
    <w:rsid w:val="00450C7D"/>
    <w:rsid w:val="00450FDE"/>
    <w:rsid w:val="004515A0"/>
    <w:rsid w:val="004518B2"/>
    <w:rsid w:val="00451E4E"/>
    <w:rsid w:val="00452206"/>
    <w:rsid w:val="00453205"/>
    <w:rsid w:val="00453425"/>
    <w:rsid w:val="00453635"/>
    <w:rsid w:val="00453806"/>
    <w:rsid w:val="0045397B"/>
    <w:rsid w:val="00454C70"/>
    <w:rsid w:val="00454D4A"/>
    <w:rsid w:val="00454D79"/>
    <w:rsid w:val="00454E7E"/>
    <w:rsid w:val="00454FF3"/>
    <w:rsid w:val="004555D2"/>
    <w:rsid w:val="00455D45"/>
    <w:rsid w:val="00456552"/>
    <w:rsid w:val="00456810"/>
    <w:rsid w:val="004571CD"/>
    <w:rsid w:val="00457364"/>
    <w:rsid w:val="00457A18"/>
    <w:rsid w:val="00457C33"/>
    <w:rsid w:val="004604D4"/>
    <w:rsid w:val="0046140A"/>
    <w:rsid w:val="00461B1A"/>
    <w:rsid w:val="00462F61"/>
    <w:rsid w:val="0046320E"/>
    <w:rsid w:val="00463455"/>
    <w:rsid w:val="004638CD"/>
    <w:rsid w:val="00463995"/>
    <w:rsid w:val="00464054"/>
    <w:rsid w:val="00464090"/>
    <w:rsid w:val="00464334"/>
    <w:rsid w:val="00464595"/>
    <w:rsid w:val="00464D4C"/>
    <w:rsid w:val="00464F52"/>
    <w:rsid w:val="00464F79"/>
    <w:rsid w:val="0046531A"/>
    <w:rsid w:val="00465806"/>
    <w:rsid w:val="004658B5"/>
    <w:rsid w:val="004663C8"/>
    <w:rsid w:val="00466AA8"/>
    <w:rsid w:val="0046797B"/>
    <w:rsid w:val="00467A45"/>
    <w:rsid w:val="00470254"/>
    <w:rsid w:val="00470360"/>
    <w:rsid w:val="00470501"/>
    <w:rsid w:val="00470A89"/>
    <w:rsid w:val="00471EA5"/>
    <w:rsid w:val="00472A79"/>
    <w:rsid w:val="00472E98"/>
    <w:rsid w:val="004734F2"/>
    <w:rsid w:val="00473596"/>
    <w:rsid w:val="0047380F"/>
    <w:rsid w:val="0047384F"/>
    <w:rsid w:val="00473F19"/>
    <w:rsid w:val="00473F84"/>
    <w:rsid w:val="00474205"/>
    <w:rsid w:val="00474839"/>
    <w:rsid w:val="0047484A"/>
    <w:rsid w:val="004748B8"/>
    <w:rsid w:val="0047562C"/>
    <w:rsid w:val="0047587E"/>
    <w:rsid w:val="00475B8F"/>
    <w:rsid w:val="00475E22"/>
    <w:rsid w:val="004764E3"/>
    <w:rsid w:val="004768AF"/>
    <w:rsid w:val="00477469"/>
    <w:rsid w:val="004802E1"/>
    <w:rsid w:val="00480811"/>
    <w:rsid w:val="0048083B"/>
    <w:rsid w:val="0048088E"/>
    <w:rsid w:val="00480F2B"/>
    <w:rsid w:val="004818C3"/>
    <w:rsid w:val="00481C08"/>
    <w:rsid w:val="00481D1B"/>
    <w:rsid w:val="004820A4"/>
    <w:rsid w:val="004826C5"/>
    <w:rsid w:val="00482720"/>
    <w:rsid w:val="00482CE0"/>
    <w:rsid w:val="004835E7"/>
    <w:rsid w:val="00483F10"/>
    <w:rsid w:val="00484395"/>
    <w:rsid w:val="00484903"/>
    <w:rsid w:val="004850E7"/>
    <w:rsid w:val="004859E1"/>
    <w:rsid w:val="004867E2"/>
    <w:rsid w:val="00486FF0"/>
    <w:rsid w:val="004870EC"/>
    <w:rsid w:val="0048716C"/>
    <w:rsid w:val="0048751A"/>
    <w:rsid w:val="00487AC7"/>
    <w:rsid w:val="004900F0"/>
    <w:rsid w:val="00490B17"/>
    <w:rsid w:val="00490E3A"/>
    <w:rsid w:val="0049106D"/>
    <w:rsid w:val="004912FC"/>
    <w:rsid w:val="00491B3A"/>
    <w:rsid w:val="00491E02"/>
    <w:rsid w:val="004923AF"/>
    <w:rsid w:val="0049242A"/>
    <w:rsid w:val="00492467"/>
    <w:rsid w:val="00492646"/>
    <w:rsid w:val="004929C4"/>
    <w:rsid w:val="00492AFC"/>
    <w:rsid w:val="00492CFD"/>
    <w:rsid w:val="00492DEE"/>
    <w:rsid w:val="0049339B"/>
    <w:rsid w:val="004935BE"/>
    <w:rsid w:val="004935F8"/>
    <w:rsid w:val="00494207"/>
    <w:rsid w:val="00494493"/>
    <w:rsid w:val="004944FC"/>
    <w:rsid w:val="00494D05"/>
    <w:rsid w:val="00494DD5"/>
    <w:rsid w:val="004954C0"/>
    <w:rsid w:val="00495F3B"/>
    <w:rsid w:val="004962D2"/>
    <w:rsid w:val="00496AAC"/>
    <w:rsid w:val="00496F4B"/>
    <w:rsid w:val="0049700F"/>
    <w:rsid w:val="00497597"/>
    <w:rsid w:val="004975C3"/>
    <w:rsid w:val="00497799"/>
    <w:rsid w:val="00497E08"/>
    <w:rsid w:val="004A003B"/>
    <w:rsid w:val="004A049A"/>
    <w:rsid w:val="004A0925"/>
    <w:rsid w:val="004A0DA1"/>
    <w:rsid w:val="004A0EA0"/>
    <w:rsid w:val="004A0FCF"/>
    <w:rsid w:val="004A1094"/>
    <w:rsid w:val="004A13D6"/>
    <w:rsid w:val="004A27A1"/>
    <w:rsid w:val="004A28D2"/>
    <w:rsid w:val="004A2EA3"/>
    <w:rsid w:val="004A3B91"/>
    <w:rsid w:val="004A3D28"/>
    <w:rsid w:val="004A3FEB"/>
    <w:rsid w:val="004A4410"/>
    <w:rsid w:val="004A446C"/>
    <w:rsid w:val="004A4B0A"/>
    <w:rsid w:val="004A52E9"/>
    <w:rsid w:val="004A6040"/>
    <w:rsid w:val="004A6400"/>
    <w:rsid w:val="004A646B"/>
    <w:rsid w:val="004A6597"/>
    <w:rsid w:val="004A67B7"/>
    <w:rsid w:val="004A6E85"/>
    <w:rsid w:val="004A7131"/>
    <w:rsid w:val="004A73BD"/>
    <w:rsid w:val="004A7759"/>
    <w:rsid w:val="004A7848"/>
    <w:rsid w:val="004A793B"/>
    <w:rsid w:val="004B00A0"/>
    <w:rsid w:val="004B01A7"/>
    <w:rsid w:val="004B05A2"/>
    <w:rsid w:val="004B083F"/>
    <w:rsid w:val="004B0853"/>
    <w:rsid w:val="004B1019"/>
    <w:rsid w:val="004B17B5"/>
    <w:rsid w:val="004B1808"/>
    <w:rsid w:val="004B1A60"/>
    <w:rsid w:val="004B1CB4"/>
    <w:rsid w:val="004B1DC5"/>
    <w:rsid w:val="004B1F30"/>
    <w:rsid w:val="004B2915"/>
    <w:rsid w:val="004B2F18"/>
    <w:rsid w:val="004B375A"/>
    <w:rsid w:val="004B3DDB"/>
    <w:rsid w:val="004B3E68"/>
    <w:rsid w:val="004B3EAF"/>
    <w:rsid w:val="004B3F59"/>
    <w:rsid w:val="004B44FD"/>
    <w:rsid w:val="004B5010"/>
    <w:rsid w:val="004B50B8"/>
    <w:rsid w:val="004B53BA"/>
    <w:rsid w:val="004B5615"/>
    <w:rsid w:val="004B5CFC"/>
    <w:rsid w:val="004B5D36"/>
    <w:rsid w:val="004B5F21"/>
    <w:rsid w:val="004B6165"/>
    <w:rsid w:val="004B67A9"/>
    <w:rsid w:val="004B6B58"/>
    <w:rsid w:val="004B6DFC"/>
    <w:rsid w:val="004B6F79"/>
    <w:rsid w:val="004B7217"/>
    <w:rsid w:val="004B75FF"/>
    <w:rsid w:val="004B774D"/>
    <w:rsid w:val="004C011C"/>
    <w:rsid w:val="004C0A00"/>
    <w:rsid w:val="004C1791"/>
    <w:rsid w:val="004C1A70"/>
    <w:rsid w:val="004C1F70"/>
    <w:rsid w:val="004C1FE9"/>
    <w:rsid w:val="004C21B5"/>
    <w:rsid w:val="004C2AC2"/>
    <w:rsid w:val="004C2E56"/>
    <w:rsid w:val="004C31C5"/>
    <w:rsid w:val="004C3438"/>
    <w:rsid w:val="004C3B02"/>
    <w:rsid w:val="004C3F66"/>
    <w:rsid w:val="004C417B"/>
    <w:rsid w:val="004C491B"/>
    <w:rsid w:val="004C4A3C"/>
    <w:rsid w:val="004C4AED"/>
    <w:rsid w:val="004C4EB6"/>
    <w:rsid w:val="004C4FF6"/>
    <w:rsid w:val="004C58CD"/>
    <w:rsid w:val="004C59B1"/>
    <w:rsid w:val="004C5CFD"/>
    <w:rsid w:val="004C6053"/>
    <w:rsid w:val="004C65A8"/>
    <w:rsid w:val="004C68DD"/>
    <w:rsid w:val="004C6B5B"/>
    <w:rsid w:val="004C79DF"/>
    <w:rsid w:val="004C7D33"/>
    <w:rsid w:val="004D0086"/>
    <w:rsid w:val="004D00F2"/>
    <w:rsid w:val="004D063E"/>
    <w:rsid w:val="004D0648"/>
    <w:rsid w:val="004D0D54"/>
    <w:rsid w:val="004D1394"/>
    <w:rsid w:val="004D1430"/>
    <w:rsid w:val="004D16B6"/>
    <w:rsid w:val="004D192D"/>
    <w:rsid w:val="004D1B53"/>
    <w:rsid w:val="004D237A"/>
    <w:rsid w:val="004D2A25"/>
    <w:rsid w:val="004D2C2D"/>
    <w:rsid w:val="004D2D07"/>
    <w:rsid w:val="004D2FEB"/>
    <w:rsid w:val="004D3A01"/>
    <w:rsid w:val="004D3AB6"/>
    <w:rsid w:val="004D3C37"/>
    <w:rsid w:val="004D3EF1"/>
    <w:rsid w:val="004D4445"/>
    <w:rsid w:val="004D44D3"/>
    <w:rsid w:val="004D518B"/>
    <w:rsid w:val="004D5293"/>
    <w:rsid w:val="004D543C"/>
    <w:rsid w:val="004D5A42"/>
    <w:rsid w:val="004D69B5"/>
    <w:rsid w:val="004D6BCD"/>
    <w:rsid w:val="004D7227"/>
    <w:rsid w:val="004D72F0"/>
    <w:rsid w:val="004D7362"/>
    <w:rsid w:val="004D77AB"/>
    <w:rsid w:val="004D7B5E"/>
    <w:rsid w:val="004E01F9"/>
    <w:rsid w:val="004E0D18"/>
    <w:rsid w:val="004E0E7F"/>
    <w:rsid w:val="004E0EB8"/>
    <w:rsid w:val="004E15CE"/>
    <w:rsid w:val="004E1808"/>
    <w:rsid w:val="004E18E9"/>
    <w:rsid w:val="004E2132"/>
    <w:rsid w:val="004E2186"/>
    <w:rsid w:val="004E2946"/>
    <w:rsid w:val="004E2ADC"/>
    <w:rsid w:val="004E2AFB"/>
    <w:rsid w:val="004E3201"/>
    <w:rsid w:val="004E355C"/>
    <w:rsid w:val="004E36CE"/>
    <w:rsid w:val="004E36E0"/>
    <w:rsid w:val="004E3A12"/>
    <w:rsid w:val="004E3DFC"/>
    <w:rsid w:val="004E43B2"/>
    <w:rsid w:val="004E49CD"/>
    <w:rsid w:val="004E4D27"/>
    <w:rsid w:val="004E500E"/>
    <w:rsid w:val="004E5CE4"/>
    <w:rsid w:val="004E5EF1"/>
    <w:rsid w:val="004E62B1"/>
    <w:rsid w:val="004E64E5"/>
    <w:rsid w:val="004E68C7"/>
    <w:rsid w:val="004E6A7D"/>
    <w:rsid w:val="004E6F49"/>
    <w:rsid w:val="004E6FD9"/>
    <w:rsid w:val="004E7BD3"/>
    <w:rsid w:val="004F0A83"/>
    <w:rsid w:val="004F0CDA"/>
    <w:rsid w:val="004F17D3"/>
    <w:rsid w:val="004F1BE4"/>
    <w:rsid w:val="004F1C12"/>
    <w:rsid w:val="004F1D02"/>
    <w:rsid w:val="004F2236"/>
    <w:rsid w:val="004F22A3"/>
    <w:rsid w:val="004F2679"/>
    <w:rsid w:val="004F2F21"/>
    <w:rsid w:val="004F2FFB"/>
    <w:rsid w:val="004F31A3"/>
    <w:rsid w:val="004F32BB"/>
    <w:rsid w:val="004F3BA9"/>
    <w:rsid w:val="004F3DE5"/>
    <w:rsid w:val="004F445C"/>
    <w:rsid w:val="004F471A"/>
    <w:rsid w:val="004F4757"/>
    <w:rsid w:val="004F5165"/>
    <w:rsid w:val="004F51B8"/>
    <w:rsid w:val="004F52A8"/>
    <w:rsid w:val="004F5480"/>
    <w:rsid w:val="004F56ED"/>
    <w:rsid w:val="004F6913"/>
    <w:rsid w:val="004F6D40"/>
    <w:rsid w:val="004F7281"/>
    <w:rsid w:val="004F731D"/>
    <w:rsid w:val="004F7865"/>
    <w:rsid w:val="004F7B6D"/>
    <w:rsid w:val="005002E9"/>
    <w:rsid w:val="005006BD"/>
    <w:rsid w:val="00500C45"/>
    <w:rsid w:val="0050145D"/>
    <w:rsid w:val="0050147B"/>
    <w:rsid w:val="005014A4"/>
    <w:rsid w:val="005014C1"/>
    <w:rsid w:val="0050174E"/>
    <w:rsid w:val="005017B8"/>
    <w:rsid w:val="00501854"/>
    <w:rsid w:val="00501B21"/>
    <w:rsid w:val="00501CFE"/>
    <w:rsid w:val="0050219B"/>
    <w:rsid w:val="00502544"/>
    <w:rsid w:val="00502B86"/>
    <w:rsid w:val="005038CF"/>
    <w:rsid w:val="00503C7A"/>
    <w:rsid w:val="00503DCA"/>
    <w:rsid w:val="00503F17"/>
    <w:rsid w:val="00503F3A"/>
    <w:rsid w:val="00504A49"/>
    <w:rsid w:val="00504BA2"/>
    <w:rsid w:val="005051C7"/>
    <w:rsid w:val="0050524B"/>
    <w:rsid w:val="005054B1"/>
    <w:rsid w:val="00505BB9"/>
    <w:rsid w:val="00505D3C"/>
    <w:rsid w:val="0050646D"/>
    <w:rsid w:val="00506783"/>
    <w:rsid w:val="005067DA"/>
    <w:rsid w:val="00506928"/>
    <w:rsid w:val="00506A47"/>
    <w:rsid w:val="005077EF"/>
    <w:rsid w:val="0051002D"/>
    <w:rsid w:val="005102A1"/>
    <w:rsid w:val="00510418"/>
    <w:rsid w:val="005111E0"/>
    <w:rsid w:val="00511A6D"/>
    <w:rsid w:val="00511AD5"/>
    <w:rsid w:val="00511C17"/>
    <w:rsid w:val="00511DC7"/>
    <w:rsid w:val="0051306C"/>
    <w:rsid w:val="005133E2"/>
    <w:rsid w:val="00513781"/>
    <w:rsid w:val="00513E02"/>
    <w:rsid w:val="005142C5"/>
    <w:rsid w:val="00514567"/>
    <w:rsid w:val="00514645"/>
    <w:rsid w:val="005147FF"/>
    <w:rsid w:val="00514939"/>
    <w:rsid w:val="00514E8A"/>
    <w:rsid w:val="0051501B"/>
    <w:rsid w:val="005150F9"/>
    <w:rsid w:val="005152B5"/>
    <w:rsid w:val="005155C6"/>
    <w:rsid w:val="00515777"/>
    <w:rsid w:val="00515886"/>
    <w:rsid w:val="00515929"/>
    <w:rsid w:val="00515A1E"/>
    <w:rsid w:val="00515EAA"/>
    <w:rsid w:val="00516432"/>
    <w:rsid w:val="00516796"/>
    <w:rsid w:val="0051681C"/>
    <w:rsid w:val="00516B29"/>
    <w:rsid w:val="00516F6E"/>
    <w:rsid w:val="00516FC0"/>
    <w:rsid w:val="005174CE"/>
    <w:rsid w:val="005177D2"/>
    <w:rsid w:val="00517DAB"/>
    <w:rsid w:val="005201BF"/>
    <w:rsid w:val="00520831"/>
    <w:rsid w:val="00520E71"/>
    <w:rsid w:val="0052123C"/>
    <w:rsid w:val="00521319"/>
    <w:rsid w:val="00521550"/>
    <w:rsid w:val="005215C8"/>
    <w:rsid w:val="005215EE"/>
    <w:rsid w:val="00521694"/>
    <w:rsid w:val="00521BEA"/>
    <w:rsid w:val="00522376"/>
    <w:rsid w:val="005223DA"/>
    <w:rsid w:val="00522529"/>
    <w:rsid w:val="00522BC8"/>
    <w:rsid w:val="0052326A"/>
    <w:rsid w:val="00523B10"/>
    <w:rsid w:val="00523C28"/>
    <w:rsid w:val="00524E93"/>
    <w:rsid w:val="0052554F"/>
    <w:rsid w:val="0052555A"/>
    <w:rsid w:val="005256D0"/>
    <w:rsid w:val="00525A7D"/>
    <w:rsid w:val="00525ACE"/>
    <w:rsid w:val="005260A8"/>
    <w:rsid w:val="00526141"/>
    <w:rsid w:val="005261F7"/>
    <w:rsid w:val="005268D8"/>
    <w:rsid w:val="00527169"/>
    <w:rsid w:val="0052754D"/>
    <w:rsid w:val="00530085"/>
    <w:rsid w:val="0053029A"/>
    <w:rsid w:val="00530958"/>
    <w:rsid w:val="0053176B"/>
    <w:rsid w:val="00531EC4"/>
    <w:rsid w:val="0053205B"/>
    <w:rsid w:val="0053252E"/>
    <w:rsid w:val="00532D0E"/>
    <w:rsid w:val="00533340"/>
    <w:rsid w:val="0053359E"/>
    <w:rsid w:val="00533922"/>
    <w:rsid w:val="00533976"/>
    <w:rsid w:val="005341B3"/>
    <w:rsid w:val="0053476A"/>
    <w:rsid w:val="00534AA7"/>
    <w:rsid w:val="00534B5F"/>
    <w:rsid w:val="005350F5"/>
    <w:rsid w:val="0053536E"/>
    <w:rsid w:val="0053592C"/>
    <w:rsid w:val="00535954"/>
    <w:rsid w:val="00535EE7"/>
    <w:rsid w:val="005362A1"/>
    <w:rsid w:val="00536376"/>
    <w:rsid w:val="00536B8A"/>
    <w:rsid w:val="00536BBD"/>
    <w:rsid w:val="00536D5D"/>
    <w:rsid w:val="00536F42"/>
    <w:rsid w:val="00537086"/>
    <w:rsid w:val="00537182"/>
    <w:rsid w:val="00537557"/>
    <w:rsid w:val="00537745"/>
    <w:rsid w:val="00537D44"/>
    <w:rsid w:val="00537DE8"/>
    <w:rsid w:val="0054062B"/>
    <w:rsid w:val="00540D55"/>
    <w:rsid w:val="005410C2"/>
    <w:rsid w:val="0054139C"/>
    <w:rsid w:val="005417FD"/>
    <w:rsid w:val="00541D79"/>
    <w:rsid w:val="00541EDD"/>
    <w:rsid w:val="00542200"/>
    <w:rsid w:val="005425B5"/>
    <w:rsid w:val="005426D1"/>
    <w:rsid w:val="00542743"/>
    <w:rsid w:val="005427F7"/>
    <w:rsid w:val="00542C2D"/>
    <w:rsid w:val="00544412"/>
    <w:rsid w:val="005448CF"/>
    <w:rsid w:val="00544D54"/>
    <w:rsid w:val="00545344"/>
    <w:rsid w:val="00545A30"/>
    <w:rsid w:val="005462E6"/>
    <w:rsid w:val="00546812"/>
    <w:rsid w:val="00546E3E"/>
    <w:rsid w:val="005471CF"/>
    <w:rsid w:val="00547562"/>
    <w:rsid w:val="005478BD"/>
    <w:rsid w:val="00547951"/>
    <w:rsid w:val="005479E3"/>
    <w:rsid w:val="00547CF3"/>
    <w:rsid w:val="00550046"/>
    <w:rsid w:val="0055027A"/>
    <w:rsid w:val="00550AA8"/>
    <w:rsid w:val="00550C7A"/>
    <w:rsid w:val="00551985"/>
    <w:rsid w:val="00551A2B"/>
    <w:rsid w:val="00551A36"/>
    <w:rsid w:val="00552874"/>
    <w:rsid w:val="00552BD3"/>
    <w:rsid w:val="005530FB"/>
    <w:rsid w:val="005531A4"/>
    <w:rsid w:val="00553273"/>
    <w:rsid w:val="005532A0"/>
    <w:rsid w:val="00554198"/>
    <w:rsid w:val="00554E99"/>
    <w:rsid w:val="00555109"/>
    <w:rsid w:val="00555169"/>
    <w:rsid w:val="005558F3"/>
    <w:rsid w:val="00555911"/>
    <w:rsid w:val="00555A34"/>
    <w:rsid w:val="00555B0E"/>
    <w:rsid w:val="005561BA"/>
    <w:rsid w:val="005568F3"/>
    <w:rsid w:val="00556B35"/>
    <w:rsid w:val="00556D94"/>
    <w:rsid w:val="00556DDA"/>
    <w:rsid w:val="00556E76"/>
    <w:rsid w:val="0055741A"/>
    <w:rsid w:val="00557437"/>
    <w:rsid w:val="00557C6F"/>
    <w:rsid w:val="005603D3"/>
    <w:rsid w:val="00561141"/>
    <w:rsid w:val="005611B7"/>
    <w:rsid w:val="005614CC"/>
    <w:rsid w:val="005615D5"/>
    <w:rsid w:val="005618D4"/>
    <w:rsid w:val="00562370"/>
    <w:rsid w:val="00562470"/>
    <w:rsid w:val="0056254E"/>
    <w:rsid w:val="005629AD"/>
    <w:rsid w:val="00562AAA"/>
    <w:rsid w:val="00563349"/>
    <w:rsid w:val="00563A7A"/>
    <w:rsid w:val="00563B81"/>
    <w:rsid w:val="0056415C"/>
    <w:rsid w:val="00564867"/>
    <w:rsid w:val="005659B3"/>
    <w:rsid w:val="005659BA"/>
    <w:rsid w:val="00565C79"/>
    <w:rsid w:val="00565DF0"/>
    <w:rsid w:val="0056612C"/>
    <w:rsid w:val="0056614C"/>
    <w:rsid w:val="00566415"/>
    <w:rsid w:val="00566616"/>
    <w:rsid w:val="0056696F"/>
    <w:rsid w:val="00566CB3"/>
    <w:rsid w:val="00566EBF"/>
    <w:rsid w:val="00567292"/>
    <w:rsid w:val="005703DB"/>
    <w:rsid w:val="005704DE"/>
    <w:rsid w:val="00570A9E"/>
    <w:rsid w:val="00570AAA"/>
    <w:rsid w:val="00570EC6"/>
    <w:rsid w:val="0057127B"/>
    <w:rsid w:val="005715B2"/>
    <w:rsid w:val="005715E4"/>
    <w:rsid w:val="005715EB"/>
    <w:rsid w:val="00571D64"/>
    <w:rsid w:val="00572109"/>
    <w:rsid w:val="005721D8"/>
    <w:rsid w:val="00572269"/>
    <w:rsid w:val="0057230F"/>
    <w:rsid w:val="0057244A"/>
    <w:rsid w:val="0057272C"/>
    <w:rsid w:val="005729EF"/>
    <w:rsid w:val="00572A03"/>
    <w:rsid w:val="00572CC3"/>
    <w:rsid w:val="00572F26"/>
    <w:rsid w:val="00573196"/>
    <w:rsid w:val="005731CA"/>
    <w:rsid w:val="005735E3"/>
    <w:rsid w:val="00573A37"/>
    <w:rsid w:val="00573EA6"/>
    <w:rsid w:val="00573EA9"/>
    <w:rsid w:val="00573F20"/>
    <w:rsid w:val="00573FC3"/>
    <w:rsid w:val="005740A9"/>
    <w:rsid w:val="0057437F"/>
    <w:rsid w:val="005744A7"/>
    <w:rsid w:val="005750C5"/>
    <w:rsid w:val="005752DE"/>
    <w:rsid w:val="005759DD"/>
    <w:rsid w:val="00575A63"/>
    <w:rsid w:val="00575D60"/>
    <w:rsid w:val="00575D8D"/>
    <w:rsid w:val="00575FB0"/>
    <w:rsid w:val="00575FD1"/>
    <w:rsid w:val="005763DF"/>
    <w:rsid w:val="005768E9"/>
    <w:rsid w:val="00576972"/>
    <w:rsid w:val="00577137"/>
    <w:rsid w:val="00577248"/>
    <w:rsid w:val="0058084B"/>
    <w:rsid w:val="00580DB0"/>
    <w:rsid w:val="00581307"/>
    <w:rsid w:val="00581390"/>
    <w:rsid w:val="0058152B"/>
    <w:rsid w:val="00581636"/>
    <w:rsid w:val="005816DB"/>
    <w:rsid w:val="005828BB"/>
    <w:rsid w:val="00582AD1"/>
    <w:rsid w:val="0058306E"/>
    <w:rsid w:val="0058315A"/>
    <w:rsid w:val="005834C5"/>
    <w:rsid w:val="00583699"/>
    <w:rsid w:val="00583D1C"/>
    <w:rsid w:val="00584E8F"/>
    <w:rsid w:val="00585CDD"/>
    <w:rsid w:val="00587058"/>
    <w:rsid w:val="005870B7"/>
    <w:rsid w:val="00587701"/>
    <w:rsid w:val="00587858"/>
    <w:rsid w:val="00587D0F"/>
    <w:rsid w:val="00587EE2"/>
    <w:rsid w:val="00587F63"/>
    <w:rsid w:val="00590366"/>
    <w:rsid w:val="00590376"/>
    <w:rsid w:val="00590D62"/>
    <w:rsid w:val="00591246"/>
    <w:rsid w:val="005915F2"/>
    <w:rsid w:val="005917D9"/>
    <w:rsid w:val="00591957"/>
    <w:rsid w:val="0059270C"/>
    <w:rsid w:val="005938D8"/>
    <w:rsid w:val="00594109"/>
    <w:rsid w:val="005949DC"/>
    <w:rsid w:val="00594C58"/>
    <w:rsid w:val="00595073"/>
    <w:rsid w:val="00595BCE"/>
    <w:rsid w:val="00595C48"/>
    <w:rsid w:val="00595F75"/>
    <w:rsid w:val="00596564"/>
    <w:rsid w:val="005969A9"/>
    <w:rsid w:val="00596B53"/>
    <w:rsid w:val="005976DB"/>
    <w:rsid w:val="00597BF9"/>
    <w:rsid w:val="005A07CC"/>
    <w:rsid w:val="005A0C11"/>
    <w:rsid w:val="005A1356"/>
    <w:rsid w:val="005A1A4B"/>
    <w:rsid w:val="005A1A5A"/>
    <w:rsid w:val="005A240C"/>
    <w:rsid w:val="005A2961"/>
    <w:rsid w:val="005A2BBF"/>
    <w:rsid w:val="005A2CD1"/>
    <w:rsid w:val="005A3043"/>
    <w:rsid w:val="005A309A"/>
    <w:rsid w:val="005A3324"/>
    <w:rsid w:val="005A3338"/>
    <w:rsid w:val="005A36AA"/>
    <w:rsid w:val="005A373D"/>
    <w:rsid w:val="005A3898"/>
    <w:rsid w:val="005A3E87"/>
    <w:rsid w:val="005A443B"/>
    <w:rsid w:val="005A4A31"/>
    <w:rsid w:val="005A4BCD"/>
    <w:rsid w:val="005A4C3B"/>
    <w:rsid w:val="005A4CB4"/>
    <w:rsid w:val="005A51D0"/>
    <w:rsid w:val="005A55E5"/>
    <w:rsid w:val="005A5B4C"/>
    <w:rsid w:val="005A6F92"/>
    <w:rsid w:val="005A7452"/>
    <w:rsid w:val="005A7679"/>
    <w:rsid w:val="005A77F7"/>
    <w:rsid w:val="005A7896"/>
    <w:rsid w:val="005B0483"/>
    <w:rsid w:val="005B0B58"/>
    <w:rsid w:val="005B0F59"/>
    <w:rsid w:val="005B0FC8"/>
    <w:rsid w:val="005B146D"/>
    <w:rsid w:val="005B150F"/>
    <w:rsid w:val="005B1E4C"/>
    <w:rsid w:val="005B2705"/>
    <w:rsid w:val="005B294D"/>
    <w:rsid w:val="005B2A47"/>
    <w:rsid w:val="005B2F00"/>
    <w:rsid w:val="005B3611"/>
    <w:rsid w:val="005B3864"/>
    <w:rsid w:val="005B3B67"/>
    <w:rsid w:val="005B3CA6"/>
    <w:rsid w:val="005B3E23"/>
    <w:rsid w:val="005B4280"/>
    <w:rsid w:val="005B4B80"/>
    <w:rsid w:val="005B4B97"/>
    <w:rsid w:val="005B4E53"/>
    <w:rsid w:val="005B5622"/>
    <w:rsid w:val="005B5857"/>
    <w:rsid w:val="005B5A74"/>
    <w:rsid w:val="005B5AFC"/>
    <w:rsid w:val="005B5B0F"/>
    <w:rsid w:val="005B5B59"/>
    <w:rsid w:val="005B640B"/>
    <w:rsid w:val="005B672F"/>
    <w:rsid w:val="005B680F"/>
    <w:rsid w:val="005B6932"/>
    <w:rsid w:val="005B71EF"/>
    <w:rsid w:val="005B7980"/>
    <w:rsid w:val="005B7A3F"/>
    <w:rsid w:val="005C042D"/>
    <w:rsid w:val="005C0959"/>
    <w:rsid w:val="005C19C4"/>
    <w:rsid w:val="005C1B83"/>
    <w:rsid w:val="005C1E9C"/>
    <w:rsid w:val="005C20BF"/>
    <w:rsid w:val="005C2476"/>
    <w:rsid w:val="005C25FF"/>
    <w:rsid w:val="005C2720"/>
    <w:rsid w:val="005C2D55"/>
    <w:rsid w:val="005C2D7F"/>
    <w:rsid w:val="005C2E7D"/>
    <w:rsid w:val="005C346B"/>
    <w:rsid w:val="005C36F4"/>
    <w:rsid w:val="005C3B34"/>
    <w:rsid w:val="005C498D"/>
    <w:rsid w:val="005C4C1E"/>
    <w:rsid w:val="005C4C53"/>
    <w:rsid w:val="005C4CF2"/>
    <w:rsid w:val="005C4F42"/>
    <w:rsid w:val="005C512C"/>
    <w:rsid w:val="005C57E7"/>
    <w:rsid w:val="005C5A79"/>
    <w:rsid w:val="005C5ABC"/>
    <w:rsid w:val="005C5CB0"/>
    <w:rsid w:val="005C63E9"/>
    <w:rsid w:val="005C67C7"/>
    <w:rsid w:val="005C6B4E"/>
    <w:rsid w:val="005C789A"/>
    <w:rsid w:val="005C7918"/>
    <w:rsid w:val="005C7D77"/>
    <w:rsid w:val="005C7EAE"/>
    <w:rsid w:val="005C7F44"/>
    <w:rsid w:val="005D0210"/>
    <w:rsid w:val="005D044D"/>
    <w:rsid w:val="005D063B"/>
    <w:rsid w:val="005D08EC"/>
    <w:rsid w:val="005D09E4"/>
    <w:rsid w:val="005D0ABD"/>
    <w:rsid w:val="005D0FCA"/>
    <w:rsid w:val="005D109C"/>
    <w:rsid w:val="005D18AD"/>
    <w:rsid w:val="005D1D19"/>
    <w:rsid w:val="005D1EBC"/>
    <w:rsid w:val="005D1ED6"/>
    <w:rsid w:val="005D2158"/>
    <w:rsid w:val="005D26B4"/>
    <w:rsid w:val="005D2836"/>
    <w:rsid w:val="005D28EA"/>
    <w:rsid w:val="005D3594"/>
    <w:rsid w:val="005D3943"/>
    <w:rsid w:val="005D399F"/>
    <w:rsid w:val="005D493A"/>
    <w:rsid w:val="005D4FC8"/>
    <w:rsid w:val="005D5831"/>
    <w:rsid w:val="005D58D2"/>
    <w:rsid w:val="005D5912"/>
    <w:rsid w:val="005D5D17"/>
    <w:rsid w:val="005D6348"/>
    <w:rsid w:val="005D7664"/>
    <w:rsid w:val="005D76E9"/>
    <w:rsid w:val="005D7B4B"/>
    <w:rsid w:val="005E0C74"/>
    <w:rsid w:val="005E1323"/>
    <w:rsid w:val="005E1554"/>
    <w:rsid w:val="005E1995"/>
    <w:rsid w:val="005E1B2E"/>
    <w:rsid w:val="005E2198"/>
    <w:rsid w:val="005E225A"/>
    <w:rsid w:val="005E2473"/>
    <w:rsid w:val="005E2AF0"/>
    <w:rsid w:val="005E2EAC"/>
    <w:rsid w:val="005E363F"/>
    <w:rsid w:val="005E3873"/>
    <w:rsid w:val="005E4252"/>
    <w:rsid w:val="005E4B30"/>
    <w:rsid w:val="005E4C41"/>
    <w:rsid w:val="005E52A0"/>
    <w:rsid w:val="005E578C"/>
    <w:rsid w:val="005E5E39"/>
    <w:rsid w:val="005E5F42"/>
    <w:rsid w:val="005E5FE8"/>
    <w:rsid w:val="005E6939"/>
    <w:rsid w:val="005E6CBC"/>
    <w:rsid w:val="005E716F"/>
    <w:rsid w:val="005E72FF"/>
    <w:rsid w:val="005E73C0"/>
    <w:rsid w:val="005E7E0C"/>
    <w:rsid w:val="005F03A1"/>
    <w:rsid w:val="005F07ED"/>
    <w:rsid w:val="005F113D"/>
    <w:rsid w:val="005F1200"/>
    <w:rsid w:val="005F20CA"/>
    <w:rsid w:val="005F21B1"/>
    <w:rsid w:val="005F2518"/>
    <w:rsid w:val="005F2706"/>
    <w:rsid w:val="005F313F"/>
    <w:rsid w:val="005F3708"/>
    <w:rsid w:val="005F3BC5"/>
    <w:rsid w:val="005F3F31"/>
    <w:rsid w:val="005F4A62"/>
    <w:rsid w:val="005F4CA4"/>
    <w:rsid w:val="005F524C"/>
    <w:rsid w:val="005F599B"/>
    <w:rsid w:val="005F5F51"/>
    <w:rsid w:val="005F5FDB"/>
    <w:rsid w:val="005F6094"/>
    <w:rsid w:val="005F627E"/>
    <w:rsid w:val="005F6517"/>
    <w:rsid w:val="005F65C7"/>
    <w:rsid w:val="005F6A8F"/>
    <w:rsid w:val="005F6BB7"/>
    <w:rsid w:val="005F6F2D"/>
    <w:rsid w:val="005F73A5"/>
    <w:rsid w:val="005F751F"/>
    <w:rsid w:val="005F7588"/>
    <w:rsid w:val="005F7AE9"/>
    <w:rsid w:val="006001C1"/>
    <w:rsid w:val="00601262"/>
    <w:rsid w:val="00601BA7"/>
    <w:rsid w:val="0060206E"/>
    <w:rsid w:val="006020C3"/>
    <w:rsid w:val="006028D3"/>
    <w:rsid w:val="006029BD"/>
    <w:rsid w:val="00603AF4"/>
    <w:rsid w:val="00603DB8"/>
    <w:rsid w:val="00603DB9"/>
    <w:rsid w:val="00604C70"/>
    <w:rsid w:val="00604FE1"/>
    <w:rsid w:val="0060543A"/>
    <w:rsid w:val="006056A5"/>
    <w:rsid w:val="00606609"/>
    <w:rsid w:val="00606E12"/>
    <w:rsid w:val="00606FBA"/>
    <w:rsid w:val="006073AB"/>
    <w:rsid w:val="00607669"/>
    <w:rsid w:val="006076F4"/>
    <w:rsid w:val="00607AFD"/>
    <w:rsid w:val="00607DE1"/>
    <w:rsid w:val="00610994"/>
    <w:rsid w:val="006109DF"/>
    <w:rsid w:val="00610B18"/>
    <w:rsid w:val="00610B96"/>
    <w:rsid w:val="00611024"/>
    <w:rsid w:val="00611B12"/>
    <w:rsid w:val="00611B78"/>
    <w:rsid w:val="00611E07"/>
    <w:rsid w:val="00611E25"/>
    <w:rsid w:val="006124F9"/>
    <w:rsid w:val="0061262A"/>
    <w:rsid w:val="006127B1"/>
    <w:rsid w:val="00612C57"/>
    <w:rsid w:val="00612E41"/>
    <w:rsid w:val="00612F97"/>
    <w:rsid w:val="0061345D"/>
    <w:rsid w:val="006137E5"/>
    <w:rsid w:val="00613C43"/>
    <w:rsid w:val="006142C8"/>
    <w:rsid w:val="00614C15"/>
    <w:rsid w:val="00614D55"/>
    <w:rsid w:val="00615487"/>
    <w:rsid w:val="0061549B"/>
    <w:rsid w:val="006156D9"/>
    <w:rsid w:val="00615E85"/>
    <w:rsid w:val="006161A5"/>
    <w:rsid w:val="006164F1"/>
    <w:rsid w:val="0061661C"/>
    <w:rsid w:val="00616802"/>
    <w:rsid w:val="006168D1"/>
    <w:rsid w:val="00617B4F"/>
    <w:rsid w:val="00617E12"/>
    <w:rsid w:val="00617E74"/>
    <w:rsid w:val="00620C25"/>
    <w:rsid w:val="00620D20"/>
    <w:rsid w:val="00620FDD"/>
    <w:rsid w:val="006213E1"/>
    <w:rsid w:val="006213FA"/>
    <w:rsid w:val="0062144B"/>
    <w:rsid w:val="00621477"/>
    <w:rsid w:val="00621514"/>
    <w:rsid w:val="00621ADA"/>
    <w:rsid w:val="00622124"/>
    <w:rsid w:val="00622B3C"/>
    <w:rsid w:val="00623598"/>
    <w:rsid w:val="006235D6"/>
    <w:rsid w:val="0062386D"/>
    <w:rsid w:val="006238BD"/>
    <w:rsid w:val="00623AA4"/>
    <w:rsid w:val="00623F7B"/>
    <w:rsid w:val="006241B7"/>
    <w:rsid w:val="0062432B"/>
    <w:rsid w:val="00624BD4"/>
    <w:rsid w:val="00624C49"/>
    <w:rsid w:val="00624EF1"/>
    <w:rsid w:val="006250B0"/>
    <w:rsid w:val="006250F8"/>
    <w:rsid w:val="00625275"/>
    <w:rsid w:val="00625706"/>
    <w:rsid w:val="006262DF"/>
    <w:rsid w:val="0062641A"/>
    <w:rsid w:val="006266C0"/>
    <w:rsid w:val="00626CEE"/>
    <w:rsid w:val="006277D3"/>
    <w:rsid w:val="00627B1B"/>
    <w:rsid w:val="00627E5E"/>
    <w:rsid w:val="00627FB6"/>
    <w:rsid w:val="006306D4"/>
    <w:rsid w:val="00630E2A"/>
    <w:rsid w:val="0063158F"/>
    <w:rsid w:val="006316DD"/>
    <w:rsid w:val="00631BBD"/>
    <w:rsid w:val="00631D6B"/>
    <w:rsid w:val="00632183"/>
    <w:rsid w:val="0063299E"/>
    <w:rsid w:val="00632BA5"/>
    <w:rsid w:val="00632CB2"/>
    <w:rsid w:val="006330A1"/>
    <w:rsid w:val="0063321E"/>
    <w:rsid w:val="0063321F"/>
    <w:rsid w:val="0063335A"/>
    <w:rsid w:val="00633398"/>
    <w:rsid w:val="0063361F"/>
    <w:rsid w:val="00633637"/>
    <w:rsid w:val="00633B06"/>
    <w:rsid w:val="00633BDB"/>
    <w:rsid w:val="006340BB"/>
    <w:rsid w:val="00634588"/>
    <w:rsid w:val="00634591"/>
    <w:rsid w:val="0063479F"/>
    <w:rsid w:val="00634BA3"/>
    <w:rsid w:val="006353F0"/>
    <w:rsid w:val="0063542F"/>
    <w:rsid w:val="0063558B"/>
    <w:rsid w:val="006357B5"/>
    <w:rsid w:val="00635A0C"/>
    <w:rsid w:val="00636188"/>
    <w:rsid w:val="006363D9"/>
    <w:rsid w:val="006364A1"/>
    <w:rsid w:val="0063678E"/>
    <w:rsid w:val="00636806"/>
    <w:rsid w:val="00637141"/>
    <w:rsid w:val="0063747F"/>
    <w:rsid w:val="0063780B"/>
    <w:rsid w:val="00637AF2"/>
    <w:rsid w:val="00637BFD"/>
    <w:rsid w:val="00637C5C"/>
    <w:rsid w:val="00637F8F"/>
    <w:rsid w:val="0064018B"/>
    <w:rsid w:val="006407C1"/>
    <w:rsid w:val="00641237"/>
    <w:rsid w:val="00641B0A"/>
    <w:rsid w:val="00641C4E"/>
    <w:rsid w:val="00641FB3"/>
    <w:rsid w:val="00642007"/>
    <w:rsid w:val="006423FB"/>
    <w:rsid w:val="0064250D"/>
    <w:rsid w:val="00642EBD"/>
    <w:rsid w:val="0064351E"/>
    <w:rsid w:val="00643766"/>
    <w:rsid w:val="00643F9F"/>
    <w:rsid w:val="006442B0"/>
    <w:rsid w:val="0064434C"/>
    <w:rsid w:val="006444D8"/>
    <w:rsid w:val="00644561"/>
    <w:rsid w:val="00644D29"/>
    <w:rsid w:val="00644F5A"/>
    <w:rsid w:val="006450A5"/>
    <w:rsid w:val="006458FF"/>
    <w:rsid w:val="00645C0D"/>
    <w:rsid w:val="0064672E"/>
    <w:rsid w:val="006468FD"/>
    <w:rsid w:val="00646A54"/>
    <w:rsid w:val="006471CC"/>
    <w:rsid w:val="006471DE"/>
    <w:rsid w:val="006472FE"/>
    <w:rsid w:val="0064736B"/>
    <w:rsid w:val="00647A29"/>
    <w:rsid w:val="00647CB7"/>
    <w:rsid w:val="006506FB"/>
    <w:rsid w:val="0065079F"/>
    <w:rsid w:val="006507B3"/>
    <w:rsid w:val="00650C71"/>
    <w:rsid w:val="006519DD"/>
    <w:rsid w:val="00651AC9"/>
    <w:rsid w:val="006520B0"/>
    <w:rsid w:val="00652534"/>
    <w:rsid w:val="00652A28"/>
    <w:rsid w:val="00652EC9"/>
    <w:rsid w:val="00652F65"/>
    <w:rsid w:val="006531DC"/>
    <w:rsid w:val="00653235"/>
    <w:rsid w:val="0065379F"/>
    <w:rsid w:val="00653E64"/>
    <w:rsid w:val="00653EFC"/>
    <w:rsid w:val="00653F21"/>
    <w:rsid w:val="00654052"/>
    <w:rsid w:val="0065428C"/>
    <w:rsid w:val="006550BF"/>
    <w:rsid w:val="00655ECB"/>
    <w:rsid w:val="00655EE3"/>
    <w:rsid w:val="00656188"/>
    <w:rsid w:val="0065711B"/>
    <w:rsid w:val="0065715A"/>
    <w:rsid w:val="00657A59"/>
    <w:rsid w:val="00657F06"/>
    <w:rsid w:val="0066053E"/>
    <w:rsid w:val="006605F8"/>
    <w:rsid w:val="00660727"/>
    <w:rsid w:val="00661090"/>
    <w:rsid w:val="006610F1"/>
    <w:rsid w:val="00661793"/>
    <w:rsid w:val="00661C6B"/>
    <w:rsid w:val="006621E4"/>
    <w:rsid w:val="00662D3E"/>
    <w:rsid w:val="00662D8C"/>
    <w:rsid w:val="00662F64"/>
    <w:rsid w:val="0066365F"/>
    <w:rsid w:val="00663B98"/>
    <w:rsid w:val="006646B9"/>
    <w:rsid w:val="00664E4B"/>
    <w:rsid w:val="0066565F"/>
    <w:rsid w:val="00665728"/>
    <w:rsid w:val="00665882"/>
    <w:rsid w:val="006659D8"/>
    <w:rsid w:val="00665C70"/>
    <w:rsid w:val="00666E02"/>
    <w:rsid w:val="0066739E"/>
    <w:rsid w:val="0066790C"/>
    <w:rsid w:val="00667BE3"/>
    <w:rsid w:val="00670689"/>
    <w:rsid w:val="0067071B"/>
    <w:rsid w:val="00670A8F"/>
    <w:rsid w:val="00671004"/>
    <w:rsid w:val="006712BD"/>
    <w:rsid w:val="006713ED"/>
    <w:rsid w:val="00671E75"/>
    <w:rsid w:val="00672646"/>
    <w:rsid w:val="006727F3"/>
    <w:rsid w:val="0067290B"/>
    <w:rsid w:val="00672A7D"/>
    <w:rsid w:val="00672B36"/>
    <w:rsid w:val="00673625"/>
    <w:rsid w:val="006743CD"/>
    <w:rsid w:val="006744A1"/>
    <w:rsid w:val="0067472F"/>
    <w:rsid w:val="00674AC6"/>
    <w:rsid w:val="00674E42"/>
    <w:rsid w:val="0067517D"/>
    <w:rsid w:val="006752D4"/>
    <w:rsid w:val="006755CE"/>
    <w:rsid w:val="00675CAC"/>
    <w:rsid w:val="00676342"/>
    <w:rsid w:val="0067651B"/>
    <w:rsid w:val="00676563"/>
    <w:rsid w:val="00676B5A"/>
    <w:rsid w:val="00676B7D"/>
    <w:rsid w:val="00676E92"/>
    <w:rsid w:val="00676F08"/>
    <w:rsid w:val="00676F3D"/>
    <w:rsid w:val="0067772B"/>
    <w:rsid w:val="00677AB2"/>
    <w:rsid w:val="00677FF2"/>
    <w:rsid w:val="006807C7"/>
    <w:rsid w:val="006811B0"/>
    <w:rsid w:val="006813C8"/>
    <w:rsid w:val="006813F8"/>
    <w:rsid w:val="0068174E"/>
    <w:rsid w:val="006817AC"/>
    <w:rsid w:val="0068180B"/>
    <w:rsid w:val="00681C39"/>
    <w:rsid w:val="00682112"/>
    <w:rsid w:val="00682357"/>
    <w:rsid w:val="00682BA6"/>
    <w:rsid w:val="00682BBD"/>
    <w:rsid w:val="00682F4F"/>
    <w:rsid w:val="006831CB"/>
    <w:rsid w:val="006838EA"/>
    <w:rsid w:val="00683D0C"/>
    <w:rsid w:val="00684CCC"/>
    <w:rsid w:val="00685283"/>
    <w:rsid w:val="00685550"/>
    <w:rsid w:val="00685726"/>
    <w:rsid w:val="00685856"/>
    <w:rsid w:val="00685B08"/>
    <w:rsid w:val="00685BBA"/>
    <w:rsid w:val="00685DB0"/>
    <w:rsid w:val="00686118"/>
    <w:rsid w:val="006861F9"/>
    <w:rsid w:val="00686259"/>
    <w:rsid w:val="00686957"/>
    <w:rsid w:val="00686D80"/>
    <w:rsid w:val="00686EB8"/>
    <w:rsid w:val="006871DE"/>
    <w:rsid w:val="006872BA"/>
    <w:rsid w:val="00687C81"/>
    <w:rsid w:val="00690795"/>
    <w:rsid w:val="0069081B"/>
    <w:rsid w:val="006908DD"/>
    <w:rsid w:val="00691020"/>
    <w:rsid w:val="00691137"/>
    <w:rsid w:val="00691178"/>
    <w:rsid w:val="0069160F"/>
    <w:rsid w:val="00691648"/>
    <w:rsid w:val="006917D7"/>
    <w:rsid w:val="0069192E"/>
    <w:rsid w:val="006927D1"/>
    <w:rsid w:val="006928C5"/>
    <w:rsid w:val="00692E68"/>
    <w:rsid w:val="00692ED0"/>
    <w:rsid w:val="00693707"/>
    <w:rsid w:val="00693BDF"/>
    <w:rsid w:val="00693BF6"/>
    <w:rsid w:val="00693D5F"/>
    <w:rsid w:val="00694061"/>
    <w:rsid w:val="00694233"/>
    <w:rsid w:val="0069434C"/>
    <w:rsid w:val="006945A5"/>
    <w:rsid w:val="00694AC0"/>
    <w:rsid w:val="00694C90"/>
    <w:rsid w:val="00694F12"/>
    <w:rsid w:val="00694F44"/>
    <w:rsid w:val="006954E0"/>
    <w:rsid w:val="0069589A"/>
    <w:rsid w:val="00695902"/>
    <w:rsid w:val="00695B2C"/>
    <w:rsid w:val="00695EB1"/>
    <w:rsid w:val="00696495"/>
    <w:rsid w:val="00696EF9"/>
    <w:rsid w:val="00696F51"/>
    <w:rsid w:val="006971FC"/>
    <w:rsid w:val="00697202"/>
    <w:rsid w:val="00697351"/>
    <w:rsid w:val="00697598"/>
    <w:rsid w:val="006979A5"/>
    <w:rsid w:val="006A0009"/>
    <w:rsid w:val="006A016F"/>
    <w:rsid w:val="006A0253"/>
    <w:rsid w:val="006A0313"/>
    <w:rsid w:val="006A052D"/>
    <w:rsid w:val="006A088C"/>
    <w:rsid w:val="006A0B3A"/>
    <w:rsid w:val="006A0DEB"/>
    <w:rsid w:val="006A0DF7"/>
    <w:rsid w:val="006A0F79"/>
    <w:rsid w:val="006A15DF"/>
    <w:rsid w:val="006A173F"/>
    <w:rsid w:val="006A25F0"/>
    <w:rsid w:val="006A2815"/>
    <w:rsid w:val="006A2BEF"/>
    <w:rsid w:val="006A2ECB"/>
    <w:rsid w:val="006A370A"/>
    <w:rsid w:val="006A38FD"/>
    <w:rsid w:val="006A42E2"/>
    <w:rsid w:val="006A4321"/>
    <w:rsid w:val="006A43D9"/>
    <w:rsid w:val="006A486C"/>
    <w:rsid w:val="006A4CC2"/>
    <w:rsid w:val="006A4F36"/>
    <w:rsid w:val="006A57D4"/>
    <w:rsid w:val="006A6B99"/>
    <w:rsid w:val="006A74E9"/>
    <w:rsid w:val="006A7577"/>
    <w:rsid w:val="006A7964"/>
    <w:rsid w:val="006A7A0E"/>
    <w:rsid w:val="006A7AD5"/>
    <w:rsid w:val="006A7E5F"/>
    <w:rsid w:val="006B0669"/>
    <w:rsid w:val="006B06B4"/>
    <w:rsid w:val="006B0B2B"/>
    <w:rsid w:val="006B0CC0"/>
    <w:rsid w:val="006B0F3B"/>
    <w:rsid w:val="006B133B"/>
    <w:rsid w:val="006B1565"/>
    <w:rsid w:val="006B15E2"/>
    <w:rsid w:val="006B261B"/>
    <w:rsid w:val="006B2B1B"/>
    <w:rsid w:val="006B2C90"/>
    <w:rsid w:val="006B3055"/>
    <w:rsid w:val="006B35E6"/>
    <w:rsid w:val="006B37A7"/>
    <w:rsid w:val="006B3809"/>
    <w:rsid w:val="006B3D3B"/>
    <w:rsid w:val="006B4038"/>
    <w:rsid w:val="006B4096"/>
    <w:rsid w:val="006B4409"/>
    <w:rsid w:val="006B4466"/>
    <w:rsid w:val="006B464D"/>
    <w:rsid w:val="006B465A"/>
    <w:rsid w:val="006B4A56"/>
    <w:rsid w:val="006B5148"/>
    <w:rsid w:val="006B585E"/>
    <w:rsid w:val="006B5CCB"/>
    <w:rsid w:val="006B5E93"/>
    <w:rsid w:val="006B620E"/>
    <w:rsid w:val="006B6547"/>
    <w:rsid w:val="006B680C"/>
    <w:rsid w:val="006B6A0E"/>
    <w:rsid w:val="006B6DD0"/>
    <w:rsid w:val="006B6F71"/>
    <w:rsid w:val="006B71F8"/>
    <w:rsid w:val="006B7235"/>
    <w:rsid w:val="006B73ED"/>
    <w:rsid w:val="006B74D4"/>
    <w:rsid w:val="006B76DC"/>
    <w:rsid w:val="006B7852"/>
    <w:rsid w:val="006B7898"/>
    <w:rsid w:val="006B7EEB"/>
    <w:rsid w:val="006C00CB"/>
    <w:rsid w:val="006C01A3"/>
    <w:rsid w:val="006C0399"/>
    <w:rsid w:val="006C0885"/>
    <w:rsid w:val="006C0DD9"/>
    <w:rsid w:val="006C0FC8"/>
    <w:rsid w:val="006C10B7"/>
    <w:rsid w:val="006C154E"/>
    <w:rsid w:val="006C195B"/>
    <w:rsid w:val="006C2A8E"/>
    <w:rsid w:val="006C2E3C"/>
    <w:rsid w:val="006C3255"/>
    <w:rsid w:val="006C3642"/>
    <w:rsid w:val="006C3C81"/>
    <w:rsid w:val="006C3CBD"/>
    <w:rsid w:val="006C3F26"/>
    <w:rsid w:val="006C4789"/>
    <w:rsid w:val="006C4A27"/>
    <w:rsid w:val="006C4C7A"/>
    <w:rsid w:val="006C4E21"/>
    <w:rsid w:val="006C5133"/>
    <w:rsid w:val="006C605E"/>
    <w:rsid w:val="006C6189"/>
    <w:rsid w:val="006C6515"/>
    <w:rsid w:val="006C66A5"/>
    <w:rsid w:val="006C6A17"/>
    <w:rsid w:val="006C6BD4"/>
    <w:rsid w:val="006C6D03"/>
    <w:rsid w:val="006C762D"/>
    <w:rsid w:val="006C771F"/>
    <w:rsid w:val="006C7B07"/>
    <w:rsid w:val="006D0006"/>
    <w:rsid w:val="006D03B9"/>
    <w:rsid w:val="006D04F1"/>
    <w:rsid w:val="006D08DC"/>
    <w:rsid w:val="006D0D17"/>
    <w:rsid w:val="006D176C"/>
    <w:rsid w:val="006D1796"/>
    <w:rsid w:val="006D1B2B"/>
    <w:rsid w:val="006D1D32"/>
    <w:rsid w:val="006D21A8"/>
    <w:rsid w:val="006D2E9A"/>
    <w:rsid w:val="006D32B9"/>
    <w:rsid w:val="006D3306"/>
    <w:rsid w:val="006D3C7D"/>
    <w:rsid w:val="006D41B9"/>
    <w:rsid w:val="006D449A"/>
    <w:rsid w:val="006D4659"/>
    <w:rsid w:val="006D54AC"/>
    <w:rsid w:val="006D5866"/>
    <w:rsid w:val="006D5D5F"/>
    <w:rsid w:val="006D5E80"/>
    <w:rsid w:val="006D6386"/>
    <w:rsid w:val="006D66AF"/>
    <w:rsid w:val="006D68FB"/>
    <w:rsid w:val="006D6D5C"/>
    <w:rsid w:val="006D7257"/>
    <w:rsid w:val="006D72FB"/>
    <w:rsid w:val="006D750F"/>
    <w:rsid w:val="006D7D9A"/>
    <w:rsid w:val="006E0EC4"/>
    <w:rsid w:val="006E1D5B"/>
    <w:rsid w:val="006E2844"/>
    <w:rsid w:val="006E2868"/>
    <w:rsid w:val="006E2928"/>
    <w:rsid w:val="006E305A"/>
    <w:rsid w:val="006E3E47"/>
    <w:rsid w:val="006E3F4A"/>
    <w:rsid w:val="006E40CC"/>
    <w:rsid w:val="006E41EA"/>
    <w:rsid w:val="006E429B"/>
    <w:rsid w:val="006E45EE"/>
    <w:rsid w:val="006E5B0C"/>
    <w:rsid w:val="006E5D5F"/>
    <w:rsid w:val="006E6394"/>
    <w:rsid w:val="006E641B"/>
    <w:rsid w:val="006E6A69"/>
    <w:rsid w:val="006E6E87"/>
    <w:rsid w:val="006E7974"/>
    <w:rsid w:val="006E799B"/>
    <w:rsid w:val="006E7C50"/>
    <w:rsid w:val="006E7CF3"/>
    <w:rsid w:val="006E7E1C"/>
    <w:rsid w:val="006F014F"/>
    <w:rsid w:val="006F04D1"/>
    <w:rsid w:val="006F068D"/>
    <w:rsid w:val="006F121C"/>
    <w:rsid w:val="006F1C43"/>
    <w:rsid w:val="006F1C84"/>
    <w:rsid w:val="006F248D"/>
    <w:rsid w:val="006F2700"/>
    <w:rsid w:val="006F27B6"/>
    <w:rsid w:val="006F2C96"/>
    <w:rsid w:val="006F306C"/>
    <w:rsid w:val="006F3B58"/>
    <w:rsid w:val="006F3E99"/>
    <w:rsid w:val="006F3FD2"/>
    <w:rsid w:val="006F4BB8"/>
    <w:rsid w:val="006F5365"/>
    <w:rsid w:val="006F56EB"/>
    <w:rsid w:val="006F5922"/>
    <w:rsid w:val="006F5CA6"/>
    <w:rsid w:val="006F5E1D"/>
    <w:rsid w:val="006F5F91"/>
    <w:rsid w:val="006F63A5"/>
    <w:rsid w:val="006F6609"/>
    <w:rsid w:val="006F69B3"/>
    <w:rsid w:val="006F7005"/>
    <w:rsid w:val="006F7191"/>
    <w:rsid w:val="006F7357"/>
    <w:rsid w:val="006F73B6"/>
    <w:rsid w:val="006F7702"/>
    <w:rsid w:val="006F7AB9"/>
    <w:rsid w:val="006F7E49"/>
    <w:rsid w:val="0070080F"/>
    <w:rsid w:val="0070142B"/>
    <w:rsid w:val="007015A6"/>
    <w:rsid w:val="0070170E"/>
    <w:rsid w:val="00701812"/>
    <w:rsid w:val="00701B5F"/>
    <w:rsid w:val="00701CAC"/>
    <w:rsid w:val="00702179"/>
    <w:rsid w:val="0070276E"/>
    <w:rsid w:val="00702F8F"/>
    <w:rsid w:val="007030B6"/>
    <w:rsid w:val="00703935"/>
    <w:rsid w:val="00704DF9"/>
    <w:rsid w:val="007054FB"/>
    <w:rsid w:val="0070590B"/>
    <w:rsid w:val="00705C98"/>
    <w:rsid w:val="00705D41"/>
    <w:rsid w:val="00705E70"/>
    <w:rsid w:val="007064AC"/>
    <w:rsid w:val="007067BE"/>
    <w:rsid w:val="0070710A"/>
    <w:rsid w:val="007079FC"/>
    <w:rsid w:val="0071008A"/>
    <w:rsid w:val="00710360"/>
    <w:rsid w:val="0071062D"/>
    <w:rsid w:val="00710739"/>
    <w:rsid w:val="00710D91"/>
    <w:rsid w:val="00710EAB"/>
    <w:rsid w:val="007114D0"/>
    <w:rsid w:val="0071159A"/>
    <w:rsid w:val="007115C6"/>
    <w:rsid w:val="00711A36"/>
    <w:rsid w:val="0071215E"/>
    <w:rsid w:val="0071232E"/>
    <w:rsid w:val="00712403"/>
    <w:rsid w:val="007125D3"/>
    <w:rsid w:val="0071264E"/>
    <w:rsid w:val="00712F2F"/>
    <w:rsid w:val="00713141"/>
    <w:rsid w:val="007133EF"/>
    <w:rsid w:val="00713A1E"/>
    <w:rsid w:val="00714259"/>
    <w:rsid w:val="007148DE"/>
    <w:rsid w:val="00714C26"/>
    <w:rsid w:val="00714D86"/>
    <w:rsid w:val="00714D9E"/>
    <w:rsid w:val="0071529C"/>
    <w:rsid w:val="00715749"/>
    <w:rsid w:val="00715A92"/>
    <w:rsid w:val="00715E7B"/>
    <w:rsid w:val="00716242"/>
    <w:rsid w:val="007163A9"/>
    <w:rsid w:val="007164E9"/>
    <w:rsid w:val="00716663"/>
    <w:rsid w:val="007170DA"/>
    <w:rsid w:val="007170F5"/>
    <w:rsid w:val="007172AD"/>
    <w:rsid w:val="00717546"/>
    <w:rsid w:val="00717979"/>
    <w:rsid w:val="00717F82"/>
    <w:rsid w:val="0072017B"/>
    <w:rsid w:val="00720801"/>
    <w:rsid w:val="0072099D"/>
    <w:rsid w:val="00720D3A"/>
    <w:rsid w:val="00721324"/>
    <w:rsid w:val="007213A1"/>
    <w:rsid w:val="0072141B"/>
    <w:rsid w:val="007216B1"/>
    <w:rsid w:val="00721A43"/>
    <w:rsid w:val="00721BE2"/>
    <w:rsid w:val="00721D81"/>
    <w:rsid w:val="00722155"/>
    <w:rsid w:val="007224B9"/>
    <w:rsid w:val="007225DB"/>
    <w:rsid w:val="00722734"/>
    <w:rsid w:val="00722941"/>
    <w:rsid w:val="00722B1B"/>
    <w:rsid w:val="00722B78"/>
    <w:rsid w:val="007231EF"/>
    <w:rsid w:val="00723270"/>
    <w:rsid w:val="00723372"/>
    <w:rsid w:val="0072362E"/>
    <w:rsid w:val="00723857"/>
    <w:rsid w:val="00723A39"/>
    <w:rsid w:val="00723F44"/>
    <w:rsid w:val="0072416F"/>
    <w:rsid w:val="007247EE"/>
    <w:rsid w:val="00724A36"/>
    <w:rsid w:val="00724BDC"/>
    <w:rsid w:val="00725110"/>
    <w:rsid w:val="00725377"/>
    <w:rsid w:val="007256C8"/>
    <w:rsid w:val="00725751"/>
    <w:rsid w:val="00725949"/>
    <w:rsid w:val="00725D4E"/>
    <w:rsid w:val="00725EAC"/>
    <w:rsid w:val="00727398"/>
    <w:rsid w:val="007277F3"/>
    <w:rsid w:val="00727A05"/>
    <w:rsid w:val="00727C94"/>
    <w:rsid w:val="007300C7"/>
    <w:rsid w:val="00730328"/>
    <w:rsid w:val="00730604"/>
    <w:rsid w:val="007308AB"/>
    <w:rsid w:val="007308CC"/>
    <w:rsid w:val="00730F02"/>
    <w:rsid w:val="007311EB"/>
    <w:rsid w:val="0073195F"/>
    <w:rsid w:val="007319CA"/>
    <w:rsid w:val="00731B0A"/>
    <w:rsid w:val="00731EAE"/>
    <w:rsid w:val="00732770"/>
    <w:rsid w:val="00732862"/>
    <w:rsid w:val="0073289A"/>
    <w:rsid w:val="00732952"/>
    <w:rsid w:val="00732C57"/>
    <w:rsid w:val="00732D08"/>
    <w:rsid w:val="00733073"/>
    <w:rsid w:val="007334E7"/>
    <w:rsid w:val="00733578"/>
    <w:rsid w:val="00733BF2"/>
    <w:rsid w:val="007341AF"/>
    <w:rsid w:val="007342B0"/>
    <w:rsid w:val="00734310"/>
    <w:rsid w:val="00734A00"/>
    <w:rsid w:val="00734B0B"/>
    <w:rsid w:val="00734CC7"/>
    <w:rsid w:val="00735033"/>
    <w:rsid w:val="007351B1"/>
    <w:rsid w:val="00735328"/>
    <w:rsid w:val="007355FD"/>
    <w:rsid w:val="00735E1D"/>
    <w:rsid w:val="00735FFD"/>
    <w:rsid w:val="0073637F"/>
    <w:rsid w:val="007364C4"/>
    <w:rsid w:val="007365B2"/>
    <w:rsid w:val="0073685B"/>
    <w:rsid w:val="00736BFD"/>
    <w:rsid w:val="00736E45"/>
    <w:rsid w:val="00737203"/>
    <w:rsid w:val="007373ED"/>
    <w:rsid w:val="00737516"/>
    <w:rsid w:val="00740544"/>
    <w:rsid w:val="00740762"/>
    <w:rsid w:val="0074084D"/>
    <w:rsid w:val="00741057"/>
    <w:rsid w:val="007414E0"/>
    <w:rsid w:val="007418E6"/>
    <w:rsid w:val="00741A64"/>
    <w:rsid w:val="00741AF7"/>
    <w:rsid w:val="00741CA5"/>
    <w:rsid w:val="0074222C"/>
    <w:rsid w:val="00742245"/>
    <w:rsid w:val="007426FF"/>
    <w:rsid w:val="00742E51"/>
    <w:rsid w:val="00743609"/>
    <w:rsid w:val="0074418E"/>
    <w:rsid w:val="00744197"/>
    <w:rsid w:val="007449BF"/>
    <w:rsid w:val="0074507C"/>
    <w:rsid w:val="00745A19"/>
    <w:rsid w:val="00745C98"/>
    <w:rsid w:val="00746061"/>
    <w:rsid w:val="007460EB"/>
    <w:rsid w:val="00746323"/>
    <w:rsid w:val="00746357"/>
    <w:rsid w:val="007463FE"/>
    <w:rsid w:val="00746707"/>
    <w:rsid w:val="00746837"/>
    <w:rsid w:val="0074687B"/>
    <w:rsid w:val="00746BC0"/>
    <w:rsid w:val="00746C76"/>
    <w:rsid w:val="00747051"/>
    <w:rsid w:val="0074723C"/>
    <w:rsid w:val="00747799"/>
    <w:rsid w:val="00747992"/>
    <w:rsid w:val="00747B8F"/>
    <w:rsid w:val="00747D0B"/>
    <w:rsid w:val="007508D2"/>
    <w:rsid w:val="007509CF"/>
    <w:rsid w:val="007510B4"/>
    <w:rsid w:val="00751281"/>
    <w:rsid w:val="00751D2E"/>
    <w:rsid w:val="00751E39"/>
    <w:rsid w:val="00751EDE"/>
    <w:rsid w:val="00752142"/>
    <w:rsid w:val="007523F9"/>
    <w:rsid w:val="0075245A"/>
    <w:rsid w:val="0075357E"/>
    <w:rsid w:val="007536DE"/>
    <w:rsid w:val="00753A24"/>
    <w:rsid w:val="00753B29"/>
    <w:rsid w:val="00753FE2"/>
    <w:rsid w:val="00754208"/>
    <w:rsid w:val="007542E3"/>
    <w:rsid w:val="00754672"/>
    <w:rsid w:val="00754DD5"/>
    <w:rsid w:val="007551E6"/>
    <w:rsid w:val="0075581F"/>
    <w:rsid w:val="00756257"/>
    <w:rsid w:val="007563F6"/>
    <w:rsid w:val="00756778"/>
    <w:rsid w:val="00756DFE"/>
    <w:rsid w:val="00756E9E"/>
    <w:rsid w:val="007573E8"/>
    <w:rsid w:val="0075747E"/>
    <w:rsid w:val="00757C09"/>
    <w:rsid w:val="007602E3"/>
    <w:rsid w:val="0076031B"/>
    <w:rsid w:val="007603E3"/>
    <w:rsid w:val="007604A3"/>
    <w:rsid w:val="007607DD"/>
    <w:rsid w:val="00760C4E"/>
    <w:rsid w:val="00760F9E"/>
    <w:rsid w:val="00761033"/>
    <w:rsid w:val="007616E6"/>
    <w:rsid w:val="00761911"/>
    <w:rsid w:val="00761FCA"/>
    <w:rsid w:val="007622ED"/>
    <w:rsid w:val="00762395"/>
    <w:rsid w:val="007625E5"/>
    <w:rsid w:val="007627BE"/>
    <w:rsid w:val="00762B74"/>
    <w:rsid w:val="00763064"/>
    <w:rsid w:val="007632EE"/>
    <w:rsid w:val="00763877"/>
    <w:rsid w:val="007639FB"/>
    <w:rsid w:val="00763A04"/>
    <w:rsid w:val="00763EB8"/>
    <w:rsid w:val="00763F49"/>
    <w:rsid w:val="007641A6"/>
    <w:rsid w:val="00764ADB"/>
    <w:rsid w:val="00764F03"/>
    <w:rsid w:val="00764F93"/>
    <w:rsid w:val="0076512F"/>
    <w:rsid w:val="0076550E"/>
    <w:rsid w:val="0076552D"/>
    <w:rsid w:val="00765890"/>
    <w:rsid w:val="00765937"/>
    <w:rsid w:val="00765B1A"/>
    <w:rsid w:val="00765DC1"/>
    <w:rsid w:val="007660EA"/>
    <w:rsid w:val="007662E4"/>
    <w:rsid w:val="00766664"/>
    <w:rsid w:val="007667E6"/>
    <w:rsid w:val="00766C88"/>
    <w:rsid w:val="00767110"/>
    <w:rsid w:val="00767279"/>
    <w:rsid w:val="007703E6"/>
    <w:rsid w:val="007704DA"/>
    <w:rsid w:val="00770B83"/>
    <w:rsid w:val="007717D0"/>
    <w:rsid w:val="00771D16"/>
    <w:rsid w:val="00771E58"/>
    <w:rsid w:val="007721BE"/>
    <w:rsid w:val="00772432"/>
    <w:rsid w:val="00772FED"/>
    <w:rsid w:val="007734EF"/>
    <w:rsid w:val="0077372E"/>
    <w:rsid w:val="007739AD"/>
    <w:rsid w:val="00773C28"/>
    <w:rsid w:val="00773F4B"/>
    <w:rsid w:val="007747A0"/>
    <w:rsid w:val="00774A7B"/>
    <w:rsid w:val="00774CFF"/>
    <w:rsid w:val="00774EDF"/>
    <w:rsid w:val="007752A6"/>
    <w:rsid w:val="007754DD"/>
    <w:rsid w:val="00775A37"/>
    <w:rsid w:val="00775BE3"/>
    <w:rsid w:val="00775E47"/>
    <w:rsid w:val="007762DF"/>
    <w:rsid w:val="00776A29"/>
    <w:rsid w:val="00776A53"/>
    <w:rsid w:val="00776ECF"/>
    <w:rsid w:val="00777296"/>
    <w:rsid w:val="0077732E"/>
    <w:rsid w:val="00777335"/>
    <w:rsid w:val="007774E6"/>
    <w:rsid w:val="007776AF"/>
    <w:rsid w:val="00777DBA"/>
    <w:rsid w:val="0078044C"/>
    <w:rsid w:val="007809DE"/>
    <w:rsid w:val="00781328"/>
    <w:rsid w:val="00782156"/>
    <w:rsid w:val="00782198"/>
    <w:rsid w:val="007821EB"/>
    <w:rsid w:val="00782215"/>
    <w:rsid w:val="007822B9"/>
    <w:rsid w:val="007822E3"/>
    <w:rsid w:val="00782C70"/>
    <w:rsid w:val="00782D93"/>
    <w:rsid w:val="00782FFC"/>
    <w:rsid w:val="007833C6"/>
    <w:rsid w:val="0078406E"/>
    <w:rsid w:val="00784395"/>
    <w:rsid w:val="007843F2"/>
    <w:rsid w:val="007846FA"/>
    <w:rsid w:val="00785099"/>
    <w:rsid w:val="007855A3"/>
    <w:rsid w:val="00785818"/>
    <w:rsid w:val="007858E4"/>
    <w:rsid w:val="00785A9F"/>
    <w:rsid w:val="00785AA9"/>
    <w:rsid w:val="00785BF0"/>
    <w:rsid w:val="00786325"/>
    <w:rsid w:val="00786ACD"/>
    <w:rsid w:val="00786B0E"/>
    <w:rsid w:val="0078791B"/>
    <w:rsid w:val="007879D6"/>
    <w:rsid w:val="0079042D"/>
    <w:rsid w:val="00790C73"/>
    <w:rsid w:val="00790CEF"/>
    <w:rsid w:val="007918F2"/>
    <w:rsid w:val="00791CD6"/>
    <w:rsid w:val="0079230A"/>
    <w:rsid w:val="007925DF"/>
    <w:rsid w:val="00792D12"/>
    <w:rsid w:val="00792EE2"/>
    <w:rsid w:val="0079360D"/>
    <w:rsid w:val="00793A0C"/>
    <w:rsid w:val="00793FCD"/>
    <w:rsid w:val="007947C3"/>
    <w:rsid w:val="0079522F"/>
    <w:rsid w:val="0079544F"/>
    <w:rsid w:val="00795545"/>
    <w:rsid w:val="007960E2"/>
    <w:rsid w:val="00796372"/>
    <w:rsid w:val="00796921"/>
    <w:rsid w:val="00796B74"/>
    <w:rsid w:val="00797415"/>
    <w:rsid w:val="0079743E"/>
    <w:rsid w:val="007A053C"/>
    <w:rsid w:val="007A08AA"/>
    <w:rsid w:val="007A0969"/>
    <w:rsid w:val="007A0A12"/>
    <w:rsid w:val="007A0DD2"/>
    <w:rsid w:val="007A11A7"/>
    <w:rsid w:val="007A132D"/>
    <w:rsid w:val="007A1345"/>
    <w:rsid w:val="007A1996"/>
    <w:rsid w:val="007A1BBF"/>
    <w:rsid w:val="007A1C28"/>
    <w:rsid w:val="007A27F8"/>
    <w:rsid w:val="007A2888"/>
    <w:rsid w:val="007A29DE"/>
    <w:rsid w:val="007A2DDB"/>
    <w:rsid w:val="007A3131"/>
    <w:rsid w:val="007A3206"/>
    <w:rsid w:val="007A38FC"/>
    <w:rsid w:val="007A3A68"/>
    <w:rsid w:val="007A3FB0"/>
    <w:rsid w:val="007A4311"/>
    <w:rsid w:val="007A4C3D"/>
    <w:rsid w:val="007A4D6F"/>
    <w:rsid w:val="007A50A3"/>
    <w:rsid w:val="007A50F6"/>
    <w:rsid w:val="007A52CB"/>
    <w:rsid w:val="007A55BC"/>
    <w:rsid w:val="007A580D"/>
    <w:rsid w:val="007A5927"/>
    <w:rsid w:val="007A5A3B"/>
    <w:rsid w:val="007A63A9"/>
    <w:rsid w:val="007A651F"/>
    <w:rsid w:val="007A6557"/>
    <w:rsid w:val="007A667A"/>
    <w:rsid w:val="007A6D23"/>
    <w:rsid w:val="007A6DA5"/>
    <w:rsid w:val="007A70BA"/>
    <w:rsid w:val="007A7152"/>
    <w:rsid w:val="007A7662"/>
    <w:rsid w:val="007A7A32"/>
    <w:rsid w:val="007A7EDA"/>
    <w:rsid w:val="007B0065"/>
    <w:rsid w:val="007B036B"/>
    <w:rsid w:val="007B0540"/>
    <w:rsid w:val="007B06A7"/>
    <w:rsid w:val="007B0D59"/>
    <w:rsid w:val="007B0D68"/>
    <w:rsid w:val="007B1482"/>
    <w:rsid w:val="007B15CD"/>
    <w:rsid w:val="007B163D"/>
    <w:rsid w:val="007B1D55"/>
    <w:rsid w:val="007B2324"/>
    <w:rsid w:val="007B251D"/>
    <w:rsid w:val="007B2796"/>
    <w:rsid w:val="007B2C64"/>
    <w:rsid w:val="007B3533"/>
    <w:rsid w:val="007B394A"/>
    <w:rsid w:val="007B3B29"/>
    <w:rsid w:val="007B3F63"/>
    <w:rsid w:val="007B40AA"/>
    <w:rsid w:val="007B4F58"/>
    <w:rsid w:val="007B528D"/>
    <w:rsid w:val="007B54EE"/>
    <w:rsid w:val="007B5D55"/>
    <w:rsid w:val="007B5E1A"/>
    <w:rsid w:val="007B6029"/>
    <w:rsid w:val="007B63CA"/>
    <w:rsid w:val="007B77D1"/>
    <w:rsid w:val="007C07C7"/>
    <w:rsid w:val="007C08EB"/>
    <w:rsid w:val="007C0916"/>
    <w:rsid w:val="007C0A39"/>
    <w:rsid w:val="007C115F"/>
    <w:rsid w:val="007C1CD9"/>
    <w:rsid w:val="007C2624"/>
    <w:rsid w:val="007C265F"/>
    <w:rsid w:val="007C3209"/>
    <w:rsid w:val="007C32EF"/>
    <w:rsid w:val="007C343D"/>
    <w:rsid w:val="007C361D"/>
    <w:rsid w:val="007C3661"/>
    <w:rsid w:val="007C3950"/>
    <w:rsid w:val="007C4069"/>
    <w:rsid w:val="007C415C"/>
    <w:rsid w:val="007C466D"/>
    <w:rsid w:val="007C4B84"/>
    <w:rsid w:val="007C4E21"/>
    <w:rsid w:val="007C4EC5"/>
    <w:rsid w:val="007C5277"/>
    <w:rsid w:val="007C5804"/>
    <w:rsid w:val="007C6348"/>
    <w:rsid w:val="007C6A28"/>
    <w:rsid w:val="007C70FF"/>
    <w:rsid w:val="007C720E"/>
    <w:rsid w:val="007C7528"/>
    <w:rsid w:val="007C75D5"/>
    <w:rsid w:val="007C7C25"/>
    <w:rsid w:val="007C7FE3"/>
    <w:rsid w:val="007D004F"/>
    <w:rsid w:val="007D035F"/>
    <w:rsid w:val="007D0411"/>
    <w:rsid w:val="007D06B2"/>
    <w:rsid w:val="007D079E"/>
    <w:rsid w:val="007D0B38"/>
    <w:rsid w:val="007D1016"/>
    <w:rsid w:val="007D112D"/>
    <w:rsid w:val="007D1298"/>
    <w:rsid w:val="007D12A3"/>
    <w:rsid w:val="007D12B6"/>
    <w:rsid w:val="007D134E"/>
    <w:rsid w:val="007D1585"/>
    <w:rsid w:val="007D181D"/>
    <w:rsid w:val="007D1BED"/>
    <w:rsid w:val="007D239C"/>
    <w:rsid w:val="007D24D6"/>
    <w:rsid w:val="007D29F2"/>
    <w:rsid w:val="007D2C4A"/>
    <w:rsid w:val="007D3523"/>
    <w:rsid w:val="007D3834"/>
    <w:rsid w:val="007D3C3B"/>
    <w:rsid w:val="007D3D1A"/>
    <w:rsid w:val="007D43C7"/>
    <w:rsid w:val="007D5440"/>
    <w:rsid w:val="007D5872"/>
    <w:rsid w:val="007D5BA0"/>
    <w:rsid w:val="007D649B"/>
    <w:rsid w:val="007D69EB"/>
    <w:rsid w:val="007D7389"/>
    <w:rsid w:val="007D77F7"/>
    <w:rsid w:val="007D7BAD"/>
    <w:rsid w:val="007E01D7"/>
    <w:rsid w:val="007E128F"/>
    <w:rsid w:val="007E12AA"/>
    <w:rsid w:val="007E14DB"/>
    <w:rsid w:val="007E1572"/>
    <w:rsid w:val="007E224E"/>
    <w:rsid w:val="007E22AF"/>
    <w:rsid w:val="007E268A"/>
    <w:rsid w:val="007E2B8C"/>
    <w:rsid w:val="007E2DD1"/>
    <w:rsid w:val="007E3301"/>
    <w:rsid w:val="007E3AD7"/>
    <w:rsid w:val="007E41B8"/>
    <w:rsid w:val="007E43E9"/>
    <w:rsid w:val="007E522E"/>
    <w:rsid w:val="007E56D2"/>
    <w:rsid w:val="007E5985"/>
    <w:rsid w:val="007E5EF8"/>
    <w:rsid w:val="007E6592"/>
    <w:rsid w:val="007E66FA"/>
    <w:rsid w:val="007E7487"/>
    <w:rsid w:val="007E7CD4"/>
    <w:rsid w:val="007E7DCD"/>
    <w:rsid w:val="007F01CC"/>
    <w:rsid w:val="007F0AA4"/>
    <w:rsid w:val="007F0B25"/>
    <w:rsid w:val="007F0B42"/>
    <w:rsid w:val="007F1017"/>
    <w:rsid w:val="007F1A2F"/>
    <w:rsid w:val="007F1B1E"/>
    <w:rsid w:val="007F1BAF"/>
    <w:rsid w:val="007F2964"/>
    <w:rsid w:val="007F3071"/>
    <w:rsid w:val="007F356B"/>
    <w:rsid w:val="007F359E"/>
    <w:rsid w:val="007F3DFD"/>
    <w:rsid w:val="007F4104"/>
    <w:rsid w:val="007F446C"/>
    <w:rsid w:val="007F4A3F"/>
    <w:rsid w:val="007F4A5D"/>
    <w:rsid w:val="007F4A61"/>
    <w:rsid w:val="007F5255"/>
    <w:rsid w:val="007F56CC"/>
    <w:rsid w:val="007F5822"/>
    <w:rsid w:val="007F5BAB"/>
    <w:rsid w:val="007F61C2"/>
    <w:rsid w:val="007F62DD"/>
    <w:rsid w:val="007F6877"/>
    <w:rsid w:val="007F6E8A"/>
    <w:rsid w:val="007F7871"/>
    <w:rsid w:val="007F791A"/>
    <w:rsid w:val="007F796F"/>
    <w:rsid w:val="007F7EB0"/>
    <w:rsid w:val="00800504"/>
    <w:rsid w:val="008008E1"/>
    <w:rsid w:val="00800C80"/>
    <w:rsid w:val="00801EC6"/>
    <w:rsid w:val="0080228D"/>
    <w:rsid w:val="0080246F"/>
    <w:rsid w:val="00802717"/>
    <w:rsid w:val="00802A42"/>
    <w:rsid w:val="00802EB0"/>
    <w:rsid w:val="00802FB2"/>
    <w:rsid w:val="00803280"/>
    <w:rsid w:val="00803592"/>
    <w:rsid w:val="00803871"/>
    <w:rsid w:val="008039AF"/>
    <w:rsid w:val="00803E0C"/>
    <w:rsid w:val="0080457E"/>
    <w:rsid w:val="00804AE1"/>
    <w:rsid w:val="00804FBF"/>
    <w:rsid w:val="00805142"/>
    <w:rsid w:val="0080518B"/>
    <w:rsid w:val="00805552"/>
    <w:rsid w:val="008055EC"/>
    <w:rsid w:val="0080566B"/>
    <w:rsid w:val="00805FCE"/>
    <w:rsid w:val="00806509"/>
    <w:rsid w:val="00806642"/>
    <w:rsid w:val="00806AB5"/>
    <w:rsid w:val="00806C80"/>
    <w:rsid w:val="00807258"/>
    <w:rsid w:val="008076BB"/>
    <w:rsid w:val="00807960"/>
    <w:rsid w:val="00807A8B"/>
    <w:rsid w:val="00807D15"/>
    <w:rsid w:val="008102C9"/>
    <w:rsid w:val="00810D1B"/>
    <w:rsid w:val="00811383"/>
    <w:rsid w:val="00812149"/>
    <w:rsid w:val="008125B1"/>
    <w:rsid w:val="008125F0"/>
    <w:rsid w:val="00812ABC"/>
    <w:rsid w:val="00812C45"/>
    <w:rsid w:val="00812CAC"/>
    <w:rsid w:val="00812ECD"/>
    <w:rsid w:val="00812FA9"/>
    <w:rsid w:val="00813114"/>
    <w:rsid w:val="00813625"/>
    <w:rsid w:val="00813747"/>
    <w:rsid w:val="00813B59"/>
    <w:rsid w:val="00813EC0"/>
    <w:rsid w:val="00814801"/>
    <w:rsid w:val="00814838"/>
    <w:rsid w:val="00814A3B"/>
    <w:rsid w:val="00814BCF"/>
    <w:rsid w:val="00814E80"/>
    <w:rsid w:val="00814FA6"/>
    <w:rsid w:val="00814FA9"/>
    <w:rsid w:val="00815C8D"/>
    <w:rsid w:val="00815F8B"/>
    <w:rsid w:val="00816361"/>
    <w:rsid w:val="008166EF"/>
    <w:rsid w:val="00816FEF"/>
    <w:rsid w:val="0081704E"/>
    <w:rsid w:val="00817637"/>
    <w:rsid w:val="00817B59"/>
    <w:rsid w:val="00817BA0"/>
    <w:rsid w:val="00817C0B"/>
    <w:rsid w:val="00820256"/>
    <w:rsid w:val="0082027F"/>
    <w:rsid w:val="00820474"/>
    <w:rsid w:val="00820A8C"/>
    <w:rsid w:val="00820B28"/>
    <w:rsid w:val="0082127D"/>
    <w:rsid w:val="0082129C"/>
    <w:rsid w:val="0082149A"/>
    <w:rsid w:val="008215FB"/>
    <w:rsid w:val="008216BD"/>
    <w:rsid w:val="0082193E"/>
    <w:rsid w:val="008220CC"/>
    <w:rsid w:val="008223DC"/>
    <w:rsid w:val="008227DD"/>
    <w:rsid w:val="008228F4"/>
    <w:rsid w:val="00823077"/>
    <w:rsid w:val="00823174"/>
    <w:rsid w:val="008233E3"/>
    <w:rsid w:val="00823423"/>
    <w:rsid w:val="00823562"/>
    <w:rsid w:val="00824317"/>
    <w:rsid w:val="008254EF"/>
    <w:rsid w:val="00825751"/>
    <w:rsid w:val="00825C66"/>
    <w:rsid w:val="00825C9F"/>
    <w:rsid w:val="0082606F"/>
    <w:rsid w:val="008261E8"/>
    <w:rsid w:val="00826223"/>
    <w:rsid w:val="008264EB"/>
    <w:rsid w:val="0082656C"/>
    <w:rsid w:val="008266F3"/>
    <w:rsid w:val="008268CE"/>
    <w:rsid w:val="00826E31"/>
    <w:rsid w:val="0082785A"/>
    <w:rsid w:val="00827C23"/>
    <w:rsid w:val="00827CF1"/>
    <w:rsid w:val="0083005B"/>
    <w:rsid w:val="008308C8"/>
    <w:rsid w:val="0083112E"/>
    <w:rsid w:val="008313CF"/>
    <w:rsid w:val="008318E9"/>
    <w:rsid w:val="00831B20"/>
    <w:rsid w:val="00831B23"/>
    <w:rsid w:val="00831B6B"/>
    <w:rsid w:val="00832865"/>
    <w:rsid w:val="00832A20"/>
    <w:rsid w:val="00833B05"/>
    <w:rsid w:val="00833D07"/>
    <w:rsid w:val="00833EC6"/>
    <w:rsid w:val="00834C41"/>
    <w:rsid w:val="00834FDA"/>
    <w:rsid w:val="00835111"/>
    <w:rsid w:val="00835AEF"/>
    <w:rsid w:val="008362B4"/>
    <w:rsid w:val="00836547"/>
    <w:rsid w:val="008366FA"/>
    <w:rsid w:val="00836AC0"/>
    <w:rsid w:val="00836D06"/>
    <w:rsid w:val="00836DF6"/>
    <w:rsid w:val="00836E09"/>
    <w:rsid w:val="00837050"/>
    <w:rsid w:val="008376BF"/>
    <w:rsid w:val="00837DB5"/>
    <w:rsid w:val="00840559"/>
    <w:rsid w:val="00840A38"/>
    <w:rsid w:val="00840C39"/>
    <w:rsid w:val="00840CA2"/>
    <w:rsid w:val="00841071"/>
    <w:rsid w:val="00841440"/>
    <w:rsid w:val="00841508"/>
    <w:rsid w:val="008415A0"/>
    <w:rsid w:val="0084178C"/>
    <w:rsid w:val="00842009"/>
    <w:rsid w:val="0084282D"/>
    <w:rsid w:val="0084303E"/>
    <w:rsid w:val="0084374F"/>
    <w:rsid w:val="00843F53"/>
    <w:rsid w:val="008443D4"/>
    <w:rsid w:val="00844A22"/>
    <w:rsid w:val="00844AED"/>
    <w:rsid w:val="00844C91"/>
    <w:rsid w:val="008451B4"/>
    <w:rsid w:val="00845371"/>
    <w:rsid w:val="00845373"/>
    <w:rsid w:val="0084554F"/>
    <w:rsid w:val="00845ECD"/>
    <w:rsid w:val="00846156"/>
    <w:rsid w:val="00846BAD"/>
    <w:rsid w:val="00846BFF"/>
    <w:rsid w:val="00846D84"/>
    <w:rsid w:val="00846E72"/>
    <w:rsid w:val="00846F90"/>
    <w:rsid w:val="00847007"/>
    <w:rsid w:val="00847703"/>
    <w:rsid w:val="00847825"/>
    <w:rsid w:val="00847DF5"/>
    <w:rsid w:val="00847E2E"/>
    <w:rsid w:val="0085011B"/>
    <w:rsid w:val="008505FE"/>
    <w:rsid w:val="0085071E"/>
    <w:rsid w:val="00850757"/>
    <w:rsid w:val="008508AA"/>
    <w:rsid w:val="00850C52"/>
    <w:rsid w:val="00850CE2"/>
    <w:rsid w:val="008522CD"/>
    <w:rsid w:val="008524B8"/>
    <w:rsid w:val="008529D3"/>
    <w:rsid w:val="00852A17"/>
    <w:rsid w:val="0085309D"/>
    <w:rsid w:val="0085358A"/>
    <w:rsid w:val="0085381E"/>
    <w:rsid w:val="00853FED"/>
    <w:rsid w:val="008542A1"/>
    <w:rsid w:val="008542FD"/>
    <w:rsid w:val="00854351"/>
    <w:rsid w:val="008544D2"/>
    <w:rsid w:val="00854811"/>
    <w:rsid w:val="00856174"/>
    <w:rsid w:val="0085621F"/>
    <w:rsid w:val="0085624B"/>
    <w:rsid w:val="008565F3"/>
    <w:rsid w:val="00856897"/>
    <w:rsid w:val="00856C6C"/>
    <w:rsid w:val="00856E9A"/>
    <w:rsid w:val="00857269"/>
    <w:rsid w:val="0085795B"/>
    <w:rsid w:val="0086075D"/>
    <w:rsid w:val="008610B4"/>
    <w:rsid w:val="00861160"/>
    <w:rsid w:val="0086138B"/>
    <w:rsid w:val="008615A3"/>
    <w:rsid w:val="008615AE"/>
    <w:rsid w:val="00861BA2"/>
    <w:rsid w:val="00861E86"/>
    <w:rsid w:val="008620FB"/>
    <w:rsid w:val="00862502"/>
    <w:rsid w:val="008625E1"/>
    <w:rsid w:val="00862CC1"/>
    <w:rsid w:val="00862DC2"/>
    <w:rsid w:val="008630A3"/>
    <w:rsid w:val="008631BB"/>
    <w:rsid w:val="008634F5"/>
    <w:rsid w:val="0086388D"/>
    <w:rsid w:val="00863B93"/>
    <w:rsid w:val="008642A7"/>
    <w:rsid w:val="008642EC"/>
    <w:rsid w:val="0086441B"/>
    <w:rsid w:val="00864445"/>
    <w:rsid w:val="00865600"/>
    <w:rsid w:val="00865E72"/>
    <w:rsid w:val="008660D4"/>
    <w:rsid w:val="00866BBD"/>
    <w:rsid w:val="00867059"/>
    <w:rsid w:val="0086722C"/>
    <w:rsid w:val="00867598"/>
    <w:rsid w:val="00867DF6"/>
    <w:rsid w:val="00870C2E"/>
    <w:rsid w:val="00870FAE"/>
    <w:rsid w:val="008714DA"/>
    <w:rsid w:val="00871A38"/>
    <w:rsid w:val="00871FA9"/>
    <w:rsid w:val="00872024"/>
    <w:rsid w:val="00872178"/>
    <w:rsid w:val="00872802"/>
    <w:rsid w:val="008728E9"/>
    <w:rsid w:val="00872E87"/>
    <w:rsid w:val="0087309B"/>
    <w:rsid w:val="00873DAA"/>
    <w:rsid w:val="00873FD0"/>
    <w:rsid w:val="0087405A"/>
    <w:rsid w:val="0087417E"/>
    <w:rsid w:val="00874277"/>
    <w:rsid w:val="00874D7B"/>
    <w:rsid w:val="008751B0"/>
    <w:rsid w:val="0087560C"/>
    <w:rsid w:val="00875650"/>
    <w:rsid w:val="008759C1"/>
    <w:rsid w:val="00875C5C"/>
    <w:rsid w:val="00875E7B"/>
    <w:rsid w:val="00875ED9"/>
    <w:rsid w:val="008760C6"/>
    <w:rsid w:val="008761C8"/>
    <w:rsid w:val="00876409"/>
    <w:rsid w:val="008771E3"/>
    <w:rsid w:val="00877895"/>
    <w:rsid w:val="008801FA"/>
    <w:rsid w:val="00880624"/>
    <w:rsid w:val="00881679"/>
    <w:rsid w:val="00881D1B"/>
    <w:rsid w:val="00881DFC"/>
    <w:rsid w:val="00881E2B"/>
    <w:rsid w:val="00881E32"/>
    <w:rsid w:val="00882807"/>
    <w:rsid w:val="00882874"/>
    <w:rsid w:val="00882E3C"/>
    <w:rsid w:val="00882F4F"/>
    <w:rsid w:val="0088308A"/>
    <w:rsid w:val="008832FA"/>
    <w:rsid w:val="00883575"/>
    <w:rsid w:val="0088365F"/>
    <w:rsid w:val="00883787"/>
    <w:rsid w:val="00883885"/>
    <w:rsid w:val="00883CF9"/>
    <w:rsid w:val="00884B6B"/>
    <w:rsid w:val="00884BBE"/>
    <w:rsid w:val="00884E8F"/>
    <w:rsid w:val="0088557C"/>
    <w:rsid w:val="008855A8"/>
    <w:rsid w:val="008855E4"/>
    <w:rsid w:val="0088574C"/>
    <w:rsid w:val="00885AA6"/>
    <w:rsid w:val="00886A41"/>
    <w:rsid w:val="00886CD2"/>
    <w:rsid w:val="00886E49"/>
    <w:rsid w:val="00886FCF"/>
    <w:rsid w:val="00887371"/>
    <w:rsid w:val="00887822"/>
    <w:rsid w:val="00887CBC"/>
    <w:rsid w:val="0089092F"/>
    <w:rsid w:val="00890F30"/>
    <w:rsid w:val="00891177"/>
    <w:rsid w:val="008917B3"/>
    <w:rsid w:val="0089186E"/>
    <w:rsid w:val="00891D00"/>
    <w:rsid w:val="00891E6F"/>
    <w:rsid w:val="00891EA8"/>
    <w:rsid w:val="008923E9"/>
    <w:rsid w:val="0089275D"/>
    <w:rsid w:val="00892A36"/>
    <w:rsid w:val="00893239"/>
    <w:rsid w:val="0089348D"/>
    <w:rsid w:val="00893628"/>
    <w:rsid w:val="00893BF2"/>
    <w:rsid w:val="00893D56"/>
    <w:rsid w:val="00893FDE"/>
    <w:rsid w:val="0089420E"/>
    <w:rsid w:val="00894489"/>
    <w:rsid w:val="00894A5F"/>
    <w:rsid w:val="00894CD6"/>
    <w:rsid w:val="00894CFB"/>
    <w:rsid w:val="0089533B"/>
    <w:rsid w:val="00895F48"/>
    <w:rsid w:val="00895F5C"/>
    <w:rsid w:val="0089602F"/>
    <w:rsid w:val="008960C4"/>
    <w:rsid w:val="00896370"/>
    <w:rsid w:val="008963A5"/>
    <w:rsid w:val="00896501"/>
    <w:rsid w:val="008965FB"/>
    <w:rsid w:val="00896629"/>
    <w:rsid w:val="008969EB"/>
    <w:rsid w:val="00896B11"/>
    <w:rsid w:val="00896D5D"/>
    <w:rsid w:val="00897179"/>
    <w:rsid w:val="00897673"/>
    <w:rsid w:val="0089782B"/>
    <w:rsid w:val="008978FD"/>
    <w:rsid w:val="00897B08"/>
    <w:rsid w:val="008A0958"/>
    <w:rsid w:val="008A0B3C"/>
    <w:rsid w:val="008A0B95"/>
    <w:rsid w:val="008A0E28"/>
    <w:rsid w:val="008A1776"/>
    <w:rsid w:val="008A1FA9"/>
    <w:rsid w:val="008A25DB"/>
    <w:rsid w:val="008A276E"/>
    <w:rsid w:val="008A2BF7"/>
    <w:rsid w:val="008A2DD8"/>
    <w:rsid w:val="008A312A"/>
    <w:rsid w:val="008A3158"/>
    <w:rsid w:val="008A3337"/>
    <w:rsid w:val="008A3363"/>
    <w:rsid w:val="008A3371"/>
    <w:rsid w:val="008A356C"/>
    <w:rsid w:val="008A36AA"/>
    <w:rsid w:val="008A37DC"/>
    <w:rsid w:val="008A3C3E"/>
    <w:rsid w:val="008A44B7"/>
    <w:rsid w:val="008A4882"/>
    <w:rsid w:val="008A5266"/>
    <w:rsid w:val="008A58C0"/>
    <w:rsid w:val="008A5EF9"/>
    <w:rsid w:val="008A6B94"/>
    <w:rsid w:val="008A7627"/>
    <w:rsid w:val="008A79DE"/>
    <w:rsid w:val="008A7BC7"/>
    <w:rsid w:val="008A7E97"/>
    <w:rsid w:val="008B02A1"/>
    <w:rsid w:val="008B0F42"/>
    <w:rsid w:val="008B1757"/>
    <w:rsid w:val="008B1C33"/>
    <w:rsid w:val="008B1D2A"/>
    <w:rsid w:val="008B1E7E"/>
    <w:rsid w:val="008B2087"/>
    <w:rsid w:val="008B23D4"/>
    <w:rsid w:val="008B2767"/>
    <w:rsid w:val="008B298C"/>
    <w:rsid w:val="008B2A89"/>
    <w:rsid w:val="008B2C8B"/>
    <w:rsid w:val="008B33A3"/>
    <w:rsid w:val="008B34E9"/>
    <w:rsid w:val="008B35CD"/>
    <w:rsid w:val="008B4B6F"/>
    <w:rsid w:val="008B593F"/>
    <w:rsid w:val="008B5BEE"/>
    <w:rsid w:val="008B5FF2"/>
    <w:rsid w:val="008B60CC"/>
    <w:rsid w:val="008B6778"/>
    <w:rsid w:val="008B71ED"/>
    <w:rsid w:val="008B7289"/>
    <w:rsid w:val="008B77C2"/>
    <w:rsid w:val="008B7992"/>
    <w:rsid w:val="008B7D7E"/>
    <w:rsid w:val="008B7FC3"/>
    <w:rsid w:val="008C1326"/>
    <w:rsid w:val="008C17E1"/>
    <w:rsid w:val="008C1E2B"/>
    <w:rsid w:val="008C2093"/>
    <w:rsid w:val="008C210C"/>
    <w:rsid w:val="008C2166"/>
    <w:rsid w:val="008C2299"/>
    <w:rsid w:val="008C2704"/>
    <w:rsid w:val="008C2A24"/>
    <w:rsid w:val="008C31C7"/>
    <w:rsid w:val="008C3200"/>
    <w:rsid w:val="008C3E00"/>
    <w:rsid w:val="008C4B90"/>
    <w:rsid w:val="008C50D1"/>
    <w:rsid w:val="008C5610"/>
    <w:rsid w:val="008C5739"/>
    <w:rsid w:val="008C60B5"/>
    <w:rsid w:val="008C6F3B"/>
    <w:rsid w:val="008C70BC"/>
    <w:rsid w:val="008C7282"/>
    <w:rsid w:val="008C7ECB"/>
    <w:rsid w:val="008D00EE"/>
    <w:rsid w:val="008D0A04"/>
    <w:rsid w:val="008D0C12"/>
    <w:rsid w:val="008D1745"/>
    <w:rsid w:val="008D181A"/>
    <w:rsid w:val="008D1DFF"/>
    <w:rsid w:val="008D1EAA"/>
    <w:rsid w:val="008D2551"/>
    <w:rsid w:val="008D2AB5"/>
    <w:rsid w:val="008D2C19"/>
    <w:rsid w:val="008D2C23"/>
    <w:rsid w:val="008D2C6B"/>
    <w:rsid w:val="008D2D3C"/>
    <w:rsid w:val="008D30E2"/>
    <w:rsid w:val="008D30FF"/>
    <w:rsid w:val="008D315F"/>
    <w:rsid w:val="008D3B86"/>
    <w:rsid w:val="008D3C36"/>
    <w:rsid w:val="008D3EF6"/>
    <w:rsid w:val="008D3FC5"/>
    <w:rsid w:val="008D43FD"/>
    <w:rsid w:val="008D4622"/>
    <w:rsid w:val="008D4755"/>
    <w:rsid w:val="008D4A43"/>
    <w:rsid w:val="008D4C3D"/>
    <w:rsid w:val="008D549F"/>
    <w:rsid w:val="008D672E"/>
    <w:rsid w:val="008D6AA0"/>
    <w:rsid w:val="008D6CB1"/>
    <w:rsid w:val="008D6EC5"/>
    <w:rsid w:val="008D7151"/>
    <w:rsid w:val="008D743C"/>
    <w:rsid w:val="008D783F"/>
    <w:rsid w:val="008E042D"/>
    <w:rsid w:val="008E0D3C"/>
    <w:rsid w:val="008E0DA0"/>
    <w:rsid w:val="008E12DF"/>
    <w:rsid w:val="008E1421"/>
    <w:rsid w:val="008E1791"/>
    <w:rsid w:val="008E1B9E"/>
    <w:rsid w:val="008E200B"/>
    <w:rsid w:val="008E223C"/>
    <w:rsid w:val="008E2387"/>
    <w:rsid w:val="008E297A"/>
    <w:rsid w:val="008E2AD0"/>
    <w:rsid w:val="008E2B99"/>
    <w:rsid w:val="008E2C16"/>
    <w:rsid w:val="008E2E2E"/>
    <w:rsid w:val="008E3979"/>
    <w:rsid w:val="008E3CB2"/>
    <w:rsid w:val="008E4009"/>
    <w:rsid w:val="008E46A6"/>
    <w:rsid w:val="008E4B8E"/>
    <w:rsid w:val="008E510A"/>
    <w:rsid w:val="008E55AB"/>
    <w:rsid w:val="008E58F8"/>
    <w:rsid w:val="008E5C65"/>
    <w:rsid w:val="008E6212"/>
    <w:rsid w:val="008E7418"/>
    <w:rsid w:val="008E7806"/>
    <w:rsid w:val="008E7A16"/>
    <w:rsid w:val="008F0094"/>
    <w:rsid w:val="008F0842"/>
    <w:rsid w:val="008F0C21"/>
    <w:rsid w:val="008F120A"/>
    <w:rsid w:val="008F127B"/>
    <w:rsid w:val="008F15B6"/>
    <w:rsid w:val="008F18AB"/>
    <w:rsid w:val="008F1CE6"/>
    <w:rsid w:val="008F27E0"/>
    <w:rsid w:val="008F27EF"/>
    <w:rsid w:val="008F2CAD"/>
    <w:rsid w:val="008F3355"/>
    <w:rsid w:val="008F3421"/>
    <w:rsid w:val="008F3618"/>
    <w:rsid w:val="008F48EB"/>
    <w:rsid w:val="008F4BA8"/>
    <w:rsid w:val="008F4F0B"/>
    <w:rsid w:val="008F54A7"/>
    <w:rsid w:val="008F55AB"/>
    <w:rsid w:val="008F587B"/>
    <w:rsid w:val="008F5A8C"/>
    <w:rsid w:val="008F63F7"/>
    <w:rsid w:val="008F65F8"/>
    <w:rsid w:val="008F67CE"/>
    <w:rsid w:val="008F7059"/>
    <w:rsid w:val="008F7FCC"/>
    <w:rsid w:val="0090052B"/>
    <w:rsid w:val="00901772"/>
    <w:rsid w:val="00902831"/>
    <w:rsid w:val="00902935"/>
    <w:rsid w:val="009030DB"/>
    <w:rsid w:val="0090311C"/>
    <w:rsid w:val="009033B6"/>
    <w:rsid w:val="00903615"/>
    <w:rsid w:val="00903D5E"/>
    <w:rsid w:val="00904165"/>
    <w:rsid w:val="0090426B"/>
    <w:rsid w:val="009046C4"/>
    <w:rsid w:val="0090539F"/>
    <w:rsid w:val="00905B63"/>
    <w:rsid w:val="00906052"/>
    <w:rsid w:val="0090608B"/>
    <w:rsid w:val="009062A5"/>
    <w:rsid w:val="009062F8"/>
    <w:rsid w:val="009065D2"/>
    <w:rsid w:val="00906790"/>
    <w:rsid w:val="009067BF"/>
    <w:rsid w:val="00906AA2"/>
    <w:rsid w:val="00906AE7"/>
    <w:rsid w:val="00906D00"/>
    <w:rsid w:val="0090729D"/>
    <w:rsid w:val="00907699"/>
    <w:rsid w:val="00910495"/>
    <w:rsid w:val="009105BC"/>
    <w:rsid w:val="00910995"/>
    <w:rsid w:val="00910D13"/>
    <w:rsid w:val="00910E36"/>
    <w:rsid w:val="00910FA7"/>
    <w:rsid w:val="0091116A"/>
    <w:rsid w:val="00911272"/>
    <w:rsid w:val="00911339"/>
    <w:rsid w:val="00911606"/>
    <w:rsid w:val="00911CC7"/>
    <w:rsid w:val="00912911"/>
    <w:rsid w:val="00912CF9"/>
    <w:rsid w:val="00912F9A"/>
    <w:rsid w:val="00912FA4"/>
    <w:rsid w:val="0091303E"/>
    <w:rsid w:val="009130F0"/>
    <w:rsid w:val="00913460"/>
    <w:rsid w:val="00913488"/>
    <w:rsid w:val="009135D6"/>
    <w:rsid w:val="009136BE"/>
    <w:rsid w:val="00913F4C"/>
    <w:rsid w:val="00913FCD"/>
    <w:rsid w:val="00914210"/>
    <w:rsid w:val="009145DB"/>
    <w:rsid w:val="00914688"/>
    <w:rsid w:val="00914C77"/>
    <w:rsid w:val="00914F22"/>
    <w:rsid w:val="009153B4"/>
    <w:rsid w:val="009155D2"/>
    <w:rsid w:val="00915B37"/>
    <w:rsid w:val="00915BAE"/>
    <w:rsid w:val="00915F56"/>
    <w:rsid w:val="0091642B"/>
    <w:rsid w:val="009164A5"/>
    <w:rsid w:val="0091680E"/>
    <w:rsid w:val="00916C88"/>
    <w:rsid w:val="009171B2"/>
    <w:rsid w:val="009172AB"/>
    <w:rsid w:val="009177DD"/>
    <w:rsid w:val="00917845"/>
    <w:rsid w:val="0091784C"/>
    <w:rsid w:val="009178D3"/>
    <w:rsid w:val="0092013C"/>
    <w:rsid w:val="00920300"/>
    <w:rsid w:val="00920AC9"/>
    <w:rsid w:val="00921963"/>
    <w:rsid w:val="00921ACB"/>
    <w:rsid w:val="00921C2B"/>
    <w:rsid w:val="00921C6A"/>
    <w:rsid w:val="00921F06"/>
    <w:rsid w:val="00921FC9"/>
    <w:rsid w:val="00922144"/>
    <w:rsid w:val="0092240F"/>
    <w:rsid w:val="0092274E"/>
    <w:rsid w:val="009227E3"/>
    <w:rsid w:val="00922E51"/>
    <w:rsid w:val="0092339F"/>
    <w:rsid w:val="0092369B"/>
    <w:rsid w:val="00923D90"/>
    <w:rsid w:val="00924B1E"/>
    <w:rsid w:val="00924FC8"/>
    <w:rsid w:val="009252F9"/>
    <w:rsid w:val="00925619"/>
    <w:rsid w:val="00925698"/>
    <w:rsid w:val="00925EEB"/>
    <w:rsid w:val="009260BB"/>
    <w:rsid w:val="00926217"/>
    <w:rsid w:val="009266F0"/>
    <w:rsid w:val="00926BBD"/>
    <w:rsid w:val="00926C86"/>
    <w:rsid w:val="00926D74"/>
    <w:rsid w:val="00926E24"/>
    <w:rsid w:val="00926E44"/>
    <w:rsid w:val="00926F7D"/>
    <w:rsid w:val="00927B65"/>
    <w:rsid w:val="00930403"/>
    <w:rsid w:val="0093066E"/>
    <w:rsid w:val="00930DE4"/>
    <w:rsid w:val="0093130A"/>
    <w:rsid w:val="009316CC"/>
    <w:rsid w:val="00931D3D"/>
    <w:rsid w:val="0093261A"/>
    <w:rsid w:val="00932E07"/>
    <w:rsid w:val="00932FE1"/>
    <w:rsid w:val="0093343A"/>
    <w:rsid w:val="009337E3"/>
    <w:rsid w:val="00933AE9"/>
    <w:rsid w:val="009344EC"/>
    <w:rsid w:val="009346B8"/>
    <w:rsid w:val="00934988"/>
    <w:rsid w:val="00935122"/>
    <w:rsid w:val="00935639"/>
    <w:rsid w:val="00935ECB"/>
    <w:rsid w:val="0093693D"/>
    <w:rsid w:val="00936A40"/>
    <w:rsid w:val="00937089"/>
    <w:rsid w:val="00937A50"/>
    <w:rsid w:val="00937BD6"/>
    <w:rsid w:val="00940BEF"/>
    <w:rsid w:val="00940D26"/>
    <w:rsid w:val="00940DEA"/>
    <w:rsid w:val="0094111D"/>
    <w:rsid w:val="00941545"/>
    <w:rsid w:val="00941D17"/>
    <w:rsid w:val="0094230C"/>
    <w:rsid w:val="009425CB"/>
    <w:rsid w:val="00942794"/>
    <w:rsid w:val="00942A41"/>
    <w:rsid w:val="00943146"/>
    <w:rsid w:val="00943254"/>
    <w:rsid w:val="00943620"/>
    <w:rsid w:val="009442D1"/>
    <w:rsid w:val="00944738"/>
    <w:rsid w:val="00944CA7"/>
    <w:rsid w:val="00944ECE"/>
    <w:rsid w:val="00944F8A"/>
    <w:rsid w:val="0094578C"/>
    <w:rsid w:val="00945994"/>
    <w:rsid w:val="00945FF8"/>
    <w:rsid w:val="0094632C"/>
    <w:rsid w:val="00946737"/>
    <w:rsid w:val="00946A75"/>
    <w:rsid w:val="00946CFC"/>
    <w:rsid w:val="00946E99"/>
    <w:rsid w:val="00947126"/>
    <w:rsid w:val="0094750E"/>
    <w:rsid w:val="00947972"/>
    <w:rsid w:val="00950A34"/>
    <w:rsid w:val="00950D76"/>
    <w:rsid w:val="00950DC4"/>
    <w:rsid w:val="009510A2"/>
    <w:rsid w:val="00951B8E"/>
    <w:rsid w:val="0095205E"/>
    <w:rsid w:val="009525E0"/>
    <w:rsid w:val="00952891"/>
    <w:rsid w:val="00952BF4"/>
    <w:rsid w:val="00953257"/>
    <w:rsid w:val="009533A1"/>
    <w:rsid w:val="009533E3"/>
    <w:rsid w:val="00953758"/>
    <w:rsid w:val="00953A66"/>
    <w:rsid w:val="00954415"/>
    <w:rsid w:val="0095474C"/>
    <w:rsid w:val="0095525C"/>
    <w:rsid w:val="0095579E"/>
    <w:rsid w:val="009558F8"/>
    <w:rsid w:val="00955EB9"/>
    <w:rsid w:val="00956633"/>
    <w:rsid w:val="00956BA2"/>
    <w:rsid w:val="0095759B"/>
    <w:rsid w:val="00957D92"/>
    <w:rsid w:val="00960533"/>
    <w:rsid w:val="00960876"/>
    <w:rsid w:val="00960999"/>
    <w:rsid w:val="00960A0E"/>
    <w:rsid w:val="00960DE5"/>
    <w:rsid w:val="00960EE0"/>
    <w:rsid w:val="00961111"/>
    <w:rsid w:val="009619F0"/>
    <w:rsid w:val="00961C4E"/>
    <w:rsid w:val="00961D16"/>
    <w:rsid w:val="00961D63"/>
    <w:rsid w:val="00961EA2"/>
    <w:rsid w:val="00962392"/>
    <w:rsid w:val="00962406"/>
    <w:rsid w:val="009624F7"/>
    <w:rsid w:val="00962CB9"/>
    <w:rsid w:val="0096383B"/>
    <w:rsid w:val="00963B78"/>
    <w:rsid w:val="009640E8"/>
    <w:rsid w:val="009641D3"/>
    <w:rsid w:val="00964312"/>
    <w:rsid w:val="00965B8A"/>
    <w:rsid w:val="0096602E"/>
    <w:rsid w:val="0096650E"/>
    <w:rsid w:val="00966D62"/>
    <w:rsid w:val="009675C5"/>
    <w:rsid w:val="0097071F"/>
    <w:rsid w:val="00970914"/>
    <w:rsid w:val="00970C24"/>
    <w:rsid w:val="00970C54"/>
    <w:rsid w:val="00970C7C"/>
    <w:rsid w:val="00970EFB"/>
    <w:rsid w:val="00970F69"/>
    <w:rsid w:val="0097109C"/>
    <w:rsid w:val="00971143"/>
    <w:rsid w:val="009717AC"/>
    <w:rsid w:val="00971D1F"/>
    <w:rsid w:val="00971D29"/>
    <w:rsid w:val="00971DD1"/>
    <w:rsid w:val="00972D84"/>
    <w:rsid w:val="00973A52"/>
    <w:rsid w:val="00973DB6"/>
    <w:rsid w:val="00973F75"/>
    <w:rsid w:val="009740BD"/>
    <w:rsid w:val="009743AF"/>
    <w:rsid w:val="00974C82"/>
    <w:rsid w:val="009750B1"/>
    <w:rsid w:val="009750F1"/>
    <w:rsid w:val="009751C1"/>
    <w:rsid w:val="009756BD"/>
    <w:rsid w:val="009757E7"/>
    <w:rsid w:val="00976D57"/>
    <w:rsid w:val="00976FD0"/>
    <w:rsid w:val="00977092"/>
    <w:rsid w:val="00977261"/>
    <w:rsid w:val="009777AB"/>
    <w:rsid w:val="00977B62"/>
    <w:rsid w:val="00977BB5"/>
    <w:rsid w:val="00980196"/>
    <w:rsid w:val="00980C53"/>
    <w:rsid w:val="00980E3F"/>
    <w:rsid w:val="00980F51"/>
    <w:rsid w:val="00980FBF"/>
    <w:rsid w:val="0098112D"/>
    <w:rsid w:val="009811F1"/>
    <w:rsid w:val="009815EF"/>
    <w:rsid w:val="00982151"/>
    <w:rsid w:val="00982227"/>
    <w:rsid w:val="0098248C"/>
    <w:rsid w:val="00982497"/>
    <w:rsid w:val="0098250A"/>
    <w:rsid w:val="0098262F"/>
    <w:rsid w:val="00982BA6"/>
    <w:rsid w:val="00982C6D"/>
    <w:rsid w:val="00982E0C"/>
    <w:rsid w:val="00982E1F"/>
    <w:rsid w:val="00983077"/>
    <w:rsid w:val="00983621"/>
    <w:rsid w:val="00983A76"/>
    <w:rsid w:val="00983E57"/>
    <w:rsid w:val="00983F48"/>
    <w:rsid w:val="00983FC9"/>
    <w:rsid w:val="009840D7"/>
    <w:rsid w:val="00984862"/>
    <w:rsid w:val="00984F44"/>
    <w:rsid w:val="009851A9"/>
    <w:rsid w:val="009853BF"/>
    <w:rsid w:val="009854D4"/>
    <w:rsid w:val="00985635"/>
    <w:rsid w:val="00985D9A"/>
    <w:rsid w:val="00985DE2"/>
    <w:rsid w:val="0098643B"/>
    <w:rsid w:val="00986492"/>
    <w:rsid w:val="0098675D"/>
    <w:rsid w:val="00986A81"/>
    <w:rsid w:val="00986D88"/>
    <w:rsid w:val="0098717D"/>
    <w:rsid w:val="009872F2"/>
    <w:rsid w:val="00987BA4"/>
    <w:rsid w:val="00987CA0"/>
    <w:rsid w:val="00987CBA"/>
    <w:rsid w:val="00990643"/>
    <w:rsid w:val="00990CF2"/>
    <w:rsid w:val="009911CE"/>
    <w:rsid w:val="0099168E"/>
    <w:rsid w:val="0099190E"/>
    <w:rsid w:val="009926E0"/>
    <w:rsid w:val="00992B08"/>
    <w:rsid w:val="00992EAC"/>
    <w:rsid w:val="0099326D"/>
    <w:rsid w:val="00993380"/>
    <w:rsid w:val="009935A3"/>
    <w:rsid w:val="0099369F"/>
    <w:rsid w:val="00993810"/>
    <w:rsid w:val="00993A13"/>
    <w:rsid w:val="00993E5B"/>
    <w:rsid w:val="009940E2"/>
    <w:rsid w:val="00994141"/>
    <w:rsid w:val="009944EB"/>
    <w:rsid w:val="0099451E"/>
    <w:rsid w:val="00994AC9"/>
    <w:rsid w:val="00994B60"/>
    <w:rsid w:val="00995325"/>
    <w:rsid w:val="009956A7"/>
    <w:rsid w:val="00995D66"/>
    <w:rsid w:val="00995DE2"/>
    <w:rsid w:val="00995EEB"/>
    <w:rsid w:val="00995F66"/>
    <w:rsid w:val="00996358"/>
    <w:rsid w:val="00996B1A"/>
    <w:rsid w:val="00996E24"/>
    <w:rsid w:val="00996F2C"/>
    <w:rsid w:val="00997293"/>
    <w:rsid w:val="0099742B"/>
    <w:rsid w:val="009974F6"/>
    <w:rsid w:val="00997B0D"/>
    <w:rsid w:val="00997FB6"/>
    <w:rsid w:val="009A005B"/>
    <w:rsid w:val="009A03B4"/>
    <w:rsid w:val="009A0768"/>
    <w:rsid w:val="009A0B7F"/>
    <w:rsid w:val="009A1372"/>
    <w:rsid w:val="009A1469"/>
    <w:rsid w:val="009A1659"/>
    <w:rsid w:val="009A188C"/>
    <w:rsid w:val="009A18F6"/>
    <w:rsid w:val="009A20AD"/>
    <w:rsid w:val="009A28FB"/>
    <w:rsid w:val="009A2CCA"/>
    <w:rsid w:val="009A2DCC"/>
    <w:rsid w:val="009A2FB7"/>
    <w:rsid w:val="009A3AB4"/>
    <w:rsid w:val="009A41EB"/>
    <w:rsid w:val="009A4F40"/>
    <w:rsid w:val="009A509B"/>
    <w:rsid w:val="009A5AAF"/>
    <w:rsid w:val="009A5ABC"/>
    <w:rsid w:val="009A5C2E"/>
    <w:rsid w:val="009A6204"/>
    <w:rsid w:val="009A632E"/>
    <w:rsid w:val="009A6F21"/>
    <w:rsid w:val="009A784E"/>
    <w:rsid w:val="009A7F10"/>
    <w:rsid w:val="009B0582"/>
    <w:rsid w:val="009B0B5F"/>
    <w:rsid w:val="009B10D1"/>
    <w:rsid w:val="009B131F"/>
    <w:rsid w:val="009B13C3"/>
    <w:rsid w:val="009B1A1F"/>
    <w:rsid w:val="009B1C9E"/>
    <w:rsid w:val="009B2052"/>
    <w:rsid w:val="009B3E26"/>
    <w:rsid w:val="009B4314"/>
    <w:rsid w:val="009B47DC"/>
    <w:rsid w:val="009B4B56"/>
    <w:rsid w:val="009B4ED7"/>
    <w:rsid w:val="009B52CA"/>
    <w:rsid w:val="009B610F"/>
    <w:rsid w:val="009B6C41"/>
    <w:rsid w:val="009B7084"/>
    <w:rsid w:val="009B742C"/>
    <w:rsid w:val="009B7B3F"/>
    <w:rsid w:val="009B7DC6"/>
    <w:rsid w:val="009B7F37"/>
    <w:rsid w:val="009C0A7D"/>
    <w:rsid w:val="009C0F60"/>
    <w:rsid w:val="009C1244"/>
    <w:rsid w:val="009C1271"/>
    <w:rsid w:val="009C198E"/>
    <w:rsid w:val="009C2224"/>
    <w:rsid w:val="009C2B71"/>
    <w:rsid w:val="009C2CFC"/>
    <w:rsid w:val="009C3307"/>
    <w:rsid w:val="009C3706"/>
    <w:rsid w:val="009C3749"/>
    <w:rsid w:val="009C3A3A"/>
    <w:rsid w:val="009C3AB5"/>
    <w:rsid w:val="009C426B"/>
    <w:rsid w:val="009C432E"/>
    <w:rsid w:val="009C43F6"/>
    <w:rsid w:val="009C4630"/>
    <w:rsid w:val="009C51CC"/>
    <w:rsid w:val="009C55C4"/>
    <w:rsid w:val="009C61D4"/>
    <w:rsid w:val="009C6CEA"/>
    <w:rsid w:val="009C6D29"/>
    <w:rsid w:val="009C7028"/>
    <w:rsid w:val="009C7307"/>
    <w:rsid w:val="009C7B85"/>
    <w:rsid w:val="009D0056"/>
    <w:rsid w:val="009D0234"/>
    <w:rsid w:val="009D0254"/>
    <w:rsid w:val="009D0446"/>
    <w:rsid w:val="009D0E92"/>
    <w:rsid w:val="009D1A64"/>
    <w:rsid w:val="009D1B60"/>
    <w:rsid w:val="009D1E5C"/>
    <w:rsid w:val="009D1F81"/>
    <w:rsid w:val="009D22C7"/>
    <w:rsid w:val="009D2496"/>
    <w:rsid w:val="009D2CD0"/>
    <w:rsid w:val="009D33BA"/>
    <w:rsid w:val="009D38F6"/>
    <w:rsid w:val="009D410A"/>
    <w:rsid w:val="009D5B91"/>
    <w:rsid w:val="009D5C78"/>
    <w:rsid w:val="009D5F4B"/>
    <w:rsid w:val="009D6C1D"/>
    <w:rsid w:val="009D6F95"/>
    <w:rsid w:val="009D7516"/>
    <w:rsid w:val="009D7524"/>
    <w:rsid w:val="009D76D8"/>
    <w:rsid w:val="009D792E"/>
    <w:rsid w:val="009D7A6F"/>
    <w:rsid w:val="009D7B37"/>
    <w:rsid w:val="009D7C78"/>
    <w:rsid w:val="009D7E0C"/>
    <w:rsid w:val="009E02D8"/>
    <w:rsid w:val="009E0C0A"/>
    <w:rsid w:val="009E0C28"/>
    <w:rsid w:val="009E0DFE"/>
    <w:rsid w:val="009E13BA"/>
    <w:rsid w:val="009E1558"/>
    <w:rsid w:val="009E1570"/>
    <w:rsid w:val="009E1A82"/>
    <w:rsid w:val="009E1CAF"/>
    <w:rsid w:val="009E297B"/>
    <w:rsid w:val="009E2D88"/>
    <w:rsid w:val="009E31F6"/>
    <w:rsid w:val="009E38EF"/>
    <w:rsid w:val="009E39CB"/>
    <w:rsid w:val="009E3A23"/>
    <w:rsid w:val="009E3BDD"/>
    <w:rsid w:val="009E3C1F"/>
    <w:rsid w:val="009E400B"/>
    <w:rsid w:val="009E422D"/>
    <w:rsid w:val="009E4638"/>
    <w:rsid w:val="009E4C07"/>
    <w:rsid w:val="009E4E2E"/>
    <w:rsid w:val="009E4FCF"/>
    <w:rsid w:val="009E596F"/>
    <w:rsid w:val="009E5DF8"/>
    <w:rsid w:val="009E6888"/>
    <w:rsid w:val="009E6992"/>
    <w:rsid w:val="009E6A5B"/>
    <w:rsid w:val="009E7585"/>
    <w:rsid w:val="009E777F"/>
    <w:rsid w:val="009E7A3E"/>
    <w:rsid w:val="009F008F"/>
    <w:rsid w:val="009F0616"/>
    <w:rsid w:val="009F0E80"/>
    <w:rsid w:val="009F12E6"/>
    <w:rsid w:val="009F1391"/>
    <w:rsid w:val="009F1CC7"/>
    <w:rsid w:val="009F2D69"/>
    <w:rsid w:val="009F3191"/>
    <w:rsid w:val="009F3433"/>
    <w:rsid w:val="009F35E9"/>
    <w:rsid w:val="009F4216"/>
    <w:rsid w:val="009F422C"/>
    <w:rsid w:val="009F42AD"/>
    <w:rsid w:val="009F498F"/>
    <w:rsid w:val="009F5257"/>
    <w:rsid w:val="009F5626"/>
    <w:rsid w:val="009F58D1"/>
    <w:rsid w:val="009F6120"/>
    <w:rsid w:val="009F6357"/>
    <w:rsid w:val="009F679D"/>
    <w:rsid w:val="009F6C85"/>
    <w:rsid w:val="009F6D70"/>
    <w:rsid w:val="009F71B6"/>
    <w:rsid w:val="009F7CA4"/>
    <w:rsid w:val="00A001C3"/>
    <w:rsid w:val="00A00D76"/>
    <w:rsid w:val="00A01184"/>
    <w:rsid w:val="00A01449"/>
    <w:rsid w:val="00A01514"/>
    <w:rsid w:val="00A0176E"/>
    <w:rsid w:val="00A01D0E"/>
    <w:rsid w:val="00A0224A"/>
    <w:rsid w:val="00A02411"/>
    <w:rsid w:val="00A027CC"/>
    <w:rsid w:val="00A02DE3"/>
    <w:rsid w:val="00A02E9F"/>
    <w:rsid w:val="00A037C2"/>
    <w:rsid w:val="00A03813"/>
    <w:rsid w:val="00A03BC7"/>
    <w:rsid w:val="00A03C24"/>
    <w:rsid w:val="00A03CAF"/>
    <w:rsid w:val="00A03D43"/>
    <w:rsid w:val="00A04380"/>
    <w:rsid w:val="00A045A9"/>
    <w:rsid w:val="00A04786"/>
    <w:rsid w:val="00A0499D"/>
    <w:rsid w:val="00A04EAB"/>
    <w:rsid w:val="00A05095"/>
    <w:rsid w:val="00A05472"/>
    <w:rsid w:val="00A05A8F"/>
    <w:rsid w:val="00A05C32"/>
    <w:rsid w:val="00A05EA1"/>
    <w:rsid w:val="00A06330"/>
    <w:rsid w:val="00A0653F"/>
    <w:rsid w:val="00A066AA"/>
    <w:rsid w:val="00A06D93"/>
    <w:rsid w:val="00A0711B"/>
    <w:rsid w:val="00A07143"/>
    <w:rsid w:val="00A0730B"/>
    <w:rsid w:val="00A0747B"/>
    <w:rsid w:val="00A07492"/>
    <w:rsid w:val="00A0795B"/>
    <w:rsid w:val="00A07B87"/>
    <w:rsid w:val="00A07D59"/>
    <w:rsid w:val="00A07EF0"/>
    <w:rsid w:val="00A10005"/>
    <w:rsid w:val="00A1043A"/>
    <w:rsid w:val="00A10E2B"/>
    <w:rsid w:val="00A11038"/>
    <w:rsid w:val="00A117CE"/>
    <w:rsid w:val="00A11985"/>
    <w:rsid w:val="00A11CD0"/>
    <w:rsid w:val="00A12647"/>
    <w:rsid w:val="00A12865"/>
    <w:rsid w:val="00A12A99"/>
    <w:rsid w:val="00A12B79"/>
    <w:rsid w:val="00A13948"/>
    <w:rsid w:val="00A149B6"/>
    <w:rsid w:val="00A14CDA"/>
    <w:rsid w:val="00A15058"/>
    <w:rsid w:val="00A15123"/>
    <w:rsid w:val="00A151BE"/>
    <w:rsid w:val="00A1555B"/>
    <w:rsid w:val="00A155C5"/>
    <w:rsid w:val="00A15C1D"/>
    <w:rsid w:val="00A15EFF"/>
    <w:rsid w:val="00A16271"/>
    <w:rsid w:val="00A16718"/>
    <w:rsid w:val="00A16AD8"/>
    <w:rsid w:val="00A16E45"/>
    <w:rsid w:val="00A17097"/>
    <w:rsid w:val="00A1757C"/>
    <w:rsid w:val="00A177C4"/>
    <w:rsid w:val="00A17B45"/>
    <w:rsid w:val="00A17D73"/>
    <w:rsid w:val="00A2021E"/>
    <w:rsid w:val="00A20432"/>
    <w:rsid w:val="00A20847"/>
    <w:rsid w:val="00A20F0C"/>
    <w:rsid w:val="00A2129E"/>
    <w:rsid w:val="00A21C95"/>
    <w:rsid w:val="00A21CF3"/>
    <w:rsid w:val="00A21ED3"/>
    <w:rsid w:val="00A21EE4"/>
    <w:rsid w:val="00A2206A"/>
    <w:rsid w:val="00A22309"/>
    <w:rsid w:val="00A223BF"/>
    <w:rsid w:val="00A22D64"/>
    <w:rsid w:val="00A22FDF"/>
    <w:rsid w:val="00A22FEF"/>
    <w:rsid w:val="00A23108"/>
    <w:rsid w:val="00A23177"/>
    <w:rsid w:val="00A23200"/>
    <w:rsid w:val="00A236A8"/>
    <w:rsid w:val="00A239AE"/>
    <w:rsid w:val="00A23A3B"/>
    <w:rsid w:val="00A24377"/>
    <w:rsid w:val="00A2460F"/>
    <w:rsid w:val="00A24813"/>
    <w:rsid w:val="00A24892"/>
    <w:rsid w:val="00A24AB3"/>
    <w:rsid w:val="00A24B3D"/>
    <w:rsid w:val="00A24C9C"/>
    <w:rsid w:val="00A253EE"/>
    <w:rsid w:val="00A25A24"/>
    <w:rsid w:val="00A26025"/>
    <w:rsid w:val="00A26ABC"/>
    <w:rsid w:val="00A26DF9"/>
    <w:rsid w:val="00A26F78"/>
    <w:rsid w:val="00A271A2"/>
    <w:rsid w:val="00A2739C"/>
    <w:rsid w:val="00A27720"/>
    <w:rsid w:val="00A27AEC"/>
    <w:rsid w:val="00A27CDD"/>
    <w:rsid w:val="00A3009C"/>
    <w:rsid w:val="00A310CD"/>
    <w:rsid w:val="00A3127A"/>
    <w:rsid w:val="00A318B8"/>
    <w:rsid w:val="00A31B53"/>
    <w:rsid w:val="00A320DB"/>
    <w:rsid w:val="00A32127"/>
    <w:rsid w:val="00A32629"/>
    <w:rsid w:val="00A32762"/>
    <w:rsid w:val="00A32927"/>
    <w:rsid w:val="00A32A35"/>
    <w:rsid w:val="00A32A4D"/>
    <w:rsid w:val="00A32F3F"/>
    <w:rsid w:val="00A32FD9"/>
    <w:rsid w:val="00A3340B"/>
    <w:rsid w:val="00A33B75"/>
    <w:rsid w:val="00A33F44"/>
    <w:rsid w:val="00A34DB1"/>
    <w:rsid w:val="00A34E1A"/>
    <w:rsid w:val="00A35100"/>
    <w:rsid w:val="00A35383"/>
    <w:rsid w:val="00A35490"/>
    <w:rsid w:val="00A354B1"/>
    <w:rsid w:val="00A35ADF"/>
    <w:rsid w:val="00A35C6C"/>
    <w:rsid w:val="00A35C96"/>
    <w:rsid w:val="00A35D16"/>
    <w:rsid w:val="00A35EF8"/>
    <w:rsid w:val="00A36C1D"/>
    <w:rsid w:val="00A37AE5"/>
    <w:rsid w:val="00A37BCD"/>
    <w:rsid w:val="00A37E71"/>
    <w:rsid w:val="00A40093"/>
    <w:rsid w:val="00A4017F"/>
    <w:rsid w:val="00A40610"/>
    <w:rsid w:val="00A4067B"/>
    <w:rsid w:val="00A40BFF"/>
    <w:rsid w:val="00A40FF6"/>
    <w:rsid w:val="00A41689"/>
    <w:rsid w:val="00A4185C"/>
    <w:rsid w:val="00A41BF5"/>
    <w:rsid w:val="00A41C9D"/>
    <w:rsid w:val="00A41DFC"/>
    <w:rsid w:val="00A4206C"/>
    <w:rsid w:val="00A420CD"/>
    <w:rsid w:val="00A424FA"/>
    <w:rsid w:val="00A42592"/>
    <w:rsid w:val="00A42CF5"/>
    <w:rsid w:val="00A42E2C"/>
    <w:rsid w:val="00A43592"/>
    <w:rsid w:val="00A43841"/>
    <w:rsid w:val="00A4395A"/>
    <w:rsid w:val="00A43BC1"/>
    <w:rsid w:val="00A43C59"/>
    <w:rsid w:val="00A43DE9"/>
    <w:rsid w:val="00A43E21"/>
    <w:rsid w:val="00A44623"/>
    <w:rsid w:val="00A44CB6"/>
    <w:rsid w:val="00A451EA"/>
    <w:rsid w:val="00A45B3D"/>
    <w:rsid w:val="00A462DC"/>
    <w:rsid w:val="00A46449"/>
    <w:rsid w:val="00A464DE"/>
    <w:rsid w:val="00A46606"/>
    <w:rsid w:val="00A46C44"/>
    <w:rsid w:val="00A46E06"/>
    <w:rsid w:val="00A46E69"/>
    <w:rsid w:val="00A4723A"/>
    <w:rsid w:val="00A47C72"/>
    <w:rsid w:val="00A47CCF"/>
    <w:rsid w:val="00A47E58"/>
    <w:rsid w:val="00A47E88"/>
    <w:rsid w:val="00A5008B"/>
    <w:rsid w:val="00A5016B"/>
    <w:rsid w:val="00A5058E"/>
    <w:rsid w:val="00A509AE"/>
    <w:rsid w:val="00A50A63"/>
    <w:rsid w:val="00A50C07"/>
    <w:rsid w:val="00A50ECD"/>
    <w:rsid w:val="00A50F57"/>
    <w:rsid w:val="00A51484"/>
    <w:rsid w:val="00A5174B"/>
    <w:rsid w:val="00A5189C"/>
    <w:rsid w:val="00A518F3"/>
    <w:rsid w:val="00A51DB9"/>
    <w:rsid w:val="00A51E05"/>
    <w:rsid w:val="00A52206"/>
    <w:rsid w:val="00A52729"/>
    <w:rsid w:val="00A5275A"/>
    <w:rsid w:val="00A52A6B"/>
    <w:rsid w:val="00A52E63"/>
    <w:rsid w:val="00A535FA"/>
    <w:rsid w:val="00A53675"/>
    <w:rsid w:val="00A5382B"/>
    <w:rsid w:val="00A53FDF"/>
    <w:rsid w:val="00A53FEB"/>
    <w:rsid w:val="00A5411D"/>
    <w:rsid w:val="00A541F3"/>
    <w:rsid w:val="00A54697"/>
    <w:rsid w:val="00A547BA"/>
    <w:rsid w:val="00A54E21"/>
    <w:rsid w:val="00A5589A"/>
    <w:rsid w:val="00A55F30"/>
    <w:rsid w:val="00A560EE"/>
    <w:rsid w:val="00A564D7"/>
    <w:rsid w:val="00A56585"/>
    <w:rsid w:val="00A56B6A"/>
    <w:rsid w:val="00A576C1"/>
    <w:rsid w:val="00A578DC"/>
    <w:rsid w:val="00A60132"/>
    <w:rsid w:val="00A60251"/>
    <w:rsid w:val="00A60528"/>
    <w:rsid w:val="00A6052C"/>
    <w:rsid w:val="00A6059E"/>
    <w:rsid w:val="00A60BC2"/>
    <w:rsid w:val="00A61002"/>
    <w:rsid w:val="00A611ED"/>
    <w:rsid w:val="00A613A5"/>
    <w:rsid w:val="00A616BF"/>
    <w:rsid w:val="00A61982"/>
    <w:rsid w:val="00A61DFB"/>
    <w:rsid w:val="00A61E4A"/>
    <w:rsid w:val="00A61F54"/>
    <w:rsid w:val="00A6229D"/>
    <w:rsid w:val="00A6273D"/>
    <w:rsid w:val="00A632A6"/>
    <w:rsid w:val="00A63603"/>
    <w:rsid w:val="00A63D44"/>
    <w:rsid w:val="00A63F00"/>
    <w:rsid w:val="00A63F2A"/>
    <w:rsid w:val="00A640E2"/>
    <w:rsid w:val="00A64D65"/>
    <w:rsid w:val="00A64FCF"/>
    <w:rsid w:val="00A651BB"/>
    <w:rsid w:val="00A66C2E"/>
    <w:rsid w:val="00A6725B"/>
    <w:rsid w:val="00A674B7"/>
    <w:rsid w:val="00A6781E"/>
    <w:rsid w:val="00A67931"/>
    <w:rsid w:val="00A700D7"/>
    <w:rsid w:val="00A70139"/>
    <w:rsid w:val="00A701E2"/>
    <w:rsid w:val="00A7047F"/>
    <w:rsid w:val="00A70605"/>
    <w:rsid w:val="00A70A38"/>
    <w:rsid w:val="00A70D1F"/>
    <w:rsid w:val="00A70DBD"/>
    <w:rsid w:val="00A7130F"/>
    <w:rsid w:val="00A71DA9"/>
    <w:rsid w:val="00A71FA9"/>
    <w:rsid w:val="00A72883"/>
    <w:rsid w:val="00A729D5"/>
    <w:rsid w:val="00A73134"/>
    <w:rsid w:val="00A733D5"/>
    <w:rsid w:val="00A7365A"/>
    <w:rsid w:val="00A739FA"/>
    <w:rsid w:val="00A73B30"/>
    <w:rsid w:val="00A73C86"/>
    <w:rsid w:val="00A73D6C"/>
    <w:rsid w:val="00A74461"/>
    <w:rsid w:val="00A74782"/>
    <w:rsid w:val="00A74C0B"/>
    <w:rsid w:val="00A74C1F"/>
    <w:rsid w:val="00A74DC7"/>
    <w:rsid w:val="00A74FB4"/>
    <w:rsid w:val="00A74FEB"/>
    <w:rsid w:val="00A7520F"/>
    <w:rsid w:val="00A75414"/>
    <w:rsid w:val="00A75833"/>
    <w:rsid w:val="00A75AD6"/>
    <w:rsid w:val="00A76001"/>
    <w:rsid w:val="00A7645D"/>
    <w:rsid w:val="00A7689D"/>
    <w:rsid w:val="00A769B2"/>
    <w:rsid w:val="00A76ABF"/>
    <w:rsid w:val="00A777B2"/>
    <w:rsid w:val="00A8078F"/>
    <w:rsid w:val="00A8117D"/>
    <w:rsid w:val="00A81483"/>
    <w:rsid w:val="00A81B1C"/>
    <w:rsid w:val="00A81BB6"/>
    <w:rsid w:val="00A820D3"/>
    <w:rsid w:val="00A8257D"/>
    <w:rsid w:val="00A825D4"/>
    <w:rsid w:val="00A828F6"/>
    <w:rsid w:val="00A82B73"/>
    <w:rsid w:val="00A83781"/>
    <w:rsid w:val="00A83DC5"/>
    <w:rsid w:val="00A843C8"/>
    <w:rsid w:val="00A846D3"/>
    <w:rsid w:val="00A8481A"/>
    <w:rsid w:val="00A84A49"/>
    <w:rsid w:val="00A84B81"/>
    <w:rsid w:val="00A85E14"/>
    <w:rsid w:val="00A86346"/>
    <w:rsid w:val="00A865A0"/>
    <w:rsid w:val="00A86A8A"/>
    <w:rsid w:val="00A86E8B"/>
    <w:rsid w:val="00A870C1"/>
    <w:rsid w:val="00A8712D"/>
    <w:rsid w:val="00A87164"/>
    <w:rsid w:val="00A871A9"/>
    <w:rsid w:val="00A87513"/>
    <w:rsid w:val="00A90365"/>
    <w:rsid w:val="00A9084A"/>
    <w:rsid w:val="00A90D33"/>
    <w:rsid w:val="00A9143E"/>
    <w:rsid w:val="00A91487"/>
    <w:rsid w:val="00A92399"/>
    <w:rsid w:val="00A923B7"/>
    <w:rsid w:val="00A92500"/>
    <w:rsid w:val="00A93072"/>
    <w:rsid w:val="00A93398"/>
    <w:rsid w:val="00A9363F"/>
    <w:rsid w:val="00A938BD"/>
    <w:rsid w:val="00A93953"/>
    <w:rsid w:val="00A939C1"/>
    <w:rsid w:val="00A948BF"/>
    <w:rsid w:val="00A94B7A"/>
    <w:rsid w:val="00A959D8"/>
    <w:rsid w:val="00A95F49"/>
    <w:rsid w:val="00A9602B"/>
    <w:rsid w:val="00A961E6"/>
    <w:rsid w:val="00A961FF"/>
    <w:rsid w:val="00A963D2"/>
    <w:rsid w:val="00A9699E"/>
    <w:rsid w:val="00A9717F"/>
    <w:rsid w:val="00A976BF"/>
    <w:rsid w:val="00AA00A8"/>
    <w:rsid w:val="00AA0110"/>
    <w:rsid w:val="00AA113D"/>
    <w:rsid w:val="00AA1292"/>
    <w:rsid w:val="00AA15D9"/>
    <w:rsid w:val="00AA1C1E"/>
    <w:rsid w:val="00AA1DA2"/>
    <w:rsid w:val="00AA203C"/>
    <w:rsid w:val="00AA272A"/>
    <w:rsid w:val="00AA314E"/>
    <w:rsid w:val="00AA3BC9"/>
    <w:rsid w:val="00AA3C5F"/>
    <w:rsid w:val="00AA3C99"/>
    <w:rsid w:val="00AA3DBD"/>
    <w:rsid w:val="00AA47B6"/>
    <w:rsid w:val="00AA4CFC"/>
    <w:rsid w:val="00AA5229"/>
    <w:rsid w:val="00AA5436"/>
    <w:rsid w:val="00AA5E40"/>
    <w:rsid w:val="00AA5F37"/>
    <w:rsid w:val="00AA65BB"/>
    <w:rsid w:val="00AA6BD5"/>
    <w:rsid w:val="00AA6BD8"/>
    <w:rsid w:val="00AA6C7D"/>
    <w:rsid w:val="00AA6EFA"/>
    <w:rsid w:val="00AA7614"/>
    <w:rsid w:val="00AA7FD6"/>
    <w:rsid w:val="00AB042A"/>
    <w:rsid w:val="00AB06FE"/>
    <w:rsid w:val="00AB0741"/>
    <w:rsid w:val="00AB07DA"/>
    <w:rsid w:val="00AB0A9E"/>
    <w:rsid w:val="00AB0D1E"/>
    <w:rsid w:val="00AB11AD"/>
    <w:rsid w:val="00AB1538"/>
    <w:rsid w:val="00AB19EF"/>
    <w:rsid w:val="00AB2045"/>
    <w:rsid w:val="00AB22D2"/>
    <w:rsid w:val="00AB2495"/>
    <w:rsid w:val="00AB2D34"/>
    <w:rsid w:val="00AB30A5"/>
    <w:rsid w:val="00AB314C"/>
    <w:rsid w:val="00AB3430"/>
    <w:rsid w:val="00AB3646"/>
    <w:rsid w:val="00AB37B9"/>
    <w:rsid w:val="00AB3A4B"/>
    <w:rsid w:val="00AB3DDE"/>
    <w:rsid w:val="00AB3E54"/>
    <w:rsid w:val="00AB3F9A"/>
    <w:rsid w:val="00AB406B"/>
    <w:rsid w:val="00AB458F"/>
    <w:rsid w:val="00AB4AD1"/>
    <w:rsid w:val="00AB4BE9"/>
    <w:rsid w:val="00AB4E8B"/>
    <w:rsid w:val="00AB5050"/>
    <w:rsid w:val="00AB56FA"/>
    <w:rsid w:val="00AB5E07"/>
    <w:rsid w:val="00AB6B19"/>
    <w:rsid w:val="00AB6C9D"/>
    <w:rsid w:val="00AB6DA5"/>
    <w:rsid w:val="00AB7CFA"/>
    <w:rsid w:val="00AB7F68"/>
    <w:rsid w:val="00AC04AE"/>
    <w:rsid w:val="00AC0D8C"/>
    <w:rsid w:val="00AC0F67"/>
    <w:rsid w:val="00AC10F7"/>
    <w:rsid w:val="00AC1C56"/>
    <w:rsid w:val="00AC1DCD"/>
    <w:rsid w:val="00AC2734"/>
    <w:rsid w:val="00AC3F18"/>
    <w:rsid w:val="00AC3FD9"/>
    <w:rsid w:val="00AC4056"/>
    <w:rsid w:val="00AC4214"/>
    <w:rsid w:val="00AC45D4"/>
    <w:rsid w:val="00AC5032"/>
    <w:rsid w:val="00AC529C"/>
    <w:rsid w:val="00AC5460"/>
    <w:rsid w:val="00AC5B42"/>
    <w:rsid w:val="00AC5B48"/>
    <w:rsid w:val="00AC5CD7"/>
    <w:rsid w:val="00AC5CE0"/>
    <w:rsid w:val="00AC5D37"/>
    <w:rsid w:val="00AC60C9"/>
    <w:rsid w:val="00AC61A7"/>
    <w:rsid w:val="00AC61BC"/>
    <w:rsid w:val="00AC66D0"/>
    <w:rsid w:val="00AC6AA5"/>
    <w:rsid w:val="00AC6D2E"/>
    <w:rsid w:val="00AC706A"/>
    <w:rsid w:val="00AC75DC"/>
    <w:rsid w:val="00AC75E0"/>
    <w:rsid w:val="00AC7E52"/>
    <w:rsid w:val="00AD00A1"/>
    <w:rsid w:val="00AD071E"/>
    <w:rsid w:val="00AD084A"/>
    <w:rsid w:val="00AD0B0E"/>
    <w:rsid w:val="00AD0D65"/>
    <w:rsid w:val="00AD12A1"/>
    <w:rsid w:val="00AD1450"/>
    <w:rsid w:val="00AD15E8"/>
    <w:rsid w:val="00AD2289"/>
    <w:rsid w:val="00AD26DD"/>
    <w:rsid w:val="00AD3302"/>
    <w:rsid w:val="00AD356D"/>
    <w:rsid w:val="00AD36B3"/>
    <w:rsid w:val="00AD39BD"/>
    <w:rsid w:val="00AD3C2A"/>
    <w:rsid w:val="00AD3CD6"/>
    <w:rsid w:val="00AD4080"/>
    <w:rsid w:val="00AD4398"/>
    <w:rsid w:val="00AD4E3D"/>
    <w:rsid w:val="00AD4F6B"/>
    <w:rsid w:val="00AD5420"/>
    <w:rsid w:val="00AD5601"/>
    <w:rsid w:val="00AD56F4"/>
    <w:rsid w:val="00AD59AA"/>
    <w:rsid w:val="00AD6502"/>
    <w:rsid w:val="00AD6CD0"/>
    <w:rsid w:val="00AE0319"/>
    <w:rsid w:val="00AE0365"/>
    <w:rsid w:val="00AE0695"/>
    <w:rsid w:val="00AE1576"/>
    <w:rsid w:val="00AE1663"/>
    <w:rsid w:val="00AE1985"/>
    <w:rsid w:val="00AE201D"/>
    <w:rsid w:val="00AE2B2D"/>
    <w:rsid w:val="00AE343B"/>
    <w:rsid w:val="00AE347A"/>
    <w:rsid w:val="00AE3580"/>
    <w:rsid w:val="00AE360C"/>
    <w:rsid w:val="00AE37DD"/>
    <w:rsid w:val="00AE3E7E"/>
    <w:rsid w:val="00AE3F91"/>
    <w:rsid w:val="00AE4692"/>
    <w:rsid w:val="00AE486A"/>
    <w:rsid w:val="00AE486C"/>
    <w:rsid w:val="00AE51C3"/>
    <w:rsid w:val="00AE51FF"/>
    <w:rsid w:val="00AE5432"/>
    <w:rsid w:val="00AE5444"/>
    <w:rsid w:val="00AE56C3"/>
    <w:rsid w:val="00AE5B84"/>
    <w:rsid w:val="00AE5CDC"/>
    <w:rsid w:val="00AE5DCF"/>
    <w:rsid w:val="00AE6AFC"/>
    <w:rsid w:val="00AE7B12"/>
    <w:rsid w:val="00AE7E53"/>
    <w:rsid w:val="00AF0682"/>
    <w:rsid w:val="00AF1315"/>
    <w:rsid w:val="00AF1527"/>
    <w:rsid w:val="00AF18A5"/>
    <w:rsid w:val="00AF19BF"/>
    <w:rsid w:val="00AF1E41"/>
    <w:rsid w:val="00AF1FBD"/>
    <w:rsid w:val="00AF2091"/>
    <w:rsid w:val="00AF2297"/>
    <w:rsid w:val="00AF258B"/>
    <w:rsid w:val="00AF2755"/>
    <w:rsid w:val="00AF2A82"/>
    <w:rsid w:val="00AF2DC3"/>
    <w:rsid w:val="00AF2E82"/>
    <w:rsid w:val="00AF2EEC"/>
    <w:rsid w:val="00AF386B"/>
    <w:rsid w:val="00AF3AA9"/>
    <w:rsid w:val="00AF40EA"/>
    <w:rsid w:val="00AF4154"/>
    <w:rsid w:val="00AF489E"/>
    <w:rsid w:val="00AF5400"/>
    <w:rsid w:val="00AF547B"/>
    <w:rsid w:val="00AF5501"/>
    <w:rsid w:val="00AF5B09"/>
    <w:rsid w:val="00AF617D"/>
    <w:rsid w:val="00AF6298"/>
    <w:rsid w:val="00AF777C"/>
    <w:rsid w:val="00AF7D94"/>
    <w:rsid w:val="00AF7DA3"/>
    <w:rsid w:val="00B000FC"/>
    <w:rsid w:val="00B00AD7"/>
    <w:rsid w:val="00B010D9"/>
    <w:rsid w:val="00B02092"/>
    <w:rsid w:val="00B028AF"/>
    <w:rsid w:val="00B02B89"/>
    <w:rsid w:val="00B02D8E"/>
    <w:rsid w:val="00B02F2B"/>
    <w:rsid w:val="00B03144"/>
    <w:rsid w:val="00B033E5"/>
    <w:rsid w:val="00B03A63"/>
    <w:rsid w:val="00B05111"/>
    <w:rsid w:val="00B055E3"/>
    <w:rsid w:val="00B062DE"/>
    <w:rsid w:val="00B06391"/>
    <w:rsid w:val="00B06A35"/>
    <w:rsid w:val="00B074B5"/>
    <w:rsid w:val="00B07630"/>
    <w:rsid w:val="00B0777E"/>
    <w:rsid w:val="00B07EEC"/>
    <w:rsid w:val="00B103BD"/>
    <w:rsid w:val="00B1043C"/>
    <w:rsid w:val="00B10DDE"/>
    <w:rsid w:val="00B10EC7"/>
    <w:rsid w:val="00B11171"/>
    <w:rsid w:val="00B11292"/>
    <w:rsid w:val="00B11403"/>
    <w:rsid w:val="00B11493"/>
    <w:rsid w:val="00B129A4"/>
    <w:rsid w:val="00B12B4D"/>
    <w:rsid w:val="00B12EE3"/>
    <w:rsid w:val="00B13C29"/>
    <w:rsid w:val="00B14059"/>
    <w:rsid w:val="00B1410B"/>
    <w:rsid w:val="00B1413B"/>
    <w:rsid w:val="00B146FC"/>
    <w:rsid w:val="00B14C2B"/>
    <w:rsid w:val="00B15056"/>
    <w:rsid w:val="00B15485"/>
    <w:rsid w:val="00B157D5"/>
    <w:rsid w:val="00B15EB4"/>
    <w:rsid w:val="00B16E74"/>
    <w:rsid w:val="00B17288"/>
    <w:rsid w:val="00B17BF3"/>
    <w:rsid w:val="00B201A4"/>
    <w:rsid w:val="00B201D1"/>
    <w:rsid w:val="00B202BD"/>
    <w:rsid w:val="00B20449"/>
    <w:rsid w:val="00B205BD"/>
    <w:rsid w:val="00B20C68"/>
    <w:rsid w:val="00B21208"/>
    <w:rsid w:val="00B213A6"/>
    <w:rsid w:val="00B216C2"/>
    <w:rsid w:val="00B217EC"/>
    <w:rsid w:val="00B2184F"/>
    <w:rsid w:val="00B21AD0"/>
    <w:rsid w:val="00B227CF"/>
    <w:rsid w:val="00B235B0"/>
    <w:rsid w:val="00B23C3A"/>
    <w:rsid w:val="00B23C42"/>
    <w:rsid w:val="00B23E2F"/>
    <w:rsid w:val="00B2402E"/>
    <w:rsid w:val="00B24455"/>
    <w:rsid w:val="00B244E8"/>
    <w:rsid w:val="00B24C1E"/>
    <w:rsid w:val="00B24DF6"/>
    <w:rsid w:val="00B25137"/>
    <w:rsid w:val="00B256B1"/>
    <w:rsid w:val="00B25D81"/>
    <w:rsid w:val="00B26BDC"/>
    <w:rsid w:val="00B26FD2"/>
    <w:rsid w:val="00B2738E"/>
    <w:rsid w:val="00B27A61"/>
    <w:rsid w:val="00B27ED7"/>
    <w:rsid w:val="00B3078C"/>
    <w:rsid w:val="00B30BC5"/>
    <w:rsid w:val="00B3121B"/>
    <w:rsid w:val="00B319A9"/>
    <w:rsid w:val="00B319EE"/>
    <w:rsid w:val="00B31CC6"/>
    <w:rsid w:val="00B32471"/>
    <w:rsid w:val="00B334BD"/>
    <w:rsid w:val="00B33C4C"/>
    <w:rsid w:val="00B33CEF"/>
    <w:rsid w:val="00B33CF8"/>
    <w:rsid w:val="00B34018"/>
    <w:rsid w:val="00B3479A"/>
    <w:rsid w:val="00B348B0"/>
    <w:rsid w:val="00B34FAC"/>
    <w:rsid w:val="00B34FE2"/>
    <w:rsid w:val="00B35166"/>
    <w:rsid w:val="00B354D2"/>
    <w:rsid w:val="00B357D8"/>
    <w:rsid w:val="00B35E5E"/>
    <w:rsid w:val="00B36095"/>
    <w:rsid w:val="00B360F4"/>
    <w:rsid w:val="00B36481"/>
    <w:rsid w:val="00B36517"/>
    <w:rsid w:val="00B36736"/>
    <w:rsid w:val="00B36A00"/>
    <w:rsid w:val="00B36ACA"/>
    <w:rsid w:val="00B36F64"/>
    <w:rsid w:val="00B373CE"/>
    <w:rsid w:val="00B3792B"/>
    <w:rsid w:val="00B37BFC"/>
    <w:rsid w:val="00B37C01"/>
    <w:rsid w:val="00B37EA1"/>
    <w:rsid w:val="00B40100"/>
    <w:rsid w:val="00B40358"/>
    <w:rsid w:val="00B403BF"/>
    <w:rsid w:val="00B4080D"/>
    <w:rsid w:val="00B408BB"/>
    <w:rsid w:val="00B40DFE"/>
    <w:rsid w:val="00B4150F"/>
    <w:rsid w:val="00B41614"/>
    <w:rsid w:val="00B424DB"/>
    <w:rsid w:val="00B424F8"/>
    <w:rsid w:val="00B42851"/>
    <w:rsid w:val="00B429BB"/>
    <w:rsid w:val="00B42D06"/>
    <w:rsid w:val="00B42ED3"/>
    <w:rsid w:val="00B42F80"/>
    <w:rsid w:val="00B43175"/>
    <w:rsid w:val="00B4335E"/>
    <w:rsid w:val="00B435CB"/>
    <w:rsid w:val="00B43665"/>
    <w:rsid w:val="00B436F2"/>
    <w:rsid w:val="00B4383B"/>
    <w:rsid w:val="00B43BFF"/>
    <w:rsid w:val="00B43E96"/>
    <w:rsid w:val="00B44B86"/>
    <w:rsid w:val="00B44B8A"/>
    <w:rsid w:val="00B44DEA"/>
    <w:rsid w:val="00B45065"/>
    <w:rsid w:val="00B45754"/>
    <w:rsid w:val="00B45B24"/>
    <w:rsid w:val="00B45ECC"/>
    <w:rsid w:val="00B45F09"/>
    <w:rsid w:val="00B465EC"/>
    <w:rsid w:val="00B4670A"/>
    <w:rsid w:val="00B46BB4"/>
    <w:rsid w:val="00B47478"/>
    <w:rsid w:val="00B4749F"/>
    <w:rsid w:val="00B50059"/>
    <w:rsid w:val="00B503EC"/>
    <w:rsid w:val="00B505C8"/>
    <w:rsid w:val="00B5062A"/>
    <w:rsid w:val="00B5063A"/>
    <w:rsid w:val="00B50774"/>
    <w:rsid w:val="00B50DB8"/>
    <w:rsid w:val="00B513F9"/>
    <w:rsid w:val="00B52404"/>
    <w:rsid w:val="00B52AFD"/>
    <w:rsid w:val="00B52C02"/>
    <w:rsid w:val="00B52D72"/>
    <w:rsid w:val="00B52DC6"/>
    <w:rsid w:val="00B53139"/>
    <w:rsid w:val="00B53285"/>
    <w:rsid w:val="00B53654"/>
    <w:rsid w:val="00B53905"/>
    <w:rsid w:val="00B53A35"/>
    <w:rsid w:val="00B53DE4"/>
    <w:rsid w:val="00B546DB"/>
    <w:rsid w:val="00B54B5B"/>
    <w:rsid w:val="00B54EEC"/>
    <w:rsid w:val="00B54F36"/>
    <w:rsid w:val="00B54FB3"/>
    <w:rsid w:val="00B55255"/>
    <w:rsid w:val="00B5562E"/>
    <w:rsid w:val="00B5580B"/>
    <w:rsid w:val="00B5581E"/>
    <w:rsid w:val="00B55862"/>
    <w:rsid w:val="00B55922"/>
    <w:rsid w:val="00B55D65"/>
    <w:rsid w:val="00B55F9B"/>
    <w:rsid w:val="00B5617C"/>
    <w:rsid w:val="00B56305"/>
    <w:rsid w:val="00B56362"/>
    <w:rsid w:val="00B563BA"/>
    <w:rsid w:val="00B56CF9"/>
    <w:rsid w:val="00B56F55"/>
    <w:rsid w:val="00B57000"/>
    <w:rsid w:val="00B5744B"/>
    <w:rsid w:val="00B5768E"/>
    <w:rsid w:val="00B57ACE"/>
    <w:rsid w:val="00B57D17"/>
    <w:rsid w:val="00B602D4"/>
    <w:rsid w:val="00B60353"/>
    <w:rsid w:val="00B60939"/>
    <w:rsid w:val="00B60AFD"/>
    <w:rsid w:val="00B60ED0"/>
    <w:rsid w:val="00B61283"/>
    <w:rsid w:val="00B613D2"/>
    <w:rsid w:val="00B61FE1"/>
    <w:rsid w:val="00B622CF"/>
    <w:rsid w:val="00B6248D"/>
    <w:rsid w:val="00B62665"/>
    <w:rsid w:val="00B62715"/>
    <w:rsid w:val="00B62C4A"/>
    <w:rsid w:val="00B62D92"/>
    <w:rsid w:val="00B63020"/>
    <w:rsid w:val="00B630C3"/>
    <w:rsid w:val="00B63321"/>
    <w:rsid w:val="00B63496"/>
    <w:rsid w:val="00B63A46"/>
    <w:rsid w:val="00B64BBC"/>
    <w:rsid w:val="00B64FF9"/>
    <w:rsid w:val="00B650F2"/>
    <w:rsid w:val="00B65184"/>
    <w:rsid w:val="00B65611"/>
    <w:rsid w:val="00B65B0E"/>
    <w:rsid w:val="00B65E61"/>
    <w:rsid w:val="00B661DC"/>
    <w:rsid w:val="00B6698E"/>
    <w:rsid w:val="00B66AE0"/>
    <w:rsid w:val="00B66D4E"/>
    <w:rsid w:val="00B67C36"/>
    <w:rsid w:val="00B7049D"/>
    <w:rsid w:val="00B70C97"/>
    <w:rsid w:val="00B70E8E"/>
    <w:rsid w:val="00B7189E"/>
    <w:rsid w:val="00B71D77"/>
    <w:rsid w:val="00B71F6B"/>
    <w:rsid w:val="00B7207F"/>
    <w:rsid w:val="00B723A6"/>
    <w:rsid w:val="00B7289E"/>
    <w:rsid w:val="00B7451F"/>
    <w:rsid w:val="00B74A30"/>
    <w:rsid w:val="00B75561"/>
    <w:rsid w:val="00B761D3"/>
    <w:rsid w:val="00B76303"/>
    <w:rsid w:val="00B76361"/>
    <w:rsid w:val="00B76964"/>
    <w:rsid w:val="00B76B63"/>
    <w:rsid w:val="00B76C4F"/>
    <w:rsid w:val="00B76C92"/>
    <w:rsid w:val="00B76F4D"/>
    <w:rsid w:val="00B76F7E"/>
    <w:rsid w:val="00B77320"/>
    <w:rsid w:val="00B77CB7"/>
    <w:rsid w:val="00B77CD3"/>
    <w:rsid w:val="00B77D80"/>
    <w:rsid w:val="00B80219"/>
    <w:rsid w:val="00B802CD"/>
    <w:rsid w:val="00B8068A"/>
    <w:rsid w:val="00B80D36"/>
    <w:rsid w:val="00B80EE0"/>
    <w:rsid w:val="00B80EFD"/>
    <w:rsid w:val="00B817D6"/>
    <w:rsid w:val="00B81814"/>
    <w:rsid w:val="00B818A4"/>
    <w:rsid w:val="00B81B7F"/>
    <w:rsid w:val="00B81B89"/>
    <w:rsid w:val="00B81BB6"/>
    <w:rsid w:val="00B81C89"/>
    <w:rsid w:val="00B83506"/>
    <w:rsid w:val="00B83739"/>
    <w:rsid w:val="00B83E94"/>
    <w:rsid w:val="00B840AA"/>
    <w:rsid w:val="00B84117"/>
    <w:rsid w:val="00B844E5"/>
    <w:rsid w:val="00B8461B"/>
    <w:rsid w:val="00B8468F"/>
    <w:rsid w:val="00B84C22"/>
    <w:rsid w:val="00B84DA9"/>
    <w:rsid w:val="00B85081"/>
    <w:rsid w:val="00B852A9"/>
    <w:rsid w:val="00B853FE"/>
    <w:rsid w:val="00B858F0"/>
    <w:rsid w:val="00B85AA2"/>
    <w:rsid w:val="00B85C95"/>
    <w:rsid w:val="00B85F6F"/>
    <w:rsid w:val="00B85F76"/>
    <w:rsid w:val="00B8649C"/>
    <w:rsid w:val="00B868BC"/>
    <w:rsid w:val="00B8695D"/>
    <w:rsid w:val="00B86B34"/>
    <w:rsid w:val="00B86BBF"/>
    <w:rsid w:val="00B86BDB"/>
    <w:rsid w:val="00B86FD1"/>
    <w:rsid w:val="00B87AD2"/>
    <w:rsid w:val="00B87CC5"/>
    <w:rsid w:val="00B87F0A"/>
    <w:rsid w:val="00B90616"/>
    <w:rsid w:val="00B90F95"/>
    <w:rsid w:val="00B90FDF"/>
    <w:rsid w:val="00B910C4"/>
    <w:rsid w:val="00B9123E"/>
    <w:rsid w:val="00B92162"/>
    <w:rsid w:val="00B92381"/>
    <w:rsid w:val="00B9263F"/>
    <w:rsid w:val="00B92652"/>
    <w:rsid w:val="00B92D0B"/>
    <w:rsid w:val="00B93060"/>
    <w:rsid w:val="00B934CE"/>
    <w:rsid w:val="00B938B6"/>
    <w:rsid w:val="00B93CAF"/>
    <w:rsid w:val="00B9462D"/>
    <w:rsid w:val="00B94945"/>
    <w:rsid w:val="00B94ACA"/>
    <w:rsid w:val="00B94DD6"/>
    <w:rsid w:val="00B94E24"/>
    <w:rsid w:val="00B952FC"/>
    <w:rsid w:val="00B953F3"/>
    <w:rsid w:val="00B95921"/>
    <w:rsid w:val="00B95A64"/>
    <w:rsid w:val="00B96847"/>
    <w:rsid w:val="00B96F4C"/>
    <w:rsid w:val="00B96F67"/>
    <w:rsid w:val="00B970A2"/>
    <w:rsid w:val="00B9738C"/>
    <w:rsid w:val="00B97776"/>
    <w:rsid w:val="00B97F01"/>
    <w:rsid w:val="00BA006F"/>
    <w:rsid w:val="00BA00BD"/>
    <w:rsid w:val="00BA0232"/>
    <w:rsid w:val="00BA05B7"/>
    <w:rsid w:val="00BA0824"/>
    <w:rsid w:val="00BA0B3A"/>
    <w:rsid w:val="00BA0C88"/>
    <w:rsid w:val="00BA1504"/>
    <w:rsid w:val="00BA243B"/>
    <w:rsid w:val="00BA2DCE"/>
    <w:rsid w:val="00BA322D"/>
    <w:rsid w:val="00BA3819"/>
    <w:rsid w:val="00BA3B39"/>
    <w:rsid w:val="00BA4209"/>
    <w:rsid w:val="00BA47FE"/>
    <w:rsid w:val="00BA516F"/>
    <w:rsid w:val="00BA57FE"/>
    <w:rsid w:val="00BA5DF7"/>
    <w:rsid w:val="00BA6171"/>
    <w:rsid w:val="00BA63FA"/>
    <w:rsid w:val="00BA6410"/>
    <w:rsid w:val="00BA6603"/>
    <w:rsid w:val="00BA6AD4"/>
    <w:rsid w:val="00BA78BF"/>
    <w:rsid w:val="00BB00B3"/>
    <w:rsid w:val="00BB05C2"/>
    <w:rsid w:val="00BB0BDD"/>
    <w:rsid w:val="00BB0C59"/>
    <w:rsid w:val="00BB0CF4"/>
    <w:rsid w:val="00BB109A"/>
    <w:rsid w:val="00BB176C"/>
    <w:rsid w:val="00BB2A73"/>
    <w:rsid w:val="00BB2AA4"/>
    <w:rsid w:val="00BB2D21"/>
    <w:rsid w:val="00BB3531"/>
    <w:rsid w:val="00BB381B"/>
    <w:rsid w:val="00BB3A45"/>
    <w:rsid w:val="00BB41B0"/>
    <w:rsid w:val="00BB4258"/>
    <w:rsid w:val="00BB47F2"/>
    <w:rsid w:val="00BB4ACC"/>
    <w:rsid w:val="00BB5C13"/>
    <w:rsid w:val="00BB63E8"/>
    <w:rsid w:val="00BB69B3"/>
    <w:rsid w:val="00BB6A1D"/>
    <w:rsid w:val="00BB703E"/>
    <w:rsid w:val="00BB714E"/>
    <w:rsid w:val="00BB732D"/>
    <w:rsid w:val="00BB7405"/>
    <w:rsid w:val="00BB7615"/>
    <w:rsid w:val="00BB767C"/>
    <w:rsid w:val="00BB7F72"/>
    <w:rsid w:val="00BC0017"/>
    <w:rsid w:val="00BC00EC"/>
    <w:rsid w:val="00BC058B"/>
    <w:rsid w:val="00BC059D"/>
    <w:rsid w:val="00BC0807"/>
    <w:rsid w:val="00BC13D6"/>
    <w:rsid w:val="00BC1CBE"/>
    <w:rsid w:val="00BC1D97"/>
    <w:rsid w:val="00BC2252"/>
    <w:rsid w:val="00BC262D"/>
    <w:rsid w:val="00BC2787"/>
    <w:rsid w:val="00BC307A"/>
    <w:rsid w:val="00BC3631"/>
    <w:rsid w:val="00BC419C"/>
    <w:rsid w:val="00BC43A2"/>
    <w:rsid w:val="00BC4629"/>
    <w:rsid w:val="00BC480F"/>
    <w:rsid w:val="00BC4EA7"/>
    <w:rsid w:val="00BC52E9"/>
    <w:rsid w:val="00BC5494"/>
    <w:rsid w:val="00BC591F"/>
    <w:rsid w:val="00BC595F"/>
    <w:rsid w:val="00BC5BDC"/>
    <w:rsid w:val="00BC622E"/>
    <w:rsid w:val="00BC6278"/>
    <w:rsid w:val="00BC67A5"/>
    <w:rsid w:val="00BC6CC5"/>
    <w:rsid w:val="00BC6F5E"/>
    <w:rsid w:val="00BC7252"/>
    <w:rsid w:val="00BC7558"/>
    <w:rsid w:val="00BC7D6D"/>
    <w:rsid w:val="00BD0541"/>
    <w:rsid w:val="00BD0632"/>
    <w:rsid w:val="00BD07C8"/>
    <w:rsid w:val="00BD0847"/>
    <w:rsid w:val="00BD0CE2"/>
    <w:rsid w:val="00BD0D0F"/>
    <w:rsid w:val="00BD0E11"/>
    <w:rsid w:val="00BD0F2C"/>
    <w:rsid w:val="00BD2108"/>
    <w:rsid w:val="00BD2383"/>
    <w:rsid w:val="00BD23F4"/>
    <w:rsid w:val="00BD2A54"/>
    <w:rsid w:val="00BD2B9B"/>
    <w:rsid w:val="00BD3538"/>
    <w:rsid w:val="00BD3832"/>
    <w:rsid w:val="00BD3AC2"/>
    <w:rsid w:val="00BD5441"/>
    <w:rsid w:val="00BD56F8"/>
    <w:rsid w:val="00BD58BD"/>
    <w:rsid w:val="00BD5F6D"/>
    <w:rsid w:val="00BD6532"/>
    <w:rsid w:val="00BD68A3"/>
    <w:rsid w:val="00BD6938"/>
    <w:rsid w:val="00BD6CF3"/>
    <w:rsid w:val="00BD6F10"/>
    <w:rsid w:val="00BD7095"/>
    <w:rsid w:val="00BD7363"/>
    <w:rsid w:val="00BD7F07"/>
    <w:rsid w:val="00BD7F72"/>
    <w:rsid w:val="00BD7FBD"/>
    <w:rsid w:val="00BE0B38"/>
    <w:rsid w:val="00BE0B6C"/>
    <w:rsid w:val="00BE0BD6"/>
    <w:rsid w:val="00BE0ECA"/>
    <w:rsid w:val="00BE0EDD"/>
    <w:rsid w:val="00BE1A19"/>
    <w:rsid w:val="00BE1A6D"/>
    <w:rsid w:val="00BE2180"/>
    <w:rsid w:val="00BE21F2"/>
    <w:rsid w:val="00BE27B3"/>
    <w:rsid w:val="00BE2970"/>
    <w:rsid w:val="00BE2971"/>
    <w:rsid w:val="00BE2982"/>
    <w:rsid w:val="00BE30DF"/>
    <w:rsid w:val="00BE315A"/>
    <w:rsid w:val="00BE4013"/>
    <w:rsid w:val="00BE421C"/>
    <w:rsid w:val="00BE4275"/>
    <w:rsid w:val="00BE45C4"/>
    <w:rsid w:val="00BE47CC"/>
    <w:rsid w:val="00BE49CD"/>
    <w:rsid w:val="00BE4CB6"/>
    <w:rsid w:val="00BE5488"/>
    <w:rsid w:val="00BE5707"/>
    <w:rsid w:val="00BE578B"/>
    <w:rsid w:val="00BE5E99"/>
    <w:rsid w:val="00BE62ED"/>
    <w:rsid w:val="00BE674B"/>
    <w:rsid w:val="00BE67A7"/>
    <w:rsid w:val="00BE7C5C"/>
    <w:rsid w:val="00BE7D1F"/>
    <w:rsid w:val="00BF01E7"/>
    <w:rsid w:val="00BF04F2"/>
    <w:rsid w:val="00BF06AE"/>
    <w:rsid w:val="00BF0951"/>
    <w:rsid w:val="00BF0F95"/>
    <w:rsid w:val="00BF191C"/>
    <w:rsid w:val="00BF2108"/>
    <w:rsid w:val="00BF2433"/>
    <w:rsid w:val="00BF2702"/>
    <w:rsid w:val="00BF2BBB"/>
    <w:rsid w:val="00BF2C58"/>
    <w:rsid w:val="00BF2D06"/>
    <w:rsid w:val="00BF2D34"/>
    <w:rsid w:val="00BF2E6E"/>
    <w:rsid w:val="00BF2F0B"/>
    <w:rsid w:val="00BF3122"/>
    <w:rsid w:val="00BF347B"/>
    <w:rsid w:val="00BF38F2"/>
    <w:rsid w:val="00BF4EE0"/>
    <w:rsid w:val="00BF517C"/>
    <w:rsid w:val="00BF5228"/>
    <w:rsid w:val="00BF52E9"/>
    <w:rsid w:val="00BF5915"/>
    <w:rsid w:val="00BF5A6C"/>
    <w:rsid w:val="00BF5BBD"/>
    <w:rsid w:val="00BF5D3E"/>
    <w:rsid w:val="00BF6005"/>
    <w:rsid w:val="00BF61C9"/>
    <w:rsid w:val="00BF62E3"/>
    <w:rsid w:val="00BF638A"/>
    <w:rsid w:val="00BF66D6"/>
    <w:rsid w:val="00BF6C94"/>
    <w:rsid w:val="00BF77A6"/>
    <w:rsid w:val="00BF799F"/>
    <w:rsid w:val="00BF7B89"/>
    <w:rsid w:val="00BF7C1F"/>
    <w:rsid w:val="00BF7C42"/>
    <w:rsid w:val="00C001D0"/>
    <w:rsid w:val="00C00424"/>
    <w:rsid w:val="00C0052D"/>
    <w:rsid w:val="00C00BB0"/>
    <w:rsid w:val="00C00C8C"/>
    <w:rsid w:val="00C01838"/>
    <w:rsid w:val="00C019EB"/>
    <w:rsid w:val="00C02196"/>
    <w:rsid w:val="00C0224D"/>
    <w:rsid w:val="00C02AEB"/>
    <w:rsid w:val="00C02FEB"/>
    <w:rsid w:val="00C0324E"/>
    <w:rsid w:val="00C0359F"/>
    <w:rsid w:val="00C03AA4"/>
    <w:rsid w:val="00C04119"/>
    <w:rsid w:val="00C042B2"/>
    <w:rsid w:val="00C053D2"/>
    <w:rsid w:val="00C05635"/>
    <w:rsid w:val="00C05888"/>
    <w:rsid w:val="00C0598A"/>
    <w:rsid w:val="00C05FC7"/>
    <w:rsid w:val="00C06026"/>
    <w:rsid w:val="00C0673B"/>
    <w:rsid w:val="00C069F8"/>
    <w:rsid w:val="00C06E27"/>
    <w:rsid w:val="00C0714F"/>
    <w:rsid w:val="00C0723C"/>
    <w:rsid w:val="00C072D4"/>
    <w:rsid w:val="00C072F2"/>
    <w:rsid w:val="00C07756"/>
    <w:rsid w:val="00C077B0"/>
    <w:rsid w:val="00C07C04"/>
    <w:rsid w:val="00C11122"/>
    <w:rsid w:val="00C1179F"/>
    <w:rsid w:val="00C11A24"/>
    <w:rsid w:val="00C11B66"/>
    <w:rsid w:val="00C11CD6"/>
    <w:rsid w:val="00C11FF6"/>
    <w:rsid w:val="00C12103"/>
    <w:rsid w:val="00C12201"/>
    <w:rsid w:val="00C12219"/>
    <w:rsid w:val="00C127B9"/>
    <w:rsid w:val="00C128FA"/>
    <w:rsid w:val="00C12C14"/>
    <w:rsid w:val="00C133E6"/>
    <w:rsid w:val="00C13448"/>
    <w:rsid w:val="00C13B9F"/>
    <w:rsid w:val="00C1421C"/>
    <w:rsid w:val="00C148E5"/>
    <w:rsid w:val="00C1541E"/>
    <w:rsid w:val="00C156A3"/>
    <w:rsid w:val="00C15882"/>
    <w:rsid w:val="00C15F04"/>
    <w:rsid w:val="00C15FFF"/>
    <w:rsid w:val="00C16A1A"/>
    <w:rsid w:val="00C179B3"/>
    <w:rsid w:val="00C17AE0"/>
    <w:rsid w:val="00C17E3F"/>
    <w:rsid w:val="00C200AA"/>
    <w:rsid w:val="00C205EC"/>
    <w:rsid w:val="00C2089C"/>
    <w:rsid w:val="00C20B32"/>
    <w:rsid w:val="00C20C79"/>
    <w:rsid w:val="00C21115"/>
    <w:rsid w:val="00C21625"/>
    <w:rsid w:val="00C21730"/>
    <w:rsid w:val="00C21851"/>
    <w:rsid w:val="00C21D39"/>
    <w:rsid w:val="00C224C8"/>
    <w:rsid w:val="00C2267E"/>
    <w:rsid w:val="00C22845"/>
    <w:rsid w:val="00C22A84"/>
    <w:rsid w:val="00C22D29"/>
    <w:rsid w:val="00C22D9E"/>
    <w:rsid w:val="00C2358A"/>
    <w:rsid w:val="00C237ED"/>
    <w:rsid w:val="00C2395B"/>
    <w:rsid w:val="00C239B5"/>
    <w:rsid w:val="00C23AE1"/>
    <w:rsid w:val="00C23EAE"/>
    <w:rsid w:val="00C2432D"/>
    <w:rsid w:val="00C24632"/>
    <w:rsid w:val="00C24786"/>
    <w:rsid w:val="00C2498D"/>
    <w:rsid w:val="00C24A50"/>
    <w:rsid w:val="00C24B69"/>
    <w:rsid w:val="00C25418"/>
    <w:rsid w:val="00C254BB"/>
    <w:rsid w:val="00C25AB4"/>
    <w:rsid w:val="00C25D9C"/>
    <w:rsid w:val="00C26341"/>
    <w:rsid w:val="00C26542"/>
    <w:rsid w:val="00C26840"/>
    <w:rsid w:val="00C273F5"/>
    <w:rsid w:val="00C2778B"/>
    <w:rsid w:val="00C277B1"/>
    <w:rsid w:val="00C27A0D"/>
    <w:rsid w:val="00C301E4"/>
    <w:rsid w:val="00C3049F"/>
    <w:rsid w:val="00C30F52"/>
    <w:rsid w:val="00C31649"/>
    <w:rsid w:val="00C3175A"/>
    <w:rsid w:val="00C31A40"/>
    <w:rsid w:val="00C31E0E"/>
    <w:rsid w:val="00C32B72"/>
    <w:rsid w:val="00C32DC6"/>
    <w:rsid w:val="00C3361E"/>
    <w:rsid w:val="00C338CE"/>
    <w:rsid w:val="00C33BA8"/>
    <w:rsid w:val="00C3434C"/>
    <w:rsid w:val="00C34985"/>
    <w:rsid w:val="00C35465"/>
    <w:rsid w:val="00C3582E"/>
    <w:rsid w:val="00C35A05"/>
    <w:rsid w:val="00C35BA1"/>
    <w:rsid w:val="00C35C06"/>
    <w:rsid w:val="00C35C7E"/>
    <w:rsid w:val="00C35E97"/>
    <w:rsid w:val="00C362DB"/>
    <w:rsid w:val="00C36407"/>
    <w:rsid w:val="00C36782"/>
    <w:rsid w:val="00C369B0"/>
    <w:rsid w:val="00C36A7D"/>
    <w:rsid w:val="00C36AE1"/>
    <w:rsid w:val="00C36E88"/>
    <w:rsid w:val="00C3713D"/>
    <w:rsid w:val="00C37334"/>
    <w:rsid w:val="00C3797F"/>
    <w:rsid w:val="00C37CF2"/>
    <w:rsid w:val="00C37D88"/>
    <w:rsid w:val="00C40385"/>
    <w:rsid w:val="00C404CC"/>
    <w:rsid w:val="00C40806"/>
    <w:rsid w:val="00C40A42"/>
    <w:rsid w:val="00C41768"/>
    <w:rsid w:val="00C421FB"/>
    <w:rsid w:val="00C42BCC"/>
    <w:rsid w:val="00C42D80"/>
    <w:rsid w:val="00C43876"/>
    <w:rsid w:val="00C43AE3"/>
    <w:rsid w:val="00C445F1"/>
    <w:rsid w:val="00C4551E"/>
    <w:rsid w:val="00C456BB"/>
    <w:rsid w:val="00C45DD0"/>
    <w:rsid w:val="00C45E1E"/>
    <w:rsid w:val="00C46CCB"/>
    <w:rsid w:val="00C475AA"/>
    <w:rsid w:val="00C47EE1"/>
    <w:rsid w:val="00C504ED"/>
    <w:rsid w:val="00C50E13"/>
    <w:rsid w:val="00C51393"/>
    <w:rsid w:val="00C514AC"/>
    <w:rsid w:val="00C51883"/>
    <w:rsid w:val="00C52172"/>
    <w:rsid w:val="00C524BC"/>
    <w:rsid w:val="00C525FA"/>
    <w:rsid w:val="00C527C7"/>
    <w:rsid w:val="00C52D2C"/>
    <w:rsid w:val="00C53643"/>
    <w:rsid w:val="00C53C98"/>
    <w:rsid w:val="00C53DF3"/>
    <w:rsid w:val="00C54AB2"/>
    <w:rsid w:val="00C554FC"/>
    <w:rsid w:val="00C55605"/>
    <w:rsid w:val="00C5602A"/>
    <w:rsid w:val="00C56BDC"/>
    <w:rsid w:val="00C56FCF"/>
    <w:rsid w:val="00C572F6"/>
    <w:rsid w:val="00C574E7"/>
    <w:rsid w:val="00C5770F"/>
    <w:rsid w:val="00C57726"/>
    <w:rsid w:val="00C578B9"/>
    <w:rsid w:val="00C57B2D"/>
    <w:rsid w:val="00C57B6C"/>
    <w:rsid w:val="00C6023F"/>
    <w:rsid w:val="00C60B27"/>
    <w:rsid w:val="00C6103E"/>
    <w:rsid w:val="00C612E5"/>
    <w:rsid w:val="00C61976"/>
    <w:rsid w:val="00C61A59"/>
    <w:rsid w:val="00C61DBE"/>
    <w:rsid w:val="00C61F80"/>
    <w:rsid w:val="00C61FE4"/>
    <w:rsid w:val="00C620FB"/>
    <w:rsid w:val="00C622C8"/>
    <w:rsid w:val="00C624E1"/>
    <w:rsid w:val="00C626B0"/>
    <w:rsid w:val="00C628A6"/>
    <w:rsid w:val="00C62ACB"/>
    <w:rsid w:val="00C63066"/>
    <w:rsid w:val="00C63E85"/>
    <w:rsid w:val="00C640EE"/>
    <w:rsid w:val="00C64289"/>
    <w:rsid w:val="00C64344"/>
    <w:rsid w:val="00C6452B"/>
    <w:rsid w:val="00C649AC"/>
    <w:rsid w:val="00C65108"/>
    <w:rsid w:val="00C65576"/>
    <w:rsid w:val="00C657F0"/>
    <w:rsid w:val="00C65E5B"/>
    <w:rsid w:val="00C66165"/>
    <w:rsid w:val="00C66576"/>
    <w:rsid w:val="00C67257"/>
    <w:rsid w:val="00C67507"/>
    <w:rsid w:val="00C67727"/>
    <w:rsid w:val="00C677A4"/>
    <w:rsid w:val="00C67E84"/>
    <w:rsid w:val="00C7060A"/>
    <w:rsid w:val="00C70E52"/>
    <w:rsid w:val="00C71342"/>
    <w:rsid w:val="00C7151A"/>
    <w:rsid w:val="00C717E3"/>
    <w:rsid w:val="00C71CF1"/>
    <w:rsid w:val="00C71E7F"/>
    <w:rsid w:val="00C71F60"/>
    <w:rsid w:val="00C71F61"/>
    <w:rsid w:val="00C72241"/>
    <w:rsid w:val="00C7270F"/>
    <w:rsid w:val="00C72751"/>
    <w:rsid w:val="00C72DC4"/>
    <w:rsid w:val="00C73632"/>
    <w:rsid w:val="00C739FA"/>
    <w:rsid w:val="00C73C74"/>
    <w:rsid w:val="00C73DE1"/>
    <w:rsid w:val="00C745EF"/>
    <w:rsid w:val="00C747C9"/>
    <w:rsid w:val="00C74C3A"/>
    <w:rsid w:val="00C74C94"/>
    <w:rsid w:val="00C74EF7"/>
    <w:rsid w:val="00C750C8"/>
    <w:rsid w:val="00C75254"/>
    <w:rsid w:val="00C7558E"/>
    <w:rsid w:val="00C755D1"/>
    <w:rsid w:val="00C7560F"/>
    <w:rsid w:val="00C75B8D"/>
    <w:rsid w:val="00C769A2"/>
    <w:rsid w:val="00C76E20"/>
    <w:rsid w:val="00C775EA"/>
    <w:rsid w:val="00C77629"/>
    <w:rsid w:val="00C779EB"/>
    <w:rsid w:val="00C77CBE"/>
    <w:rsid w:val="00C77CF5"/>
    <w:rsid w:val="00C80A0E"/>
    <w:rsid w:val="00C80CF8"/>
    <w:rsid w:val="00C80D6D"/>
    <w:rsid w:val="00C813B2"/>
    <w:rsid w:val="00C81BB1"/>
    <w:rsid w:val="00C8213F"/>
    <w:rsid w:val="00C8246A"/>
    <w:rsid w:val="00C82A7C"/>
    <w:rsid w:val="00C82C91"/>
    <w:rsid w:val="00C82CE8"/>
    <w:rsid w:val="00C8303F"/>
    <w:rsid w:val="00C844BF"/>
    <w:rsid w:val="00C84C6C"/>
    <w:rsid w:val="00C84E55"/>
    <w:rsid w:val="00C85154"/>
    <w:rsid w:val="00C85280"/>
    <w:rsid w:val="00C85A70"/>
    <w:rsid w:val="00C85AB9"/>
    <w:rsid w:val="00C85D03"/>
    <w:rsid w:val="00C85FAF"/>
    <w:rsid w:val="00C86306"/>
    <w:rsid w:val="00C86F0D"/>
    <w:rsid w:val="00C87601"/>
    <w:rsid w:val="00C876E2"/>
    <w:rsid w:val="00C8797A"/>
    <w:rsid w:val="00C900B8"/>
    <w:rsid w:val="00C90161"/>
    <w:rsid w:val="00C90197"/>
    <w:rsid w:val="00C908D4"/>
    <w:rsid w:val="00C90C71"/>
    <w:rsid w:val="00C91FD1"/>
    <w:rsid w:val="00C931CF"/>
    <w:rsid w:val="00C938CF"/>
    <w:rsid w:val="00C94053"/>
    <w:rsid w:val="00C9417B"/>
    <w:rsid w:val="00C94E17"/>
    <w:rsid w:val="00C952CA"/>
    <w:rsid w:val="00C953CE"/>
    <w:rsid w:val="00C95405"/>
    <w:rsid w:val="00C9563B"/>
    <w:rsid w:val="00C9593B"/>
    <w:rsid w:val="00C95CA1"/>
    <w:rsid w:val="00C95DC6"/>
    <w:rsid w:val="00C9624D"/>
    <w:rsid w:val="00C968AF"/>
    <w:rsid w:val="00C969BA"/>
    <w:rsid w:val="00C969DA"/>
    <w:rsid w:val="00C96D5C"/>
    <w:rsid w:val="00C97314"/>
    <w:rsid w:val="00C97565"/>
    <w:rsid w:val="00C97904"/>
    <w:rsid w:val="00CA004C"/>
    <w:rsid w:val="00CA0345"/>
    <w:rsid w:val="00CA067D"/>
    <w:rsid w:val="00CA073D"/>
    <w:rsid w:val="00CA093C"/>
    <w:rsid w:val="00CA15F2"/>
    <w:rsid w:val="00CA1BFB"/>
    <w:rsid w:val="00CA1EAC"/>
    <w:rsid w:val="00CA248E"/>
    <w:rsid w:val="00CA2A38"/>
    <w:rsid w:val="00CA2C77"/>
    <w:rsid w:val="00CA2CD7"/>
    <w:rsid w:val="00CA2D37"/>
    <w:rsid w:val="00CA2F85"/>
    <w:rsid w:val="00CA340E"/>
    <w:rsid w:val="00CA351E"/>
    <w:rsid w:val="00CA42E4"/>
    <w:rsid w:val="00CA444F"/>
    <w:rsid w:val="00CA4613"/>
    <w:rsid w:val="00CA480E"/>
    <w:rsid w:val="00CA482C"/>
    <w:rsid w:val="00CA4B20"/>
    <w:rsid w:val="00CA4B61"/>
    <w:rsid w:val="00CA4B90"/>
    <w:rsid w:val="00CA4D81"/>
    <w:rsid w:val="00CA51B6"/>
    <w:rsid w:val="00CA5245"/>
    <w:rsid w:val="00CA549A"/>
    <w:rsid w:val="00CA6476"/>
    <w:rsid w:val="00CA652C"/>
    <w:rsid w:val="00CA6611"/>
    <w:rsid w:val="00CA6924"/>
    <w:rsid w:val="00CA6973"/>
    <w:rsid w:val="00CA6A4A"/>
    <w:rsid w:val="00CA6C68"/>
    <w:rsid w:val="00CA6CDC"/>
    <w:rsid w:val="00CA6D8B"/>
    <w:rsid w:val="00CA6E53"/>
    <w:rsid w:val="00CA6EF2"/>
    <w:rsid w:val="00CA71F4"/>
    <w:rsid w:val="00CA72F0"/>
    <w:rsid w:val="00CA7511"/>
    <w:rsid w:val="00CA7B09"/>
    <w:rsid w:val="00CA7F85"/>
    <w:rsid w:val="00CA7FA9"/>
    <w:rsid w:val="00CB00A1"/>
    <w:rsid w:val="00CB0A9C"/>
    <w:rsid w:val="00CB0B78"/>
    <w:rsid w:val="00CB108C"/>
    <w:rsid w:val="00CB12A5"/>
    <w:rsid w:val="00CB12EE"/>
    <w:rsid w:val="00CB13E3"/>
    <w:rsid w:val="00CB1660"/>
    <w:rsid w:val="00CB173C"/>
    <w:rsid w:val="00CB1880"/>
    <w:rsid w:val="00CB1CAC"/>
    <w:rsid w:val="00CB2007"/>
    <w:rsid w:val="00CB23BF"/>
    <w:rsid w:val="00CB247C"/>
    <w:rsid w:val="00CB2BB4"/>
    <w:rsid w:val="00CB2D77"/>
    <w:rsid w:val="00CB2F2A"/>
    <w:rsid w:val="00CB2F81"/>
    <w:rsid w:val="00CB3051"/>
    <w:rsid w:val="00CB310B"/>
    <w:rsid w:val="00CB35E9"/>
    <w:rsid w:val="00CB3A8A"/>
    <w:rsid w:val="00CB3BF7"/>
    <w:rsid w:val="00CB4538"/>
    <w:rsid w:val="00CB47B0"/>
    <w:rsid w:val="00CB4F84"/>
    <w:rsid w:val="00CB51C8"/>
    <w:rsid w:val="00CB5550"/>
    <w:rsid w:val="00CB59C7"/>
    <w:rsid w:val="00CB5B1A"/>
    <w:rsid w:val="00CB62A0"/>
    <w:rsid w:val="00CB63A1"/>
    <w:rsid w:val="00CB65BD"/>
    <w:rsid w:val="00CB6B22"/>
    <w:rsid w:val="00CB6B8E"/>
    <w:rsid w:val="00CB6D68"/>
    <w:rsid w:val="00CB71B9"/>
    <w:rsid w:val="00CB7F5F"/>
    <w:rsid w:val="00CC09E8"/>
    <w:rsid w:val="00CC16B2"/>
    <w:rsid w:val="00CC1B39"/>
    <w:rsid w:val="00CC1BFA"/>
    <w:rsid w:val="00CC1CD1"/>
    <w:rsid w:val="00CC1DBA"/>
    <w:rsid w:val="00CC237B"/>
    <w:rsid w:val="00CC2876"/>
    <w:rsid w:val="00CC2A28"/>
    <w:rsid w:val="00CC2AD9"/>
    <w:rsid w:val="00CC2D0D"/>
    <w:rsid w:val="00CC2DB0"/>
    <w:rsid w:val="00CC2E9F"/>
    <w:rsid w:val="00CC2FE2"/>
    <w:rsid w:val="00CC31B5"/>
    <w:rsid w:val="00CC35EA"/>
    <w:rsid w:val="00CC3848"/>
    <w:rsid w:val="00CC3BBC"/>
    <w:rsid w:val="00CC458A"/>
    <w:rsid w:val="00CC4A36"/>
    <w:rsid w:val="00CC4AB1"/>
    <w:rsid w:val="00CC4E45"/>
    <w:rsid w:val="00CC5248"/>
    <w:rsid w:val="00CC5376"/>
    <w:rsid w:val="00CC54BE"/>
    <w:rsid w:val="00CC5815"/>
    <w:rsid w:val="00CC5FBE"/>
    <w:rsid w:val="00CC6A41"/>
    <w:rsid w:val="00CC6D5E"/>
    <w:rsid w:val="00CC6DA6"/>
    <w:rsid w:val="00CC7AD9"/>
    <w:rsid w:val="00CC7B3B"/>
    <w:rsid w:val="00CC7D97"/>
    <w:rsid w:val="00CD0066"/>
    <w:rsid w:val="00CD0200"/>
    <w:rsid w:val="00CD05A5"/>
    <w:rsid w:val="00CD086E"/>
    <w:rsid w:val="00CD0B37"/>
    <w:rsid w:val="00CD0BE1"/>
    <w:rsid w:val="00CD0D5E"/>
    <w:rsid w:val="00CD130B"/>
    <w:rsid w:val="00CD19C1"/>
    <w:rsid w:val="00CD1B70"/>
    <w:rsid w:val="00CD1F3B"/>
    <w:rsid w:val="00CD1FD1"/>
    <w:rsid w:val="00CD20CA"/>
    <w:rsid w:val="00CD2B7E"/>
    <w:rsid w:val="00CD31E2"/>
    <w:rsid w:val="00CD3AD0"/>
    <w:rsid w:val="00CD3F77"/>
    <w:rsid w:val="00CD403E"/>
    <w:rsid w:val="00CD411D"/>
    <w:rsid w:val="00CD449E"/>
    <w:rsid w:val="00CD4994"/>
    <w:rsid w:val="00CD501A"/>
    <w:rsid w:val="00CD575D"/>
    <w:rsid w:val="00CD5938"/>
    <w:rsid w:val="00CD5AF9"/>
    <w:rsid w:val="00CD5AFE"/>
    <w:rsid w:val="00CD5EAA"/>
    <w:rsid w:val="00CD606B"/>
    <w:rsid w:val="00CD6194"/>
    <w:rsid w:val="00CD63F3"/>
    <w:rsid w:val="00CD699C"/>
    <w:rsid w:val="00CD6ADC"/>
    <w:rsid w:val="00CD7193"/>
    <w:rsid w:val="00CD7283"/>
    <w:rsid w:val="00CE0936"/>
    <w:rsid w:val="00CE0CEB"/>
    <w:rsid w:val="00CE0E35"/>
    <w:rsid w:val="00CE189C"/>
    <w:rsid w:val="00CE1D4D"/>
    <w:rsid w:val="00CE2502"/>
    <w:rsid w:val="00CE286D"/>
    <w:rsid w:val="00CE2B2B"/>
    <w:rsid w:val="00CE357F"/>
    <w:rsid w:val="00CE36AC"/>
    <w:rsid w:val="00CE3717"/>
    <w:rsid w:val="00CE38C8"/>
    <w:rsid w:val="00CE4BB5"/>
    <w:rsid w:val="00CE506D"/>
    <w:rsid w:val="00CE524F"/>
    <w:rsid w:val="00CE5278"/>
    <w:rsid w:val="00CE58CC"/>
    <w:rsid w:val="00CE5A47"/>
    <w:rsid w:val="00CE5A69"/>
    <w:rsid w:val="00CE5AC8"/>
    <w:rsid w:val="00CE6274"/>
    <w:rsid w:val="00CE74A2"/>
    <w:rsid w:val="00CE77B6"/>
    <w:rsid w:val="00CE794D"/>
    <w:rsid w:val="00CF01A1"/>
    <w:rsid w:val="00CF01B9"/>
    <w:rsid w:val="00CF052D"/>
    <w:rsid w:val="00CF1538"/>
    <w:rsid w:val="00CF1873"/>
    <w:rsid w:val="00CF1936"/>
    <w:rsid w:val="00CF2B4A"/>
    <w:rsid w:val="00CF2B8D"/>
    <w:rsid w:val="00CF2BCB"/>
    <w:rsid w:val="00CF2C3C"/>
    <w:rsid w:val="00CF3106"/>
    <w:rsid w:val="00CF35B5"/>
    <w:rsid w:val="00CF3A1B"/>
    <w:rsid w:val="00CF3A4D"/>
    <w:rsid w:val="00CF3BD7"/>
    <w:rsid w:val="00CF3D0F"/>
    <w:rsid w:val="00CF3DE6"/>
    <w:rsid w:val="00CF4014"/>
    <w:rsid w:val="00CF456B"/>
    <w:rsid w:val="00CF4593"/>
    <w:rsid w:val="00CF4B20"/>
    <w:rsid w:val="00CF4D12"/>
    <w:rsid w:val="00CF5731"/>
    <w:rsid w:val="00CF5755"/>
    <w:rsid w:val="00CF5A22"/>
    <w:rsid w:val="00CF5A7B"/>
    <w:rsid w:val="00CF5DDD"/>
    <w:rsid w:val="00CF6400"/>
    <w:rsid w:val="00CF781A"/>
    <w:rsid w:val="00CF7CBC"/>
    <w:rsid w:val="00CF7E01"/>
    <w:rsid w:val="00D00BCC"/>
    <w:rsid w:val="00D0175B"/>
    <w:rsid w:val="00D01DBC"/>
    <w:rsid w:val="00D02333"/>
    <w:rsid w:val="00D02444"/>
    <w:rsid w:val="00D024C6"/>
    <w:rsid w:val="00D02537"/>
    <w:rsid w:val="00D0262E"/>
    <w:rsid w:val="00D029E5"/>
    <w:rsid w:val="00D02A14"/>
    <w:rsid w:val="00D02C15"/>
    <w:rsid w:val="00D02EF2"/>
    <w:rsid w:val="00D030FA"/>
    <w:rsid w:val="00D03679"/>
    <w:rsid w:val="00D038FD"/>
    <w:rsid w:val="00D03FDC"/>
    <w:rsid w:val="00D0536B"/>
    <w:rsid w:val="00D057B4"/>
    <w:rsid w:val="00D059FF"/>
    <w:rsid w:val="00D05E3D"/>
    <w:rsid w:val="00D05EF7"/>
    <w:rsid w:val="00D05F4A"/>
    <w:rsid w:val="00D05F8B"/>
    <w:rsid w:val="00D06139"/>
    <w:rsid w:val="00D06226"/>
    <w:rsid w:val="00D067FB"/>
    <w:rsid w:val="00D0731B"/>
    <w:rsid w:val="00D07E7A"/>
    <w:rsid w:val="00D10432"/>
    <w:rsid w:val="00D1059A"/>
    <w:rsid w:val="00D1090C"/>
    <w:rsid w:val="00D10D2C"/>
    <w:rsid w:val="00D110BD"/>
    <w:rsid w:val="00D113FA"/>
    <w:rsid w:val="00D11BF7"/>
    <w:rsid w:val="00D129D0"/>
    <w:rsid w:val="00D12C1A"/>
    <w:rsid w:val="00D13675"/>
    <w:rsid w:val="00D13EC9"/>
    <w:rsid w:val="00D141E1"/>
    <w:rsid w:val="00D14277"/>
    <w:rsid w:val="00D15314"/>
    <w:rsid w:val="00D15B48"/>
    <w:rsid w:val="00D15F61"/>
    <w:rsid w:val="00D166A2"/>
    <w:rsid w:val="00D166F3"/>
    <w:rsid w:val="00D16BA6"/>
    <w:rsid w:val="00D1728D"/>
    <w:rsid w:val="00D17312"/>
    <w:rsid w:val="00D177ED"/>
    <w:rsid w:val="00D17A81"/>
    <w:rsid w:val="00D17D6C"/>
    <w:rsid w:val="00D17EBF"/>
    <w:rsid w:val="00D20270"/>
    <w:rsid w:val="00D20509"/>
    <w:rsid w:val="00D20673"/>
    <w:rsid w:val="00D20A41"/>
    <w:rsid w:val="00D20C18"/>
    <w:rsid w:val="00D20E73"/>
    <w:rsid w:val="00D2155B"/>
    <w:rsid w:val="00D215DD"/>
    <w:rsid w:val="00D2180D"/>
    <w:rsid w:val="00D21B81"/>
    <w:rsid w:val="00D21D3F"/>
    <w:rsid w:val="00D22971"/>
    <w:rsid w:val="00D22AB0"/>
    <w:rsid w:val="00D22DCF"/>
    <w:rsid w:val="00D22EFC"/>
    <w:rsid w:val="00D23208"/>
    <w:rsid w:val="00D23B9D"/>
    <w:rsid w:val="00D23C0E"/>
    <w:rsid w:val="00D23D11"/>
    <w:rsid w:val="00D23F94"/>
    <w:rsid w:val="00D2404A"/>
    <w:rsid w:val="00D24333"/>
    <w:rsid w:val="00D244B6"/>
    <w:rsid w:val="00D249E9"/>
    <w:rsid w:val="00D24A72"/>
    <w:rsid w:val="00D24ABD"/>
    <w:rsid w:val="00D24B8C"/>
    <w:rsid w:val="00D25020"/>
    <w:rsid w:val="00D2531A"/>
    <w:rsid w:val="00D25610"/>
    <w:rsid w:val="00D25D25"/>
    <w:rsid w:val="00D25D8D"/>
    <w:rsid w:val="00D25E93"/>
    <w:rsid w:val="00D263CF"/>
    <w:rsid w:val="00D265BF"/>
    <w:rsid w:val="00D265F9"/>
    <w:rsid w:val="00D26861"/>
    <w:rsid w:val="00D26A49"/>
    <w:rsid w:val="00D2719A"/>
    <w:rsid w:val="00D2754D"/>
    <w:rsid w:val="00D27B27"/>
    <w:rsid w:val="00D30D5B"/>
    <w:rsid w:val="00D310F6"/>
    <w:rsid w:val="00D314CC"/>
    <w:rsid w:val="00D3197C"/>
    <w:rsid w:val="00D32607"/>
    <w:rsid w:val="00D32AE6"/>
    <w:rsid w:val="00D3327D"/>
    <w:rsid w:val="00D33BE9"/>
    <w:rsid w:val="00D33F93"/>
    <w:rsid w:val="00D3490D"/>
    <w:rsid w:val="00D34F68"/>
    <w:rsid w:val="00D351ED"/>
    <w:rsid w:val="00D352A5"/>
    <w:rsid w:val="00D356F7"/>
    <w:rsid w:val="00D357FF"/>
    <w:rsid w:val="00D35803"/>
    <w:rsid w:val="00D35AC0"/>
    <w:rsid w:val="00D36321"/>
    <w:rsid w:val="00D365B2"/>
    <w:rsid w:val="00D36740"/>
    <w:rsid w:val="00D36EDD"/>
    <w:rsid w:val="00D36FBD"/>
    <w:rsid w:val="00D372D7"/>
    <w:rsid w:val="00D372F5"/>
    <w:rsid w:val="00D37CFC"/>
    <w:rsid w:val="00D37EF3"/>
    <w:rsid w:val="00D405EF"/>
    <w:rsid w:val="00D40886"/>
    <w:rsid w:val="00D41007"/>
    <w:rsid w:val="00D41863"/>
    <w:rsid w:val="00D41E7C"/>
    <w:rsid w:val="00D424C7"/>
    <w:rsid w:val="00D426F2"/>
    <w:rsid w:val="00D433C1"/>
    <w:rsid w:val="00D43646"/>
    <w:rsid w:val="00D43B2A"/>
    <w:rsid w:val="00D43B72"/>
    <w:rsid w:val="00D43CF1"/>
    <w:rsid w:val="00D43D83"/>
    <w:rsid w:val="00D43ECF"/>
    <w:rsid w:val="00D44218"/>
    <w:rsid w:val="00D44270"/>
    <w:rsid w:val="00D44462"/>
    <w:rsid w:val="00D4478A"/>
    <w:rsid w:val="00D45484"/>
    <w:rsid w:val="00D46FC7"/>
    <w:rsid w:val="00D4719F"/>
    <w:rsid w:val="00D472AD"/>
    <w:rsid w:val="00D47575"/>
    <w:rsid w:val="00D47599"/>
    <w:rsid w:val="00D477CE"/>
    <w:rsid w:val="00D47A75"/>
    <w:rsid w:val="00D50095"/>
    <w:rsid w:val="00D502B5"/>
    <w:rsid w:val="00D50315"/>
    <w:rsid w:val="00D50C29"/>
    <w:rsid w:val="00D50CE8"/>
    <w:rsid w:val="00D51A8E"/>
    <w:rsid w:val="00D52388"/>
    <w:rsid w:val="00D5243B"/>
    <w:rsid w:val="00D524AF"/>
    <w:rsid w:val="00D52C2D"/>
    <w:rsid w:val="00D530F1"/>
    <w:rsid w:val="00D533EC"/>
    <w:rsid w:val="00D53EFF"/>
    <w:rsid w:val="00D549DE"/>
    <w:rsid w:val="00D54BE7"/>
    <w:rsid w:val="00D54FB7"/>
    <w:rsid w:val="00D55A0E"/>
    <w:rsid w:val="00D55C21"/>
    <w:rsid w:val="00D5621D"/>
    <w:rsid w:val="00D563A4"/>
    <w:rsid w:val="00D56A95"/>
    <w:rsid w:val="00D56B86"/>
    <w:rsid w:val="00D56DC5"/>
    <w:rsid w:val="00D576C6"/>
    <w:rsid w:val="00D57B7F"/>
    <w:rsid w:val="00D57C3C"/>
    <w:rsid w:val="00D57F4B"/>
    <w:rsid w:val="00D6009A"/>
    <w:rsid w:val="00D60597"/>
    <w:rsid w:val="00D6076E"/>
    <w:rsid w:val="00D60F49"/>
    <w:rsid w:val="00D612CC"/>
    <w:rsid w:val="00D620CB"/>
    <w:rsid w:val="00D6224B"/>
    <w:rsid w:val="00D63F02"/>
    <w:rsid w:val="00D63F66"/>
    <w:rsid w:val="00D640B9"/>
    <w:rsid w:val="00D643A8"/>
    <w:rsid w:val="00D64A30"/>
    <w:rsid w:val="00D64A62"/>
    <w:rsid w:val="00D64B2B"/>
    <w:rsid w:val="00D64D64"/>
    <w:rsid w:val="00D64E01"/>
    <w:rsid w:val="00D64ECD"/>
    <w:rsid w:val="00D651F6"/>
    <w:rsid w:val="00D65CF8"/>
    <w:rsid w:val="00D65DB4"/>
    <w:rsid w:val="00D65ED5"/>
    <w:rsid w:val="00D66609"/>
    <w:rsid w:val="00D66833"/>
    <w:rsid w:val="00D67229"/>
    <w:rsid w:val="00D67439"/>
    <w:rsid w:val="00D67562"/>
    <w:rsid w:val="00D705CF"/>
    <w:rsid w:val="00D706A9"/>
    <w:rsid w:val="00D70AE8"/>
    <w:rsid w:val="00D70F16"/>
    <w:rsid w:val="00D71528"/>
    <w:rsid w:val="00D7161E"/>
    <w:rsid w:val="00D72617"/>
    <w:rsid w:val="00D72A43"/>
    <w:rsid w:val="00D72C42"/>
    <w:rsid w:val="00D72F56"/>
    <w:rsid w:val="00D72F57"/>
    <w:rsid w:val="00D73173"/>
    <w:rsid w:val="00D731A3"/>
    <w:rsid w:val="00D739B3"/>
    <w:rsid w:val="00D7478B"/>
    <w:rsid w:val="00D74E9C"/>
    <w:rsid w:val="00D7543C"/>
    <w:rsid w:val="00D756F4"/>
    <w:rsid w:val="00D761CD"/>
    <w:rsid w:val="00D761FF"/>
    <w:rsid w:val="00D7683C"/>
    <w:rsid w:val="00D76A44"/>
    <w:rsid w:val="00D76F17"/>
    <w:rsid w:val="00D773BA"/>
    <w:rsid w:val="00D7796C"/>
    <w:rsid w:val="00D7796F"/>
    <w:rsid w:val="00D77CFC"/>
    <w:rsid w:val="00D80701"/>
    <w:rsid w:val="00D80C60"/>
    <w:rsid w:val="00D80FD3"/>
    <w:rsid w:val="00D811EF"/>
    <w:rsid w:val="00D814C4"/>
    <w:rsid w:val="00D815EF"/>
    <w:rsid w:val="00D81949"/>
    <w:rsid w:val="00D81994"/>
    <w:rsid w:val="00D81A42"/>
    <w:rsid w:val="00D81F26"/>
    <w:rsid w:val="00D822E2"/>
    <w:rsid w:val="00D82515"/>
    <w:rsid w:val="00D829AA"/>
    <w:rsid w:val="00D829CE"/>
    <w:rsid w:val="00D82A36"/>
    <w:rsid w:val="00D82C09"/>
    <w:rsid w:val="00D830AD"/>
    <w:rsid w:val="00D8316E"/>
    <w:rsid w:val="00D8383A"/>
    <w:rsid w:val="00D8398B"/>
    <w:rsid w:val="00D839D7"/>
    <w:rsid w:val="00D84052"/>
    <w:rsid w:val="00D843F2"/>
    <w:rsid w:val="00D84765"/>
    <w:rsid w:val="00D847C1"/>
    <w:rsid w:val="00D84A7B"/>
    <w:rsid w:val="00D84CF1"/>
    <w:rsid w:val="00D84F28"/>
    <w:rsid w:val="00D84FA7"/>
    <w:rsid w:val="00D85271"/>
    <w:rsid w:val="00D85491"/>
    <w:rsid w:val="00D8567E"/>
    <w:rsid w:val="00D857BC"/>
    <w:rsid w:val="00D85955"/>
    <w:rsid w:val="00D86231"/>
    <w:rsid w:val="00D866AA"/>
    <w:rsid w:val="00D86976"/>
    <w:rsid w:val="00D86AE4"/>
    <w:rsid w:val="00D86B8C"/>
    <w:rsid w:val="00D86BB7"/>
    <w:rsid w:val="00D86BEA"/>
    <w:rsid w:val="00D86F99"/>
    <w:rsid w:val="00D879E1"/>
    <w:rsid w:val="00D87D55"/>
    <w:rsid w:val="00D87DBC"/>
    <w:rsid w:val="00D90324"/>
    <w:rsid w:val="00D90E2D"/>
    <w:rsid w:val="00D912AB"/>
    <w:rsid w:val="00D91320"/>
    <w:rsid w:val="00D918B5"/>
    <w:rsid w:val="00D91923"/>
    <w:rsid w:val="00D92D9D"/>
    <w:rsid w:val="00D92E6A"/>
    <w:rsid w:val="00D934EB"/>
    <w:rsid w:val="00D93753"/>
    <w:rsid w:val="00D93CAA"/>
    <w:rsid w:val="00D942BD"/>
    <w:rsid w:val="00D94D1F"/>
    <w:rsid w:val="00D9517A"/>
    <w:rsid w:val="00D95594"/>
    <w:rsid w:val="00D955EE"/>
    <w:rsid w:val="00D95F96"/>
    <w:rsid w:val="00D95FA7"/>
    <w:rsid w:val="00D9623D"/>
    <w:rsid w:val="00D96BD4"/>
    <w:rsid w:val="00D96CF6"/>
    <w:rsid w:val="00D96FC5"/>
    <w:rsid w:val="00D970BF"/>
    <w:rsid w:val="00D97150"/>
    <w:rsid w:val="00D976E6"/>
    <w:rsid w:val="00D97841"/>
    <w:rsid w:val="00D97C25"/>
    <w:rsid w:val="00D97C8C"/>
    <w:rsid w:val="00D97D92"/>
    <w:rsid w:val="00DA00D4"/>
    <w:rsid w:val="00DA0591"/>
    <w:rsid w:val="00DA121B"/>
    <w:rsid w:val="00DA158A"/>
    <w:rsid w:val="00DA1594"/>
    <w:rsid w:val="00DA18E2"/>
    <w:rsid w:val="00DA226C"/>
    <w:rsid w:val="00DA2A05"/>
    <w:rsid w:val="00DA3167"/>
    <w:rsid w:val="00DA328C"/>
    <w:rsid w:val="00DA34B5"/>
    <w:rsid w:val="00DA3648"/>
    <w:rsid w:val="00DA3D98"/>
    <w:rsid w:val="00DA3E3E"/>
    <w:rsid w:val="00DA3F02"/>
    <w:rsid w:val="00DA402B"/>
    <w:rsid w:val="00DA412F"/>
    <w:rsid w:val="00DA4A32"/>
    <w:rsid w:val="00DA4D97"/>
    <w:rsid w:val="00DA4DC3"/>
    <w:rsid w:val="00DA56E0"/>
    <w:rsid w:val="00DA5A1C"/>
    <w:rsid w:val="00DA604C"/>
    <w:rsid w:val="00DA74AC"/>
    <w:rsid w:val="00DA75A1"/>
    <w:rsid w:val="00DA7737"/>
    <w:rsid w:val="00DA77A5"/>
    <w:rsid w:val="00DA7C58"/>
    <w:rsid w:val="00DA7D65"/>
    <w:rsid w:val="00DB095E"/>
    <w:rsid w:val="00DB0E36"/>
    <w:rsid w:val="00DB0F35"/>
    <w:rsid w:val="00DB11CB"/>
    <w:rsid w:val="00DB168C"/>
    <w:rsid w:val="00DB18B2"/>
    <w:rsid w:val="00DB1DEB"/>
    <w:rsid w:val="00DB26BE"/>
    <w:rsid w:val="00DB2723"/>
    <w:rsid w:val="00DB292E"/>
    <w:rsid w:val="00DB3275"/>
    <w:rsid w:val="00DB3DBF"/>
    <w:rsid w:val="00DB454B"/>
    <w:rsid w:val="00DB455F"/>
    <w:rsid w:val="00DB484F"/>
    <w:rsid w:val="00DB499A"/>
    <w:rsid w:val="00DB4B05"/>
    <w:rsid w:val="00DB5232"/>
    <w:rsid w:val="00DB551C"/>
    <w:rsid w:val="00DB651C"/>
    <w:rsid w:val="00DB7CFD"/>
    <w:rsid w:val="00DB7D82"/>
    <w:rsid w:val="00DB7DB9"/>
    <w:rsid w:val="00DB7DCD"/>
    <w:rsid w:val="00DC04F6"/>
    <w:rsid w:val="00DC0690"/>
    <w:rsid w:val="00DC0815"/>
    <w:rsid w:val="00DC0C0A"/>
    <w:rsid w:val="00DC10CF"/>
    <w:rsid w:val="00DC15AC"/>
    <w:rsid w:val="00DC1925"/>
    <w:rsid w:val="00DC1D65"/>
    <w:rsid w:val="00DC1E14"/>
    <w:rsid w:val="00DC1E6F"/>
    <w:rsid w:val="00DC1FE2"/>
    <w:rsid w:val="00DC295D"/>
    <w:rsid w:val="00DC2BD5"/>
    <w:rsid w:val="00DC301A"/>
    <w:rsid w:val="00DC3C57"/>
    <w:rsid w:val="00DC3CAA"/>
    <w:rsid w:val="00DC3E33"/>
    <w:rsid w:val="00DC3EF2"/>
    <w:rsid w:val="00DC3F89"/>
    <w:rsid w:val="00DC3FB2"/>
    <w:rsid w:val="00DC3FE5"/>
    <w:rsid w:val="00DC433C"/>
    <w:rsid w:val="00DC4375"/>
    <w:rsid w:val="00DC5100"/>
    <w:rsid w:val="00DC5501"/>
    <w:rsid w:val="00DC5588"/>
    <w:rsid w:val="00DC5DE4"/>
    <w:rsid w:val="00DC621B"/>
    <w:rsid w:val="00DC696C"/>
    <w:rsid w:val="00DC6A1B"/>
    <w:rsid w:val="00DC6A81"/>
    <w:rsid w:val="00DC6DB6"/>
    <w:rsid w:val="00DC6E16"/>
    <w:rsid w:val="00DC7154"/>
    <w:rsid w:val="00DC75A7"/>
    <w:rsid w:val="00DC7758"/>
    <w:rsid w:val="00DC779B"/>
    <w:rsid w:val="00DC7E8A"/>
    <w:rsid w:val="00DC7F11"/>
    <w:rsid w:val="00DC7F44"/>
    <w:rsid w:val="00DD054C"/>
    <w:rsid w:val="00DD0B70"/>
    <w:rsid w:val="00DD0F78"/>
    <w:rsid w:val="00DD11D3"/>
    <w:rsid w:val="00DD139C"/>
    <w:rsid w:val="00DD16F3"/>
    <w:rsid w:val="00DD1BA6"/>
    <w:rsid w:val="00DD1FA9"/>
    <w:rsid w:val="00DD273C"/>
    <w:rsid w:val="00DD27CD"/>
    <w:rsid w:val="00DD3758"/>
    <w:rsid w:val="00DD3D3B"/>
    <w:rsid w:val="00DD3F28"/>
    <w:rsid w:val="00DD43DB"/>
    <w:rsid w:val="00DD4446"/>
    <w:rsid w:val="00DD4537"/>
    <w:rsid w:val="00DD48F8"/>
    <w:rsid w:val="00DD49FC"/>
    <w:rsid w:val="00DD4C24"/>
    <w:rsid w:val="00DD4DC5"/>
    <w:rsid w:val="00DD4E15"/>
    <w:rsid w:val="00DD51F8"/>
    <w:rsid w:val="00DD531E"/>
    <w:rsid w:val="00DD56CB"/>
    <w:rsid w:val="00DD5856"/>
    <w:rsid w:val="00DD5A89"/>
    <w:rsid w:val="00DD5C7A"/>
    <w:rsid w:val="00DD5DB6"/>
    <w:rsid w:val="00DD6C21"/>
    <w:rsid w:val="00DD726F"/>
    <w:rsid w:val="00DD76CB"/>
    <w:rsid w:val="00DE0093"/>
    <w:rsid w:val="00DE06E8"/>
    <w:rsid w:val="00DE2304"/>
    <w:rsid w:val="00DE285D"/>
    <w:rsid w:val="00DE2A75"/>
    <w:rsid w:val="00DE2C17"/>
    <w:rsid w:val="00DE3138"/>
    <w:rsid w:val="00DE3351"/>
    <w:rsid w:val="00DE33D7"/>
    <w:rsid w:val="00DE3543"/>
    <w:rsid w:val="00DE37F8"/>
    <w:rsid w:val="00DE382F"/>
    <w:rsid w:val="00DE3B99"/>
    <w:rsid w:val="00DE4273"/>
    <w:rsid w:val="00DE4809"/>
    <w:rsid w:val="00DE4E60"/>
    <w:rsid w:val="00DE4FCB"/>
    <w:rsid w:val="00DE5D07"/>
    <w:rsid w:val="00DE5D1B"/>
    <w:rsid w:val="00DE6047"/>
    <w:rsid w:val="00DE61BD"/>
    <w:rsid w:val="00DE6213"/>
    <w:rsid w:val="00DE6B92"/>
    <w:rsid w:val="00DE6D8D"/>
    <w:rsid w:val="00DE6E5F"/>
    <w:rsid w:val="00DE7069"/>
    <w:rsid w:val="00DE72A7"/>
    <w:rsid w:val="00DE7832"/>
    <w:rsid w:val="00DE7A8B"/>
    <w:rsid w:val="00DE7CE5"/>
    <w:rsid w:val="00DE7EB3"/>
    <w:rsid w:val="00DF0348"/>
    <w:rsid w:val="00DF0AA8"/>
    <w:rsid w:val="00DF0B98"/>
    <w:rsid w:val="00DF0BF7"/>
    <w:rsid w:val="00DF0F2E"/>
    <w:rsid w:val="00DF1070"/>
    <w:rsid w:val="00DF10C3"/>
    <w:rsid w:val="00DF12DE"/>
    <w:rsid w:val="00DF18FC"/>
    <w:rsid w:val="00DF1985"/>
    <w:rsid w:val="00DF1CEC"/>
    <w:rsid w:val="00DF1F13"/>
    <w:rsid w:val="00DF203A"/>
    <w:rsid w:val="00DF23D5"/>
    <w:rsid w:val="00DF2752"/>
    <w:rsid w:val="00DF335C"/>
    <w:rsid w:val="00DF33F5"/>
    <w:rsid w:val="00DF3A4B"/>
    <w:rsid w:val="00DF3D1B"/>
    <w:rsid w:val="00DF4277"/>
    <w:rsid w:val="00DF43A9"/>
    <w:rsid w:val="00DF4556"/>
    <w:rsid w:val="00DF498F"/>
    <w:rsid w:val="00DF4EB3"/>
    <w:rsid w:val="00DF50ED"/>
    <w:rsid w:val="00DF5A9D"/>
    <w:rsid w:val="00DF5B25"/>
    <w:rsid w:val="00DF5D2B"/>
    <w:rsid w:val="00DF5DFA"/>
    <w:rsid w:val="00DF6232"/>
    <w:rsid w:val="00DF6341"/>
    <w:rsid w:val="00DF64B4"/>
    <w:rsid w:val="00DF6FC4"/>
    <w:rsid w:val="00DF700C"/>
    <w:rsid w:val="00DF7491"/>
    <w:rsid w:val="00DF7977"/>
    <w:rsid w:val="00DF7C06"/>
    <w:rsid w:val="00E00380"/>
    <w:rsid w:val="00E00C4A"/>
    <w:rsid w:val="00E00E58"/>
    <w:rsid w:val="00E00E8E"/>
    <w:rsid w:val="00E0171A"/>
    <w:rsid w:val="00E018AC"/>
    <w:rsid w:val="00E02090"/>
    <w:rsid w:val="00E023A9"/>
    <w:rsid w:val="00E03B53"/>
    <w:rsid w:val="00E03B67"/>
    <w:rsid w:val="00E044A3"/>
    <w:rsid w:val="00E049E4"/>
    <w:rsid w:val="00E05393"/>
    <w:rsid w:val="00E05630"/>
    <w:rsid w:val="00E0580E"/>
    <w:rsid w:val="00E060B0"/>
    <w:rsid w:val="00E06130"/>
    <w:rsid w:val="00E06383"/>
    <w:rsid w:val="00E067EF"/>
    <w:rsid w:val="00E06DBB"/>
    <w:rsid w:val="00E06DBD"/>
    <w:rsid w:val="00E06FDD"/>
    <w:rsid w:val="00E075AD"/>
    <w:rsid w:val="00E075B7"/>
    <w:rsid w:val="00E07C2C"/>
    <w:rsid w:val="00E10149"/>
    <w:rsid w:val="00E104C6"/>
    <w:rsid w:val="00E104ED"/>
    <w:rsid w:val="00E10A3F"/>
    <w:rsid w:val="00E10CFE"/>
    <w:rsid w:val="00E10F86"/>
    <w:rsid w:val="00E11132"/>
    <w:rsid w:val="00E11340"/>
    <w:rsid w:val="00E11BFD"/>
    <w:rsid w:val="00E121EF"/>
    <w:rsid w:val="00E122A1"/>
    <w:rsid w:val="00E125B4"/>
    <w:rsid w:val="00E127FF"/>
    <w:rsid w:val="00E12AB3"/>
    <w:rsid w:val="00E12C38"/>
    <w:rsid w:val="00E142EA"/>
    <w:rsid w:val="00E14684"/>
    <w:rsid w:val="00E14A89"/>
    <w:rsid w:val="00E1513C"/>
    <w:rsid w:val="00E15214"/>
    <w:rsid w:val="00E157A9"/>
    <w:rsid w:val="00E15DFA"/>
    <w:rsid w:val="00E16372"/>
    <w:rsid w:val="00E16675"/>
    <w:rsid w:val="00E16AD8"/>
    <w:rsid w:val="00E16E45"/>
    <w:rsid w:val="00E16F73"/>
    <w:rsid w:val="00E171B6"/>
    <w:rsid w:val="00E174AC"/>
    <w:rsid w:val="00E17964"/>
    <w:rsid w:val="00E17A1D"/>
    <w:rsid w:val="00E17E7F"/>
    <w:rsid w:val="00E17FFA"/>
    <w:rsid w:val="00E20003"/>
    <w:rsid w:val="00E200A3"/>
    <w:rsid w:val="00E201AE"/>
    <w:rsid w:val="00E2063B"/>
    <w:rsid w:val="00E20E4D"/>
    <w:rsid w:val="00E20ED6"/>
    <w:rsid w:val="00E20F84"/>
    <w:rsid w:val="00E20FA0"/>
    <w:rsid w:val="00E21358"/>
    <w:rsid w:val="00E21755"/>
    <w:rsid w:val="00E21B41"/>
    <w:rsid w:val="00E21C2E"/>
    <w:rsid w:val="00E2211F"/>
    <w:rsid w:val="00E2249B"/>
    <w:rsid w:val="00E22509"/>
    <w:rsid w:val="00E229FB"/>
    <w:rsid w:val="00E22A0D"/>
    <w:rsid w:val="00E23629"/>
    <w:rsid w:val="00E236BE"/>
    <w:rsid w:val="00E244F6"/>
    <w:rsid w:val="00E24747"/>
    <w:rsid w:val="00E24BDE"/>
    <w:rsid w:val="00E24F5B"/>
    <w:rsid w:val="00E256F3"/>
    <w:rsid w:val="00E258DB"/>
    <w:rsid w:val="00E25C6D"/>
    <w:rsid w:val="00E25E40"/>
    <w:rsid w:val="00E25EB7"/>
    <w:rsid w:val="00E26298"/>
    <w:rsid w:val="00E27100"/>
    <w:rsid w:val="00E27658"/>
    <w:rsid w:val="00E2771E"/>
    <w:rsid w:val="00E279E8"/>
    <w:rsid w:val="00E27B15"/>
    <w:rsid w:val="00E30424"/>
    <w:rsid w:val="00E305E3"/>
    <w:rsid w:val="00E309FA"/>
    <w:rsid w:val="00E311EF"/>
    <w:rsid w:val="00E316A8"/>
    <w:rsid w:val="00E31BE1"/>
    <w:rsid w:val="00E31FFC"/>
    <w:rsid w:val="00E32180"/>
    <w:rsid w:val="00E32D27"/>
    <w:rsid w:val="00E330CC"/>
    <w:rsid w:val="00E3314A"/>
    <w:rsid w:val="00E340C6"/>
    <w:rsid w:val="00E340EC"/>
    <w:rsid w:val="00E341A8"/>
    <w:rsid w:val="00E34505"/>
    <w:rsid w:val="00E3468B"/>
    <w:rsid w:val="00E346C6"/>
    <w:rsid w:val="00E34772"/>
    <w:rsid w:val="00E34948"/>
    <w:rsid w:val="00E34C1F"/>
    <w:rsid w:val="00E35537"/>
    <w:rsid w:val="00E3592F"/>
    <w:rsid w:val="00E36A49"/>
    <w:rsid w:val="00E36AC2"/>
    <w:rsid w:val="00E36B3E"/>
    <w:rsid w:val="00E36FD1"/>
    <w:rsid w:val="00E37443"/>
    <w:rsid w:val="00E37569"/>
    <w:rsid w:val="00E37B6F"/>
    <w:rsid w:val="00E37C4F"/>
    <w:rsid w:val="00E40072"/>
    <w:rsid w:val="00E401B2"/>
    <w:rsid w:val="00E40384"/>
    <w:rsid w:val="00E40984"/>
    <w:rsid w:val="00E4105D"/>
    <w:rsid w:val="00E41E30"/>
    <w:rsid w:val="00E41E8F"/>
    <w:rsid w:val="00E420E0"/>
    <w:rsid w:val="00E42666"/>
    <w:rsid w:val="00E4269A"/>
    <w:rsid w:val="00E42713"/>
    <w:rsid w:val="00E429F4"/>
    <w:rsid w:val="00E42A24"/>
    <w:rsid w:val="00E42BFF"/>
    <w:rsid w:val="00E42CA9"/>
    <w:rsid w:val="00E42E7E"/>
    <w:rsid w:val="00E42F73"/>
    <w:rsid w:val="00E42FCE"/>
    <w:rsid w:val="00E439D6"/>
    <w:rsid w:val="00E43CC4"/>
    <w:rsid w:val="00E43D70"/>
    <w:rsid w:val="00E44433"/>
    <w:rsid w:val="00E446C3"/>
    <w:rsid w:val="00E44905"/>
    <w:rsid w:val="00E44C56"/>
    <w:rsid w:val="00E44CCA"/>
    <w:rsid w:val="00E44D47"/>
    <w:rsid w:val="00E4522F"/>
    <w:rsid w:val="00E45260"/>
    <w:rsid w:val="00E452A1"/>
    <w:rsid w:val="00E4531A"/>
    <w:rsid w:val="00E453A7"/>
    <w:rsid w:val="00E453ED"/>
    <w:rsid w:val="00E457CD"/>
    <w:rsid w:val="00E45EB9"/>
    <w:rsid w:val="00E46488"/>
    <w:rsid w:val="00E466ED"/>
    <w:rsid w:val="00E466F3"/>
    <w:rsid w:val="00E46F35"/>
    <w:rsid w:val="00E47125"/>
    <w:rsid w:val="00E47441"/>
    <w:rsid w:val="00E47451"/>
    <w:rsid w:val="00E47A4E"/>
    <w:rsid w:val="00E47B2C"/>
    <w:rsid w:val="00E47BD6"/>
    <w:rsid w:val="00E47C36"/>
    <w:rsid w:val="00E47F32"/>
    <w:rsid w:val="00E50188"/>
    <w:rsid w:val="00E512C5"/>
    <w:rsid w:val="00E51560"/>
    <w:rsid w:val="00E51821"/>
    <w:rsid w:val="00E51834"/>
    <w:rsid w:val="00E522DD"/>
    <w:rsid w:val="00E52415"/>
    <w:rsid w:val="00E52975"/>
    <w:rsid w:val="00E536E1"/>
    <w:rsid w:val="00E5375A"/>
    <w:rsid w:val="00E53A5A"/>
    <w:rsid w:val="00E53FC8"/>
    <w:rsid w:val="00E54045"/>
    <w:rsid w:val="00E54152"/>
    <w:rsid w:val="00E54347"/>
    <w:rsid w:val="00E55046"/>
    <w:rsid w:val="00E55103"/>
    <w:rsid w:val="00E55424"/>
    <w:rsid w:val="00E555D9"/>
    <w:rsid w:val="00E556AF"/>
    <w:rsid w:val="00E5576A"/>
    <w:rsid w:val="00E558FE"/>
    <w:rsid w:val="00E55915"/>
    <w:rsid w:val="00E55ADC"/>
    <w:rsid w:val="00E55BB5"/>
    <w:rsid w:val="00E55E6A"/>
    <w:rsid w:val="00E568BB"/>
    <w:rsid w:val="00E57245"/>
    <w:rsid w:val="00E5748A"/>
    <w:rsid w:val="00E57674"/>
    <w:rsid w:val="00E5790E"/>
    <w:rsid w:val="00E57928"/>
    <w:rsid w:val="00E57F51"/>
    <w:rsid w:val="00E603F9"/>
    <w:rsid w:val="00E60F27"/>
    <w:rsid w:val="00E611DF"/>
    <w:rsid w:val="00E61566"/>
    <w:rsid w:val="00E6169C"/>
    <w:rsid w:val="00E61789"/>
    <w:rsid w:val="00E61B14"/>
    <w:rsid w:val="00E62207"/>
    <w:rsid w:val="00E625E1"/>
    <w:rsid w:val="00E62F79"/>
    <w:rsid w:val="00E637B0"/>
    <w:rsid w:val="00E6492A"/>
    <w:rsid w:val="00E64A58"/>
    <w:rsid w:val="00E65008"/>
    <w:rsid w:val="00E65069"/>
    <w:rsid w:val="00E650E8"/>
    <w:rsid w:val="00E651C0"/>
    <w:rsid w:val="00E6525E"/>
    <w:rsid w:val="00E65366"/>
    <w:rsid w:val="00E65957"/>
    <w:rsid w:val="00E65B4E"/>
    <w:rsid w:val="00E65CF4"/>
    <w:rsid w:val="00E65E79"/>
    <w:rsid w:val="00E66B08"/>
    <w:rsid w:val="00E66BA2"/>
    <w:rsid w:val="00E66C14"/>
    <w:rsid w:val="00E67416"/>
    <w:rsid w:val="00E67839"/>
    <w:rsid w:val="00E67A9E"/>
    <w:rsid w:val="00E701A4"/>
    <w:rsid w:val="00E705EE"/>
    <w:rsid w:val="00E707C4"/>
    <w:rsid w:val="00E708D9"/>
    <w:rsid w:val="00E70AA1"/>
    <w:rsid w:val="00E70F8B"/>
    <w:rsid w:val="00E70F90"/>
    <w:rsid w:val="00E70F94"/>
    <w:rsid w:val="00E711E4"/>
    <w:rsid w:val="00E713D4"/>
    <w:rsid w:val="00E718B6"/>
    <w:rsid w:val="00E71AC4"/>
    <w:rsid w:val="00E71E39"/>
    <w:rsid w:val="00E71E64"/>
    <w:rsid w:val="00E723BA"/>
    <w:rsid w:val="00E72632"/>
    <w:rsid w:val="00E726B9"/>
    <w:rsid w:val="00E729C7"/>
    <w:rsid w:val="00E729C9"/>
    <w:rsid w:val="00E72A6B"/>
    <w:rsid w:val="00E72E3E"/>
    <w:rsid w:val="00E73225"/>
    <w:rsid w:val="00E7322D"/>
    <w:rsid w:val="00E734C2"/>
    <w:rsid w:val="00E73581"/>
    <w:rsid w:val="00E73D18"/>
    <w:rsid w:val="00E73E4A"/>
    <w:rsid w:val="00E74374"/>
    <w:rsid w:val="00E7445C"/>
    <w:rsid w:val="00E7456D"/>
    <w:rsid w:val="00E749B5"/>
    <w:rsid w:val="00E74FA5"/>
    <w:rsid w:val="00E75091"/>
    <w:rsid w:val="00E752DA"/>
    <w:rsid w:val="00E7552B"/>
    <w:rsid w:val="00E7570C"/>
    <w:rsid w:val="00E76765"/>
    <w:rsid w:val="00E76AA4"/>
    <w:rsid w:val="00E76C95"/>
    <w:rsid w:val="00E76E52"/>
    <w:rsid w:val="00E76E7E"/>
    <w:rsid w:val="00E76EFA"/>
    <w:rsid w:val="00E775E7"/>
    <w:rsid w:val="00E77AF4"/>
    <w:rsid w:val="00E80407"/>
    <w:rsid w:val="00E80BF2"/>
    <w:rsid w:val="00E80D92"/>
    <w:rsid w:val="00E8152F"/>
    <w:rsid w:val="00E81DBB"/>
    <w:rsid w:val="00E81F3F"/>
    <w:rsid w:val="00E8231C"/>
    <w:rsid w:val="00E82355"/>
    <w:rsid w:val="00E82DD7"/>
    <w:rsid w:val="00E82E7B"/>
    <w:rsid w:val="00E833F7"/>
    <w:rsid w:val="00E83BDF"/>
    <w:rsid w:val="00E83BF4"/>
    <w:rsid w:val="00E84056"/>
    <w:rsid w:val="00E840BD"/>
    <w:rsid w:val="00E846EA"/>
    <w:rsid w:val="00E8522B"/>
    <w:rsid w:val="00E85579"/>
    <w:rsid w:val="00E85D41"/>
    <w:rsid w:val="00E85F8C"/>
    <w:rsid w:val="00E862C4"/>
    <w:rsid w:val="00E866BD"/>
    <w:rsid w:val="00E86ABD"/>
    <w:rsid w:val="00E86C5C"/>
    <w:rsid w:val="00E86E88"/>
    <w:rsid w:val="00E86FCC"/>
    <w:rsid w:val="00E871F3"/>
    <w:rsid w:val="00E872AF"/>
    <w:rsid w:val="00E87531"/>
    <w:rsid w:val="00E875EC"/>
    <w:rsid w:val="00E87A1D"/>
    <w:rsid w:val="00E87DFE"/>
    <w:rsid w:val="00E900EB"/>
    <w:rsid w:val="00E9088D"/>
    <w:rsid w:val="00E9094A"/>
    <w:rsid w:val="00E90B6C"/>
    <w:rsid w:val="00E90CFC"/>
    <w:rsid w:val="00E912B2"/>
    <w:rsid w:val="00E91D09"/>
    <w:rsid w:val="00E91D35"/>
    <w:rsid w:val="00E91E43"/>
    <w:rsid w:val="00E9208F"/>
    <w:rsid w:val="00E9224B"/>
    <w:rsid w:val="00E926A5"/>
    <w:rsid w:val="00E92B00"/>
    <w:rsid w:val="00E94068"/>
    <w:rsid w:val="00E942D2"/>
    <w:rsid w:val="00E9528E"/>
    <w:rsid w:val="00E952E4"/>
    <w:rsid w:val="00E956ED"/>
    <w:rsid w:val="00E9576F"/>
    <w:rsid w:val="00E957A8"/>
    <w:rsid w:val="00E959A8"/>
    <w:rsid w:val="00E960A0"/>
    <w:rsid w:val="00E962CC"/>
    <w:rsid w:val="00E9677B"/>
    <w:rsid w:val="00E96B1F"/>
    <w:rsid w:val="00E96B77"/>
    <w:rsid w:val="00E96C5A"/>
    <w:rsid w:val="00E96EE3"/>
    <w:rsid w:val="00E97301"/>
    <w:rsid w:val="00E974ED"/>
    <w:rsid w:val="00E976B7"/>
    <w:rsid w:val="00EA0387"/>
    <w:rsid w:val="00EA0592"/>
    <w:rsid w:val="00EA1096"/>
    <w:rsid w:val="00EA17C3"/>
    <w:rsid w:val="00EA17CA"/>
    <w:rsid w:val="00EA17FC"/>
    <w:rsid w:val="00EA1E26"/>
    <w:rsid w:val="00EA2102"/>
    <w:rsid w:val="00EA2348"/>
    <w:rsid w:val="00EA2681"/>
    <w:rsid w:val="00EA2760"/>
    <w:rsid w:val="00EA289E"/>
    <w:rsid w:val="00EA2AE7"/>
    <w:rsid w:val="00EA2CAA"/>
    <w:rsid w:val="00EA35AC"/>
    <w:rsid w:val="00EA362A"/>
    <w:rsid w:val="00EA3864"/>
    <w:rsid w:val="00EA4091"/>
    <w:rsid w:val="00EA480A"/>
    <w:rsid w:val="00EA4B16"/>
    <w:rsid w:val="00EA4B99"/>
    <w:rsid w:val="00EA5086"/>
    <w:rsid w:val="00EA530E"/>
    <w:rsid w:val="00EA6585"/>
    <w:rsid w:val="00EA68C7"/>
    <w:rsid w:val="00EA6C35"/>
    <w:rsid w:val="00EA7346"/>
    <w:rsid w:val="00EA7EBC"/>
    <w:rsid w:val="00EA7F1C"/>
    <w:rsid w:val="00EB0236"/>
    <w:rsid w:val="00EB1195"/>
    <w:rsid w:val="00EB12DC"/>
    <w:rsid w:val="00EB1336"/>
    <w:rsid w:val="00EB15B6"/>
    <w:rsid w:val="00EB1D05"/>
    <w:rsid w:val="00EB1DFB"/>
    <w:rsid w:val="00EB247F"/>
    <w:rsid w:val="00EB2736"/>
    <w:rsid w:val="00EB2799"/>
    <w:rsid w:val="00EB2DC8"/>
    <w:rsid w:val="00EB3517"/>
    <w:rsid w:val="00EB37E8"/>
    <w:rsid w:val="00EB3D06"/>
    <w:rsid w:val="00EB4240"/>
    <w:rsid w:val="00EB478E"/>
    <w:rsid w:val="00EB4916"/>
    <w:rsid w:val="00EB4D6B"/>
    <w:rsid w:val="00EB55F4"/>
    <w:rsid w:val="00EB582B"/>
    <w:rsid w:val="00EB598C"/>
    <w:rsid w:val="00EB6A31"/>
    <w:rsid w:val="00EB6CE2"/>
    <w:rsid w:val="00EB6E8A"/>
    <w:rsid w:val="00EB7A64"/>
    <w:rsid w:val="00EC00C9"/>
    <w:rsid w:val="00EC022C"/>
    <w:rsid w:val="00EC03CC"/>
    <w:rsid w:val="00EC06C3"/>
    <w:rsid w:val="00EC08A2"/>
    <w:rsid w:val="00EC0A53"/>
    <w:rsid w:val="00EC0C65"/>
    <w:rsid w:val="00EC0CCA"/>
    <w:rsid w:val="00EC0DD9"/>
    <w:rsid w:val="00EC0EBB"/>
    <w:rsid w:val="00EC126B"/>
    <w:rsid w:val="00EC1430"/>
    <w:rsid w:val="00EC168D"/>
    <w:rsid w:val="00EC20ED"/>
    <w:rsid w:val="00EC23B5"/>
    <w:rsid w:val="00EC251F"/>
    <w:rsid w:val="00EC2649"/>
    <w:rsid w:val="00EC296A"/>
    <w:rsid w:val="00EC2F0F"/>
    <w:rsid w:val="00EC31ED"/>
    <w:rsid w:val="00EC34E0"/>
    <w:rsid w:val="00EC3B7D"/>
    <w:rsid w:val="00EC3BAD"/>
    <w:rsid w:val="00EC3C8C"/>
    <w:rsid w:val="00EC42B8"/>
    <w:rsid w:val="00EC4E3D"/>
    <w:rsid w:val="00EC5291"/>
    <w:rsid w:val="00EC52B9"/>
    <w:rsid w:val="00EC52BB"/>
    <w:rsid w:val="00EC5648"/>
    <w:rsid w:val="00EC57B1"/>
    <w:rsid w:val="00EC5836"/>
    <w:rsid w:val="00EC61D6"/>
    <w:rsid w:val="00EC628E"/>
    <w:rsid w:val="00EC6651"/>
    <w:rsid w:val="00EC6821"/>
    <w:rsid w:val="00EC688C"/>
    <w:rsid w:val="00EC6936"/>
    <w:rsid w:val="00EC6D8F"/>
    <w:rsid w:val="00EC6DE1"/>
    <w:rsid w:val="00EC7315"/>
    <w:rsid w:val="00EC7ACD"/>
    <w:rsid w:val="00EC7C2D"/>
    <w:rsid w:val="00ED0144"/>
    <w:rsid w:val="00ED03E7"/>
    <w:rsid w:val="00ED0934"/>
    <w:rsid w:val="00ED0AF2"/>
    <w:rsid w:val="00ED0CBB"/>
    <w:rsid w:val="00ED0EC8"/>
    <w:rsid w:val="00ED12E3"/>
    <w:rsid w:val="00ED14D4"/>
    <w:rsid w:val="00ED1A19"/>
    <w:rsid w:val="00ED1C24"/>
    <w:rsid w:val="00ED227B"/>
    <w:rsid w:val="00ED24B4"/>
    <w:rsid w:val="00ED27EE"/>
    <w:rsid w:val="00ED290C"/>
    <w:rsid w:val="00ED2AE3"/>
    <w:rsid w:val="00ED3467"/>
    <w:rsid w:val="00ED3EB0"/>
    <w:rsid w:val="00ED41E4"/>
    <w:rsid w:val="00ED4253"/>
    <w:rsid w:val="00ED445D"/>
    <w:rsid w:val="00ED4B04"/>
    <w:rsid w:val="00ED4FA5"/>
    <w:rsid w:val="00ED5078"/>
    <w:rsid w:val="00ED548E"/>
    <w:rsid w:val="00ED57EA"/>
    <w:rsid w:val="00ED5BD4"/>
    <w:rsid w:val="00ED6202"/>
    <w:rsid w:val="00ED685C"/>
    <w:rsid w:val="00ED699A"/>
    <w:rsid w:val="00ED6CA7"/>
    <w:rsid w:val="00ED6FCF"/>
    <w:rsid w:val="00ED6FEC"/>
    <w:rsid w:val="00ED7550"/>
    <w:rsid w:val="00ED79BA"/>
    <w:rsid w:val="00EE008E"/>
    <w:rsid w:val="00EE0406"/>
    <w:rsid w:val="00EE0468"/>
    <w:rsid w:val="00EE07D3"/>
    <w:rsid w:val="00EE091F"/>
    <w:rsid w:val="00EE0986"/>
    <w:rsid w:val="00EE15FA"/>
    <w:rsid w:val="00EE1734"/>
    <w:rsid w:val="00EE1996"/>
    <w:rsid w:val="00EE1C01"/>
    <w:rsid w:val="00EE1CFA"/>
    <w:rsid w:val="00EE1E63"/>
    <w:rsid w:val="00EE1EA6"/>
    <w:rsid w:val="00EE222C"/>
    <w:rsid w:val="00EE22AF"/>
    <w:rsid w:val="00EE2B01"/>
    <w:rsid w:val="00EE327D"/>
    <w:rsid w:val="00EE3509"/>
    <w:rsid w:val="00EE3AD6"/>
    <w:rsid w:val="00EE40BD"/>
    <w:rsid w:val="00EE4A40"/>
    <w:rsid w:val="00EE4D8D"/>
    <w:rsid w:val="00EE4E1C"/>
    <w:rsid w:val="00EE4E53"/>
    <w:rsid w:val="00EE52E6"/>
    <w:rsid w:val="00EE59D5"/>
    <w:rsid w:val="00EE5E27"/>
    <w:rsid w:val="00EE65A5"/>
    <w:rsid w:val="00EE7185"/>
    <w:rsid w:val="00EE718D"/>
    <w:rsid w:val="00EE71E8"/>
    <w:rsid w:val="00EE7434"/>
    <w:rsid w:val="00EE782C"/>
    <w:rsid w:val="00EE7A67"/>
    <w:rsid w:val="00EE7A70"/>
    <w:rsid w:val="00EF0171"/>
    <w:rsid w:val="00EF01C4"/>
    <w:rsid w:val="00EF090D"/>
    <w:rsid w:val="00EF0E1A"/>
    <w:rsid w:val="00EF140A"/>
    <w:rsid w:val="00EF1693"/>
    <w:rsid w:val="00EF178F"/>
    <w:rsid w:val="00EF1B25"/>
    <w:rsid w:val="00EF1DA0"/>
    <w:rsid w:val="00EF1DCF"/>
    <w:rsid w:val="00EF22B5"/>
    <w:rsid w:val="00EF261C"/>
    <w:rsid w:val="00EF292B"/>
    <w:rsid w:val="00EF29DF"/>
    <w:rsid w:val="00EF2EB8"/>
    <w:rsid w:val="00EF30F8"/>
    <w:rsid w:val="00EF3E9D"/>
    <w:rsid w:val="00EF40E8"/>
    <w:rsid w:val="00EF4174"/>
    <w:rsid w:val="00EF43E6"/>
    <w:rsid w:val="00EF4747"/>
    <w:rsid w:val="00EF4BF8"/>
    <w:rsid w:val="00EF4E17"/>
    <w:rsid w:val="00EF4EE7"/>
    <w:rsid w:val="00EF562D"/>
    <w:rsid w:val="00EF6419"/>
    <w:rsid w:val="00EF6684"/>
    <w:rsid w:val="00EF7B5E"/>
    <w:rsid w:val="00EF7E4E"/>
    <w:rsid w:val="00F00B25"/>
    <w:rsid w:val="00F00D2A"/>
    <w:rsid w:val="00F0121A"/>
    <w:rsid w:val="00F01437"/>
    <w:rsid w:val="00F01750"/>
    <w:rsid w:val="00F01B98"/>
    <w:rsid w:val="00F01BB8"/>
    <w:rsid w:val="00F01C40"/>
    <w:rsid w:val="00F01D2D"/>
    <w:rsid w:val="00F02253"/>
    <w:rsid w:val="00F022A0"/>
    <w:rsid w:val="00F026C3"/>
    <w:rsid w:val="00F02751"/>
    <w:rsid w:val="00F02E47"/>
    <w:rsid w:val="00F02EF2"/>
    <w:rsid w:val="00F032B3"/>
    <w:rsid w:val="00F038D8"/>
    <w:rsid w:val="00F03AD6"/>
    <w:rsid w:val="00F03C2E"/>
    <w:rsid w:val="00F0459B"/>
    <w:rsid w:val="00F04A66"/>
    <w:rsid w:val="00F04B4B"/>
    <w:rsid w:val="00F05104"/>
    <w:rsid w:val="00F0516C"/>
    <w:rsid w:val="00F05402"/>
    <w:rsid w:val="00F05564"/>
    <w:rsid w:val="00F05734"/>
    <w:rsid w:val="00F0659C"/>
    <w:rsid w:val="00F065BE"/>
    <w:rsid w:val="00F067A2"/>
    <w:rsid w:val="00F0682E"/>
    <w:rsid w:val="00F07A2B"/>
    <w:rsid w:val="00F07B62"/>
    <w:rsid w:val="00F07B9E"/>
    <w:rsid w:val="00F07E36"/>
    <w:rsid w:val="00F07E6C"/>
    <w:rsid w:val="00F101A6"/>
    <w:rsid w:val="00F10B32"/>
    <w:rsid w:val="00F10B43"/>
    <w:rsid w:val="00F10DDC"/>
    <w:rsid w:val="00F10E95"/>
    <w:rsid w:val="00F110E6"/>
    <w:rsid w:val="00F1116F"/>
    <w:rsid w:val="00F116EE"/>
    <w:rsid w:val="00F11B34"/>
    <w:rsid w:val="00F11F24"/>
    <w:rsid w:val="00F1211F"/>
    <w:rsid w:val="00F123DD"/>
    <w:rsid w:val="00F1263A"/>
    <w:rsid w:val="00F12745"/>
    <w:rsid w:val="00F139C5"/>
    <w:rsid w:val="00F13D34"/>
    <w:rsid w:val="00F13D46"/>
    <w:rsid w:val="00F14DD9"/>
    <w:rsid w:val="00F14DEE"/>
    <w:rsid w:val="00F15344"/>
    <w:rsid w:val="00F15B4C"/>
    <w:rsid w:val="00F15B77"/>
    <w:rsid w:val="00F160F3"/>
    <w:rsid w:val="00F166A8"/>
    <w:rsid w:val="00F16FA5"/>
    <w:rsid w:val="00F17295"/>
    <w:rsid w:val="00F1772B"/>
    <w:rsid w:val="00F178ED"/>
    <w:rsid w:val="00F17D74"/>
    <w:rsid w:val="00F20873"/>
    <w:rsid w:val="00F21236"/>
    <w:rsid w:val="00F212EB"/>
    <w:rsid w:val="00F2167C"/>
    <w:rsid w:val="00F21A5C"/>
    <w:rsid w:val="00F21F2D"/>
    <w:rsid w:val="00F22ACC"/>
    <w:rsid w:val="00F22B2E"/>
    <w:rsid w:val="00F23069"/>
    <w:rsid w:val="00F239DF"/>
    <w:rsid w:val="00F23D6A"/>
    <w:rsid w:val="00F24091"/>
    <w:rsid w:val="00F243E1"/>
    <w:rsid w:val="00F24837"/>
    <w:rsid w:val="00F248A5"/>
    <w:rsid w:val="00F252A7"/>
    <w:rsid w:val="00F2536F"/>
    <w:rsid w:val="00F2575F"/>
    <w:rsid w:val="00F25910"/>
    <w:rsid w:val="00F25B7B"/>
    <w:rsid w:val="00F25C2B"/>
    <w:rsid w:val="00F26ACB"/>
    <w:rsid w:val="00F273F1"/>
    <w:rsid w:val="00F27565"/>
    <w:rsid w:val="00F277CB"/>
    <w:rsid w:val="00F27F43"/>
    <w:rsid w:val="00F30201"/>
    <w:rsid w:val="00F30A01"/>
    <w:rsid w:val="00F310D4"/>
    <w:rsid w:val="00F31658"/>
    <w:rsid w:val="00F31B32"/>
    <w:rsid w:val="00F31D5A"/>
    <w:rsid w:val="00F31D7D"/>
    <w:rsid w:val="00F31E01"/>
    <w:rsid w:val="00F31EA0"/>
    <w:rsid w:val="00F3202C"/>
    <w:rsid w:val="00F323CE"/>
    <w:rsid w:val="00F32C2B"/>
    <w:rsid w:val="00F331B6"/>
    <w:rsid w:val="00F336E6"/>
    <w:rsid w:val="00F338B5"/>
    <w:rsid w:val="00F33975"/>
    <w:rsid w:val="00F33DE9"/>
    <w:rsid w:val="00F33F57"/>
    <w:rsid w:val="00F34146"/>
    <w:rsid w:val="00F342D1"/>
    <w:rsid w:val="00F35D0F"/>
    <w:rsid w:val="00F35E6D"/>
    <w:rsid w:val="00F36094"/>
    <w:rsid w:val="00F3619A"/>
    <w:rsid w:val="00F36386"/>
    <w:rsid w:val="00F364CD"/>
    <w:rsid w:val="00F37149"/>
    <w:rsid w:val="00F375DC"/>
    <w:rsid w:val="00F4045C"/>
    <w:rsid w:val="00F40877"/>
    <w:rsid w:val="00F40AAA"/>
    <w:rsid w:val="00F40BA7"/>
    <w:rsid w:val="00F40C42"/>
    <w:rsid w:val="00F40F9D"/>
    <w:rsid w:val="00F41411"/>
    <w:rsid w:val="00F41477"/>
    <w:rsid w:val="00F41A83"/>
    <w:rsid w:val="00F41ACD"/>
    <w:rsid w:val="00F41E22"/>
    <w:rsid w:val="00F427BE"/>
    <w:rsid w:val="00F42B89"/>
    <w:rsid w:val="00F433AD"/>
    <w:rsid w:val="00F434A2"/>
    <w:rsid w:val="00F43D42"/>
    <w:rsid w:val="00F44760"/>
    <w:rsid w:val="00F448C3"/>
    <w:rsid w:val="00F44BFD"/>
    <w:rsid w:val="00F4507D"/>
    <w:rsid w:val="00F45547"/>
    <w:rsid w:val="00F45DC9"/>
    <w:rsid w:val="00F46008"/>
    <w:rsid w:val="00F460FF"/>
    <w:rsid w:val="00F46428"/>
    <w:rsid w:val="00F46721"/>
    <w:rsid w:val="00F46802"/>
    <w:rsid w:val="00F46974"/>
    <w:rsid w:val="00F46AC4"/>
    <w:rsid w:val="00F46CB6"/>
    <w:rsid w:val="00F46D1A"/>
    <w:rsid w:val="00F46D33"/>
    <w:rsid w:val="00F4756D"/>
    <w:rsid w:val="00F47860"/>
    <w:rsid w:val="00F47DE8"/>
    <w:rsid w:val="00F50193"/>
    <w:rsid w:val="00F50D20"/>
    <w:rsid w:val="00F51BE6"/>
    <w:rsid w:val="00F52152"/>
    <w:rsid w:val="00F52C01"/>
    <w:rsid w:val="00F533B3"/>
    <w:rsid w:val="00F536CB"/>
    <w:rsid w:val="00F53B18"/>
    <w:rsid w:val="00F53EB4"/>
    <w:rsid w:val="00F53FF8"/>
    <w:rsid w:val="00F542C1"/>
    <w:rsid w:val="00F54A18"/>
    <w:rsid w:val="00F54DED"/>
    <w:rsid w:val="00F550E3"/>
    <w:rsid w:val="00F55357"/>
    <w:rsid w:val="00F554DC"/>
    <w:rsid w:val="00F55E73"/>
    <w:rsid w:val="00F55EDA"/>
    <w:rsid w:val="00F56A77"/>
    <w:rsid w:val="00F56C80"/>
    <w:rsid w:val="00F570A9"/>
    <w:rsid w:val="00F575AD"/>
    <w:rsid w:val="00F5769F"/>
    <w:rsid w:val="00F57C1E"/>
    <w:rsid w:val="00F57E1D"/>
    <w:rsid w:val="00F57EC7"/>
    <w:rsid w:val="00F60092"/>
    <w:rsid w:val="00F6057E"/>
    <w:rsid w:val="00F61085"/>
    <w:rsid w:val="00F61C18"/>
    <w:rsid w:val="00F61E9E"/>
    <w:rsid w:val="00F62BD9"/>
    <w:rsid w:val="00F63A22"/>
    <w:rsid w:val="00F64510"/>
    <w:rsid w:val="00F64722"/>
    <w:rsid w:val="00F65578"/>
    <w:rsid w:val="00F65909"/>
    <w:rsid w:val="00F65A5E"/>
    <w:rsid w:val="00F65F4B"/>
    <w:rsid w:val="00F667A5"/>
    <w:rsid w:val="00F668BD"/>
    <w:rsid w:val="00F66AA9"/>
    <w:rsid w:val="00F67143"/>
    <w:rsid w:val="00F673E1"/>
    <w:rsid w:val="00F678E6"/>
    <w:rsid w:val="00F67A2D"/>
    <w:rsid w:val="00F67A69"/>
    <w:rsid w:val="00F67BA6"/>
    <w:rsid w:val="00F70762"/>
    <w:rsid w:val="00F70A84"/>
    <w:rsid w:val="00F70B84"/>
    <w:rsid w:val="00F70BFF"/>
    <w:rsid w:val="00F70C9D"/>
    <w:rsid w:val="00F70E3A"/>
    <w:rsid w:val="00F71652"/>
    <w:rsid w:val="00F717AE"/>
    <w:rsid w:val="00F718BF"/>
    <w:rsid w:val="00F71C3B"/>
    <w:rsid w:val="00F71C3F"/>
    <w:rsid w:val="00F72FF6"/>
    <w:rsid w:val="00F7328D"/>
    <w:rsid w:val="00F73755"/>
    <w:rsid w:val="00F739AA"/>
    <w:rsid w:val="00F73C46"/>
    <w:rsid w:val="00F73E08"/>
    <w:rsid w:val="00F73E78"/>
    <w:rsid w:val="00F74CD9"/>
    <w:rsid w:val="00F751DE"/>
    <w:rsid w:val="00F75432"/>
    <w:rsid w:val="00F756E9"/>
    <w:rsid w:val="00F75884"/>
    <w:rsid w:val="00F75C41"/>
    <w:rsid w:val="00F76160"/>
    <w:rsid w:val="00F76164"/>
    <w:rsid w:val="00F7632C"/>
    <w:rsid w:val="00F765AC"/>
    <w:rsid w:val="00F7664C"/>
    <w:rsid w:val="00F7752C"/>
    <w:rsid w:val="00F77801"/>
    <w:rsid w:val="00F77880"/>
    <w:rsid w:val="00F80679"/>
    <w:rsid w:val="00F809A2"/>
    <w:rsid w:val="00F80A7B"/>
    <w:rsid w:val="00F80E5D"/>
    <w:rsid w:val="00F80E61"/>
    <w:rsid w:val="00F80F40"/>
    <w:rsid w:val="00F8164A"/>
    <w:rsid w:val="00F81CDB"/>
    <w:rsid w:val="00F81E78"/>
    <w:rsid w:val="00F81F16"/>
    <w:rsid w:val="00F820F2"/>
    <w:rsid w:val="00F8218B"/>
    <w:rsid w:val="00F826A1"/>
    <w:rsid w:val="00F82CBA"/>
    <w:rsid w:val="00F831E7"/>
    <w:rsid w:val="00F832E8"/>
    <w:rsid w:val="00F8350C"/>
    <w:rsid w:val="00F83654"/>
    <w:rsid w:val="00F83916"/>
    <w:rsid w:val="00F83F9A"/>
    <w:rsid w:val="00F84A5F"/>
    <w:rsid w:val="00F84ED1"/>
    <w:rsid w:val="00F8515B"/>
    <w:rsid w:val="00F851CE"/>
    <w:rsid w:val="00F86C51"/>
    <w:rsid w:val="00F86DAE"/>
    <w:rsid w:val="00F87182"/>
    <w:rsid w:val="00F87416"/>
    <w:rsid w:val="00F8770E"/>
    <w:rsid w:val="00F87B87"/>
    <w:rsid w:val="00F87C5B"/>
    <w:rsid w:val="00F9092B"/>
    <w:rsid w:val="00F90A5B"/>
    <w:rsid w:val="00F910DF"/>
    <w:rsid w:val="00F91118"/>
    <w:rsid w:val="00F91219"/>
    <w:rsid w:val="00F91227"/>
    <w:rsid w:val="00F915A4"/>
    <w:rsid w:val="00F91FD5"/>
    <w:rsid w:val="00F9221F"/>
    <w:rsid w:val="00F92444"/>
    <w:rsid w:val="00F92752"/>
    <w:rsid w:val="00F929DB"/>
    <w:rsid w:val="00F92C15"/>
    <w:rsid w:val="00F92C36"/>
    <w:rsid w:val="00F92D15"/>
    <w:rsid w:val="00F93838"/>
    <w:rsid w:val="00F9393E"/>
    <w:rsid w:val="00F9406D"/>
    <w:rsid w:val="00F9443B"/>
    <w:rsid w:val="00F947E5"/>
    <w:rsid w:val="00F94B72"/>
    <w:rsid w:val="00F94CE2"/>
    <w:rsid w:val="00F95427"/>
    <w:rsid w:val="00F95CA1"/>
    <w:rsid w:val="00F965CD"/>
    <w:rsid w:val="00F96969"/>
    <w:rsid w:val="00F96D4F"/>
    <w:rsid w:val="00F96FD0"/>
    <w:rsid w:val="00F97A78"/>
    <w:rsid w:val="00F97E36"/>
    <w:rsid w:val="00F97EA7"/>
    <w:rsid w:val="00F97F7B"/>
    <w:rsid w:val="00FA0363"/>
    <w:rsid w:val="00FA0783"/>
    <w:rsid w:val="00FA0B20"/>
    <w:rsid w:val="00FA0C93"/>
    <w:rsid w:val="00FA0DC7"/>
    <w:rsid w:val="00FA0F6F"/>
    <w:rsid w:val="00FA1308"/>
    <w:rsid w:val="00FA1481"/>
    <w:rsid w:val="00FA1AF3"/>
    <w:rsid w:val="00FA24E7"/>
    <w:rsid w:val="00FA286D"/>
    <w:rsid w:val="00FA2880"/>
    <w:rsid w:val="00FA2AE4"/>
    <w:rsid w:val="00FA2EA9"/>
    <w:rsid w:val="00FA2F8E"/>
    <w:rsid w:val="00FA33F8"/>
    <w:rsid w:val="00FA39DC"/>
    <w:rsid w:val="00FA3A85"/>
    <w:rsid w:val="00FA3B63"/>
    <w:rsid w:val="00FA3D61"/>
    <w:rsid w:val="00FA4C1A"/>
    <w:rsid w:val="00FA5305"/>
    <w:rsid w:val="00FA5313"/>
    <w:rsid w:val="00FA5743"/>
    <w:rsid w:val="00FA5826"/>
    <w:rsid w:val="00FA5A8A"/>
    <w:rsid w:val="00FA5EE6"/>
    <w:rsid w:val="00FA631D"/>
    <w:rsid w:val="00FA66E9"/>
    <w:rsid w:val="00FA6929"/>
    <w:rsid w:val="00FA6BAF"/>
    <w:rsid w:val="00FA6D85"/>
    <w:rsid w:val="00FA7806"/>
    <w:rsid w:val="00FA7956"/>
    <w:rsid w:val="00FA7BB5"/>
    <w:rsid w:val="00FA7EB9"/>
    <w:rsid w:val="00FB078E"/>
    <w:rsid w:val="00FB0824"/>
    <w:rsid w:val="00FB0854"/>
    <w:rsid w:val="00FB0BBA"/>
    <w:rsid w:val="00FB0DBF"/>
    <w:rsid w:val="00FB0FBA"/>
    <w:rsid w:val="00FB1096"/>
    <w:rsid w:val="00FB16D1"/>
    <w:rsid w:val="00FB18FD"/>
    <w:rsid w:val="00FB1A67"/>
    <w:rsid w:val="00FB1B9A"/>
    <w:rsid w:val="00FB1D0C"/>
    <w:rsid w:val="00FB1E1F"/>
    <w:rsid w:val="00FB22F7"/>
    <w:rsid w:val="00FB247B"/>
    <w:rsid w:val="00FB28E9"/>
    <w:rsid w:val="00FB2D50"/>
    <w:rsid w:val="00FB2FCB"/>
    <w:rsid w:val="00FB357E"/>
    <w:rsid w:val="00FB3766"/>
    <w:rsid w:val="00FB3CCE"/>
    <w:rsid w:val="00FB3DC1"/>
    <w:rsid w:val="00FB4480"/>
    <w:rsid w:val="00FB499F"/>
    <w:rsid w:val="00FB4A1E"/>
    <w:rsid w:val="00FB4B8F"/>
    <w:rsid w:val="00FB4C9C"/>
    <w:rsid w:val="00FB4D74"/>
    <w:rsid w:val="00FB5853"/>
    <w:rsid w:val="00FB5878"/>
    <w:rsid w:val="00FB58CE"/>
    <w:rsid w:val="00FB62BE"/>
    <w:rsid w:val="00FB67D7"/>
    <w:rsid w:val="00FB680C"/>
    <w:rsid w:val="00FB769B"/>
    <w:rsid w:val="00FB7AF4"/>
    <w:rsid w:val="00FB7C55"/>
    <w:rsid w:val="00FC01A0"/>
    <w:rsid w:val="00FC0BAA"/>
    <w:rsid w:val="00FC0D42"/>
    <w:rsid w:val="00FC0F27"/>
    <w:rsid w:val="00FC1074"/>
    <w:rsid w:val="00FC1299"/>
    <w:rsid w:val="00FC1884"/>
    <w:rsid w:val="00FC1A49"/>
    <w:rsid w:val="00FC1BF7"/>
    <w:rsid w:val="00FC1DF2"/>
    <w:rsid w:val="00FC23D5"/>
    <w:rsid w:val="00FC2573"/>
    <w:rsid w:val="00FC26BD"/>
    <w:rsid w:val="00FC2719"/>
    <w:rsid w:val="00FC2A6B"/>
    <w:rsid w:val="00FC2BC2"/>
    <w:rsid w:val="00FC2FFB"/>
    <w:rsid w:val="00FC350A"/>
    <w:rsid w:val="00FC371D"/>
    <w:rsid w:val="00FC3820"/>
    <w:rsid w:val="00FC3C26"/>
    <w:rsid w:val="00FC402D"/>
    <w:rsid w:val="00FC40C8"/>
    <w:rsid w:val="00FC43EB"/>
    <w:rsid w:val="00FC50D4"/>
    <w:rsid w:val="00FC5711"/>
    <w:rsid w:val="00FC5F0B"/>
    <w:rsid w:val="00FC634B"/>
    <w:rsid w:val="00FC645B"/>
    <w:rsid w:val="00FC6463"/>
    <w:rsid w:val="00FC6991"/>
    <w:rsid w:val="00FC6BCB"/>
    <w:rsid w:val="00FC6BFE"/>
    <w:rsid w:val="00FC6C8D"/>
    <w:rsid w:val="00FC6E69"/>
    <w:rsid w:val="00FC7BA1"/>
    <w:rsid w:val="00FD00AD"/>
    <w:rsid w:val="00FD0664"/>
    <w:rsid w:val="00FD0AC3"/>
    <w:rsid w:val="00FD0B19"/>
    <w:rsid w:val="00FD132D"/>
    <w:rsid w:val="00FD1F5D"/>
    <w:rsid w:val="00FD2100"/>
    <w:rsid w:val="00FD2756"/>
    <w:rsid w:val="00FD33CC"/>
    <w:rsid w:val="00FD3F59"/>
    <w:rsid w:val="00FD436C"/>
    <w:rsid w:val="00FD4398"/>
    <w:rsid w:val="00FD446D"/>
    <w:rsid w:val="00FD4C78"/>
    <w:rsid w:val="00FD4F2C"/>
    <w:rsid w:val="00FD4F61"/>
    <w:rsid w:val="00FD539D"/>
    <w:rsid w:val="00FD5768"/>
    <w:rsid w:val="00FD589E"/>
    <w:rsid w:val="00FD613E"/>
    <w:rsid w:val="00FD62A1"/>
    <w:rsid w:val="00FD6394"/>
    <w:rsid w:val="00FD66FB"/>
    <w:rsid w:val="00FD67D5"/>
    <w:rsid w:val="00FD68FD"/>
    <w:rsid w:val="00FD7022"/>
    <w:rsid w:val="00FD717E"/>
    <w:rsid w:val="00FD71FA"/>
    <w:rsid w:val="00FD7846"/>
    <w:rsid w:val="00FD7B25"/>
    <w:rsid w:val="00FE00D3"/>
    <w:rsid w:val="00FE0E6C"/>
    <w:rsid w:val="00FE1125"/>
    <w:rsid w:val="00FE1878"/>
    <w:rsid w:val="00FE1A9E"/>
    <w:rsid w:val="00FE1CDC"/>
    <w:rsid w:val="00FE2166"/>
    <w:rsid w:val="00FE3242"/>
    <w:rsid w:val="00FE4598"/>
    <w:rsid w:val="00FE45BB"/>
    <w:rsid w:val="00FE4606"/>
    <w:rsid w:val="00FE47BA"/>
    <w:rsid w:val="00FE4C74"/>
    <w:rsid w:val="00FE4FF7"/>
    <w:rsid w:val="00FE5AAD"/>
    <w:rsid w:val="00FE5ADC"/>
    <w:rsid w:val="00FE5AEF"/>
    <w:rsid w:val="00FE5C94"/>
    <w:rsid w:val="00FE6218"/>
    <w:rsid w:val="00FE6231"/>
    <w:rsid w:val="00FE70C3"/>
    <w:rsid w:val="00FE74F5"/>
    <w:rsid w:val="00FE7694"/>
    <w:rsid w:val="00FE7721"/>
    <w:rsid w:val="00FE7892"/>
    <w:rsid w:val="00FE7B64"/>
    <w:rsid w:val="00FF0466"/>
    <w:rsid w:val="00FF07E1"/>
    <w:rsid w:val="00FF08D9"/>
    <w:rsid w:val="00FF11BD"/>
    <w:rsid w:val="00FF1343"/>
    <w:rsid w:val="00FF1485"/>
    <w:rsid w:val="00FF1A8B"/>
    <w:rsid w:val="00FF1BAB"/>
    <w:rsid w:val="00FF1ED1"/>
    <w:rsid w:val="00FF226E"/>
    <w:rsid w:val="00FF246D"/>
    <w:rsid w:val="00FF24F1"/>
    <w:rsid w:val="00FF25A1"/>
    <w:rsid w:val="00FF2980"/>
    <w:rsid w:val="00FF2AD9"/>
    <w:rsid w:val="00FF2D9B"/>
    <w:rsid w:val="00FF2E36"/>
    <w:rsid w:val="00FF359F"/>
    <w:rsid w:val="00FF3840"/>
    <w:rsid w:val="00FF3939"/>
    <w:rsid w:val="00FF3A14"/>
    <w:rsid w:val="00FF3B70"/>
    <w:rsid w:val="00FF3C74"/>
    <w:rsid w:val="00FF3DA2"/>
    <w:rsid w:val="00FF3DCF"/>
    <w:rsid w:val="00FF3ED1"/>
    <w:rsid w:val="00FF4101"/>
    <w:rsid w:val="00FF41C1"/>
    <w:rsid w:val="00FF42CF"/>
    <w:rsid w:val="00FF439B"/>
    <w:rsid w:val="00FF492C"/>
    <w:rsid w:val="00FF49B1"/>
    <w:rsid w:val="00FF4A21"/>
    <w:rsid w:val="00FF4C9B"/>
    <w:rsid w:val="00FF509F"/>
    <w:rsid w:val="00FF5AA3"/>
    <w:rsid w:val="00FF5AD8"/>
    <w:rsid w:val="00FF5F74"/>
    <w:rsid w:val="00FF5FD2"/>
    <w:rsid w:val="00FF6029"/>
    <w:rsid w:val="00FF6104"/>
    <w:rsid w:val="00FF6590"/>
    <w:rsid w:val="00FF6721"/>
    <w:rsid w:val="00FF6727"/>
    <w:rsid w:val="00FF6F4C"/>
    <w:rsid w:val="00FF7192"/>
    <w:rsid w:val="00FF7475"/>
    <w:rsid w:val="00FF74D6"/>
    <w:rsid w:val="3FF74D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15:docId w15:val="{788A0723-BC93-4082-9871-EB1CD1880D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semiHidden="1" w:unhideWhenUsed="1" w:qFormat="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B0582"/>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1B204E"/>
    <w:rPr>
      <w:rFonts w:ascii="Calibri" w:hAnsi="Calibri" w:cs="Arial"/>
      <w:b/>
      <w:i/>
      <w:snapToGrid w:val="0"/>
      <w:sz w:val="28"/>
      <w:szCs w:val="22"/>
      <w:lang w:eastAsia="en-US"/>
    </w:rPr>
  </w:style>
  <w:style w:type="character" w:styleId="Heading7Char" w:customStyle="1">
    <w:name w:val="Heading 7 Char"/>
    <w:basedOn w:val="DefaultParagraphFont"/>
    <w:link w:val="Heading7"/>
    <w:uiPriority w:val="9"/>
    <w:rsid w:val="00124A51"/>
    <w:rPr>
      <w:rFonts w:ascii="Arial" w:hAnsi="Arial"/>
      <w:b/>
      <w:snapToGrid w:val="0"/>
      <w:lang w:eastAsia="en-US"/>
    </w:rPr>
  </w:style>
  <w:style w:type="character" w:styleId="Heading8Char" w:customStyle="1">
    <w:name w:val="Heading 8 Char"/>
    <w:basedOn w:val="DefaultParagraphFont"/>
    <w:link w:val="Heading8"/>
    <w:uiPriority w:val="9"/>
    <w:rsid w:val="00124A51"/>
    <w:rPr>
      <w:b/>
      <w:snapToGrid w:val="0"/>
      <w:sz w:val="24"/>
      <w:lang w:eastAsia="en-US"/>
    </w:rPr>
  </w:style>
  <w:style w:type="character" w:styleId="Heading9Char" w:customStyle="1">
    <w:name w:val="Heading 9 Char"/>
    <w:basedOn w:val="DefaultParagraphFont"/>
    <w:link w:val="Heading9"/>
    <w:uiPriority w:val="9"/>
    <w:rsid w:val="00124A51"/>
    <w:rPr>
      <w:rFonts w:ascii="Arial" w:hAnsi="Arial"/>
      <w:b/>
      <w:snapToGrid w:val="0"/>
      <w:color w:val="000000"/>
      <w:lang w:eastAsia="en-US"/>
    </w:rPr>
  </w:style>
  <w:style w:type="paragraph" w:styleId="TableFooter" w:customStyle="1">
    <w:name w:val="Table Footer"/>
    <w:basedOn w:val="Normal"/>
    <w:link w:val="TableFooterChar"/>
    <w:qFormat/>
    <w:rsid w:val="00E2771E"/>
    <w:rPr>
      <w:rFonts w:ascii="Arial Narrow" w:hAnsi="Arial Narrow"/>
      <w:sz w:val="18"/>
    </w:rPr>
  </w:style>
  <w:style w:type="character" w:styleId="TableFooterChar" w:customStyle="1">
    <w:name w:val="Table Footer Char"/>
    <w:link w:val="TableFooter"/>
    <w:rsid w:val="00322846"/>
    <w:rPr>
      <w:rFonts w:ascii="Arial Narrow" w:hAnsi="Arial Narrow" w:cs="Arial"/>
      <w:snapToGrid w:val="0"/>
      <w:sz w:val="18"/>
      <w:lang w:eastAsia="en-US"/>
    </w:rPr>
  </w:style>
  <w:style w:type="paragraph" w:styleId="TableHeader" w:customStyle="1">
    <w:name w:val="Table Header"/>
    <w:basedOn w:val="Normal"/>
    <w:uiPriority w:val="3"/>
    <w:rsid w:val="000D1BFC"/>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Char"/>
    <w:basedOn w:val="Normal"/>
    <w:next w:val="Normal"/>
    <w:link w:val="CaptionChar"/>
    <w:uiPriority w:val="35"/>
    <w:unhideWhenUsed/>
    <w:qFormat/>
    <w:rsid w:val="00E16AD8"/>
    <w:pPr>
      <w:keepNext/>
      <w:keepLines/>
    </w:pPr>
    <w:rPr>
      <w:rFonts w:ascii="Arial Narrow" w:hAnsi="Arial Narrow"/>
      <w:b/>
      <w:bCs/>
      <w:sz w:val="20"/>
      <w:szCs w:val="18"/>
    </w:rPr>
  </w:style>
  <w:style w:type="character" w:styleId="CaptionChar" w:customStyle="1">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styleId="TitleChar" w:customStyle="1">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styleId="BodyTextChar" w:customStyle="1">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Table Legend,Bullet1,Bullet List,lp"/>
    <w:link w:val="ListParagraphChar"/>
    <w:uiPriority w:val="34"/>
    <w:qFormat/>
    <w:rsid w:val="004C3B02"/>
    <w:pPr>
      <w:numPr>
        <w:numId w:val="8"/>
      </w:numPr>
      <w:spacing w:after="120"/>
    </w:pPr>
    <w:rPr>
      <w:rFonts w:cs="Arial" w:asciiTheme="minorHAnsi" w:hAnsiTheme="minorHAnsi"/>
      <w:snapToGrid w:val="0"/>
      <w:sz w:val="24"/>
      <w:szCs w:val="24"/>
    </w:rPr>
  </w:style>
  <w:style w:type="character" w:styleId="ListParagraphChar" w:customStyle="1">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34"/>
    <w:qFormat/>
    <w:locked/>
    <w:rsid w:val="004C3B02"/>
    <w:rPr>
      <w:rFonts w:cs="Arial" w:asciiTheme="minorHAnsi" w:hAnsiTheme="minorHAnsi"/>
      <w:snapToGrid w:val="0"/>
      <w:sz w:val="24"/>
      <w:szCs w:val="24"/>
    </w:rPr>
  </w:style>
  <w:style w:type="paragraph" w:styleId="RegularText" w:customStyle="1">
    <w:name w:val="Regular Text"/>
    <w:basedOn w:val="BodyText"/>
    <w:link w:val="RegularTextChar"/>
    <w:rsid w:val="00124A51"/>
    <w:rPr>
      <w:b/>
    </w:rPr>
  </w:style>
  <w:style w:type="character" w:styleId="RegularTextChar" w:customStyle="1">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styleId="HeaderChar" w:customStyle="1">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styleId="FooterChar" w:customStyle="1">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HealthConsult,Dossier table,new style,MSD Table Grid,PBAC table,RTI AMCP Table,HTAtableplain,Tabellengitternetz 9pt,Section 3- footnotes"/>
    <w:basedOn w:val="TableNormal"/>
    <w:uiPriority w:val="39"/>
    <w:rsid w:val="004B3D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aliases w:val="Table Title,-H18,Verwijzing opmerking"/>
    <w:uiPriority w:val="99"/>
    <w:qFormat/>
    <w:rsid w:val="001E30D4"/>
    <w:rPr>
      <w:rFonts w:ascii="Arial Narrow" w:hAnsi="Arial Narrow"/>
      <w:b/>
      <w:sz w:val="20"/>
      <w:szCs w:val="16"/>
    </w:rPr>
  </w:style>
  <w:style w:type="paragraph" w:styleId="Tabletext" w:customStyle="1">
    <w:name w:val="Table text"/>
    <w:basedOn w:val="Normal"/>
    <w:link w:val="TabletextChar"/>
    <w:qFormat/>
    <w:rsid w:val="00A518F3"/>
    <w:pPr>
      <w:jc w:val="left"/>
    </w:pPr>
    <w:rPr>
      <w:rFonts w:ascii="Arial Narrow" w:hAnsi="Arial Narrow" w:cs="Times New Roman"/>
      <w:snapToGrid w:val="0"/>
      <w:sz w:val="20"/>
    </w:rPr>
  </w:style>
  <w:style w:type="character" w:styleId="TabletextChar" w:customStyle="1">
    <w:name w:val="Table text Char"/>
    <w:link w:val="Tabletext"/>
    <w:rsid w:val="00A518F3"/>
    <w:rPr>
      <w:rFonts w:ascii="Arial Narrow" w:hAnsi="Arial Narrow"/>
      <w:lang w:eastAsia="en-US"/>
    </w:rPr>
  </w:style>
  <w:style w:type="paragraph" w:styleId="TableHeading" w:customStyle="1">
    <w:name w:val="TableHeading"/>
    <w:basedOn w:val="Normal"/>
    <w:rsid w:val="00A56B6A"/>
    <w:pPr>
      <w:keepNext/>
      <w:spacing w:before="40" w:after="40"/>
      <w:jc w:val="left"/>
    </w:pPr>
    <w:rPr>
      <w:rFonts w:ascii="Arial Narrow" w:hAnsi="Arial Narrow" w:cs="Arial Narrow"/>
      <w:b/>
      <w:bCs/>
      <w:snapToGrid w:val="0"/>
      <w:sz w:val="20"/>
    </w:rPr>
  </w:style>
  <w:style w:type="paragraph" w:styleId="Corpsdetextemarge" w:customStyle="1">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hAnsiTheme="majorHAnsi" w:eastAsiaTheme="majorEastAsia"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Comment Text"/>
    <w:basedOn w:val="Normal"/>
    <w:link w:val="CommentTextChar"/>
    <w:uiPriority w:val="99"/>
    <w:qFormat/>
    <w:rsid w:val="00FD2100"/>
    <w:rPr>
      <w:rFonts w:ascii="Times New Roman" w:hAnsi="Times New Roman" w:cs="Times New Roman"/>
      <w:sz w:val="20"/>
    </w:rPr>
  </w:style>
  <w:style w:type="character" w:styleId="CommentTextChar" w:customStyle="1">
    <w:name w:val="Comment Text Char"/>
    <w:basedOn w:val="DefaultParagraphFont"/>
    <w:link w:val="CommentText"/>
    <w:uiPriority w:val="99"/>
    <w:rsid w:val="00FD2100"/>
    <w:rPr>
      <w:snapToGrid w:val="0"/>
      <w:lang w:eastAsia="en-US"/>
    </w:rPr>
  </w:style>
  <w:style w:type="paragraph" w:styleId="Bulletpoints" w:customStyle="1">
    <w:name w:val="Bullet points"/>
    <w:basedOn w:val="ListParagraph"/>
    <w:qFormat/>
    <w:rsid w:val="00B70E8E"/>
    <w:pPr>
      <w:numPr>
        <w:numId w:val="2"/>
      </w:numPr>
      <w:contextualSpacing/>
    </w:pPr>
  </w:style>
  <w:style w:type="paragraph" w:styleId="TableName" w:customStyle="1">
    <w:name w:val="TableName"/>
    <w:basedOn w:val="Normal"/>
    <w:rsid w:val="00CA7B09"/>
    <w:pPr>
      <w:keepNext/>
      <w:spacing w:before="120" w:after="120"/>
      <w:ind w:left="1800" w:hanging="1080"/>
      <w:jc w:val="left"/>
    </w:pPr>
    <w:rPr>
      <w:rFonts w:ascii="Arial Narrow" w:hAnsi="Arial Narrow" w:cs="Arial Narrow"/>
      <w:b/>
      <w:bCs/>
      <w:snapToGrid w:val="0"/>
    </w:rPr>
  </w:style>
  <w:style w:type="paragraph" w:styleId="TableNotes18" w:customStyle="1">
    <w:name w:val="TableNotes+18"/>
    <w:basedOn w:val="Normal"/>
    <w:rsid w:val="002C5099"/>
    <w:pPr>
      <w:keepLines/>
      <w:spacing w:after="360"/>
      <w:ind w:left="720"/>
      <w:jc w:val="left"/>
    </w:pPr>
    <w:rPr>
      <w:rFonts w:ascii="Arial Narrow" w:hAnsi="Arial Narrow" w:cs="Arial Narrow"/>
      <w:snapToGrid w:val="0"/>
      <w:sz w:val="18"/>
      <w:szCs w:val="18"/>
    </w:rPr>
  </w:style>
  <w:style w:type="paragraph" w:styleId="TableNotes0" w:customStyle="1">
    <w:name w:val="TableNotes+0"/>
    <w:basedOn w:val="TableNotes18"/>
    <w:rsid w:val="00CA7B09"/>
    <w:pPr>
      <w:keepNext/>
      <w:spacing w:after="0"/>
    </w:pPr>
  </w:style>
  <w:style w:type="paragraph" w:styleId="CommentSubject">
    <w:name w:val="Comment Subject"/>
    <w:basedOn w:val="CommentText"/>
    <w:next w:val="CommentText"/>
    <w:link w:val="CommentSubjectChar"/>
    <w:uiPriority w:val="99"/>
    <w:rsid w:val="004319F8"/>
    <w:rPr>
      <w:rFonts w:ascii="Arial" w:hAnsi="Arial" w:cs="Arial"/>
      <w:b/>
      <w:bCs/>
    </w:rPr>
  </w:style>
  <w:style w:type="character" w:styleId="CommentSubjectChar" w:customStyle="1">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styleId="BodyTextIndentChar" w:customStyle="1">
    <w:name w:val="Body Text Indent Char"/>
    <w:basedOn w:val="DefaultParagraphFont"/>
    <w:link w:val="BodyTextIndent"/>
    <w:rsid w:val="00E41E30"/>
    <w:rPr>
      <w:rFonts w:ascii="Arial" w:hAnsi="Arial" w:cs="Arial"/>
      <w:snapToGrid w:val="0"/>
      <w:sz w:val="22"/>
      <w:lang w:eastAsia="en-US"/>
    </w:rPr>
  </w:style>
  <w:style w:type="paragraph" w:styleId="Char1CharCharChar" w:customStyle="1">
    <w:name w:val="Char1 Char Char Char"/>
    <w:basedOn w:val="Normal"/>
    <w:rsid w:val="00B94945"/>
    <w:pPr>
      <w:spacing w:after="160" w:line="240" w:lineRule="exact"/>
      <w:jc w:val="left"/>
    </w:pPr>
    <w:rPr>
      <w:rFonts w:ascii="Verdana" w:hAnsi="Verdana" w:eastAsia="MS Mincho" w:cs="Verdana"/>
      <w:snapToGrid w:val="0"/>
      <w:sz w:val="20"/>
      <w:lang w:val="en-US"/>
    </w:rPr>
  </w:style>
  <w:style w:type="character" w:styleId="SubtitleChar" w:customStyle="1">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styleId="SubtitleChar1" w:customStyle="1">
    <w:name w:val="Subtitle Char1"/>
    <w:basedOn w:val="DefaultParagraphFont"/>
    <w:rsid w:val="00B50DB8"/>
    <w:rPr>
      <w:rFonts w:asciiTheme="majorHAnsi" w:hAnsiTheme="majorHAnsi" w:eastAsiaTheme="majorEastAsia" w:cstheme="majorBidi"/>
      <w:i/>
      <w:iCs/>
      <w:snapToGrid w:val="0"/>
      <w:color w:val="4F81BD" w:themeColor="accent1"/>
      <w:spacing w:val="15"/>
      <w:sz w:val="24"/>
      <w:szCs w:val="24"/>
      <w:lang w:eastAsia="en-US"/>
    </w:rPr>
  </w:style>
  <w:style w:type="paragraph" w:styleId="PBACHeading1" w:customStyle="1">
    <w:name w:val="PBAC Heading 1"/>
    <w:qFormat/>
    <w:rsid w:val="003C5542"/>
    <w:pPr>
      <w:outlineLvl w:val="0"/>
    </w:pPr>
    <w:rPr>
      <w:rFonts w:ascii="Calibri" w:hAnsi="Calibri" w:cs="Arial"/>
      <w:b/>
      <w:snapToGrid w:val="0"/>
      <w:sz w:val="32"/>
      <w:szCs w:val="22"/>
      <w:lang w:eastAsia="en-US"/>
    </w:rPr>
  </w:style>
  <w:style w:type="table" w:styleId="PlainTable21" w:customStyle="1">
    <w:name w:val="Plain Table 21"/>
    <w:basedOn w:val="TableNormal"/>
    <w:uiPriority w:val="42"/>
    <w:rsid w:val="00FF5AD8"/>
    <w:rPr>
      <w:rFonts w:asciiTheme="minorHAnsi" w:hAnsiTheme="minorHAnsi" w:eastAsiaTheme="minorHAnsi" w:cstheme="minorBidi"/>
      <w:sz w:val="22"/>
      <w:szCs w:val="22"/>
      <w:lang w:eastAsia="en-US"/>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Commentitalics" w:customStyle="1">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styleId="BalloonTextChar" w:customStyle="1">
    <w:name w:val="Balloon Text Char"/>
    <w:basedOn w:val="DefaultParagraphFont"/>
    <w:link w:val="BalloonText"/>
    <w:semiHidden/>
    <w:rsid w:val="00B34FE2"/>
    <w:rPr>
      <w:rFonts w:ascii="Tahoma" w:hAnsi="Tahoma" w:cs="Tahoma"/>
      <w:snapToGrid w:val="0"/>
      <w:sz w:val="16"/>
      <w:szCs w:val="16"/>
      <w:lang w:eastAsia="en-US"/>
    </w:rPr>
  </w:style>
  <w:style w:type="paragraph" w:styleId="TableText0" w:customStyle="1">
    <w:name w:val="Table Text"/>
    <w:link w:val="TableTextChar0"/>
    <w:autoRedefine/>
    <w:qFormat/>
    <w:rsid w:val="0022226D"/>
    <w:pPr>
      <w:keepNext/>
      <w:keepLines/>
    </w:pPr>
    <w:rPr>
      <w:rFonts w:ascii="Arial Narrow" w:hAnsi="Arial Narrow" w:eastAsiaTheme="majorEastAsia" w:cstheme="majorBidi"/>
      <w:bCs/>
      <w:szCs w:val="24"/>
    </w:rPr>
  </w:style>
  <w:style w:type="paragraph" w:styleId="V50Tablename" w:customStyle="1">
    <w:name w:val="V5.0 Table name"/>
    <w:basedOn w:val="Normal"/>
    <w:link w:val="V50TablenameChar"/>
    <w:rsid w:val="001A178E"/>
    <w:pPr>
      <w:keepNext/>
      <w:jc w:val="left"/>
    </w:pPr>
    <w:rPr>
      <w:rFonts w:asciiTheme="minorHAnsi" w:hAnsiTheme="minorHAnsi" w:eastAsiaTheme="minorHAnsi" w:cstheme="minorBidi"/>
      <w:b/>
      <w:snapToGrid w:val="0"/>
      <w:sz w:val="20"/>
      <w:lang w:val="en-US"/>
    </w:rPr>
  </w:style>
  <w:style w:type="character" w:styleId="V50TablenameChar" w:customStyle="1">
    <w:name w:val="V5.0 Table name Char"/>
    <w:basedOn w:val="DefaultParagraphFont"/>
    <w:link w:val="V50Tablename"/>
    <w:rsid w:val="001A178E"/>
    <w:rPr>
      <w:rFonts w:asciiTheme="minorHAnsi" w:hAnsiTheme="minorHAnsi" w:eastAsiaTheme="minorHAnsi" w:cstheme="minorBidi"/>
      <w:b/>
      <w:szCs w:val="24"/>
      <w:lang w:val="en-US" w:eastAsia="en-US"/>
    </w:rPr>
  </w:style>
  <w:style w:type="paragraph" w:styleId="GeneralHeading" w:customStyle="1">
    <w:name w:val="General Heading"/>
    <w:qFormat/>
    <w:rsid w:val="004C3B02"/>
    <w:pPr>
      <w:keepNext/>
      <w:spacing w:before="120" w:after="120"/>
      <w:ind w:left="720" w:hanging="720"/>
      <w:outlineLvl w:val="0"/>
    </w:pPr>
    <w:rPr>
      <w:rFonts w:ascii="Calibri" w:hAnsi="Calibri" w:cs="Arial"/>
      <w:b/>
      <w:snapToGrid w:val="0"/>
      <w:sz w:val="28"/>
      <w:szCs w:val="22"/>
    </w:rPr>
  </w:style>
  <w:style w:type="paragraph" w:styleId="In-tableHeading" w:customStyle="1">
    <w:name w:val="In-table Heading"/>
    <w:autoRedefine/>
    <w:qFormat/>
    <w:rsid w:val="00D92D9D"/>
    <w:pPr>
      <w:keepNext/>
      <w:keepLines/>
    </w:pPr>
    <w:rPr>
      <w:rFonts w:ascii="Arial Narrow" w:hAnsi="Arial Narrow" w:eastAsiaTheme="majorEastAsia"/>
      <w:b/>
      <w:szCs w:val="24"/>
      <w:lang w:val="en-US"/>
    </w:rPr>
  </w:style>
  <w:style w:type="paragraph" w:styleId="2-SectionHeading" w:customStyle="1">
    <w:name w:val="2-Section Heading"/>
    <w:next w:val="3-BodyText"/>
    <w:qFormat/>
    <w:rsid w:val="004C3B02"/>
    <w:pPr>
      <w:keepNext/>
      <w:numPr>
        <w:numId w:val="9"/>
      </w:numPr>
      <w:spacing w:before="240" w:after="120"/>
      <w:outlineLvl w:val="0"/>
    </w:pPr>
    <w:rPr>
      <w:rFonts w:cs="Arial" w:asciiTheme="minorHAnsi" w:hAnsiTheme="minorHAnsi"/>
      <w:b/>
      <w:snapToGrid w:val="0"/>
      <w:sz w:val="32"/>
      <w:szCs w:val="32"/>
    </w:rPr>
  </w:style>
  <w:style w:type="paragraph" w:styleId="1-MainHeading" w:customStyle="1">
    <w:name w:val="1-Main Heading"/>
    <w:next w:val="2-SectionHeading"/>
    <w:link w:val="1-MainHeadingChar"/>
    <w:qFormat/>
    <w:rsid w:val="004C3B02"/>
    <w:pPr>
      <w:keepNext/>
      <w:spacing w:before="120" w:after="160"/>
      <w:ind w:left="720" w:hanging="720"/>
      <w:outlineLvl w:val="0"/>
    </w:pPr>
    <w:rPr>
      <w:rFonts w:asciiTheme="minorHAnsi" w:hAnsiTheme="minorHAnsi" w:eastAsiaTheme="majorEastAsia" w:cstheme="majorBidi"/>
      <w:b/>
      <w:spacing w:val="5"/>
      <w:kern w:val="28"/>
      <w:sz w:val="36"/>
      <w:szCs w:val="36"/>
    </w:rPr>
  </w:style>
  <w:style w:type="character" w:styleId="1-MainHeadingChar" w:customStyle="1">
    <w:name w:val="1-Main Heading Char"/>
    <w:basedOn w:val="DefaultParagraphFont"/>
    <w:link w:val="1-MainHeading"/>
    <w:rsid w:val="004C3B02"/>
    <w:rPr>
      <w:rFonts w:asciiTheme="minorHAnsi" w:hAnsiTheme="minorHAnsi" w:eastAsiaTheme="majorEastAsia" w:cstheme="majorBidi"/>
      <w:b/>
      <w:spacing w:val="5"/>
      <w:kern w:val="28"/>
      <w:sz w:val="36"/>
      <w:szCs w:val="36"/>
    </w:rPr>
  </w:style>
  <w:style w:type="paragraph" w:styleId="TableFigureHeading" w:customStyle="1">
    <w:name w:val="Table/Figure Heading"/>
    <w:link w:val="TableFigureHeadingChar"/>
    <w:qFormat/>
    <w:rsid w:val="004C3B02"/>
    <w:pPr>
      <w:keepNext/>
    </w:pPr>
    <w:rPr>
      <w:rFonts w:ascii="Arial Narrow" w:hAnsi="Arial Narrow" w:eastAsiaTheme="majorEastAsia" w:cstheme="majorBidi"/>
      <w:b/>
      <w:bCs/>
      <w:szCs w:val="24"/>
    </w:rPr>
  </w:style>
  <w:style w:type="character" w:styleId="TableFigureHeadingChar" w:customStyle="1">
    <w:name w:val="Table/Figure Heading Char"/>
    <w:basedOn w:val="DefaultParagraphFont"/>
    <w:link w:val="TableFigureHeading"/>
    <w:rsid w:val="004C3B02"/>
    <w:rPr>
      <w:rFonts w:ascii="Arial Narrow" w:hAnsi="Arial Narrow" w:eastAsiaTheme="majorEastAsia" w:cstheme="majorBidi"/>
      <w:b/>
      <w:bCs/>
      <w:szCs w:val="24"/>
    </w:rPr>
  </w:style>
  <w:style w:type="paragraph" w:styleId="3-BodyText" w:customStyle="1">
    <w:name w:val="3-Body Text"/>
    <w:link w:val="3-BodyTextChar"/>
    <w:qFormat/>
    <w:rsid w:val="004C3B02"/>
    <w:pPr>
      <w:numPr>
        <w:ilvl w:val="1"/>
        <w:numId w:val="9"/>
      </w:numPr>
      <w:spacing w:before="60" w:after="60"/>
      <w:jc w:val="both"/>
    </w:pPr>
    <w:rPr>
      <w:rFonts w:asciiTheme="minorHAnsi" w:hAnsiTheme="minorHAnsi" w:eastAsiaTheme="minorHAnsi" w:cstheme="minorBidi"/>
      <w:sz w:val="24"/>
      <w:szCs w:val="22"/>
    </w:rPr>
  </w:style>
  <w:style w:type="character" w:styleId="3-BodyTextChar" w:customStyle="1">
    <w:name w:val="3-Body Text Char"/>
    <w:basedOn w:val="ListParagraphChar"/>
    <w:link w:val="3-BodyText"/>
    <w:rsid w:val="004C3B02"/>
    <w:rPr>
      <w:rFonts w:asciiTheme="minorHAnsi" w:hAnsiTheme="minorHAnsi" w:eastAsiaTheme="minorHAnsi" w:cstheme="minorBidi"/>
      <w:snapToGrid/>
      <w:sz w:val="24"/>
      <w:szCs w:val="22"/>
    </w:rPr>
  </w:style>
  <w:style w:type="paragraph" w:styleId="PageFooter" w:customStyle="1">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styleId="PageFooterChar" w:customStyle="1">
    <w:name w:val="Page Footer Char"/>
    <w:basedOn w:val="DefaultParagraphFont"/>
    <w:link w:val="PageFooter"/>
    <w:rsid w:val="004C3B02"/>
    <w:rPr>
      <w:rFonts w:ascii="Calibri" w:hAnsi="Calibri" w:cs="Arial"/>
      <w:b/>
      <w:sz w:val="24"/>
      <w:szCs w:val="24"/>
    </w:rPr>
  </w:style>
  <w:style w:type="paragraph" w:styleId="FooterTableFigure" w:customStyle="1">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styleId="FooterTableFigureChar" w:customStyle="1">
    <w:name w:val="Footer Table/Figure Char"/>
    <w:link w:val="FooterTableFigure"/>
    <w:rsid w:val="00EC5836"/>
    <w:rPr>
      <w:rFonts w:ascii="Arial Narrow" w:hAnsi="Arial Narrow" w:cs="Arial"/>
      <w:snapToGrid w:val="0"/>
      <w:sz w:val="18"/>
      <w:szCs w:val="22"/>
    </w:rPr>
  </w:style>
  <w:style w:type="paragraph" w:styleId="4-SubsectionHeading" w:customStyle="1">
    <w:name w:val="4-Subsection Heading"/>
    <w:basedOn w:val="Heading2"/>
    <w:next w:val="3-BodyText"/>
    <w:link w:val="4-SubsectionHeadingChar"/>
    <w:autoRedefine/>
    <w:qFormat/>
    <w:rsid w:val="00112109"/>
    <w:pPr>
      <w:keepNext/>
      <w:spacing w:before="120" w:after="120"/>
    </w:pPr>
    <w:rPr>
      <w:rFonts w:asciiTheme="minorHAnsi" w:hAnsiTheme="minorHAnsi" w:eastAsiaTheme="majorEastAsia" w:cstheme="majorBidi"/>
      <w:color w:val="000000" w:themeColor="text1"/>
      <w:spacing w:val="5"/>
      <w:kern w:val="28"/>
      <w:szCs w:val="36"/>
      <w:lang w:eastAsia="en-US"/>
    </w:rPr>
  </w:style>
  <w:style w:type="character" w:styleId="4-SubsectionHeadingChar" w:customStyle="1">
    <w:name w:val="4-Subsection Heading Char"/>
    <w:basedOn w:val="Heading2Char"/>
    <w:link w:val="4-SubsectionHeading"/>
    <w:rsid w:val="00112109"/>
    <w:rPr>
      <w:rFonts w:asciiTheme="minorHAnsi" w:hAnsiTheme="minorHAnsi" w:eastAsiaTheme="majorEastAsia" w:cstheme="majorBidi"/>
      <w:b/>
      <w:i/>
      <w:snapToGrid/>
      <w:color w:val="000000" w:themeColor="text1"/>
      <w:spacing w:val="5"/>
      <w:kern w:val="28"/>
      <w:sz w:val="28"/>
      <w:szCs w:val="36"/>
      <w:lang w:eastAsia="en-US"/>
    </w:rPr>
  </w:style>
  <w:style w:type="paragraph" w:styleId="5-SubsectionSubheading" w:customStyle="1">
    <w:name w:val="5-Subsection Subheading"/>
    <w:basedOn w:val="Heading3"/>
    <w:next w:val="3-BodyText"/>
    <w:link w:val="5-SubsectionSubheadingChar"/>
    <w:qFormat/>
    <w:rsid w:val="004C3B02"/>
    <w:pPr>
      <w:keepNext/>
      <w:keepLines/>
      <w:spacing w:before="40"/>
    </w:pPr>
    <w:rPr>
      <w:rFonts w:asciiTheme="minorHAnsi" w:hAnsiTheme="minorHAnsi" w:eastAsiaTheme="majorEastAsia" w:cstheme="majorBidi"/>
      <w:b/>
      <w:color w:val="000000" w:themeColor="text1"/>
      <w:u w:val="none"/>
    </w:rPr>
  </w:style>
  <w:style w:type="character" w:styleId="5-SubsectionSubheadingChar" w:customStyle="1">
    <w:name w:val="5-Subsection Subheading Char"/>
    <w:basedOn w:val="DefaultParagraphFont"/>
    <w:link w:val="5-SubsectionSubheading"/>
    <w:rsid w:val="004C3B02"/>
    <w:rPr>
      <w:rFonts w:asciiTheme="minorHAnsi" w:hAnsiTheme="minorHAnsi" w:eastAsiaTheme="majorEastAsia"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styleId="TableTextChar0" w:customStyle="1">
    <w:name w:val="Table Text Char"/>
    <w:basedOn w:val="DefaultParagraphFont"/>
    <w:link w:val="TableText0"/>
    <w:rsid w:val="0022226D"/>
    <w:rPr>
      <w:rFonts w:ascii="Arial Narrow" w:hAnsi="Arial Narrow" w:eastAsiaTheme="majorEastAsia" w:cstheme="majorBidi"/>
      <w:bCs/>
      <w:szCs w:val="24"/>
    </w:rPr>
  </w:style>
  <w:style w:type="paragraph" w:styleId="ExecSumBodyText" w:customStyle="1">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styleId="ExecSumBodyTextChar" w:customStyle="1">
    <w:name w:val="Exec Sum Body Text Char"/>
    <w:basedOn w:val="DefaultParagraphFont"/>
    <w:link w:val="ExecSumBodyText"/>
    <w:uiPriority w:val="99"/>
    <w:rsid w:val="00D30D5B"/>
    <w:rPr>
      <w:rFonts w:cs="Arial" w:asciiTheme="minorHAnsi" w:hAnsiTheme="minorHAnsi"/>
      <w:snapToGrid w:val="0"/>
      <w:sz w:val="24"/>
      <w:szCs w:val="24"/>
    </w:rPr>
  </w:style>
  <w:style w:type="paragraph" w:styleId="bullet" w:customStyle="1">
    <w:name w:val="bullet"/>
    <w:basedOn w:val="ListParagraph"/>
    <w:link w:val="bulletChar"/>
    <w:rsid w:val="00D30D5B"/>
    <w:pPr>
      <w:numPr>
        <w:numId w:val="7"/>
      </w:numPr>
    </w:pPr>
    <w:rPr>
      <w:rFonts w:ascii="Calibri" w:hAnsi="Calibri" w:cstheme="minorBidi"/>
      <w:i/>
      <w:snapToGrid/>
      <w:sz w:val="22"/>
      <w:szCs w:val="22"/>
      <w:lang w:eastAsia="en-US"/>
    </w:rPr>
  </w:style>
  <w:style w:type="character" w:styleId="bulletChar" w:customStyle="1">
    <w:name w:val="bullet Char"/>
    <w:basedOn w:val="DefaultParagraphFont"/>
    <w:link w:val="bullet"/>
    <w:rsid w:val="00D30D5B"/>
    <w:rPr>
      <w:rFonts w:ascii="Calibri" w:hAnsi="Calibri" w:cstheme="minorBidi"/>
      <w:i/>
      <w:sz w:val="22"/>
      <w:szCs w:val="22"/>
      <w:lang w:eastAsia="en-US"/>
    </w:rPr>
  </w:style>
  <w:style w:type="paragraph" w:styleId="Default" w:customStyle="1">
    <w:name w:val="Default"/>
    <w:rsid w:val="00AB11AD"/>
    <w:pPr>
      <w:autoSpaceDE w:val="0"/>
      <w:autoSpaceDN w:val="0"/>
      <w:adjustRightInd w:val="0"/>
    </w:pPr>
    <w:rPr>
      <w:rFonts w:ascii="Calibri" w:hAnsi="Calibri" w:cs="Calibri"/>
      <w:color w:val="000000"/>
      <w:sz w:val="24"/>
      <w:szCs w:val="24"/>
    </w:rPr>
  </w:style>
  <w:style w:type="paragraph" w:styleId="TableFigureFooter" w:customStyle="1">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styleId="TableFigureFooterChar" w:customStyle="1">
    <w:name w:val="Table/Figure Footer Char"/>
    <w:link w:val="TableFigureFooter"/>
    <w:rsid w:val="00C572F6"/>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B65B0E"/>
    <w:rPr>
      <w:color w:val="605E5C"/>
      <w:shd w:val="clear" w:color="auto" w:fill="E1DFDD"/>
    </w:rPr>
  </w:style>
  <w:style w:type="paragraph" w:styleId="FootnoteText">
    <w:name w:val="footnote text"/>
    <w:basedOn w:val="Normal"/>
    <w:link w:val="FootnoteTextChar"/>
    <w:unhideWhenUsed/>
    <w:rsid w:val="00B65B0E"/>
    <w:rPr>
      <w:sz w:val="20"/>
      <w:szCs w:val="20"/>
    </w:rPr>
  </w:style>
  <w:style w:type="character" w:styleId="FootnoteTextChar" w:customStyle="1">
    <w:name w:val="Footnote Text Char"/>
    <w:basedOn w:val="DefaultParagraphFont"/>
    <w:link w:val="FootnoteText"/>
    <w:rsid w:val="00B65B0E"/>
    <w:rPr>
      <w:rFonts w:ascii="Calibri" w:hAnsi="Calibri" w:cs="Arial"/>
    </w:rPr>
  </w:style>
  <w:style w:type="character" w:styleId="FootnoteReference">
    <w:name w:val="footnote reference"/>
    <w:basedOn w:val="DefaultParagraphFont"/>
    <w:unhideWhenUsed/>
    <w:rsid w:val="00B65B0E"/>
    <w:rPr>
      <w:vertAlign w:val="superscript"/>
    </w:rPr>
  </w:style>
  <w:style w:type="paragraph" w:styleId="TableText1" w:customStyle="1">
    <w:name w:val="TableText"/>
    <w:basedOn w:val="Normal"/>
    <w:link w:val="TableTextChar1"/>
    <w:uiPriority w:val="3"/>
    <w:qFormat/>
    <w:rsid w:val="00B65B0E"/>
    <w:pPr>
      <w:spacing w:before="20" w:after="20"/>
      <w:jc w:val="left"/>
    </w:pPr>
    <w:rPr>
      <w:rFonts w:cs="Calibri"/>
      <w:bCs/>
      <w:sz w:val="20"/>
      <w:szCs w:val="20"/>
      <w:lang w:eastAsia="zh-CN"/>
    </w:rPr>
  </w:style>
  <w:style w:type="character" w:styleId="TableTextChar1" w:customStyle="1">
    <w:name w:val="TableText Char"/>
    <w:basedOn w:val="DefaultParagraphFont"/>
    <w:link w:val="TableText1"/>
    <w:uiPriority w:val="3"/>
    <w:rsid w:val="00B65B0E"/>
    <w:rPr>
      <w:rFonts w:ascii="Calibri" w:hAnsi="Calibri" w:cs="Calibri"/>
      <w:bCs/>
      <w:lang w:eastAsia="zh-CN"/>
    </w:rPr>
  </w:style>
  <w:style w:type="paragraph" w:styleId="Dash" w:customStyle="1">
    <w:name w:val="Dash"/>
    <w:basedOn w:val="bullet"/>
    <w:rsid w:val="00B65B0E"/>
    <w:pPr>
      <w:numPr>
        <w:numId w:val="10"/>
      </w:numPr>
      <w:spacing w:after="40"/>
    </w:pPr>
    <w:rPr>
      <w:rFonts w:asciiTheme="minorHAnsi" w:hAnsiTheme="minorHAnsi" w:eastAsiaTheme="minorHAnsi"/>
      <w:i w:val="0"/>
    </w:rPr>
  </w:style>
  <w:style w:type="table" w:styleId="HTAtableplain1" w:customStyle="1">
    <w:name w:val="HTAtableplain1"/>
    <w:basedOn w:val="TableNormal"/>
    <w:next w:val="TableGrid"/>
    <w:uiPriority w:val="59"/>
    <w:rsid w:val="00B65B0E"/>
    <w:rPr>
      <w:rFonts w:asciiTheme="minorHAnsi" w:hAnsiTheme="minorHAnsi" w:eastAsiaTheme="minorEastAsia" w:cstheme="minorBidi"/>
      <w:sz w:val="22"/>
      <w:szCs w:val="22"/>
      <w:lang w:eastAsia="zh-C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BACTableText" w:customStyle="1">
    <w:name w:val="PBAC Table Text"/>
    <w:basedOn w:val="Normal"/>
    <w:link w:val="PBACTableTextChar"/>
    <w:qFormat/>
    <w:rsid w:val="00B65B0E"/>
    <w:pPr>
      <w:spacing w:before="40" w:after="40"/>
      <w:jc w:val="left"/>
    </w:pPr>
    <w:rPr>
      <w:rFonts w:ascii="Aptos Narrow" w:hAnsi="Aptos Narrow" w:cs="Times New Roman"/>
      <w:sz w:val="20"/>
      <w:szCs w:val="20"/>
      <w:lang w:eastAsia="en-US"/>
    </w:rPr>
  </w:style>
  <w:style w:type="character" w:styleId="PBACTableTextChar" w:customStyle="1">
    <w:name w:val="PBAC Table Text Char"/>
    <w:basedOn w:val="DefaultParagraphFont"/>
    <w:link w:val="PBACTableText"/>
    <w:rsid w:val="00B65B0E"/>
    <w:rPr>
      <w:rFonts w:ascii="Aptos Narrow" w:hAnsi="Aptos Narrow"/>
      <w:lang w:eastAsia="en-US"/>
    </w:rPr>
  </w:style>
  <w:style w:type="paragraph" w:styleId="PBACbullet" w:customStyle="1">
    <w:name w:val="PBAC bullet"/>
    <w:basedOn w:val="ListParagraph"/>
    <w:link w:val="PBACbulletChar"/>
    <w:uiPriority w:val="1"/>
    <w:qFormat/>
    <w:rsid w:val="00B65B0E"/>
    <w:pPr>
      <w:numPr>
        <w:numId w:val="11"/>
      </w:numPr>
      <w:spacing w:after="160"/>
      <w:contextualSpacing/>
    </w:pPr>
    <w:rPr>
      <w:rFonts w:ascii="Aptos" w:hAnsi="Aptos" w:eastAsiaTheme="minorHAnsi"/>
      <w:snapToGrid/>
      <w:sz w:val="22"/>
      <w:lang w:eastAsia="en-US"/>
    </w:rPr>
  </w:style>
  <w:style w:type="character" w:styleId="PBACbulletChar" w:customStyle="1">
    <w:name w:val="PBAC bullet Char"/>
    <w:basedOn w:val="ListParagraphChar"/>
    <w:link w:val="PBACbullet"/>
    <w:uiPriority w:val="1"/>
    <w:rsid w:val="00B65B0E"/>
    <w:rPr>
      <w:rFonts w:ascii="Aptos" w:hAnsi="Aptos" w:cs="Arial" w:eastAsiaTheme="minorHAnsi"/>
      <w:snapToGrid/>
      <w:sz w:val="22"/>
      <w:szCs w:val="24"/>
      <w:lang w:eastAsia="en-US"/>
    </w:rPr>
  </w:style>
  <w:style w:type="table" w:styleId="PlainTable22" w:customStyle="1">
    <w:name w:val="Plain Table 22"/>
    <w:basedOn w:val="TableNormal"/>
    <w:next w:val="PlainTable2"/>
    <w:uiPriority w:val="42"/>
    <w:rsid w:val="00B65B0E"/>
    <w:rPr>
      <w:rFonts w:ascii="Arial" w:hAnsi="Arial" w:eastAsia="Calibri" w:cs="Arial"/>
      <w:lang w:val="en-US" w:eastAsia="en-US"/>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PlainTable2">
    <w:name w:val="Plain Table 2"/>
    <w:basedOn w:val="TableNormal"/>
    <w:uiPriority w:val="42"/>
    <w:rsid w:val="00B65B0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PbacTableHeading" w:customStyle="1">
    <w:name w:val="Pbac Table Heading"/>
    <w:basedOn w:val="PBACTableText"/>
    <w:qFormat/>
    <w:rsid w:val="008759C1"/>
    <w:rPr>
      <w:rFonts w:cs="Arial" w:eastAsiaTheme="minorHAnsi"/>
      <w:b/>
    </w:rPr>
  </w:style>
  <w:style w:type="paragraph" w:styleId="PBACTableHeading0" w:customStyle="1">
    <w:name w:val="PBAC Table Heading"/>
    <w:basedOn w:val="PBACTableText"/>
    <w:uiPriority w:val="2"/>
    <w:qFormat/>
    <w:rsid w:val="009A1469"/>
    <w:pPr>
      <w:spacing w:before="0" w:after="0"/>
    </w:pPr>
    <w:rPr>
      <w:rFonts w:cs="Arial" w:eastAsiaTheme="minorHAnsi"/>
      <w:b/>
    </w:rPr>
  </w:style>
  <w:style w:type="character" w:styleId="Heading1Char" w:customStyle="1">
    <w:name w:val="Heading 1 Char"/>
    <w:basedOn w:val="DefaultParagraphFont"/>
    <w:link w:val="Heading1"/>
    <w:uiPriority w:val="9"/>
    <w:rsid w:val="001B3E2F"/>
    <w:rPr>
      <w:rFonts w:ascii="Calibri" w:hAnsi="Calibri" w:cs="Arial"/>
      <w:b/>
      <w:caps/>
      <w:sz w:val="32"/>
      <w:szCs w:val="24"/>
    </w:rPr>
  </w:style>
  <w:style w:type="character" w:styleId="Heading3Char" w:customStyle="1">
    <w:name w:val="Heading 3 Char"/>
    <w:basedOn w:val="DefaultParagraphFont"/>
    <w:link w:val="Heading3"/>
    <w:uiPriority w:val="9"/>
    <w:rsid w:val="001B3E2F"/>
    <w:rPr>
      <w:rFonts w:ascii="Calibri" w:hAnsi="Calibri" w:cs="Arial"/>
      <w:sz w:val="24"/>
      <w:szCs w:val="24"/>
      <w:u w:val="single"/>
    </w:rPr>
  </w:style>
  <w:style w:type="character" w:styleId="Heading4Char" w:customStyle="1">
    <w:name w:val="Heading 4 Char"/>
    <w:basedOn w:val="DefaultParagraphFont"/>
    <w:link w:val="Heading4"/>
    <w:uiPriority w:val="9"/>
    <w:rsid w:val="001B3E2F"/>
    <w:rPr>
      <w:rFonts w:ascii="Calibri" w:hAnsi="Calibri" w:cs="Arial"/>
      <w:b/>
      <w:bCs/>
      <w:i/>
      <w:sz w:val="26"/>
      <w:szCs w:val="28"/>
    </w:rPr>
  </w:style>
  <w:style w:type="character" w:styleId="Heading5Char" w:customStyle="1">
    <w:name w:val="Heading 5 Char"/>
    <w:basedOn w:val="DefaultParagraphFont"/>
    <w:link w:val="Heading5"/>
    <w:uiPriority w:val="9"/>
    <w:rsid w:val="001B3E2F"/>
    <w:rPr>
      <w:rFonts w:ascii="Calibri" w:hAnsi="Calibri" w:cs="Arial"/>
      <w:b/>
      <w:bCs/>
      <w:iCs/>
      <w:sz w:val="26"/>
      <w:szCs w:val="26"/>
    </w:rPr>
  </w:style>
  <w:style w:type="character" w:styleId="Heading6Char" w:customStyle="1">
    <w:name w:val="Heading 6 Char"/>
    <w:basedOn w:val="DefaultParagraphFont"/>
    <w:link w:val="Heading6"/>
    <w:uiPriority w:val="9"/>
    <w:rsid w:val="001B3E2F"/>
    <w:rPr>
      <w:rFonts w:ascii="Calibri" w:hAnsi="Calibri" w:cs="Arial"/>
      <w:b/>
      <w:bCs/>
      <w:i/>
      <w:sz w:val="24"/>
      <w:szCs w:val="24"/>
    </w:rPr>
  </w:style>
  <w:style w:type="paragraph" w:styleId="Quote">
    <w:name w:val="Quote"/>
    <w:basedOn w:val="Normal"/>
    <w:next w:val="Normal"/>
    <w:link w:val="QuoteChar"/>
    <w:uiPriority w:val="29"/>
    <w:qFormat/>
    <w:rsid w:val="001B3E2F"/>
    <w:pPr>
      <w:spacing w:before="160"/>
      <w:jc w:val="center"/>
    </w:pPr>
    <w:rPr>
      <w:i/>
      <w:iCs/>
      <w:color w:val="404040" w:themeColor="text1" w:themeTint="BF"/>
      <w14:ligatures w14:val="standardContextual"/>
    </w:rPr>
  </w:style>
  <w:style w:type="character" w:styleId="QuoteChar" w:customStyle="1">
    <w:name w:val="Quote Char"/>
    <w:basedOn w:val="DefaultParagraphFont"/>
    <w:link w:val="Quote"/>
    <w:uiPriority w:val="29"/>
    <w:rsid w:val="001B3E2F"/>
    <w:rPr>
      <w:rFonts w:ascii="Calibri" w:hAnsi="Calibri" w:cs="Arial"/>
      <w:i/>
      <w:iCs/>
      <w:color w:val="404040" w:themeColor="text1" w:themeTint="BF"/>
      <w:sz w:val="24"/>
      <w:szCs w:val="24"/>
      <w14:ligatures w14:val="standardContextual"/>
    </w:rPr>
  </w:style>
  <w:style w:type="character" w:styleId="IntenseEmphasis">
    <w:name w:val="Intense Emphasis"/>
    <w:basedOn w:val="DefaultParagraphFont"/>
    <w:uiPriority w:val="21"/>
    <w:qFormat/>
    <w:rsid w:val="001B3E2F"/>
    <w:rPr>
      <w:i/>
      <w:iCs/>
      <w:color w:val="365F91" w:themeColor="accent1" w:themeShade="BF"/>
    </w:rPr>
  </w:style>
  <w:style w:type="paragraph" w:styleId="IntenseQuote">
    <w:name w:val="Intense Quote"/>
    <w:basedOn w:val="Normal"/>
    <w:next w:val="Normal"/>
    <w:link w:val="IntenseQuoteChar"/>
    <w:uiPriority w:val="30"/>
    <w:qFormat/>
    <w:rsid w:val="001B3E2F"/>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14:ligatures w14:val="standardContextual"/>
    </w:rPr>
  </w:style>
  <w:style w:type="character" w:styleId="IntenseQuoteChar" w:customStyle="1">
    <w:name w:val="Intense Quote Char"/>
    <w:basedOn w:val="DefaultParagraphFont"/>
    <w:link w:val="IntenseQuote"/>
    <w:uiPriority w:val="30"/>
    <w:rsid w:val="001B3E2F"/>
    <w:rPr>
      <w:rFonts w:ascii="Calibri" w:hAnsi="Calibri" w:cs="Arial"/>
      <w:i/>
      <w:iCs/>
      <w:color w:val="365F91" w:themeColor="accent1" w:themeShade="BF"/>
      <w:sz w:val="24"/>
      <w:szCs w:val="24"/>
      <w14:ligatures w14:val="standardContextual"/>
    </w:rPr>
  </w:style>
  <w:style w:type="character" w:styleId="IntenseReference">
    <w:name w:val="Intense Reference"/>
    <w:basedOn w:val="DefaultParagraphFont"/>
    <w:uiPriority w:val="32"/>
    <w:qFormat/>
    <w:rsid w:val="001B3E2F"/>
    <w:rPr>
      <w:b/>
      <w:bCs/>
      <w:smallCaps/>
      <w:color w:val="365F91" w:themeColor="accent1" w:themeShade="BF"/>
      <w:spacing w:val="5"/>
    </w:rPr>
  </w:style>
  <w:style w:type="character" w:styleId="Mention">
    <w:name w:val="Mention"/>
    <w:basedOn w:val="DefaultParagraphFont"/>
    <w:uiPriority w:val="99"/>
    <w:unhideWhenUsed/>
    <w:rsid w:val="001B3E2F"/>
    <w:rPr>
      <w:color w:val="2B579A"/>
      <w:shd w:val="clear" w:color="auto" w:fill="E1DFDD"/>
    </w:rPr>
  </w:style>
  <w:style w:type="character" w:styleId="cf01" w:customStyle="1">
    <w:name w:val="cf01"/>
    <w:basedOn w:val="DefaultParagraphFont"/>
    <w:rsid w:val="001B3E2F"/>
    <w:rPr>
      <w:rFonts w:hint="default" w:ascii="Segoe UI" w:hAnsi="Segoe UI" w:cs="Segoe UI"/>
      <w:sz w:val="18"/>
      <w:szCs w:val="18"/>
    </w:rPr>
  </w:style>
  <w:style w:type="paragraph" w:styleId="pf1" w:customStyle="1">
    <w:name w:val="pf1"/>
    <w:basedOn w:val="Normal"/>
    <w:rsid w:val="001B3E2F"/>
    <w:pPr>
      <w:spacing w:before="100" w:beforeAutospacing="1" w:after="100" w:afterAutospacing="1"/>
      <w:jc w:val="left"/>
    </w:pPr>
    <w:rPr>
      <w:rFonts w:ascii="Times New Roman" w:hAnsi="Times New Roman" w:cs="Times New Roman"/>
    </w:rPr>
  </w:style>
  <w:style w:type="paragraph" w:styleId="pf0" w:customStyle="1">
    <w:name w:val="pf0"/>
    <w:basedOn w:val="Normal"/>
    <w:rsid w:val="001B3E2F"/>
    <w:pPr>
      <w:spacing w:before="100" w:beforeAutospacing="1" w:after="100" w:afterAutospacing="1"/>
      <w:jc w:val="left"/>
    </w:pPr>
    <w:rPr>
      <w:rFonts w:ascii="Times New Roman" w:hAnsi="Times New Roman" w:cs="Times New Roman"/>
    </w:rPr>
  </w:style>
  <w:style w:type="character" w:styleId="cf11" w:customStyle="1">
    <w:name w:val="cf11"/>
    <w:basedOn w:val="DefaultParagraphFont"/>
    <w:rsid w:val="001B3E2F"/>
    <w:rPr>
      <w:rFonts w:hint="default" w:ascii="Segoe UI" w:hAnsi="Segoe UI" w:cs="Segoe UI"/>
      <w:sz w:val="18"/>
      <w:szCs w:val="18"/>
      <w:vertAlign w:val="superscript"/>
    </w:rPr>
  </w:style>
  <w:style w:type="character" w:styleId="fui-styledtext" w:customStyle="1">
    <w:name w:val="fui-styledtext"/>
    <w:basedOn w:val="DefaultParagraphFont"/>
    <w:rsid w:val="001B3E2F"/>
  </w:style>
  <w:style w:type="paragraph" w:styleId="3-SubsectionHeading" w:customStyle="1">
    <w:name w:val="3-Subsection Heading"/>
    <w:basedOn w:val="Heading2"/>
    <w:next w:val="Normal"/>
    <w:link w:val="3-SubsectionHeadingChar"/>
    <w:qFormat/>
    <w:rsid w:val="00112109"/>
    <w:pPr>
      <w:keepNext/>
      <w:spacing w:before="120" w:after="120"/>
      <w:outlineLvl w:val="9"/>
    </w:pPr>
    <w:rPr>
      <w:rFonts w:asciiTheme="minorHAnsi" w:hAnsiTheme="minorHAnsi" w:eastAsiaTheme="majorEastAsia" w:cstheme="majorBidi"/>
      <w:spacing w:val="5"/>
      <w:kern w:val="28"/>
      <w:szCs w:val="36"/>
      <w:lang w:eastAsia="en-US"/>
    </w:rPr>
  </w:style>
  <w:style w:type="character" w:styleId="3-SubsectionHeadingChar" w:customStyle="1">
    <w:name w:val="3-Subsection Heading Char"/>
    <w:basedOn w:val="Heading2Char"/>
    <w:link w:val="3-SubsectionHeading"/>
    <w:rsid w:val="00112109"/>
    <w:rPr>
      <w:rFonts w:asciiTheme="minorHAnsi" w:hAnsiTheme="minorHAnsi" w:eastAsiaTheme="majorEastAsia" w:cstheme="majorBidi"/>
      <w:b/>
      <w:i/>
      <w:snapToGrid/>
      <w:spacing w:val="5"/>
      <w:kern w:val="28"/>
      <w:sz w:val="28"/>
      <w:szCs w:val="36"/>
      <w:lang w:eastAsia="en-US"/>
    </w:rPr>
  </w:style>
  <w:style w:type="paragraph" w:styleId="Numberbullet2" w:customStyle="1">
    <w:name w:val="Number bullet 2"/>
    <w:basedOn w:val="ListBullet2"/>
    <w:qFormat/>
    <w:rsid w:val="004278DA"/>
    <w:pPr>
      <w:numPr>
        <w:ilvl w:val="1"/>
        <w:numId w:val="29"/>
      </w:numPr>
      <w:spacing w:before="120" w:after="180" w:line="240" w:lineRule="atLeast"/>
      <w:ind w:left="0" w:firstLine="0"/>
      <w:contextualSpacing w:val="0"/>
      <w:jc w:val="left"/>
    </w:pPr>
    <w:rPr>
      <w:rFonts w:ascii="Cambria" w:hAnsi="Cambria" w:eastAsia="Cambria" w:cs="Times New Roman"/>
      <w:sz w:val="22"/>
      <w:szCs w:val="22"/>
      <w:lang w:eastAsia="en-US"/>
    </w:rPr>
  </w:style>
  <w:style w:type="paragraph" w:styleId="Numberbullet3" w:customStyle="1">
    <w:name w:val="Number bullet 3"/>
    <w:basedOn w:val="ListBullet3"/>
    <w:qFormat/>
    <w:rsid w:val="004278DA"/>
    <w:pPr>
      <w:numPr>
        <w:ilvl w:val="2"/>
        <w:numId w:val="29"/>
      </w:numPr>
      <w:spacing w:before="120" w:after="180" w:line="240" w:lineRule="atLeast"/>
      <w:ind w:left="0" w:firstLine="0"/>
      <w:contextualSpacing w:val="0"/>
      <w:jc w:val="left"/>
    </w:pPr>
    <w:rPr>
      <w:rFonts w:ascii="Cambria" w:hAnsi="Cambria" w:eastAsia="Cambria" w:cs="Times New Roman"/>
      <w:sz w:val="22"/>
      <w:szCs w:val="22"/>
      <w:lang w:eastAsia="en-US"/>
    </w:rPr>
  </w:style>
  <w:style w:type="numbering" w:styleId="NumberBullet" w:customStyle="1">
    <w:name w:val="NumberBullet"/>
    <w:uiPriority w:val="99"/>
    <w:locked/>
    <w:rsid w:val="004278DA"/>
    <w:pPr>
      <w:numPr>
        <w:numId w:val="29"/>
      </w:numPr>
    </w:pPr>
  </w:style>
  <w:style w:type="paragraph" w:styleId="COMH1numbered" w:customStyle="1">
    <w:name w:val="COM H1 numbered"/>
    <w:next w:val="Normal"/>
    <w:link w:val="COMH1numberedChar"/>
    <w:qFormat/>
    <w:rsid w:val="004278DA"/>
    <w:pPr>
      <w:keepNext/>
      <w:numPr>
        <w:numId w:val="29"/>
      </w:numPr>
      <w:spacing w:before="240" w:after="120"/>
      <w:ind w:left="0" w:firstLine="0"/>
      <w:outlineLvl w:val="0"/>
    </w:pPr>
    <w:rPr>
      <w:rFonts w:cs="Arial" w:asciiTheme="minorHAnsi" w:hAnsiTheme="minorHAnsi"/>
      <w:b/>
      <w:snapToGrid w:val="0"/>
      <w:sz w:val="32"/>
      <w:szCs w:val="32"/>
    </w:rPr>
  </w:style>
  <w:style w:type="character" w:styleId="COMH1numberedChar" w:customStyle="1">
    <w:name w:val="COM H1 numbered Char"/>
    <w:basedOn w:val="DefaultParagraphFont"/>
    <w:link w:val="COMH1numbered"/>
    <w:rsid w:val="004278DA"/>
    <w:rPr>
      <w:rFonts w:cs="Arial" w:asciiTheme="minorHAnsi" w:hAnsiTheme="minorHAnsi"/>
      <w:b/>
      <w:snapToGrid w:val="0"/>
      <w:sz w:val="32"/>
      <w:szCs w:val="32"/>
    </w:rPr>
  </w:style>
  <w:style w:type="paragraph" w:styleId="ListBullet2">
    <w:name w:val="List Bullet 2"/>
    <w:basedOn w:val="Normal"/>
    <w:semiHidden/>
    <w:unhideWhenUsed/>
    <w:rsid w:val="004278DA"/>
    <w:pPr>
      <w:contextualSpacing/>
    </w:pPr>
  </w:style>
  <w:style w:type="paragraph" w:styleId="ListBullet3">
    <w:name w:val="List Bullet 3"/>
    <w:basedOn w:val="Normal"/>
    <w:semiHidden/>
    <w:unhideWhenUsed/>
    <w:rsid w:val="004278D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902687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2816758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5679241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ervicesaustralia.gov.au" TargetMode="External" Id="rId13" /><Relationship Type="http://schemas.openxmlformats.org/officeDocument/2006/relationships/hyperlink" Target="http://www.servicesaustralia.gov.au/hpo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who.int/tools/child-growth-standards/standards/weight-for-age" TargetMode="External" Id="rId12" /><Relationship Type="http://schemas.openxmlformats.org/officeDocument/2006/relationships/hyperlink" Target="http://www.servicesaustralia.gov.au/hpo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servicesaustralia.gov.au"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www.servicesaustralia.gov.au/hpos"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ervicesaustralia.gov.au/hpos" TargetMode="Externa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clinicaltrials.gov/study/NCT02594124?tab=results" TargetMode="External"/><Relationship Id="rId2" Type="http://schemas.openxmlformats.org/officeDocument/2006/relationships/hyperlink" Target="https://www.who.int/tools/growth-reference-data-for-5to19-years/indicators/weight-for-age-5to10-years" TargetMode="External"/><Relationship Id="rId1" Type="http://schemas.openxmlformats.org/officeDocument/2006/relationships/hyperlink" Target="https://doi.org/10.1007/s40120-025-00744-8" TargetMode="External"/><Relationship Id="rId4" Type="http://schemas.openxmlformats.org/officeDocument/2006/relationships/hyperlink" Target="https://medicarestatistics.humanservices.gov.au/SASStoredProcess/guest?_PROGRAM=SBIP%3A%2F%2FMETASERVER%2FShared+Data%2Fsasdata%2Fprod%2FVEA0032%2FSAS.StoredProcess%2Fstatistics%2Fpbs_item_standard_report&amp;itemlst=%2712959C%27%2C%2712943F%27%2C%2712972R%27&amp;ITEMCNT=3&amp;LIST=12959C%2C12943F%2C12972R&amp;VAR=SERVICES&amp;RPT_FMT=7&amp;start_dt=202007&amp;end_dt=202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1AFC5522-1076-417C-8B9D-6930215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296AC-0918-4490-9DDB-516681624AC4}">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40ED9A7C-52A0-4AB6-809B-67387418A887}">
  <ds:schemaRefs>
    <ds:schemaRef ds:uri="http://schemas.microsoft.com/sharepoint/v3/contenttype/forms"/>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List>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2026-02-16T22:17:00Z</dcterms:created>
  <dcterms:modified xsi:type="dcterms:W3CDTF">2026-05-13T08:03:51Z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5b719db9,245d4ca7,792f2b90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292cbcf9,1c76d2df,77862bf3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SiteId">
    <vt:lpwstr>34a3929c-73cf-4954-abfe-147dc3517892</vt:lpwstr>
  </property>
  <property fmtid="{D5CDD505-2E9C-101B-9397-08002B2CF9AE}" pid="9" name="MSIP_Label_7cd3e8b9-ffed-43a8-b7f4-cc2fa0382d36_Removed">
    <vt:lpwstr>False</vt:lpwstr>
  </property>
  <property fmtid="{D5CDD505-2E9C-101B-9397-08002B2CF9AE}" pid="10" name="MSIP_Label_7cd3e8b9-ffed-43a8-b7f4-cc2fa0382d36_Method">
    <vt:lpwstr>Privileged</vt:lpwstr>
  </property>
  <property fmtid="{D5CDD505-2E9C-101B-9397-08002B2CF9AE}" pid="11" name="MSIP_Label_7cd3e8b9-ffed-43a8-b7f4-cc2fa0382d36_Tag">
    <vt:lpwstr>10, 0, 1, 1</vt:lpwstr>
  </property>
  <property fmtid="{D5CDD505-2E9C-101B-9397-08002B2CF9AE}" pid="12" name="MSIP_Label_7cd3e8b9-ffed-43a8-b7f4-cc2fa0382d36_ActionId">
    <vt:lpwstr>1d830fdf-64f8-4baf-8ef1-0f0c15d9d35e</vt:lpwstr>
  </property>
  <property fmtid="{D5CDD505-2E9C-101B-9397-08002B2CF9AE}" pid="13" name="MediaServiceImageTags">
    <vt:lpwstr/>
  </property>
  <property fmtid="{D5CDD505-2E9C-101B-9397-08002B2CF9AE}" pid="14" name="ContentTypeId">
    <vt:lpwstr>0x0101007FED174C5281F747A8037A05221D6DBD</vt:lpwstr>
  </property>
  <property fmtid="{D5CDD505-2E9C-101B-9397-08002B2CF9AE}" pid="15" name="MSIP_Label_7cd3e8b9-ffed-43a8-b7f4-cc2fa0382d36_ContentBits">
    <vt:lpwstr>3</vt:lpwstr>
  </property>
  <property fmtid="{D5CDD505-2E9C-101B-9397-08002B2CF9AE}" pid="16" name="docLang">
    <vt:lpwstr>en</vt:lpwstr>
  </property>
  <property fmtid="{D5CDD505-2E9C-101B-9397-08002B2CF9AE}" pid="17" name="MSIP_Label_7cd3e8b9-ffed-43a8-b7f4-cc2fa0382d36_Name">
    <vt:lpwstr>O</vt:lpwstr>
  </property>
  <property fmtid="{D5CDD505-2E9C-101B-9397-08002B2CF9AE}" pid="18" name="MSIP_Label_7cd3e8b9-ffed-43a8-b7f4-cc2fa0382d36_Extended_MSFT_Method">
    <vt:lpwstr>Standard</vt:lpwstr>
  </property>
  <property fmtid="{D5CDD505-2E9C-101B-9397-08002B2CF9AE}" pid="19" name="MSIP_Label_7cd3e8b9-ffed-43a8-b7f4-cc2fa0382d36_Enabled">
    <vt:lpwstr>true</vt:lpwstr>
  </property>
  <property fmtid="{D5CDD505-2E9C-101B-9397-08002B2CF9AE}" pid="20" name="MSIP_Label_7cd3e8b9-ffed-43a8-b7f4-cc2fa0382d36_SetDate">
    <vt:lpwstr>2026-02-18T04:29:31Z</vt:lpwstr>
  </property>
</Properties>
</file>