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6701A" w14:textId="1AA0C5D4" w:rsidR="00B60939" w:rsidRPr="00AB0640" w:rsidRDefault="00B24DBF" w:rsidP="008028C6">
      <w:pPr>
        <w:pStyle w:val="1-MainHeading"/>
      </w:pPr>
      <w:bookmarkStart w:id="0" w:name="_Toc208932423"/>
      <w:r w:rsidRPr="00AB0640">
        <w:t>7.03</w:t>
      </w:r>
      <w:r w:rsidR="00163F66" w:rsidRPr="00AB0640">
        <w:tab/>
      </w:r>
      <w:r w:rsidR="00BE65A5" w:rsidRPr="00AB0640">
        <w:t>OMAVELOXOLONE</w:t>
      </w:r>
      <w:r w:rsidR="00163F66" w:rsidRPr="00AB0640">
        <w:t>,</w:t>
      </w:r>
      <w:r w:rsidR="00163F66" w:rsidRPr="00AB0640">
        <w:br/>
      </w:r>
      <w:r w:rsidR="00BE65A5" w:rsidRPr="00AB0640">
        <w:t>Capsule 50 mg</w:t>
      </w:r>
      <w:r w:rsidR="00163F66" w:rsidRPr="00AB0640">
        <w:t>,</w:t>
      </w:r>
      <w:r w:rsidR="00163F66" w:rsidRPr="00AB0640">
        <w:br/>
      </w:r>
      <w:r w:rsidR="00BE65A5" w:rsidRPr="00AB0640">
        <w:t>Skyclarys</w:t>
      </w:r>
      <w:r w:rsidR="00B60939" w:rsidRPr="00AB0640">
        <w:rPr>
          <w:vertAlign w:val="superscript"/>
        </w:rPr>
        <w:t>®</w:t>
      </w:r>
      <w:r w:rsidR="004A6040" w:rsidRPr="00AB0640">
        <w:t>,</w:t>
      </w:r>
      <w:r w:rsidR="004A6040" w:rsidRPr="00AB0640">
        <w:br/>
      </w:r>
      <w:r w:rsidR="00BE65A5" w:rsidRPr="00AB0640">
        <w:t>BIOGEN AUSTRALIA PTY LTD</w:t>
      </w:r>
      <w:r w:rsidR="00B60939" w:rsidRPr="00AB0640">
        <w:t>.</w:t>
      </w:r>
      <w:bookmarkEnd w:id="0"/>
    </w:p>
    <w:p w14:paraId="11C00795" w14:textId="3DFB6D23" w:rsidR="00B50DB8" w:rsidRPr="00AB0640" w:rsidRDefault="00B50DB8" w:rsidP="008028C6">
      <w:pPr>
        <w:pStyle w:val="2-SectionHeading"/>
      </w:pPr>
      <w:bookmarkStart w:id="1" w:name="_Toc208932425"/>
      <w:r w:rsidRPr="00AB0640">
        <w:t xml:space="preserve">Purpose of </w:t>
      </w:r>
      <w:r w:rsidR="00CD7193" w:rsidRPr="00AB0640">
        <w:t>s</w:t>
      </w:r>
      <w:r w:rsidR="00BB3A45" w:rsidRPr="00AB0640">
        <w:t>ubmission</w:t>
      </w:r>
      <w:bookmarkEnd w:id="1"/>
    </w:p>
    <w:p w14:paraId="19414AA1" w14:textId="4C11C6A4" w:rsidR="002C2775" w:rsidRPr="00AB0640" w:rsidRDefault="007170DA" w:rsidP="008028C6">
      <w:pPr>
        <w:pStyle w:val="3-BodyText"/>
      </w:pPr>
      <w:r w:rsidRPr="00AB0640">
        <w:t xml:space="preserve">The </w:t>
      </w:r>
      <w:r w:rsidR="00AA4290" w:rsidRPr="00AB0640">
        <w:t>s</w:t>
      </w:r>
      <w:r w:rsidR="000508C2" w:rsidRPr="00AB0640">
        <w:t xml:space="preserve">tandard </w:t>
      </w:r>
      <w:r w:rsidR="00AA4290" w:rsidRPr="00AB0640">
        <w:t>r</w:t>
      </w:r>
      <w:r w:rsidR="000508C2" w:rsidRPr="00AB0640">
        <w:t>e-entry</w:t>
      </w:r>
      <w:r w:rsidR="003C7C15" w:rsidRPr="00AB0640">
        <w:t xml:space="preserve"> </w:t>
      </w:r>
      <w:r w:rsidR="00AA4290" w:rsidRPr="00AB0640">
        <w:rPr>
          <w:color w:val="000000" w:themeColor="text1"/>
        </w:rPr>
        <w:t>re</w:t>
      </w:r>
      <w:r w:rsidRPr="00AB0640">
        <w:t xml:space="preserve">submission requested </w:t>
      </w:r>
      <w:r w:rsidR="00AA4290" w:rsidRPr="00AB0640">
        <w:t>a General Schedule</w:t>
      </w:r>
      <w:r w:rsidR="00793D60">
        <w:t>,</w:t>
      </w:r>
      <w:r w:rsidR="00AA4290" w:rsidRPr="00AB0640">
        <w:t xml:space="preserve"> Authority Required (</w:t>
      </w:r>
      <w:r w:rsidR="00793D60">
        <w:t>t</w:t>
      </w:r>
      <w:r w:rsidR="00AA4290" w:rsidRPr="00AB0640">
        <w:t>elephone/</w:t>
      </w:r>
      <w:r w:rsidR="00BB2325">
        <w:t>o</w:t>
      </w:r>
      <w:r w:rsidR="00AA4290" w:rsidRPr="00AB0640">
        <w:t xml:space="preserve">nline) listing of omaveloxolone for the treatment of Friedreich’s ataxia (FA) in </w:t>
      </w:r>
      <w:r w:rsidR="00EA35D7" w:rsidRPr="00AB0640">
        <w:t>people aged 16 years and older</w:t>
      </w:r>
      <w:r w:rsidR="00AA4290" w:rsidRPr="00AB0640">
        <w:t>.</w:t>
      </w:r>
      <w:r w:rsidR="00747F52" w:rsidRPr="00AB0640">
        <w:t xml:space="preserve"> Omaveloxolone was previously considered by the PBAC in March 2025.</w:t>
      </w:r>
    </w:p>
    <w:p w14:paraId="4E9FBCB5" w14:textId="60FE5AE4" w:rsidR="00C2778B" w:rsidRPr="00AB0640" w:rsidRDefault="001E07CA" w:rsidP="008028C6">
      <w:pPr>
        <w:pStyle w:val="3-BodyText"/>
      </w:pPr>
      <w:r w:rsidRPr="00AB0640">
        <w:t xml:space="preserve">Listing was requested </w:t>
      </w:r>
      <w:proofErr w:type="gramStart"/>
      <w:r w:rsidRPr="00AB0640">
        <w:t>on the basis of</w:t>
      </w:r>
      <w:proofErr w:type="gramEnd"/>
      <w:r w:rsidRPr="00AB0640">
        <w:t xml:space="preserve"> a revised cost-utility analysis versus best supportive care (BSC). </w:t>
      </w:r>
      <w:r w:rsidRPr="00AB0640">
        <w:rPr>
          <w:color w:val="000000" w:themeColor="text1"/>
        </w:rPr>
        <w:t xml:space="preserve">The key components of the clinical issue are summarised in </w:t>
      </w:r>
      <w:r w:rsidR="00EA35D7" w:rsidRPr="00AB0640">
        <w:rPr>
          <w:color w:val="0066FF"/>
        </w:rPr>
        <w:fldChar w:fldCharType="begin" w:fldLock="1"/>
      </w:r>
      <w:r w:rsidR="00EA35D7" w:rsidRPr="00AB0640">
        <w:rPr>
          <w:color w:val="0066FF"/>
        </w:rPr>
        <w:instrText xml:space="preserve"> REF _Ref205292893 \h </w:instrText>
      </w:r>
      <w:r w:rsidR="00EA35D7" w:rsidRPr="00AB0640">
        <w:rPr>
          <w:color w:val="0066FF"/>
        </w:rPr>
      </w:r>
      <w:r w:rsidR="00EA35D7" w:rsidRPr="00AB0640">
        <w:rPr>
          <w:color w:val="0066FF"/>
        </w:rPr>
        <w:fldChar w:fldCharType="separate"/>
      </w:r>
      <w:r w:rsidR="00E056AF" w:rsidRPr="00AB0640">
        <w:t xml:space="preserve">Table </w:t>
      </w:r>
      <w:r w:rsidR="00E056AF">
        <w:rPr>
          <w:noProof/>
        </w:rPr>
        <w:t>1</w:t>
      </w:r>
      <w:r w:rsidR="00EA35D7" w:rsidRPr="00AB0640">
        <w:rPr>
          <w:color w:val="0066FF"/>
        </w:rPr>
        <w:fldChar w:fldCharType="end"/>
      </w:r>
      <w:r w:rsidR="00EA35D7" w:rsidRPr="00AB0640">
        <w:rPr>
          <w:color w:val="0066FF"/>
        </w:rPr>
        <w:t>.</w:t>
      </w:r>
    </w:p>
    <w:p w14:paraId="2DFD1703" w14:textId="2C388806" w:rsidR="00AA4290" w:rsidRPr="00AB0640" w:rsidRDefault="0011775D" w:rsidP="008028C6">
      <w:pPr>
        <w:pStyle w:val="Caption"/>
      </w:pPr>
      <w:bookmarkStart w:id="2" w:name="_Ref205292893"/>
      <w:r w:rsidRPr="00AB0640">
        <w:t xml:space="preserve">Table </w:t>
      </w:r>
      <w:r w:rsidR="00E056AF">
        <w:fldChar w:fldCharType="begin" w:fldLock="1"/>
      </w:r>
      <w:r w:rsidR="00E056AF">
        <w:instrText xml:space="preserve"> SEQ Table \* ARABIC </w:instrText>
      </w:r>
      <w:r w:rsidR="00E056AF">
        <w:fldChar w:fldCharType="separate"/>
      </w:r>
      <w:r w:rsidR="00E056AF">
        <w:rPr>
          <w:noProof/>
        </w:rPr>
        <w:t>1</w:t>
      </w:r>
      <w:r w:rsidR="00E056AF">
        <w:rPr>
          <w:noProof/>
        </w:rPr>
        <w:fldChar w:fldCharType="end"/>
      </w:r>
      <w:bookmarkEnd w:id="2"/>
      <w:r w:rsidRPr="00AB0640">
        <w:t xml:space="preserve">: </w:t>
      </w:r>
      <w:r w:rsidR="00AA4290" w:rsidRPr="00AB0640">
        <w:rPr>
          <w:rStyle w:val="CommentReference"/>
          <w:b/>
          <w:szCs w:val="24"/>
        </w:rPr>
        <w:t>Key components of the clinical issue addressed by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resubmission"/>
      </w:tblPr>
      <w:tblGrid>
        <w:gridCol w:w="1643"/>
        <w:gridCol w:w="7374"/>
      </w:tblGrid>
      <w:tr w:rsidR="00AA4290" w:rsidRPr="00AB0640" w14:paraId="26C71AF4" w14:textId="77777777" w:rsidTr="0065379D">
        <w:tc>
          <w:tcPr>
            <w:tcW w:w="911" w:type="pct"/>
            <w:shd w:val="clear" w:color="auto" w:fill="B8CCE4" w:themeFill="accent1" w:themeFillTint="66"/>
            <w:vAlign w:val="center"/>
          </w:tcPr>
          <w:p w14:paraId="1FD29FA5" w14:textId="77777777" w:rsidR="00AA4290" w:rsidRPr="00AB0640" w:rsidRDefault="00AA4290" w:rsidP="008028C6">
            <w:pPr>
              <w:pStyle w:val="In-tableHeading"/>
              <w:rPr>
                <w:lang w:val="en-AU"/>
              </w:rPr>
            </w:pPr>
            <w:r w:rsidRPr="00AB0640">
              <w:rPr>
                <w:lang w:val="en-AU"/>
              </w:rPr>
              <w:t>Component</w:t>
            </w:r>
          </w:p>
        </w:tc>
        <w:tc>
          <w:tcPr>
            <w:tcW w:w="4089" w:type="pct"/>
            <w:shd w:val="clear" w:color="auto" w:fill="B8CCE4" w:themeFill="accent1" w:themeFillTint="66"/>
            <w:vAlign w:val="center"/>
          </w:tcPr>
          <w:p w14:paraId="6E434BFD" w14:textId="77777777" w:rsidR="00AA4290" w:rsidRPr="00AB0640" w:rsidRDefault="00AA4290" w:rsidP="008028C6">
            <w:pPr>
              <w:pStyle w:val="In-tableHeading"/>
              <w:rPr>
                <w:lang w:val="en-AU"/>
              </w:rPr>
            </w:pPr>
            <w:r w:rsidRPr="00AB0640">
              <w:rPr>
                <w:lang w:val="en-AU"/>
              </w:rPr>
              <w:t>Description</w:t>
            </w:r>
          </w:p>
        </w:tc>
      </w:tr>
      <w:tr w:rsidR="00AA4290" w:rsidRPr="00AB0640" w14:paraId="5C4C4EA0" w14:textId="77777777" w:rsidTr="0065379D">
        <w:tc>
          <w:tcPr>
            <w:tcW w:w="911" w:type="pct"/>
            <w:shd w:val="clear" w:color="auto" w:fill="B8CCE4" w:themeFill="accent1" w:themeFillTint="66"/>
            <w:vAlign w:val="center"/>
          </w:tcPr>
          <w:p w14:paraId="3F61C7CD" w14:textId="77777777" w:rsidR="00AA4290" w:rsidRPr="00AB0640" w:rsidRDefault="00AA4290" w:rsidP="008028C6">
            <w:pPr>
              <w:pStyle w:val="TableText0"/>
            </w:pPr>
            <w:r w:rsidRPr="00AB0640">
              <w:t>Population</w:t>
            </w:r>
          </w:p>
        </w:tc>
        <w:tc>
          <w:tcPr>
            <w:tcW w:w="4089" w:type="pct"/>
            <w:shd w:val="clear" w:color="auto" w:fill="B8CCE4" w:themeFill="accent1" w:themeFillTint="66"/>
            <w:vAlign w:val="center"/>
          </w:tcPr>
          <w:p w14:paraId="253AD00D" w14:textId="77777777" w:rsidR="00AA4290" w:rsidRPr="00AB0640" w:rsidRDefault="00AA4290" w:rsidP="008028C6">
            <w:pPr>
              <w:pStyle w:val="TableText0"/>
            </w:pPr>
            <w:r w:rsidRPr="00AB0640">
              <w:t>People aged 16 years and older with Friedreich’s ataxia (FA)</w:t>
            </w:r>
          </w:p>
        </w:tc>
      </w:tr>
      <w:tr w:rsidR="00AA4290" w:rsidRPr="00AB0640" w14:paraId="713944C5" w14:textId="77777777" w:rsidTr="0065379D">
        <w:tc>
          <w:tcPr>
            <w:tcW w:w="911" w:type="pct"/>
            <w:shd w:val="clear" w:color="auto" w:fill="B8CCE4" w:themeFill="accent1" w:themeFillTint="66"/>
            <w:vAlign w:val="center"/>
          </w:tcPr>
          <w:p w14:paraId="76712A09" w14:textId="77777777" w:rsidR="00AA4290" w:rsidRPr="00AB0640" w:rsidRDefault="00AA4290" w:rsidP="008028C6">
            <w:pPr>
              <w:pStyle w:val="TableText0"/>
            </w:pPr>
            <w:r w:rsidRPr="00AB0640">
              <w:t>Intervention</w:t>
            </w:r>
          </w:p>
        </w:tc>
        <w:tc>
          <w:tcPr>
            <w:tcW w:w="4089" w:type="pct"/>
            <w:shd w:val="clear" w:color="auto" w:fill="B8CCE4" w:themeFill="accent1" w:themeFillTint="66"/>
            <w:vAlign w:val="center"/>
          </w:tcPr>
          <w:p w14:paraId="6E669A45" w14:textId="77777777" w:rsidR="00AA4290" w:rsidRPr="00AB0640" w:rsidRDefault="00AA4290" w:rsidP="008028C6">
            <w:pPr>
              <w:pStyle w:val="TableText0"/>
            </w:pPr>
            <w:r w:rsidRPr="00AB0640">
              <w:t>Omaveloxolone is administered orally once daily as three 50 mg capsules (i.e., 150 mg in total).</w:t>
            </w:r>
          </w:p>
        </w:tc>
      </w:tr>
      <w:tr w:rsidR="00AA4290" w:rsidRPr="00AB0640" w14:paraId="15CF0F8C" w14:textId="77777777" w:rsidTr="0065379D">
        <w:tc>
          <w:tcPr>
            <w:tcW w:w="911" w:type="pct"/>
            <w:shd w:val="clear" w:color="auto" w:fill="B8CCE4" w:themeFill="accent1" w:themeFillTint="66"/>
            <w:vAlign w:val="center"/>
          </w:tcPr>
          <w:p w14:paraId="3D103593" w14:textId="77777777" w:rsidR="00AA4290" w:rsidRPr="00AB0640" w:rsidRDefault="00AA4290" w:rsidP="008028C6">
            <w:pPr>
              <w:pStyle w:val="TableText0"/>
            </w:pPr>
            <w:r w:rsidRPr="00AB0640">
              <w:t>Comparator</w:t>
            </w:r>
          </w:p>
        </w:tc>
        <w:tc>
          <w:tcPr>
            <w:tcW w:w="4089" w:type="pct"/>
            <w:shd w:val="clear" w:color="auto" w:fill="B8CCE4" w:themeFill="accent1" w:themeFillTint="66"/>
            <w:vAlign w:val="center"/>
          </w:tcPr>
          <w:p w14:paraId="31E4138E" w14:textId="77777777" w:rsidR="00AA4290" w:rsidRPr="00AB0640" w:rsidRDefault="00AA4290" w:rsidP="008028C6">
            <w:pPr>
              <w:pStyle w:val="TableText0"/>
            </w:pPr>
            <w:r w:rsidRPr="00AB0640">
              <w:t>Best supportive care (placebo as a proxy)</w:t>
            </w:r>
          </w:p>
        </w:tc>
      </w:tr>
      <w:tr w:rsidR="00AA4290" w:rsidRPr="00AB0640" w14:paraId="06412DC9" w14:textId="77777777" w:rsidTr="0065379D">
        <w:tc>
          <w:tcPr>
            <w:tcW w:w="911" w:type="pct"/>
            <w:shd w:val="clear" w:color="auto" w:fill="B8CCE4" w:themeFill="accent1" w:themeFillTint="66"/>
            <w:vAlign w:val="center"/>
          </w:tcPr>
          <w:p w14:paraId="439422FC" w14:textId="77777777" w:rsidR="00AA4290" w:rsidRPr="00AB0640" w:rsidRDefault="00AA4290" w:rsidP="008028C6">
            <w:pPr>
              <w:pStyle w:val="TableText0"/>
            </w:pPr>
            <w:r w:rsidRPr="00AB0640">
              <w:t>Outcomes</w:t>
            </w:r>
          </w:p>
        </w:tc>
        <w:tc>
          <w:tcPr>
            <w:tcW w:w="4089" w:type="pct"/>
            <w:shd w:val="clear" w:color="auto" w:fill="B8CCE4" w:themeFill="accent1" w:themeFillTint="66"/>
            <w:vAlign w:val="center"/>
          </w:tcPr>
          <w:p w14:paraId="250EEF12" w14:textId="77777777" w:rsidR="00AA4290" w:rsidRPr="00AB0640" w:rsidRDefault="00AA4290" w:rsidP="008028C6">
            <w:pPr>
              <w:pStyle w:val="TableText0"/>
            </w:pPr>
            <w:r w:rsidRPr="00AB0640">
              <w:t xml:space="preserve">Primary </w:t>
            </w:r>
          </w:p>
          <w:p w14:paraId="48F650FE" w14:textId="77777777" w:rsidR="00AA4290" w:rsidRPr="00AB0640" w:rsidRDefault="00AA4290" w:rsidP="008028C6">
            <w:pPr>
              <w:pStyle w:val="TableText0"/>
              <w:numPr>
                <w:ilvl w:val="0"/>
                <w:numId w:val="9"/>
              </w:numPr>
            </w:pPr>
            <w:r w:rsidRPr="00AB0640">
              <w:t>Change in the modified Friedreich’s ataxia rating scale (mFARS) score at week 48</w:t>
            </w:r>
          </w:p>
          <w:p w14:paraId="2C8DF6BE" w14:textId="77777777" w:rsidR="00AA4290" w:rsidRPr="00AB0640" w:rsidRDefault="00AA4290" w:rsidP="008028C6">
            <w:pPr>
              <w:pStyle w:val="TableText0"/>
              <w:numPr>
                <w:ilvl w:val="0"/>
                <w:numId w:val="9"/>
              </w:numPr>
            </w:pPr>
            <w:r w:rsidRPr="00AB0640">
              <w:t>Safety outcomes</w:t>
            </w:r>
          </w:p>
          <w:p w14:paraId="5D3FA206" w14:textId="77777777" w:rsidR="00AA4290" w:rsidRPr="00AB0640" w:rsidRDefault="00AA4290" w:rsidP="008028C6">
            <w:pPr>
              <w:pStyle w:val="TableText0"/>
            </w:pPr>
            <w:r w:rsidRPr="00AB0640">
              <w:t xml:space="preserve">Key secondary </w:t>
            </w:r>
          </w:p>
          <w:p w14:paraId="6D37B990" w14:textId="77777777" w:rsidR="00AA4290" w:rsidRPr="00AB0640" w:rsidRDefault="00AA4290" w:rsidP="008028C6">
            <w:pPr>
              <w:pStyle w:val="TableText0"/>
              <w:numPr>
                <w:ilvl w:val="0"/>
                <w:numId w:val="9"/>
              </w:numPr>
            </w:pPr>
            <w:r w:rsidRPr="00AB0640">
              <w:t>Patient Global Impression of Change (PGIC) responses at week 48</w:t>
            </w:r>
          </w:p>
          <w:p w14:paraId="0DD6AD0C" w14:textId="77777777" w:rsidR="00AA4290" w:rsidRPr="00AB0640" w:rsidRDefault="00AA4290" w:rsidP="008028C6">
            <w:pPr>
              <w:pStyle w:val="TableText0"/>
              <w:numPr>
                <w:ilvl w:val="0"/>
                <w:numId w:val="9"/>
              </w:numPr>
            </w:pPr>
            <w:r w:rsidRPr="00AB0640">
              <w:t>Clinical Global Impression of Change (CGIC) responses at week 48</w:t>
            </w:r>
          </w:p>
          <w:p w14:paraId="7FB94FD7" w14:textId="77777777" w:rsidR="00AA4290" w:rsidRPr="00AB0640" w:rsidRDefault="00AA4290" w:rsidP="008028C6">
            <w:pPr>
              <w:pStyle w:val="TableText0"/>
            </w:pPr>
            <w:r w:rsidRPr="00AB0640">
              <w:t xml:space="preserve">Other secondary </w:t>
            </w:r>
          </w:p>
          <w:p w14:paraId="0338EAF0" w14:textId="77777777" w:rsidR="00AA4290" w:rsidRPr="00AB0640" w:rsidRDefault="00AA4290" w:rsidP="008028C6">
            <w:pPr>
              <w:pStyle w:val="TableText0"/>
              <w:numPr>
                <w:ilvl w:val="0"/>
                <w:numId w:val="9"/>
              </w:numPr>
            </w:pPr>
            <w:r w:rsidRPr="00AB0640">
              <w:t>Change in performance on a 9-hole peg test (9-HPT) at week 48</w:t>
            </w:r>
          </w:p>
          <w:p w14:paraId="3999A82B" w14:textId="77777777" w:rsidR="00AA4290" w:rsidRPr="00AB0640" w:rsidRDefault="00AA4290" w:rsidP="008028C6">
            <w:pPr>
              <w:pStyle w:val="TableText0"/>
              <w:numPr>
                <w:ilvl w:val="0"/>
                <w:numId w:val="9"/>
              </w:numPr>
            </w:pPr>
            <w:r w:rsidRPr="00AB0640">
              <w:t>Change in performance on a 25-foot timed walk test at week 48</w:t>
            </w:r>
          </w:p>
          <w:p w14:paraId="56D54F31" w14:textId="77777777" w:rsidR="00AA4290" w:rsidRPr="00AB0640" w:rsidRDefault="00AA4290" w:rsidP="008028C6">
            <w:pPr>
              <w:pStyle w:val="TableText0"/>
              <w:numPr>
                <w:ilvl w:val="0"/>
                <w:numId w:val="9"/>
              </w:numPr>
            </w:pPr>
            <w:r w:rsidRPr="00AB0640">
              <w:t xml:space="preserve">Frequency of falls </w:t>
            </w:r>
          </w:p>
          <w:p w14:paraId="504BE5EA" w14:textId="77777777" w:rsidR="00AA4290" w:rsidRPr="00AB0640" w:rsidRDefault="00AA4290" w:rsidP="008028C6">
            <w:pPr>
              <w:pStyle w:val="TableText0"/>
              <w:numPr>
                <w:ilvl w:val="0"/>
                <w:numId w:val="9"/>
              </w:numPr>
            </w:pPr>
            <w:r w:rsidRPr="00AB0640">
              <w:t>Change in peak work during maximal exercise testing at week 48</w:t>
            </w:r>
          </w:p>
          <w:p w14:paraId="0AC0170E" w14:textId="77777777" w:rsidR="00AA4290" w:rsidRPr="00AB0640" w:rsidRDefault="00AA4290" w:rsidP="008028C6">
            <w:pPr>
              <w:pStyle w:val="TableText0"/>
              <w:numPr>
                <w:ilvl w:val="0"/>
                <w:numId w:val="9"/>
              </w:numPr>
            </w:pPr>
            <w:r w:rsidRPr="00AB0640">
              <w:t>Change in the Friedreich’s Ataxia-Activities of Daily Living (ADL; FA-ADL) score</w:t>
            </w:r>
          </w:p>
        </w:tc>
      </w:tr>
      <w:tr w:rsidR="00AA4290" w:rsidRPr="00AB0640" w14:paraId="49C9823E" w14:textId="77777777" w:rsidTr="0065379D">
        <w:tc>
          <w:tcPr>
            <w:tcW w:w="911" w:type="pct"/>
            <w:shd w:val="clear" w:color="auto" w:fill="B8CCE4" w:themeFill="accent1" w:themeFillTint="66"/>
            <w:vAlign w:val="center"/>
          </w:tcPr>
          <w:p w14:paraId="0D862641" w14:textId="77777777" w:rsidR="00AA4290" w:rsidRPr="00AB0640" w:rsidRDefault="00AA4290" w:rsidP="008028C6">
            <w:pPr>
              <w:pStyle w:val="TableText0"/>
            </w:pPr>
            <w:r w:rsidRPr="00AB0640">
              <w:t>Clinical claim</w:t>
            </w:r>
          </w:p>
        </w:tc>
        <w:tc>
          <w:tcPr>
            <w:tcW w:w="4089" w:type="pct"/>
            <w:shd w:val="clear" w:color="auto" w:fill="B8CCE4" w:themeFill="accent1" w:themeFillTint="66"/>
            <w:vAlign w:val="center"/>
          </w:tcPr>
          <w:p w14:paraId="6E7641DC" w14:textId="77777777" w:rsidR="00AA4290" w:rsidRPr="00AB0640" w:rsidRDefault="00AA4290" w:rsidP="008028C6">
            <w:pPr>
              <w:pStyle w:val="TableText0"/>
            </w:pPr>
            <w:r w:rsidRPr="00AB0640">
              <w:t>In people with FA, omaveloxolone is superior in terms of efficacy and inferior with respect to safety, compared best supportive care (BSC).</w:t>
            </w:r>
          </w:p>
        </w:tc>
      </w:tr>
    </w:tbl>
    <w:p w14:paraId="52965EF6" w14:textId="77777777" w:rsidR="00AA4290" w:rsidRPr="00AB0640" w:rsidRDefault="00AA4290" w:rsidP="008028C6">
      <w:pPr>
        <w:pStyle w:val="TableFigureFooter"/>
      </w:pPr>
      <w:r w:rsidRPr="00AB0640">
        <w:t>Source: Table 1.1, p8 of the resubmission</w:t>
      </w:r>
    </w:p>
    <w:p w14:paraId="75F6E445" w14:textId="69E0839B" w:rsidR="00AA4290" w:rsidRPr="00AB0640" w:rsidRDefault="00AA4290" w:rsidP="008028C6">
      <w:pPr>
        <w:pStyle w:val="TableFigureFooter"/>
      </w:pPr>
      <w:bookmarkStart w:id="3" w:name="_Hlk204687435"/>
      <w:r w:rsidRPr="00AB0640">
        <w:rPr>
          <w:rStyle w:val="CommentReference"/>
          <w:b w:val="0"/>
          <w:bCs/>
          <w:sz w:val="18"/>
          <w:szCs w:val="18"/>
          <w:shd w:val="clear" w:color="auto" w:fill="B8CCE4" w:themeFill="accent1" w:themeFillTint="66"/>
        </w:rPr>
        <w:t>Blue shading</w:t>
      </w:r>
      <w:r w:rsidRPr="00AB0640">
        <w:rPr>
          <w:rStyle w:val="CommentReference"/>
          <w:b w:val="0"/>
          <w:bCs/>
          <w:sz w:val="18"/>
          <w:szCs w:val="18"/>
        </w:rPr>
        <w:t xml:space="preserve"> indicates </w:t>
      </w:r>
      <w:r w:rsidR="008459F8" w:rsidRPr="00AB0640">
        <w:rPr>
          <w:rStyle w:val="CommentReference"/>
          <w:b w:val="0"/>
          <w:bCs/>
          <w:sz w:val="18"/>
          <w:szCs w:val="18"/>
        </w:rPr>
        <w:t xml:space="preserve">information </w:t>
      </w:r>
      <w:r w:rsidRPr="00AB0640">
        <w:rPr>
          <w:rStyle w:val="CommentReference"/>
          <w:b w:val="0"/>
          <w:bCs/>
          <w:sz w:val="18"/>
          <w:szCs w:val="18"/>
        </w:rPr>
        <w:t xml:space="preserve">previously </w:t>
      </w:r>
      <w:r w:rsidR="008459F8" w:rsidRPr="00AB0640">
        <w:rPr>
          <w:rStyle w:val="CommentReference"/>
          <w:b w:val="0"/>
          <w:bCs/>
          <w:sz w:val="18"/>
          <w:szCs w:val="18"/>
        </w:rPr>
        <w:t xml:space="preserve">considered </w:t>
      </w:r>
      <w:r w:rsidRPr="00AB0640">
        <w:rPr>
          <w:rStyle w:val="CommentReference"/>
          <w:b w:val="0"/>
          <w:bCs/>
          <w:sz w:val="18"/>
          <w:szCs w:val="18"/>
        </w:rPr>
        <w:t xml:space="preserve">by the PBAC. </w:t>
      </w:r>
    </w:p>
    <w:p w14:paraId="6B4AB6C2" w14:textId="7F01D731" w:rsidR="005C25FF" w:rsidRPr="00AB0640" w:rsidRDefault="005C25FF" w:rsidP="008028C6">
      <w:pPr>
        <w:pStyle w:val="2-SectionHeading"/>
      </w:pPr>
      <w:bookmarkStart w:id="4" w:name="_Toc208932426"/>
      <w:bookmarkEnd w:id="3"/>
      <w:r w:rsidRPr="00AB0640">
        <w:t>Background</w:t>
      </w:r>
      <w:bookmarkEnd w:id="4"/>
    </w:p>
    <w:p w14:paraId="2C521D6D" w14:textId="78CF03EE" w:rsidR="005C25FF" w:rsidRPr="00AB0640" w:rsidRDefault="005C25FF" w:rsidP="008028C6">
      <w:pPr>
        <w:pStyle w:val="4-SubsectionHeading"/>
      </w:pPr>
      <w:bookmarkStart w:id="5" w:name="_Toc22897638"/>
      <w:bookmarkStart w:id="6" w:name="_Toc208932427"/>
      <w:r w:rsidRPr="00AB0640">
        <w:t>Registration status</w:t>
      </w:r>
      <w:bookmarkEnd w:id="5"/>
      <w:bookmarkEnd w:id="6"/>
    </w:p>
    <w:p w14:paraId="5687ECCD" w14:textId="26A1210B" w:rsidR="00CF3A1B" w:rsidRPr="00AB0640" w:rsidRDefault="0011775D" w:rsidP="008028C6">
      <w:pPr>
        <w:pStyle w:val="3-BodyText"/>
        <w:rPr>
          <w:szCs w:val="24"/>
        </w:rPr>
      </w:pPr>
      <w:r w:rsidRPr="00AB0640">
        <w:rPr>
          <w:szCs w:val="24"/>
        </w:rPr>
        <w:t>The Therapeutic Goods Administration (TGA) granted orphan drug status for omaveloxolone on 14 May 2024.</w:t>
      </w:r>
      <w:r w:rsidR="001E07CA" w:rsidRPr="00AB0640">
        <w:rPr>
          <w:szCs w:val="24"/>
        </w:rPr>
        <w:t xml:space="preserve"> </w:t>
      </w:r>
      <w:r w:rsidR="004B6BE7" w:rsidRPr="00AB0640">
        <w:rPr>
          <w:rFonts w:ascii="Calibri" w:eastAsia="Calibri" w:hAnsi="Calibri" w:cs="Times New Roman"/>
          <w:kern w:val="2"/>
          <w:szCs w:val="24"/>
          <w:lang w:eastAsia="en-US"/>
          <w14:ligatures w14:val="standardContextual"/>
        </w:rPr>
        <w:t xml:space="preserve">Omaveloxolone was approved by the TGA in </w:t>
      </w:r>
      <w:r w:rsidR="00571FF5" w:rsidRPr="00AB0640">
        <w:rPr>
          <w:rFonts w:ascii="Calibri" w:eastAsia="Calibri" w:hAnsi="Calibri" w:cs="Times New Roman"/>
          <w:kern w:val="2"/>
          <w:szCs w:val="24"/>
          <w:lang w:eastAsia="en-US"/>
          <w14:ligatures w14:val="standardContextual"/>
        </w:rPr>
        <w:t>May</w:t>
      </w:r>
      <w:r w:rsidR="00571FF5">
        <w:rPr>
          <w:rFonts w:ascii="Calibri" w:eastAsia="Calibri" w:hAnsi="Calibri" w:cs="Times New Roman"/>
          <w:kern w:val="2"/>
          <w:szCs w:val="24"/>
          <w:lang w:eastAsia="en-US"/>
          <w14:ligatures w14:val="standardContextual"/>
        </w:rPr>
        <w:t> </w:t>
      </w:r>
      <w:r w:rsidR="004B6BE7" w:rsidRPr="00AB0640">
        <w:rPr>
          <w:rFonts w:ascii="Calibri" w:eastAsia="Calibri" w:hAnsi="Calibri" w:cs="Times New Roman"/>
          <w:kern w:val="2"/>
          <w:szCs w:val="24"/>
          <w:lang w:eastAsia="en-US"/>
          <w14:ligatures w14:val="standardContextual"/>
        </w:rPr>
        <w:t xml:space="preserve">2025 and was listed on the </w:t>
      </w:r>
      <w:r w:rsidRPr="00AB0640">
        <w:rPr>
          <w:rFonts w:ascii="Calibri" w:eastAsia="Calibri" w:hAnsi="Calibri" w:cs="Times New Roman"/>
          <w:kern w:val="2"/>
          <w:szCs w:val="24"/>
          <w:lang w:eastAsia="en-US"/>
          <w14:ligatures w14:val="standardContextual"/>
        </w:rPr>
        <w:t>Australian Register of Therapeutic Goods (</w:t>
      </w:r>
      <w:r w:rsidR="004B6BE7" w:rsidRPr="00AB0640">
        <w:rPr>
          <w:rFonts w:ascii="Calibri" w:eastAsia="Calibri" w:hAnsi="Calibri" w:cs="Times New Roman"/>
          <w:kern w:val="2"/>
          <w:szCs w:val="24"/>
          <w:lang w:eastAsia="en-US"/>
          <w14:ligatures w14:val="standardContextual"/>
        </w:rPr>
        <w:t>ARTG</w:t>
      </w:r>
      <w:r w:rsidRPr="00AB0640">
        <w:rPr>
          <w:rFonts w:ascii="Calibri" w:eastAsia="Calibri" w:hAnsi="Calibri" w:cs="Times New Roman"/>
          <w:kern w:val="2"/>
          <w:szCs w:val="24"/>
          <w:lang w:eastAsia="en-US"/>
          <w14:ligatures w14:val="standardContextual"/>
        </w:rPr>
        <w:t>)</w:t>
      </w:r>
      <w:r w:rsidR="004B6BE7" w:rsidRPr="00AB0640">
        <w:rPr>
          <w:rFonts w:ascii="Calibri" w:eastAsia="Calibri" w:hAnsi="Calibri" w:cs="Times New Roman"/>
          <w:kern w:val="2"/>
          <w:szCs w:val="24"/>
          <w:lang w:eastAsia="en-US"/>
          <w14:ligatures w14:val="standardContextual"/>
        </w:rPr>
        <w:t xml:space="preserve"> on 26 June 2025 for the treatment of FA in adults and adolescents aged 16 years and older.</w:t>
      </w:r>
    </w:p>
    <w:p w14:paraId="3E2A6EAB" w14:textId="469C8C0C" w:rsidR="005C25FF" w:rsidRPr="00AB0640" w:rsidRDefault="005C25FF" w:rsidP="008028C6">
      <w:pPr>
        <w:pStyle w:val="4-SubsectionHeading"/>
      </w:pPr>
      <w:bookmarkStart w:id="7" w:name="_Toc22897639"/>
      <w:bookmarkStart w:id="8" w:name="_Toc208932428"/>
      <w:r w:rsidRPr="00AB0640">
        <w:lastRenderedPageBreak/>
        <w:t>Previous PBAC consideration</w:t>
      </w:r>
      <w:bookmarkEnd w:id="7"/>
      <w:bookmarkEnd w:id="8"/>
    </w:p>
    <w:p w14:paraId="602C53D7" w14:textId="6D230A07" w:rsidR="004B6BE7" w:rsidRPr="00AB0640" w:rsidRDefault="004B6BE7" w:rsidP="008028C6">
      <w:pPr>
        <w:pStyle w:val="3-BodyText"/>
      </w:pPr>
      <w:r>
        <w:t xml:space="preserve">At the March 2025 PBAC </w:t>
      </w:r>
      <w:r w:rsidR="002C6D77">
        <w:t>m</w:t>
      </w:r>
      <w:r>
        <w:t xml:space="preserve">eeting, </w:t>
      </w:r>
      <w:r w:rsidR="008459F8">
        <w:t xml:space="preserve">the PBAC did not recommend </w:t>
      </w:r>
      <w:r>
        <w:t xml:space="preserve">omaveloxolone </w:t>
      </w:r>
      <w:r w:rsidR="002C6D77">
        <w:t xml:space="preserve">to be listed on the PBS </w:t>
      </w:r>
      <w:r>
        <w:t xml:space="preserve">for </w:t>
      </w:r>
      <w:r w:rsidR="008459F8">
        <w:t xml:space="preserve">the </w:t>
      </w:r>
      <w:r>
        <w:t xml:space="preserve">treatment of FA in </w:t>
      </w:r>
      <w:r w:rsidR="008459F8">
        <w:t>patients</w:t>
      </w:r>
      <w:r>
        <w:t xml:space="preserve"> aged 16 years and older. </w:t>
      </w:r>
      <w:r w:rsidR="001D1298">
        <w:t xml:space="preserve">The PBAC noted the high clinical need for treatments for this condition but considered that the data presented did not convincingly support the claims that omaveloxolone was superior in terms of effectiveness compared to BSC. </w:t>
      </w:r>
      <w:r>
        <w:t xml:space="preserve">Further, the PBAC advised that omaveloxolone was not cost-effective with an incremental cost-effectiveness ratio (ICER) of </w:t>
      </w:r>
      <w:r w:rsidR="00202AE4">
        <w:t xml:space="preserve">&gt; </w:t>
      </w:r>
      <w:r w:rsidR="2D661915">
        <w:t>$1,055,000</w:t>
      </w:r>
      <w:r>
        <w:t xml:space="preserve"> per quality adjusted life year (QALY) gained. The PBAC noted that this was based on the proposed published price, and although the submission indicated the effective price would be lower, it was not provided by the sponsor.</w:t>
      </w:r>
      <w:r w:rsidR="001D1298">
        <w:t xml:space="preserve"> </w:t>
      </w:r>
      <w:r>
        <w:t xml:space="preserve">The PBAC </w:t>
      </w:r>
      <w:r w:rsidR="00FB7E1C">
        <w:t xml:space="preserve">also </w:t>
      </w:r>
      <w:r>
        <w:t xml:space="preserve">considered that </w:t>
      </w:r>
      <w:r w:rsidR="005B2F3E">
        <w:t xml:space="preserve">the estimated </w:t>
      </w:r>
      <w:r>
        <w:t xml:space="preserve">financial impact of listing omaveloxolone on the PBS was very high (approximately $900 million to </w:t>
      </w:r>
      <w:r w:rsidR="00202AE4">
        <w:t xml:space="preserve">&lt; </w:t>
      </w:r>
      <w:r>
        <w:t>$1 billion over 6 years), although this was also based on the proposed published price (</w:t>
      </w:r>
      <w:r w:rsidR="00A909D1">
        <w:t xml:space="preserve">paragraph </w:t>
      </w:r>
      <w:r>
        <w:t xml:space="preserve">7.1, omaveloxolone </w:t>
      </w:r>
      <w:r w:rsidR="00805623">
        <w:t>P</w:t>
      </w:r>
      <w:r w:rsidR="002C6D77">
        <w:t xml:space="preserve">ublic </w:t>
      </w:r>
      <w:r w:rsidR="00805623">
        <w:t>S</w:t>
      </w:r>
      <w:r w:rsidR="002C6D77">
        <w:t xml:space="preserve">ummary </w:t>
      </w:r>
      <w:r w:rsidR="00805623">
        <w:t>D</w:t>
      </w:r>
      <w:r w:rsidR="002C6D77">
        <w:t>ocument [</w:t>
      </w:r>
      <w:r>
        <w:t>PSD</w:t>
      </w:r>
      <w:r w:rsidR="002C6D77">
        <w:t>]</w:t>
      </w:r>
      <w:r>
        <w:t xml:space="preserve">, March 2025 PBAC </w:t>
      </w:r>
      <w:r w:rsidR="002C6D77">
        <w:t>m</w:t>
      </w:r>
      <w:r>
        <w:t>eeting).</w:t>
      </w:r>
    </w:p>
    <w:p w14:paraId="48879233" w14:textId="60E8FE9A" w:rsidR="00FB7E1C" w:rsidRPr="00AB0640" w:rsidRDefault="00FB7E1C" w:rsidP="008028C6">
      <w:pPr>
        <w:pStyle w:val="3-BodyText"/>
      </w:pPr>
      <w:r w:rsidRPr="00AB0640">
        <w:t xml:space="preserve">A summary of key PBAC concerns raised regarding the previous submission and how the resubmission addressed these are presented in </w:t>
      </w:r>
      <w:r w:rsidRPr="00AB0640">
        <w:fldChar w:fldCharType="begin" w:fldLock="1"/>
      </w:r>
      <w:r w:rsidRPr="00AB0640">
        <w:instrText xml:space="preserve"> REF _Ref205293974 \h </w:instrText>
      </w:r>
      <w:r w:rsidRPr="00AB0640">
        <w:fldChar w:fldCharType="separate"/>
      </w:r>
      <w:r w:rsidR="00E056AF" w:rsidRPr="00AB0640">
        <w:t xml:space="preserve">Table </w:t>
      </w:r>
      <w:r w:rsidR="00E056AF">
        <w:rPr>
          <w:noProof/>
        </w:rPr>
        <w:t>2</w:t>
      </w:r>
      <w:r w:rsidRPr="00AB0640">
        <w:fldChar w:fldCharType="end"/>
      </w:r>
      <w:r w:rsidRPr="00AB0640">
        <w:t xml:space="preserve">. </w:t>
      </w:r>
    </w:p>
    <w:p w14:paraId="2A23A49F" w14:textId="33EC53E2" w:rsidR="005C25FF" w:rsidRPr="00AB0640" w:rsidRDefault="00696EF9" w:rsidP="008028C6">
      <w:pPr>
        <w:pStyle w:val="TableFigureHeading"/>
        <w:rPr>
          <w:rStyle w:val="CommentReference"/>
          <w:b/>
          <w:szCs w:val="24"/>
        </w:rPr>
      </w:pPr>
      <w:bookmarkStart w:id="9" w:name="_Ref205293974"/>
      <w:r w:rsidRPr="00AB0640">
        <w:t xml:space="preserve">Table </w:t>
      </w:r>
      <w:r w:rsidR="00E056AF">
        <w:fldChar w:fldCharType="begin" w:fldLock="1"/>
      </w:r>
      <w:r w:rsidR="00E056AF">
        <w:instrText xml:space="preserve"> SEQ Table \* ARABIC </w:instrText>
      </w:r>
      <w:r w:rsidR="00E056AF">
        <w:fldChar w:fldCharType="separate"/>
      </w:r>
      <w:r w:rsidR="00E056AF">
        <w:rPr>
          <w:noProof/>
        </w:rPr>
        <w:t>2</w:t>
      </w:r>
      <w:r w:rsidR="00E056AF">
        <w:rPr>
          <w:noProof/>
        </w:rPr>
        <w:fldChar w:fldCharType="end"/>
      </w:r>
      <w:bookmarkEnd w:id="9"/>
      <w:r w:rsidRPr="00AB0640">
        <w:t>:</w:t>
      </w:r>
      <w:r w:rsidR="005C25FF" w:rsidRPr="00AB0640">
        <w:rPr>
          <w:rStyle w:val="CommentReference"/>
          <w:b/>
          <w:szCs w:val="24"/>
        </w:rPr>
        <w:t xml:space="preserve"> Summary of key matters of </w:t>
      </w:r>
      <w:r w:rsidR="004B6BE7" w:rsidRPr="00AB0640">
        <w:rPr>
          <w:rStyle w:val="CommentReference"/>
          <w:b/>
          <w:szCs w:val="24"/>
        </w:rPr>
        <w:t xml:space="preserve">PBAC </w:t>
      </w:r>
      <w:r w:rsidR="005C25FF" w:rsidRPr="00AB0640">
        <w:rPr>
          <w:rStyle w:val="CommentReference"/>
          <w:b/>
          <w:szCs w:val="24"/>
        </w:rPr>
        <w:t>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key matters of PBAC concern"/>
      </w:tblPr>
      <w:tblGrid>
        <w:gridCol w:w="1018"/>
        <w:gridCol w:w="4095"/>
        <w:gridCol w:w="3904"/>
      </w:tblGrid>
      <w:tr w:rsidR="004503B7" w:rsidRPr="00AB0640" w14:paraId="72C05F99" w14:textId="77777777" w:rsidTr="0065379D">
        <w:trPr>
          <w:cantSplit/>
          <w:tblHeader/>
        </w:trPr>
        <w:tc>
          <w:tcPr>
            <w:tcW w:w="564" w:type="pct"/>
            <w:vAlign w:val="center"/>
          </w:tcPr>
          <w:p w14:paraId="534D966B" w14:textId="54272C07" w:rsidR="004503B7" w:rsidRPr="00AB0640" w:rsidRDefault="004503B7" w:rsidP="008028C6">
            <w:pPr>
              <w:jc w:val="left"/>
              <w:rPr>
                <w:rFonts w:ascii="Arial Narrow" w:eastAsiaTheme="majorEastAsia" w:hAnsi="Arial Narrow" w:cs="Times New Roman"/>
                <w:b/>
                <w:sz w:val="20"/>
              </w:rPr>
            </w:pPr>
          </w:p>
        </w:tc>
        <w:tc>
          <w:tcPr>
            <w:tcW w:w="2271" w:type="pct"/>
            <w:vAlign w:val="center"/>
          </w:tcPr>
          <w:p w14:paraId="62905E16" w14:textId="1A205E98" w:rsidR="004503B7" w:rsidRPr="00AB0640" w:rsidRDefault="004503B7" w:rsidP="008028C6">
            <w:pPr>
              <w:jc w:val="left"/>
              <w:rPr>
                <w:rFonts w:ascii="Arial Narrow" w:eastAsiaTheme="majorEastAsia" w:hAnsi="Arial Narrow" w:cs="Times New Roman"/>
                <w:b/>
                <w:sz w:val="20"/>
              </w:rPr>
            </w:pPr>
            <w:r w:rsidRPr="00AB0640">
              <w:rPr>
                <w:rFonts w:ascii="Arial Narrow" w:eastAsiaTheme="majorEastAsia" w:hAnsi="Arial Narrow" w:cs="Times New Roman"/>
                <w:b/>
                <w:sz w:val="20"/>
              </w:rPr>
              <w:t>Matter of concern</w:t>
            </w:r>
            <w:r w:rsidR="00B42CCA" w:rsidRPr="00AB0640">
              <w:rPr>
                <w:rFonts w:ascii="Arial Narrow" w:eastAsiaTheme="majorEastAsia" w:hAnsi="Arial Narrow" w:cs="Times New Roman"/>
                <w:b/>
                <w:sz w:val="20"/>
              </w:rPr>
              <w:t xml:space="preserve"> (omaveloxolone PSD, March 2025 PBAC meeting)</w:t>
            </w:r>
          </w:p>
        </w:tc>
        <w:tc>
          <w:tcPr>
            <w:tcW w:w="2165" w:type="pct"/>
            <w:vAlign w:val="center"/>
          </w:tcPr>
          <w:p w14:paraId="57765C50" w14:textId="77777777" w:rsidR="004503B7" w:rsidRPr="00AB0640" w:rsidRDefault="004503B7" w:rsidP="008028C6">
            <w:pPr>
              <w:jc w:val="left"/>
              <w:rPr>
                <w:rFonts w:ascii="Arial Narrow" w:eastAsiaTheme="majorEastAsia" w:hAnsi="Arial Narrow" w:cs="Times New Roman"/>
                <w:b/>
                <w:sz w:val="20"/>
              </w:rPr>
            </w:pPr>
            <w:r w:rsidRPr="00AB0640">
              <w:rPr>
                <w:rFonts w:ascii="Arial Narrow" w:eastAsiaTheme="majorEastAsia" w:hAnsi="Arial Narrow" w:cs="Times New Roman"/>
                <w:b/>
                <w:sz w:val="20"/>
              </w:rPr>
              <w:t>How the resubmission addresses it</w:t>
            </w:r>
          </w:p>
        </w:tc>
      </w:tr>
      <w:tr w:rsidR="004503B7" w:rsidRPr="00AB0640" w14:paraId="3EC7F23B" w14:textId="77777777" w:rsidTr="0065379D">
        <w:trPr>
          <w:cantSplit/>
        </w:trPr>
        <w:tc>
          <w:tcPr>
            <w:tcW w:w="564" w:type="pct"/>
            <w:tcBorders>
              <w:top w:val="single" w:sz="4" w:space="0" w:color="auto"/>
              <w:left w:val="single" w:sz="4" w:space="0" w:color="auto"/>
              <w:right w:val="single" w:sz="4" w:space="0" w:color="auto"/>
            </w:tcBorders>
          </w:tcPr>
          <w:p w14:paraId="5920580F" w14:textId="77777777" w:rsidR="004503B7" w:rsidRPr="00AB0640" w:rsidDel="00751C7A" w:rsidRDefault="004503B7" w:rsidP="008028C6">
            <w:pPr>
              <w:jc w:val="left"/>
              <w:rPr>
                <w:rFonts w:ascii="Arial Narrow" w:eastAsiaTheme="majorEastAsia" w:hAnsi="Arial Narrow" w:cstheme="majorBidi"/>
                <w:bCs/>
                <w:sz w:val="20"/>
              </w:rPr>
            </w:pPr>
            <w:r w:rsidRPr="00AB0640">
              <w:rPr>
                <w:rFonts w:ascii="Arial Narrow" w:eastAsiaTheme="majorEastAsia" w:hAnsi="Arial Narrow" w:cstheme="majorBidi"/>
                <w:b/>
                <w:sz w:val="20"/>
              </w:rPr>
              <w:t>PBS restriction</w:t>
            </w:r>
          </w:p>
        </w:tc>
        <w:tc>
          <w:tcPr>
            <w:tcW w:w="2271" w:type="pct"/>
            <w:tcBorders>
              <w:top w:val="single" w:sz="4" w:space="0" w:color="auto"/>
              <w:left w:val="single" w:sz="4" w:space="0" w:color="auto"/>
              <w:right w:val="single" w:sz="4" w:space="0" w:color="auto"/>
            </w:tcBorders>
          </w:tcPr>
          <w:p w14:paraId="5514CFE0" w14:textId="586CC7C8" w:rsidR="00B42CCA" w:rsidRPr="00AB0640" w:rsidRDefault="00B42CCA" w:rsidP="008028C6">
            <w:pPr>
              <w:jc w:val="left"/>
              <w:rPr>
                <w:rFonts w:ascii="Arial Narrow" w:eastAsiaTheme="majorEastAsia" w:hAnsi="Arial Narrow" w:cstheme="majorBidi"/>
                <w:bCs/>
                <w:sz w:val="20"/>
              </w:rPr>
            </w:pPr>
            <w:r w:rsidRPr="00AB0640">
              <w:rPr>
                <w:rFonts w:ascii="Arial Narrow" w:eastAsiaTheme="majorEastAsia" w:hAnsi="Arial Narrow" w:cstheme="majorBidi"/>
                <w:bCs/>
                <w:sz w:val="20"/>
              </w:rPr>
              <w:t>The ESC advised that it may be appropriate to restrict the use of omaveloxolone to patients diagnosed before the age of 40 years inclusive given patients over 40 years of age were excluded from the trial and as very late onset FA has a different disease course compared to classical FA, which has an onset during childhood and is the focus of this submission (para 3.3).</w:t>
            </w:r>
          </w:p>
          <w:p w14:paraId="721B9636" w14:textId="1A77BA04" w:rsidR="00B42CCA" w:rsidRPr="00AB0640" w:rsidRDefault="00B42CCA" w:rsidP="008028C6">
            <w:pPr>
              <w:spacing w:before="40"/>
              <w:jc w:val="left"/>
              <w:rPr>
                <w:rFonts w:ascii="Arial Narrow" w:eastAsiaTheme="majorEastAsia" w:hAnsi="Arial Narrow" w:cstheme="majorBidi"/>
                <w:bCs/>
                <w:sz w:val="20"/>
              </w:rPr>
            </w:pPr>
            <w:r w:rsidRPr="00AB0640">
              <w:rPr>
                <w:rFonts w:ascii="Arial Narrow" w:eastAsiaTheme="majorEastAsia" w:hAnsi="Arial Narrow" w:cstheme="majorBidi"/>
                <w:bCs/>
                <w:sz w:val="20"/>
              </w:rPr>
              <w:t>The ESC considered that it would be appropriate to include a criterion stating that ‘Patient must have a mFARS rating scale between 20 and 80’ in the restriction to be consistent with the eligibility criterion in the MOXIe Part 2 trial (para 3.7).</w:t>
            </w:r>
          </w:p>
          <w:p w14:paraId="48DF0B72" w14:textId="1553D582" w:rsidR="004503B7" w:rsidRPr="00AB0640" w:rsidRDefault="00B42CCA" w:rsidP="008028C6">
            <w:pPr>
              <w:spacing w:before="40"/>
              <w:jc w:val="left"/>
              <w:rPr>
                <w:rFonts w:ascii="Arial Narrow" w:eastAsiaTheme="majorEastAsia" w:hAnsi="Arial Narrow" w:cstheme="majorBidi"/>
                <w:bCs/>
                <w:sz w:val="20"/>
              </w:rPr>
            </w:pPr>
            <w:r w:rsidRPr="00AB0640">
              <w:rPr>
                <w:rFonts w:ascii="Arial Narrow" w:eastAsiaTheme="majorEastAsia" w:hAnsi="Arial Narrow" w:cstheme="majorBidi"/>
                <w:bCs/>
                <w:sz w:val="20"/>
              </w:rPr>
              <w:t>The ESC considered that it would be appropriate to include a continuing criterion which stated that “Patient must continue to demonstrate clinical benefit’ (para 3.10).</w:t>
            </w:r>
          </w:p>
        </w:tc>
        <w:tc>
          <w:tcPr>
            <w:tcW w:w="2165" w:type="pct"/>
            <w:tcBorders>
              <w:top w:val="single" w:sz="4" w:space="0" w:color="auto"/>
              <w:left w:val="single" w:sz="4" w:space="0" w:color="auto"/>
              <w:right w:val="single" w:sz="4" w:space="0" w:color="auto"/>
            </w:tcBorders>
          </w:tcPr>
          <w:p w14:paraId="6C1AA205" w14:textId="2BEF0CFB" w:rsidR="00B42CCA" w:rsidRPr="00AB0640" w:rsidRDefault="00B42CCA" w:rsidP="008028C6">
            <w:pPr>
              <w:jc w:val="left"/>
              <w:rPr>
                <w:rFonts w:ascii="Arial Narrow" w:eastAsiaTheme="majorEastAsia" w:hAnsi="Arial Narrow" w:cstheme="majorBidi"/>
                <w:bCs/>
                <w:sz w:val="20"/>
              </w:rPr>
            </w:pPr>
            <w:r w:rsidRPr="00AB0640">
              <w:rPr>
                <w:rFonts w:ascii="Arial Narrow" w:eastAsiaTheme="majorEastAsia" w:hAnsi="Arial Narrow" w:cstheme="majorBidi"/>
                <w:bCs/>
                <w:sz w:val="20"/>
              </w:rPr>
              <w:t xml:space="preserve">The resubmission </w:t>
            </w:r>
            <w:r w:rsidR="00715ADF" w:rsidRPr="00AB0640">
              <w:rPr>
                <w:rFonts w:ascii="Arial Narrow" w:eastAsiaTheme="majorEastAsia" w:hAnsi="Arial Narrow" w:cstheme="majorBidi"/>
                <w:bCs/>
                <w:sz w:val="20"/>
              </w:rPr>
              <w:t xml:space="preserve">partially </w:t>
            </w:r>
            <w:r w:rsidRPr="00AB0640">
              <w:rPr>
                <w:rFonts w:ascii="Arial Narrow" w:eastAsiaTheme="majorEastAsia" w:hAnsi="Arial Narrow" w:cstheme="majorBidi"/>
                <w:bCs/>
                <w:sz w:val="20"/>
              </w:rPr>
              <w:t xml:space="preserve">addressed the issues relating to the PBS restriction. </w:t>
            </w:r>
            <w:r w:rsidR="004503B7" w:rsidRPr="00AB0640">
              <w:rPr>
                <w:rFonts w:ascii="Arial Narrow" w:eastAsiaTheme="majorEastAsia" w:hAnsi="Arial Narrow" w:cstheme="majorBidi"/>
                <w:bCs/>
                <w:sz w:val="20"/>
              </w:rPr>
              <w:t xml:space="preserve">The proposed </w:t>
            </w:r>
            <w:r w:rsidR="000A0053" w:rsidRPr="00AB0640">
              <w:rPr>
                <w:rFonts w:ascii="Arial Narrow" w:eastAsiaTheme="majorEastAsia" w:hAnsi="Arial Narrow" w:cstheme="majorBidi"/>
                <w:bCs/>
                <w:sz w:val="20"/>
              </w:rPr>
              <w:t xml:space="preserve">initial supply </w:t>
            </w:r>
            <w:r w:rsidR="004503B7" w:rsidRPr="00AB0640">
              <w:rPr>
                <w:rFonts w:ascii="Arial Narrow" w:eastAsiaTheme="majorEastAsia" w:hAnsi="Arial Narrow" w:cstheme="majorBidi"/>
                <w:bCs/>
                <w:sz w:val="20"/>
              </w:rPr>
              <w:t>restriction include</w:t>
            </w:r>
            <w:r w:rsidR="000A0053" w:rsidRPr="00AB0640">
              <w:rPr>
                <w:rFonts w:ascii="Arial Narrow" w:eastAsiaTheme="majorEastAsia" w:hAnsi="Arial Narrow" w:cstheme="majorBidi"/>
                <w:bCs/>
                <w:sz w:val="20"/>
              </w:rPr>
              <w:t>d</w:t>
            </w:r>
            <w:r w:rsidR="004503B7" w:rsidRPr="00AB0640">
              <w:rPr>
                <w:rFonts w:ascii="Arial Narrow" w:eastAsiaTheme="majorEastAsia" w:hAnsi="Arial Narrow" w:cstheme="majorBidi"/>
                <w:bCs/>
                <w:sz w:val="20"/>
              </w:rPr>
              <w:t xml:space="preserve"> a mFARS score of 20 to 80, aligning with the pivotal trial. </w:t>
            </w:r>
            <w:r w:rsidRPr="00AB0640">
              <w:rPr>
                <w:rFonts w:ascii="Arial Narrow" w:eastAsiaTheme="majorEastAsia" w:hAnsi="Arial Narrow" w:cstheme="majorBidi"/>
                <w:bCs/>
                <w:sz w:val="20"/>
              </w:rPr>
              <w:t xml:space="preserve">In addition, the proposed </w:t>
            </w:r>
            <w:r w:rsidR="000A0053" w:rsidRPr="00AB0640">
              <w:rPr>
                <w:rFonts w:ascii="Arial Narrow" w:eastAsiaTheme="majorEastAsia" w:hAnsi="Arial Narrow" w:cstheme="majorBidi"/>
                <w:bCs/>
                <w:sz w:val="20"/>
              </w:rPr>
              <w:t xml:space="preserve">continuing supply </w:t>
            </w:r>
            <w:r w:rsidRPr="00AB0640">
              <w:rPr>
                <w:rFonts w:ascii="Arial Narrow" w:eastAsiaTheme="majorEastAsia" w:hAnsi="Arial Narrow" w:cstheme="majorBidi"/>
                <w:bCs/>
                <w:sz w:val="20"/>
              </w:rPr>
              <w:t>restriction include</w:t>
            </w:r>
            <w:r w:rsidR="000A0053" w:rsidRPr="00AB0640">
              <w:rPr>
                <w:rFonts w:ascii="Arial Narrow" w:eastAsiaTheme="majorEastAsia" w:hAnsi="Arial Narrow" w:cstheme="majorBidi"/>
                <w:bCs/>
                <w:sz w:val="20"/>
              </w:rPr>
              <w:t>d the criterion</w:t>
            </w:r>
            <w:r w:rsidRPr="00AB0640">
              <w:rPr>
                <w:rFonts w:ascii="Arial Narrow" w:eastAsiaTheme="majorEastAsia" w:hAnsi="Arial Narrow" w:cstheme="majorBidi"/>
                <w:bCs/>
                <w:sz w:val="20"/>
              </w:rPr>
              <w:t xml:space="preserve"> “Patient must continue to demonstrate clinical benefit”. </w:t>
            </w:r>
          </w:p>
          <w:p w14:paraId="7B7E7E80" w14:textId="6BA3FC30" w:rsidR="004503B7" w:rsidRPr="00AB0640" w:rsidDel="00751C7A" w:rsidRDefault="00B42CCA" w:rsidP="008028C6">
            <w:pPr>
              <w:spacing w:before="40"/>
              <w:jc w:val="left"/>
              <w:rPr>
                <w:rFonts w:ascii="Arial Narrow" w:eastAsiaTheme="majorEastAsia" w:hAnsi="Arial Narrow" w:cstheme="majorBidi"/>
                <w:bCs/>
                <w:sz w:val="20"/>
              </w:rPr>
            </w:pPr>
            <w:r w:rsidRPr="00AB0640">
              <w:rPr>
                <w:rFonts w:ascii="Arial Narrow" w:eastAsiaTheme="majorEastAsia" w:hAnsi="Arial Narrow" w:cstheme="majorBidi"/>
                <w:bCs/>
                <w:sz w:val="20"/>
              </w:rPr>
              <w:t xml:space="preserve">However, the </w:t>
            </w:r>
            <w:r w:rsidR="000A0053" w:rsidRPr="00AB0640">
              <w:rPr>
                <w:rFonts w:ascii="Arial Narrow" w:eastAsiaTheme="majorEastAsia" w:hAnsi="Arial Narrow" w:cstheme="majorBidi"/>
                <w:bCs/>
                <w:sz w:val="20"/>
              </w:rPr>
              <w:t xml:space="preserve">proposed restriction did not include an upper age limit. The </w:t>
            </w:r>
            <w:r w:rsidRPr="00AB0640">
              <w:rPr>
                <w:rFonts w:ascii="Arial Narrow" w:eastAsiaTheme="majorEastAsia" w:hAnsi="Arial Narrow" w:cstheme="majorBidi"/>
                <w:bCs/>
                <w:sz w:val="20"/>
              </w:rPr>
              <w:t xml:space="preserve">resubmission </w:t>
            </w:r>
            <w:r w:rsidR="000A0053" w:rsidRPr="00AB0640">
              <w:rPr>
                <w:rFonts w:ascii="Arial Narrow" w:eastAsiaTheme="majorEastAsia" w:hAnsi="Arial Narrow" w:cstheme="majorBidi"/>
                <w:bCs/>
                <w:sz w:val="20"/>
              </w:rPr>
              <w:t xml:space="preserve">stated </w:t>
            </w:r>
            <w:r w:rsidRPr="00AB0640">
              <w:rPr>
                <w:rFonts w:ascii="Arial Narrow" w:eastAsiaTheme="majorEastAsia" w:hAnsi="Arial Narrow" w:cstheme="majorBidi"/>
                <w:bCs/>
                <w:sz w:val="20"/>
              </w:rPr>
              <w:t>that</w:t>
            </w:r>
            <w:r w:rsidR="000A0053" w:rsidRPr="00AB0640">
              <w:rPr>
                <w:rFonts w:ascii="Arial Narrow" w:eastAsiaTheme="majorEastAsia" w:hAnsi="Arial Narrow" w:cstheme="majorBidi"/>
                <w:bCs/>
                <w:sz w:val="20"/>
              </w:rPr>
              <w:t xml:space="preserve"> this was </w:t>
            </w:r>
            <w:r w:rsidRPr="00AB0640">
              <w:rPr>
                <w:rFonts w:ascii="Arial Narrow" w:eastAsiaTheme="majorEastAsia" w:hAnsi="Arial Narrow" w:cstheme="majorBidi"/>
                <w:bCs/>
                <w:sz w:val="20"/>
              </w:rPr>
              <w:t xml:space="preserve">to </w:t>
            </w:r>
            <w:r w:rsidR="004503B7" w:rsidRPr="00AB0640">
              <w:rPr>
                <w:rFonts w:ascii="Arial Narrow" w:eastAsiaTheme="majorEastAsia" w:hAnsi="Arial Narrow" w:cstheme="majorBidi"/>
                <w:bCs/>
                <w:sz w:val="20"/>
              </w:rPr>
              <w:t xml:space="preserve">avoid introducing inequities. </w:t>
            </w:r>
            <w:r w:rsidRPr="00AB0640">
              <w:rPr>
                <w:rFonts w:ascii="Arial Narrow" w:eastAsiaTheme="majorEastAsia" w:hAnsi="Arial Narrow" w:cstheme="majorBidi"/>
                <w:bCs/>
                <w:sz w:val="20"/>
              </w:rPr>
              <w:t>The resubmission argued that t</w:t>
            </w:r>
            <w:r w:rsidR="004503B7" w:rsidRPr="00AB0640">
              <w:rPr>
                <w:rFonts w:ascii="Arial Narrow" w:eastAsiaTheme="majorEastAsia" w:hAnsi="Arial Narrow" w:cstheme="majorBidi"/>
                <w:bCs/>
                <w:sz w:val="20"/>
              </w:rPr>
              <w:t xml:space="preserve">his approach </w:t>
            </w:r>
            <w:r w:rsidR="00D01391" w:rsidRPr="00AB0640">
              <w:rPr>
                <w:rFonts w:ascii="Arial Narrow" w:eastAsiaTheme="majorEastAsia" w:hAnsi="Arial Narrow" w:cstheme="majorBidi"/>
                <w:bCs/>
                <w:sz w:val="20"/>
              </w:rPr>
              <w:t>wa</w:t>
            </w:r>
            <w:r w:rsidR="004503B7" w:rsidRPr="00AB0640">
              <w:rPr>
                <w:rFonts w:ascii="Arial Narrow" w:eastAsiaTheme="majorEastAsia" w:hAnsi="Arial Narrow" w:cstheme="majorBidi"/>
                <w:bCs/>
                <w:sz w:val="20"/>
              </w:rPr>
              <w:t xml:space="preserve">s consistent with many other PBS listings that do not apply a maximum age, despite not including those patients in the clinical trials. </w:t>
            </w:r>
          </w:p>
        </w:tc>
      </w:tr>
      <w:tr w:rsidR="004503B7" w:rsidRPr="00AB0640" w14:paraId="51645EE1" w14:textId="77777777" w:rsidTr="0065379D">
        <w:trPr>
          <w:cantSplit/>
        </w:trPr>
        <w:tc>
          <w:tcPr>
            <w:tcW w:w="564" w:type="pct"/>
            <w:tcBorders>
              <w:top w:val="single" w:sz="4" w:space="0" w:color="auto"/>
              <w:left w:val="single" w:sz="4" w:space="0" w:color="auto"/>
              <w:right w:val="single" w:sz="4" w:space="0" w:color="auto"/>
            </w:tcBorders>
          </w:tcPr>
          <w:p w14:paraId="17A4937C" w14:textId="77777777" w:rsidR="004503B7" w:rsidRPr="00AB0640" w:rsidRDefault="004503B7" w:rsidP="008028C6">
            <w:pPr>
              <w:jc w:val="left"/>
              <w:rPr>
                <w:rFonts w:ascii="Arial Narrow" w:eastAsiaTheme="majorEastAsia" w:hAnsi="Arial Narrow" w:cstheme="majorBidi"/>
                <w:bCs/>
                <w:sz w:val="20"/>
              </w:rPr>
            </w:pPr>
            <w:r w:rsidRPr="00AB0640">
              <w:rPr>
                <w:rFonts w:ascii="Arial Narrow" w:eastAsiaTheme="majorEastAsia" w:hAnsi="Arial Narrow" w:cstheme="majorBidi"/>
                <w:b/>
                <w:sz w:val="20"/>
              </w:rPr>
              <w:t>Clinical evidence</w:t>
            </w:r>
          </w:p>
        </w:tc>
        <w:tc>
          <w:tcPr>
            <w:tcW w:w="2271" w:type="pct"/>
            <w:tcBorders>
              <w:top w:val="single" w:sz="4" w:space="0" w:color="auto"/>
              <w:left w:val="single" w:sz="4" w:space="0" w:color="auto"/>
              <w:right w:val="single" w:sz="4" w:space="0" w:color="auto"/>
            </w:tcBorders>
          </w:tcPr>
          <w:p w14:paraId="1FBAAB8E" w14:textId="738AD1C4" w:rsidR="004503B7" w:rsidRPr="00AB0640" w:rsidRDefault="00F56F7B" w:rsidP="008028C6">
            <w:pPr>
              <w:jc w:val="left"/>
              <w:rPr>
                <w:rFonts w:ascii="Arial Narrow" w:eastAsiaTheme="majorEastAsia" w:hAnsi="Arial Narrow" w:cstheme="majorBidi"/>
                <w:bCs/>
                <w:sz w:val="20"/>
              </w:rPr>
            </w:pPr>
            <w:r w:rsidRPr="00AB0640">
              <w:rPr>
                <w:rFonts w:ascii="Arial Narrow" w:eastAsiaTheme="majorEastAsia" w:hAnsi="Arial Narrow" w:cstheme="majorBidi"/>
                <w:bCs/>
                <w:sz w:val="20"/>
              </w:rPr>
              <w:t xml:space="preserve">Whilst recognising the unmet need, the PBAC considered that the data did not convincingly support the claims of superior comparative effectiveness compared to BSC. In particular, the PBAC noted the uncertainty in magnitude and duration of improvement, particularly in patients with different disease severity </w:t>
            </w:r>
            <w:r w:rsidR="004503B7" w:rsidRPr="00AB0640">
              <w:rPr>
                <w:rFonts w:ascii="Arial Narrow" w:eastAsiaTheme="majorEastAsia" w:hAnsi="Arial Narrow" w:cstheme="majorBidi"/>
                <w:bCs/>
                <w:sz w:val="20"/>
              </w:rPr>
              <w:t>(</w:t>
            </w:r>
            <w:r w:rsidR="0087716F" w:rsidRPr="00AB0640">
              <w:rPr>
                <w:rFonts w:ascii="Arial Narrow" w:eastAsiaTheme="majorEastAsia" w:hAnsi="Arial Narrow" w:cstheme="majorBidi"/>
                <w:bCs/>
                <w:sz w:val="20"/>
              </w:rPr>
              <w:t xml:space="preserve">para </w:t>
            </w:r>
            <w:r w:rsidRPr="00AB0640">
              <w:rPr>
                <w:rFonts w:ascii="Arial Narrow" w:eastAsiaTheme="majorEastAsia" w:hAnsi="Arial Narrow" w:cstheme="majorBidi"/>
                <w:bCs/>
                <w:sz w:val="20"/>
              </w:rPr>
              <w:t xml:space="preserve">6.59 &amp; </w:t>
            </w:r>
            <w:r w:rsidR="0087716F" w:rsidRPr="00AB0640">
              <w:rPr>
                <w:rFonts w:ascii="Arial Narrow" w:eastAsiaTheme="majorEastAsia" w:hAnsi="Arial Narrow" w:cstheme="majorBidi"/>
                <w:bCs/>
                <w:sz w:val="20"/>
              </w:rPr>
              <w:t>7.1)</w:t>
            </w:r>
            <w:r w:rsidR="004503B7" w:rsidRPr="00AB0640">
              <w:rPr>
                <w:rFonts w:ascii="Arial Narrow" w:eastAsiaTheme="majorEastAsia" w:hAnsi="Arial Narrow" w:cstheme="majorBidi"/>
                <w:bCs/>
                <w:sz w:val="20"/>
              </w:rPr>
              <w:t xml:space="preserve">. </w:t>
            </w:r>
          </w:p>
        </w:tc>
        <w:tc>
          <w:tcPr>
            <w:tcW w:w="2165" w:type="pct"/>
            <w:tcBorders>
              <w:top w:val="single" w:sz="4" w:space="0" w:color="auto"/>
              <w:left w:val="single" w:sz="4" w:space="0" w:color="auto"/>
              <w:right w:val="single" w:sz="4" w:space="0" w:color="auto"/>
            </w:tcBorders>
          </w:tcPr>
          <w:p w14:paraId="57542034" w14:textId="1E9859CC" w:rsidR="004503B7" w:rsidRPr="00AB0640" w:rsidRDefault="00FE6C64" w:rsidP="008028C6">
            <w:pPr>
              <w:jc w:val="left"/>
              <w:rPr>
                <w:rFonts w:ascii="Arial Narrow" w:eastAsiaTheme="majorEastAsia" w:hAnsi="Arial Narrow" w:cstheme="majorBidi"/>
                <w:bCs/>
                <w:sz w:val="20"/>
              </w:rPr>
            </w:pPr>
            <w:r w:rsidRPr="00AB0640">
              <w:rPr>
                <w:rFonts w:ascii="Arial Narrow" w:eastAsiaTheme="majorEastAsia" w:hAnsi="Arial Narrow" w:cstheme="majorBidi"/>
                <w:bCs/>
                <w:sz w:val="20"/>
              </w:rPr>
              <w:t>The resubmission did not present updated data</w:t>
            </w:r>
            <w:r w:rsidR="004503B7" w:rsidRPr="00AB0640">
              <w:rPr>
                <w:rFonts w:ascii="Arial Narrow" w:eastAsiaTheme="majorEastAsia" w:hAnsi="Arial Narrow" w:cstheme="majorBidi"/>
                <w:bCs/>
                <w:sz w:val="20"/>
              </w:rPr>
              <w:t xml:space="preserve">. </w:t>
            </w:r>
          </w:p>
        </w:tc>
      </w:tr>
      <w:tr w:rsidR="006F5BDA" w:rsidRPr="00AB0640" w14:paraId="1D4123C8" w14:textId="77777777" w:rsidTr="0065379D">
        <w:trPr>
          <w:cantSplit/>
        </w:trPr>
        <w:tc>
          <w:tcPr>
            <w:tcW w:w="564" w:type="pct"/>
            <w:tcBorders>
              <w:top w:val="single" w:sz="4" w:space="0" w:color="auto"/>
              <w:left w:val="single" w:sz="4" w:space="0" w:color="auto"/>
              <w:right w:val="single" w:sz="4" w:space="0" w:color="auto"/>
            </w:tcBorders>
            <w:vAlign w:val="center"/>
          </w:tcPr>
          <w:p w14:paraId="1298BE79" w14:textId="1583DC22" w:rsidR="006F5BDA" w:rsidRPr="00AB0640" w:rsidRDefault="006F5BDA" w:rsidP="008028C6">
            <w:pPr>
              <w:jc w:val="left"/>
              <w:rPr>
                <w:rFonts w:ascii="Arial Narrow" w:eastAsiaTheme="majorEastAsia" w:hAnsi="Arial Narrow" w:cstheme="majorBidi"/>
                <w:bCs/>
                <w:sz w:val="20"/>
              </w:rPr>
            </w:pPr>
            <w:r w:rsidRPr="00AB0640">
              <w:rPr>
                <w:rFonts w:ascii="Arial Narrow" w:eastAsiaTheme="majorEastAsia" w:hAnsi="Arial Narrow" w:cstheme="majorBidi"/>
                <w:b/>
                <w:sz w:val="20"/>
              </w:rPr>
              <w:lastRenderedPageBreak/>
              <w:t>Economic model</w:t>
            </w:r>
          </w:p>
        </w:tc>
        <w:tc>
          <w:tcPr>
            <w:tcW w:w="2271" w:type="pct"/>
            <w:tcBorders>
              <w:top w:val="single" w:sz="4" w:space="0" w:color="auto"/>
              <w:left w:val="single" w:sz="4" w:space="0" w:color="auto"/>
              <w:right w:val="single" w:sz="4" w:space="0" w:color="auto"/>
            </w:tcBorders>
          </w:tcPr>
          <w:p w14:paraId="779387DB" w14:textId="3E6CBA00" w:rsidR="006F5BDA" w:rsidRPr="00AB0640" w:rsidRDefault="001D1298" w:rsidP="008028C6">
            <w:pPr>
              <w:jc w:val="left"/>
              <w:rPr>
                <w:rFonts w:ascii="Arial Narrow" w:eastAsiaTheme="majorEastAsia" w:hAnsi="Arial Narrow" w:cstheme="majorBidi"/>
                <w:bCs/>
                <w:sz w:val="20"/>
              </w:rPr>
            </w:pPr>
            <w:r w:rsidRPr="00AB0640">
              <w:rPr>
                <w:rFonts w:ascii="Arial Narrow" w:eastAsiaTheme="majorEastAsia" w:hAnsi="Arial Narrow" w:cstheme="majorBidi"/>
                <w:bCs/>
                <w:sz w:val="20"/>
              </w:rPr>
              <w:t>T</w:t>
            </w:r>
            <w:r w:rsidR="006F5BDA" w:rsidRPr="00AB0640">
              <w:rPr>
                <w:rFonts w:ascii="Arial Narrow" w:eastAsiaTheme="majorEastAsia" w:hAnsi="Arial Narrow" w:cstheme="majorBidi"/>
                <w:bCs/>
                <w:sz w:val="20"/>
              </w:rPr>
              <w:t xml:space="preserve">he PBAC advised that omaveloxolone was not cost-effective with an ICER of </w:t>
            </w:r>
            <w:r w:rsidR="00202AE4">
              <w:rPr>
                <w:rFonts w:ascii="Arial Narrow" w:eastAsiaTheme="majorEastAsia" w:hAnsi="Arial Narrow" w:cstheme="majorBidi"/>
                <w:bCs/>
                <w:sz w:val="20"/>
              </w:rPr>
              <w:t xml:space="preserve">&gt; </w:t>
            </w:r>
            <w:r w:rsidR="00FE6C64" w:rsidRPr="00AB0640">
              <w:rPr>
                <w:rFonts w:ascii="Arial Narrow" w:eastAsiaTheme="majorEastAsia" w:hAnsi="Arial Narrow" w:cstheme="majorBidi"/>
                <w:bCs/>
                <w:sz w:val="20"/>
              </w:rPr>
              <w:t>$</w:t>
            </w:r>
            <w:r w:rsidR="006F5BDA" w:rsidRPr="00AB0640">
              <w:rPr>
                <w:rFonts w:ascii="Arial Narrow" w:eastAsiaTheme="majorEastAsia" w:hAnsi="Arial Narrow" w:cstheme="majorBidi"/>
                <w:bCs/>
                <w:sz w:val="20"/>
              </w:rPr>
              <w:t>1,055,000 per QALY gained. The PBAC noted that this was based on the proposed published price, and although the submission indicated the effective price would be lower, it was not provided by the sponsor (para</w:t>
            </w:r>
            <w:r w:rsidR="001E07CA" w:rsidRPr="00AB0640">
              <w:rPr>
                <w:rFonts w:ascii="Arial Narrow" w:eastAsiaTheme="majorEastAsia" w:hAnsi="Arial Narrow" w:cstheme="majorBidi"/>
                <w:bCs/>
                <w:sz w:val="20"/>
              </w:rPr>
              <w:t xml:space="preserve"> </w:t>
            </w:r>
            <w:r w:rsidR="006F5BDA" w:rsidRPr="00AB0640">
              <w:rPr>
                <w:rFonts w:ascii="Arial Narrow" w:eastAsiaTheme="majorEastAsia" w:hAnsi="Arial Narrow" w:cstheme="majorBidi"/>
                <w:bCs/>
                <w:sz w:val="20"/>
              </w:rPr>
              <w:t xml:space="preserve">7.1). </w:t>
            </w:r>
          </w:p>
          <w:p w14:paraId="5AFBF2C2" w14:textId="77777777" w:rsidR="00A07C62" w:rsidRPr="00AB0640" w:rsidRDefault="00A07C62" w:rsidP="008028C6">
            <w:pPr>
              <w:spacing w:before="40"/>
              <w:jc w:val="left"/>
              <w:rPr>
                <w:rFonts w:ascii="Arial Narrow" w:eastAsiaTheme="majorEastAsia" w:hAnsi="Arial Narrow" w:cstheme="majorBidi"/>
                <w:bCs/>
                <w:sz w:val="20"/>
              </w:rPr>
            </w:pPr>
            <w:r w:rsidRPr="00AB0640">
              <w:rPr>
                <w:rFonts w:ascii="Arial Narrow" w:eastAsiaTheme="majorEastAsia" w:hAnsi="Arial Narrow" w:cstheme="majorBidi"/>
                <w:bCs/>
                <w:sz w:val="20"/>
              </w:rPr>
              <w:t xml:space="preserve">The ESC raised the following concerns: </w:t>
            </w:r>
          </w:p>
          <w:p w14:paraId="1274E10D" w14:textId="2EED5BCD" w:rsidR="00A07C62" w:rsidRPr="00AB0640" w:rsidRDefault="00A07C62" w:rsidP="008028C6">
            <w:pPr>
              <w:spacing w:before="40"/>
              <w:rPr>
                <w:rFonts w:ascii="Arial Narrow" w:eastAsiaTheme="majorEastAsia" w:hAnsi="Arial Narrow" w:cstheme="majorBidi"/>
                <w:bCs/>
                <w:sz w:val="20"/>
              </w:rPr>
            </w:pPr>
            <w:r w:rsidRPr="00AB0640">
              <w:rPr>
                <w:rFonts w:ascii="Arial Narrow" w:eastAsiaTheme="majorEastAsia" w:hAnsi="Arial Narrow" w:cstheme="majorBidi"/>
                <w:bCs/>
                <w:sz w:val="20"/>
              </w:rPr>
              <w:t xml:space="preserve">i) The </w:t>
            </w:r>
            <w:r w:rsidR="00E23BB8" w:rsidRPr="00AB0640">
              <w:rPr>
                <w:rFonts w:ascii="Arial Narrow" w:eastAsiaTheme="majorEastAsia" w:hAnsi="Arial Narrow" w:cstheme="majorBidi"/>
                <w:bCs/>
                <w:sz w:val="20"/>
              </w:rPr>
              <w:t>approach</w:t>
            </w:r>
            <w:r w:rsidRPr="00AB0640">
              <w:rPr>
                <w:rFonts w:ascii="Arial Narrow" w:eastAsiaTheme="majorEastAsia" w:hAnsi="Arial Narrow" w:cstheme="majorBidi"/>
                <w:bCs/>
                <w:sz w:val="20"/>
              </w:rPr>
              <w:t xml:space="preserve"> utilised to model mortality was not appropriate as it resulted in a life expectancy that was longer than that published in literature (para 6.67). </w:t>
            </w:r>
          </w:p>
          <w:p w14:paraId="260C8D42" w14:textId="6AACD7D1" w:rsidR="00A07C62" w:rsidRPr="00AB0640" w:rsidRDefault="00A07C62" w:rsidP="008028C6">
            <w:pPr>
              <w:spacing w:before="40"/>
              <w:rPr>
                <w:rFonts w:ascii="Arial Narrow" w:eastAsiaTheme="majorEastAsia" w:hAnsi="Arial Narrow" w:cstheme="majorBidi"/>
                <w:bCs/>
                <w:sz w:val="20"/>
              </w:rPr>
            </w:pPr>
            <w:r w:rsidRPr="00AB0640">
              <w:rPr>
                <w:rFonts w:ascii="Arial Narrow" w:eastAsiaTheme="majorEastAsia" w:hAnsi="Arial Narrow" w:cstheme="majorBidi"/>
                <w:bCs/>
                <w:sz w:val="20"/>
              </w:rPr>
              <w:t xml:space="preserve">ii) The utility values applied did not relate mFARS to utility values for the full range of utility values applied in the economic model (para 6.68). </w:t>
            </w:r>
          </w:p>
          <w:p w14:paraId="08CFEE8B" w14:textId="076144A0" w:rsidR="00A07C62" w:rsidRPr="00AB0640" w:rsidRDefault="00A07C62" w:rsidP="008028C6">
            <w:pPr>
              <w:spacing w:before="40"/>
              <w:jc w:val="left"/>
              <w:rPr>
                <w:rFonts w:ascii="Arial Narrow" w:eastAsiaTheme="majorEastAsia" w:hAnsi="Arial Narrow" w:cstheme="majorBidi"/>
                <w:bCs/>
                <w:sz w:val="20"/>
              </w:rPr>
            </w:pPr>
            <w:r w:rsidRPr="00AB0640">
              <w:rPr>
                <w:rFonts w:ascii="Arial Narrow" w:eastAsiaTheme="majorEastAsia" w:hAnsi="Arial Narrow" w:cstheme="majorBidi"/>
                <w:bCs/>
                <w:sz w:val="20"/>
              </w:rPr>
              <w:t>iii) The assumption that the full treatment effect was maintained indefinitely while patients were on treatment was not appropriate (para 6.65).</w:t>
            </w:r>
            <w:r w:rsidR="00202AE4">
              <w:rPr>
                <w:rFonts w:ascii="Arial Narrow" w:eastAsiaTheme="majorEastAsia" w:hAnsi="Arial Narrow" w:cstheme="majorBidi"/>
                <w:bCs/>
                <w:sz w:val="20"/>
              </w:rPr>
              <w:t xml:space="preserve"> </w:t>
            </w:r>
          </w:p>
        </w:tc>
        <w:tc>
          <w:tcPr>
            <w:tcW w:w="2165" w:type="pct"/>
            <w:tcBorders>
              <w:top w:val="single" w:sz="4" w:space="0" w:color="auto"/>
              <w:left w:val="single" w:sz="4" w:space="0" w:color="auto"/>
              <w:right w:val="single" w:sz="4" w:space="0" w:color="auto"/>
            </w:tcBorders>
          </w:tcPr>
          <w:p w14:paraId="4450528C" w14:textId="074B2C98" w:rsidR="006F5BDA" w:rsidRPr="00AB0640" w:rsidRDefault="00A62E79" w:rsidP="008028C6">
            <w:pPr>
              <w:jc w:val="left"/>
              <w:rPr>
                <w:rFonts w:ascii="Arial Narrow" w:eastAsiaTheme="majorEastAsia" w:hAnsi="Arial Narrow" w:cstheme="majorBidi"/>
                <w:bCs/>
                <w:sz w:val="20"/>
              </w:rPr>
            </w:pPr>
            <w:r w:rsidRPr="00AB0640">
              <w:rPr>
                <w:rFonts w:ascii="Arial Narrow" w:eastAsiaTheme="majorEastAsia" w:hAnsi="Arial Narrow" w:cstheme="majorBidi"/>
                <w:bCs/>
                <w:sz w:val="20"/>
              </w:rPr>
              <w:t xml:space="preserve">The resubmission partially addressed the issues relating to the economic model. </w:t>
            </w:r>
            <w:r w:rsidR="006F5BDA" w:rsidRPr="00AB0640">
              <w:rPr>
                <w:rFonts w:ascii="Arial Narrow" w:eastAsiaTheme="majorEastAsia" w:hAnsi="Arial Narrow" w:cstheme="majorBidi"/>
                <w:bCs/>
                <w:sz w:val="20"/>
              </w:rPr>
              <w:t xml:space="preserve">A revised base case </w:t>
            </w:r>
            <w:r w:rsidR="000A0053" w:rsidRPr="00AB0640">
              <w:rPr>
                <w:rFonts w:ascii="Arial Narrow" w:eastAsiaTheme="majorEastAsia" w:hAnsi="Arial Narrow" w:cstheme="majorBidi"/>
                <w:bCs/>
                <w:sz w:val="20"/>
              </w:rPr>
              <w:t xml:space="preserve">was </w:t>
            </w:r>
            <w:r w:rsidR="006F5BDA" w:rsidRPr="00AB0640">
              <w:rPr>
                <w:rFonts w:ascii="Arial Narrow" w:eastAsiaTheme="majorEastAsia" w:hAnsi="Arial Narrow" w:cstheme="majorBidi"/>
                <w:bCs/>
                <w:sz w:val="20"/>
              </w:rPr>
              <w:t>presented in the resubmission which addresse</w:t>
            </w:r>
            <w:r w:rsidR="00583C46" w:rsidRPr="00AB0640">
              <w:rPr>
                <w:rFonts w:ascii="Arial Narrow" w:eastAsiaTheme="majorEastAsia" w:hAnsi="Arial Narrow" w:cstheme="majorBidi"/>
                <w:bCs/>
                <w:sz w:val="20"/>
              </w:rPr>
              <w:t>d</w:t>
            </w:r>
            <w:r w:rsidR="006F5BDA" w:rsidRPr="00AB0640">
              <w:rPr>
                <w:rFonts w:ascii="Arial Narrow" w:eastAsiaTheme="majorEastAsia" w:hAnsi="Arial Narrow" w:cstheme="majorBidi"/>
                <w:bCs/>
                <w:sz w:val="20"/>
              </w:rPr>
              <w:t xml:space="preserve"> several </w:t>
            </w:r>
            <w:r w:rsidR="0052595F" w:rsidRPr="00AB0640">
              <w:rPr>
                <w:rFonts w:ascii="Arial Narrow" w:eastAsiaTheme="majorEastAsia" w:hAnsi="Arial Narrow" w:cstheme="majorBidi"/>
                <w:bCs/>
                <w:sz w:val="20"/>
              </w:rPr>
              <w:t xml:space="preserve">key issues noted by the </w:t>
            </w:r>
            <w:r w:rsidR="006F5BDA" w:rsidRPr="00AB0640">
              <w:rPr>
                <w:rFonts w:ascii="Arial Narrow" w:eastAsiaTheme="majorEastAsia" w:hAnsi="Arial Narrow" w:cstheme="majorBidi"/>
                <w:bCs/>
                <w:sz w:val="20"/>
              </w:rPr>
              <w:t>PBAC and ESC</w:t>
            </w:r>
            <w:r w:rsidR="0052595F" w:rsidRPr="00AB0640">
              <w:rPr>
                <w:rFonts w:ascii="Arial Narrow" w:eastAsiaTheme="majorEastAsia" w:hAnsi="Arial Narrow" w:cstheme="majorBidi"/>
                <w:bCs/>
                <w:sz w:val="20"/>
              </w:rPr>
              <w:t>,</w:t>
            </w:r>
            <w:r w:rsidR="006F5BDA" w:rsidRPr="00AB0640">
              <w:rPr>
                <w:rFonts w:ascii="Arial Narrow" w:eastAsiaTheme="majorEastAsia" w:hAnsi="Arial Narrow" w:cstheme="majorBidi"/>
                <w:bCs/>
                <w:sz w:val="20"/>
              </w:rPr>
              <w:t xml:space="preserve"> including:</w:t>
            </w:r>
          </w:p>
          <w:p w14:paraId="587B9B53" w14:textId="697B68DC" w:rsidR="006F5BDA" w:rsidRPr="00AB0640" w:rsidRDefault="006F5BDA" w:rsidP="008028C6">
            <w:pPr>
              <w:jc w:val="left"/>
              <w:rPr>
                <w:rFonts w:ascii="Arial Narrow" w:eastAsiaTheme="majorEastAsia" w:hAnsi="Arial Narrow" w:cstheme="majorBidi"/>
                <w:bCs/>
                <w:sz w:val="20"/>
              </w:rPr>
            </w:pPr>
            <w:r w:rsidRPr="00AB0640">
              <w:rPr>
                <w:rFonts w:ascii="Arial Narrow" w:eastAsiaTheme="majorEastAsia" w:hAnsi="Arial Narrow" w:cstheme="majorBidi"/>
                <w:bCs/>
                <w:sz w:val="20"/>
              </w:rPr>
              <w:t xml:space="preserve">(i) a </w:t>
            </w:r>
            <w:r w:rsidR="009E5958">
              <w:rPr>
                <w:rFonts w:ascii="Arial Narrow" w:eastAsiaTheme="majorEastAsia" w:hAnsi="Arial Narrow" w:cstheme="majorBidi"/>
                <w:bCs/>
                <w:sz w:val="20"/>
              </w:rPr>
              <w:t>l</w:t>
            </w:r>
            <w:r w:rsidR="00270C56" w:rsidRPr="004519B5">
              <w:rPr>
                <w:rFonts w:ascii="Arial Narrow" w:eastAsiaTheme="majorEastAsia" w:hAnsi="Arial Narrow" w:cstheme="majorBidi"/>
                <w:bCs/>
                <w:sz w:val="20"/>
              </w:rPr>
              <w:t>ower</w:t>
            </w:r>
            <w:r w:rsidR="00270C56" w:rsidRPr="00AB0640">
              <w:rPr>
                <w:rFonts w:ascii="Arial Narrow" w:eastAsiaTheme="majorEastAsia" w:hAnsi="Arial Narrow" w:cstheme="majorBidi"/>
                <w:bCs/>
                <w:sz w:val="20"/>
              </w:rPr>
              <w:t xml:space="preserve"> published price</w:t>
            </w:r>
            <w:r w:rsidR="00583C46" w:rsidRPr="00AB0640">
              <w:rPr>
                <w:rFonts w:ascii="Arial Narrow" w:eastAsiaTheme="majorEastAsia" w:hAnsi="Arial Narrow" w:cstheme="majorBidi"/>
                <w:bCs/>
                <w:sz w:val="20"/>
              </w:rPr>
              <w:t xml:space="preserve"> plus</w:t>
            </w:r>
            <w:r w:rsidR="00270C56" w:rsidRPr="00AB0640">
              <w:rPr>
                <w:rFonts w:ascii="Arial Narrow" w:eastAsiaTheme="majorEastAsia" w:hAnsi="Arial Narrow" w:cstheme="majorBidi"/>
                <w:bCs/>
                <w:sz w:val="20"/>
              </w:rPr>
              <w:t xml:space="preserve"> an effective price that was </w:t>
            </w:r>
            <w:r w:rsidR="001F43CD" w:rsidRPr="001F43CD">
              <w:rPr>
                <w:rFonts w:ascii="Arial Narrow" w:eastAsiaTheme="majorEastAsia" w:hAnsi="Arial Narrow" w:cstheme="majorBidi"/>
                <w:bCs/>
                <w:sz w:val="20"/>
                <w:highlight w:val="black"/>
              </w:rPr>
              <w:t>@@@@</w:t>
            </w:r>
            <w:r w:rsidRPr="00AB0640">
              <w:rPr>
                <w:rFonts w:ascii="Arial Narrow" w:eastAsiaTheme="majorEastAsia" w:hAnsi="Arial Narrow" w:cstheme="majorBidi"/>
                <w:bCs/>
                <w:sz w:val="20"/>
              </w:rPr>
              <w:t xml:space="preserve">% </w:t>
            </w:r>
            <w:r w:rsidR="008C0AEE" w:rsidRPr="00AB0640">
              <w:rPr>
                <w:rFonts w:ascii="Arial Narrow" w:eastAsiaTheme="majorEastAsia" w:hAnsi="Arial Narrow" w:cstheme="majorBidi"/>
                <w:bCs/>
                <w:sz w:val="20"/>
              </w:rPr>
              <w:t>lower than the published price</w:t>
            </w:r>
            <w:r w:rsidR="00583C46" w:rsidRPr="00AB0640">
              <w:rPr>
                <w:rFonts w:ascii="Arial Narrow" w:eastAsiaTheme="majorEastAsia" w:hAnsi="Arial Narrow" w:cstheme="majorBidi"/>
                <w:bCs/>
                <w:sz w:val="20"/>
              </w:rPr>
              <w:t xml:space="preserve"> (see below)</w:t>
            </w:r>
            <w:r w:rsidR="0052595F" w:rsidRPr="00AB0640">
              <w:rPr>
                <w:rFonts w:ascii="Arial Narrow" w:eastAsiaTheme="majorEastAsia" w:hAnsi="Arial Narrow" w:cstheme="majorBidi"/>
                <w:bCs/>
                <w:sz w:val="20"/>
              </w:rPr>
              <w:t>,</w:t>
            </w:r>
          </w:p>
          <w:p w14:paraId="1902B086" w14:textId="3B94E9AD" w:rsidR="006F5BDA" w:rsidRPr="00AB0640" w:rsidRDefault="006F5BDA" w:rsidP="008028C6">
            <w:pPr>
              <w:jc w:val="left"/>
              <w:rPr>
                <w:rFonts w:ascii="Arial Narrow" w:eastAsiaTheme="majorEastAsia" w:hAnsi="Arial Narrow" w:cstheme="majorBidi"/>
                <w:bCs/>
                <w:sz w:val="20"/>
              </w:rPr>
            </w:pPr>
            <w:r w:rsidRPr="00AB0640">
              <w:rPr>
                <w:rFonts w:ascii="Arial Narrow" w:eastAsiaTheme="majorEastAsia" w:hAnsi="Arial Narrow" w:cstheme="majorBidi"/>
                <w:bCs/>
                <w:sz w:val="20"/>
              </w:rPr>
              <w:t>(ii) updated utility data from a vignette study which reflect</w:t>
            </w:r>
            <w:r w:rsidR="00583C46" w:rsidRPr="00AB0640">
              <w:rPr>
                <w:rFonts w:ascii="Arial Narrow" w:eastAsiaTheme="majorEastAsia" w:hAnsi="Arial Narrow" w:cstheme="majorBidi"/>
                <w:bCs/>
                <w:sz w:val="20"/>
              </w:rPr>
              <w:t>ed</w:t>
            </w:r>
            <w:r w:rsidRPr="00AB0640">
              <w:rPr>
                <w:rFonts w:ascii="Arial Narrow" w:eastAsiaTheme="majorEastAsia" w:hAnsi="Arial Narrow" w:cstheme="majorBidi"/>
                <w:bCs/>
                <w:sz w:val="20"/>
              </w:rPr>
              <w:t xml:space="preserve"> quality of life across the entire spectrum of mFARS scores, and </w:t>
            </w:r>
          </w:p>
          <w:p w14:paraId="5FF335D9" w14:textId="77777777" w:rsidR="006F5BDA" w:rsidRPr="00AB0640" w:rsidRDefault="006F5BDA" w:rsidP="008028C6">
            <w:pPr>
              <w:jc w:val="left"/>
              <w:rPr>
                <w:rFonts w:ascii="Arial Narrow" w:eastAsiaTheme="majorEastAsia" w:hAnsi="Arial Narrow" w:cstheme="majorBidi"/>
                <w:bCs/>
                <w:sz w:val="20"/>
              </w:rPr>
            </w:pPr>
            <w:r w:rsidRPr="00AB0640">
              <w:rPr>
                <w:rFonts w:ascii="Arial Narrow" w:eastAsiaTheme="majorEastAsia" w:hAnsi="Arial Narrow" w:cstheme="majorBidi"/>
                <w:bCs/>
                <w:sz w:val="20"/>
              </w:rPr>
              <w:t>(iii) revised mortality inputs which reduce</w:t>
            </w:r>
            <w:r w:rsidR="00583C46" w:rsidRPr="00AB0640">
              <w:rPr>
                <w:rFonts w:ascii="Arial Narrow" w:eastAsiaTheme="majorEastAsia" w:hAnsi="Arial Narrow" w:cstheme="majorBidi"/>
                <w:bCs/>
                <w:sz w:val="20"/>
              </w:rPr>
              <w:t>d</w:t>
            </w:r>
            <w:r w:rsidRPr="00AB0640">
              <w:rPr>
                <w:rFonts w:ascii="Arial Narrow" w:eastAsiaTheme="majorEastAsia" w:hAnsi="Arial Narrow" w:cstheme="majorBidi"/>
                <w:bCs/>
                <w:sz w:val="20"/>
              </w:rPr>
              <w:t xml:space="preserve"> overall survival in the model consistent with previous evaluator advice.</w:t>
            </w:r>
          </w:p>
          <w:p w14:paraId="1AE6A47E" w14:textId="2F9E3182" w:rsidR="006F2B94" w:rsidRPr="00AB0640" w:rsidRDefault="00A07C62" w:rsidP="008028C6">
            <w:pPr>
              <w:jc w:val="left"/>
              <w:rPr>
                <w:rFonts w:ascii="Arial Narrow" w:eastAsiaTheme="majorEastAsia" w:hAnsi="Arial Narrow" w:cstheme="majorBidi"/>
                <w:bCs/>
                <w:sz w:val="20"/>
              </w:rPr>
            </w:pPr>
            <w:r w:rsidRPr="00AB0640">
              <w:rPr>
                <w:rFonts w:ascii="Arial Narrow" w:eastAsiaTheme="majorEastAsia" w:hAnsi="Arial Narrow" w:cstheme="majorBidi"/>
                <w:bCs/>
                <w:sz w:val="20"/>
              </w:rPr>
              <w:t>The resubmission did not incorporate treatment waning in the base case analysis.</w:t>
            </w:r>
          </w:p>
        </w:tc>
      </w:tr>
      <w:tr w:rsidR="00CD3555" w:rsidRPr="00AB0640" w14:paraId="109222BC" w14:textId="77777777" w:rsidTr="0065379D">
        <w:trPr>
          <w:cantSplit/>
        </w:trPr>
        <w:tc>
          <w:tcPr>
            <w:tcW w:w="564" w:type="pct"/>
            <w:tcBorders>
              <w:top w:val="single" w:sz="4" w:space="0" w:color="auto"/>
              <w:left w:val="single" w:sz="4" w:space="0" w:color="auto"/>
              <w:right w:val="single" w:sz="4" w:space="0" w:color="auto"/>
            </w:tcBorders>
            <w:vAlign w:val="center"/>
          </w:tcPr>
          <w:p w14:paraId="47C79BFD" w14:textId="4A5922CE" w:rsidR="00CD3555" w:rsidRPr="00AB0640" w:rsidRDefault="00CD3555" w:rsidP="008028C6">
            <w:pPr>
              <w:jc w:val="left"/>
              <w:rPr>
                <w:rFonts w:ascii="Arial Narrow" w:eastAsiaTheme="majorEastAsia" w:hAnsi="Arial Narrow" w:cstheme="majorBidi"/>
                <w:b/>
                <w:sz w:val="20"/>
              </w:rPr>
            </w:pPr>
            <w:r w:rsidRPr="00AB0640">
              <w:rPr>
                <w:rFonts w:ascii="Arial Narrow" w:eastAsiaTheme="majorEastAsia" w:hAnsi="Arial Narrow" w:cstheme="majorBidi"/>
                <w:b/>
                <w:sz w:val="20"/>
              </w:rPr>
              <w:t>Financial estimates</w:t>
            </w:r>
          </w:p>
        </w:tc>
        <w:tc>
          <w:tcPr>
            <w:tcW w:w="2271" w:type="pct"/>
            <w:tcBorders>
              <w:top w:val="single" w:sz="4" w:space="0" w:color="auto"/>
              <w:left w:val="single" w:sz="4" w:space="0" w:color="auto"/>
              <w:right w:val="single" w:sz="4" w:space="0" w:color="auto"/>
            </w:tcBorders>
          </w:tcPr>
          <w:p w14:paraId="4FB80DE1" w14:textId="0851703A" w:rsidR="00CD3555" w:rsidRPr="00AB0640" w:rsidRDefault="00CD3555" w:rsidP="008028C6">
            <w:pPr>
              <w:jc w:val="left"/>
              <w:rPr>
                <w:rFonts w:ascii="Arial Narrow" w:eastAsiaTheme="majorEastAsia" w:hAnsi="Arial Narrow" w:cstheme="majorBidi"/>
                <w:bCs/>
                <w:sz w:val="20"/>
              </w:rPr>
            </w:pPr>
            <w:r w:rsidRPr="00AB0640">
              <w:rPr>
                <w:rFonts w:ascii="Arial Narrow" w:eastAsiaTheme="majorEastAsia" w:hAnsi="Arial Narrow" w:cstheme="majorBidi"/>
                <w:bCs/>
                <w:sz w:val="20"/>
              </w:rPr>
              <w:t>The DUSC considered that the treatment continuation rate should consistent across the financial estimates and the economic model (Table 22).</w:t>
            </w:r>
          </w:p>
        </w:tc>
        <w:tc>
          <w:tcPr>
            <w:tcW w:w="2165" w:type="pct"/>
            <w:tcBorders>
              <w:top w:val="single" w:sz="4" w:space="0" w:color="auto"/>
              <w:left w:val="single" w:sz="4" w:space="0" w:color="auto"/>
              <w:right w:val="single" w:sz="4" w:space="0" w:color="auto"/>
            </w:tcBorders>
          </w:tcPr>
          <w:p w14:paraId="62F949D4" w14:textId="012EB2E7" w:rsidR="00CD3555" w:rsidRPr="00AB0640" w:rsidRDefault="00CD3555" w:rsidP="008028C6">
            <w:pPr>
              <w:jc w:val="left"/>
              <w:rPr>
                <w:rFonts w:ascii="Arial Narrow" w:eastAsiaTheme="majorEastAsia" w:hAnsi="Arial Narrow" w:cstheme="majorBidi"/>
                <w:bCs/>
                <w:sz w:val="20"/>
              </w:rPr>
            </w:pPr>
            <w:r w:rsidRPr="00AB0640">
              <w:rPr>
                <w:rFonts w:ascii="Arial Narrow" w:eastAsiaTheme="majorEastAsia" w:hAnsi="Arial Narrow" w:cstheme="majorBidi"/>
                <w:bCs/>
                <w:sz w:val="20"/>
              </w:rPr>
              <w:t xml:space="preserve">While the </w:t>
            </w:r>
            <w:r w:rsidR="00716D7A" w:rsidRPr="00AB0640">
              <w:rPr>
                <w:rFonts w:ascii="Arial Narrow" w:eastAsiaTheme="majorEastAsia" w:hAnsi="Arial Narrow" w:cstheme="majorBidi"/>
                <w:bCs/>
                <w:sz w:val="20"/>
              </w:rPr>
              <w:t>re</w:t>
            </w:r>
            <w:r w:rsidRPr="00AB0640">
              <w:rPr>
                <w:rFonts w:ascii="Arial Narrow" w:eastAsiaTheme="majorEastAsia" w:hAnsi="Arial Narrow" w:cstheme="majorBidi"/>
                <w:bCs/>
                <w:sz w:val="20"/>
              </w:rPr>
              <w:t xml:space="preserve">submission changed the treatment (dis)continuation rate in the financial estimates, the applied values </w:t>
            </w:r>
            <w:r w:rsidR="008C0AEE" w:rsidRPr="00AB0640">
              <w:rPr>
                <w:rFonts w:ascii="Arial Narrow" w:eastAsiaTheme="majorEastAsia" w:hAnsi="Arial Narrow" w:cstheme="majorBidi"/>
                <w:bCs/>
                <w:sz w:val="20"/>
              </w:rPr>
              <w:t xml:space="preserve">were </w:t>
            </w:r>
            <w:r w:rsidRPr="00AB0640">
              <w:rPr>
                <w:rFonts w:ascii="Arial Narrow" w:eastAsiaTheme="majorEastAsia" w:hAnsi="Arial Narrow" w:cstheme="majorBidi"/>
                <w:bCs/>
                <w:sz w:val="20"/>
              </w:rPr>
              <w:t xml:space="preserve">not consistent with </w:t>
            </w:r>
            <w:r w:rsidR="002F0AE7">
              <w:rPr>
                <w:rFonts w:ascii="Arial Narrow" w:eastAsiaTheme="majorEastAsia" w:hAnsi="Arial Narrow" w:cstheme="majorBidi"/>
                <w:bCs/>
                <w:sz w:val="20"/>
              </w:rPr>
              <w:t xml:space="preserve">the </w:t>
            </w:r>
            <w:r w:rsidRPr="00AB0640">
              <w:rPr>
                <w:rFonts w:ascii="Arial Narrow" w:eastAsiaTheme="majorEastAsia" w:hAnsi="Arial Narrow" w:cstheme="majorBidi"/>
                <w:bCs/>
                <w:sz w:val="20"/>
              </w:rPr>
              <w:t>economic model.</w:t>
            </w:r>
          </w:p>
        </w:tc>
      </w:tr>
      <w:tr w:rsidR="004503B7" w:rsidRPr="00AB0640" w14:paraId="1E425217" w14:textId="77777777" w:rsidTr="0065379D">
        <w:trPr>
          <w:cantSplit/>
        </w:trPr>
        <w:tc>
          <w:tcPr>
            <w:tcW w:w="564" w:type="pct"/>
            <w:tcBorders>
              <w:top w:val="single" w:sz="4" w:space="0" w:color="auto"/>
              <w:left w:val="single" w:sz="4" w:space="0" w:color="auto"/>
              <w:right w:val="single" w:sz="4" w:space="0" w:color="auto"/>
            </w:tcBorders>
          </w:tcPr>
          <w:p w14:paraId="6706775C" w14:textId="77777777" w:rsidR="004503B7" w:rsidRPr="00AB0640" w:rsidRDefault="004503B7" w:rsidP="008028C6">
            <w:pPr>
              <w:jc w:val="left"/>
              <w:rPr>
                <w:rFonts w:ascii="Arial Narrow" w:eastAsiaTheme="majorEastAsia" w:hAnsi="Arial Narrow" w:cstheme="majorBidi"/>
                <w:bCs/>
                <w:sz w:val="20"/>
              </w:rPr>
            </w:pPr>
            <w:r w:rsidRPr="00AB0640">
              <w:rPr>
                <w:rFonts w:ascii="Arial Narrow" w:eastAsiaTheme="majorEastAsia" w:hAnsi="Arial Narrow" w:cstheme="majorBidi"/>
                <w:b/>
                <w:sz w:val="20"/>
              </w:rPr>
              <w:t>Pricing and RSA</w:t>
            </w:r>
          </w:p>
        </w:tc>
        <w:tc>
          <w:tcPr>
            <w:tcW w:w="2271" w:type="pct"/>
            <w:tcBorders>
              <w:top w:val="single" w:sz="4" w:space="0" w:color="auto"/>
              <w:left w:val="single" w:sz="4" w:space="0" w:color="auto"/>
              <w:right w:val="single" w:sz="4" w:space="0" w:color="auto"/>
            </w:tcBorders>
          </w:tcPr>
          <w:p w14:paraId="7E1DFE1A" w14:textId="5CBB7F81" w:rsidR="004503B7" w:rsidRPr="00AB0640" w:rsidRDefault="000A01D8" w:rsidP="008028C6">
            <w:pPr>
              <w:jc w:val="left"/>
              <w:rPr>
                <w:rFonts w:ascii="Arial Narrow" w:eastAsiaTheme="majorEastAsia" w:hAnsi="Arial Narrow" w:cstheme="majorBidi"/>
                <w:bCs/>
                <w:sz w:val="20"/>
              </w:rPr>
            </w:pPr>
            <w:r w:rsidRPr="00AB0640">
              <w:rPr>
                <w:rFonts w:ascii="Arial Narrow" w:eastAsiaTheme="majorEastAsia" w:hAnsi="Arial Narrow" w:cstheme="majorBidi"/>
                <w:bCs/>
                <w:sz w:val="20"/>
              </w:rPr>
              <w:t>A</w:t>
            </w:r>
            <w:r w:rsidR="004503B7" w:rsidRPr="00AB0640">
              <w:rPr>
                <w:rFonts w:ascii="Arial Narrow" w:eastAsiaTheme="majorEastAsia" w:hAnsi="Arial Narrow" w:cstheme="majorBidi"/>
                <w:bCs/>
                <w:sz w:val="20"/>
              </w:rPr>
              <w:t xml:space="preserve"> price reduction is required as the </w:t>
            </w:r>
            <w:r w:rsidRPr="00AB0640">
              <w:rPr>
                <w:rFonts w:ascii="Arial Narrow" w:eastAsiaTheme="majorEastAsia" w:hAnsi="Arial Narrow" w:cstheme="majorBidi"/>
                <w:bCs/>
                <w:sz w:val="20"/>
              </w:rPr>
              <w:t xml:space="preserve">PBAC noted that the </w:t>
            </w:r>
            <w:r w:rsidR="004503B7" w:rsidRPr="00AB0640">
              <w:rPr>
                <w:rFonts w:ascii="Arial Narrow" w:eastAsiaTheme="majorEastAsia" w:hAnsi="Arial Narrow" w:cstheme="majorBidi"/>
                <w:bCs/>
                <w:sz w:val="20"/>
              </w:rPr>
              <w:t xml:space="preserve">ICER </w:t>
            </w:r>
            <w:r w:rsidRPr="00AB0640">
              <w:rPr>
                <w:rFonts w:ascii="Arial Narrow" w:eastAsiaTheme="majorEastAsia" w:hAnsi="Arial Narrow" w:cstheme="majorBidi"/>
                <w:bCs/>
                <w:sz w:val="20"/>
              </w:rPr>
              <w:t>wa</w:t>
            </w:r>
            <w:r w:rsidR="004503B7" w:rsidRPr="00AB0640">
              <w:rPr>
                <w:rFonts w:ascii="Arial Narrow" w:eastAsiaTheme="majorEastAsia" w:hAnsi="Arial Narrow" w:cstheme="majorBidi"/>
                <w:bCs/>
                <w:sz w:val="20"/>
              </w:rPr>
              <w:t>s outside the range usually considered cost-effective</w:t>
            </w:r>
            <w:r w:rsidRPr="00AB0640">
              <w:rPr>
                <w:rFonts w:ascii="Arial Narrow" w:eastAsiaTheme="majorEastAsia" w:hAnsi="Arial Narrow" w:cstheme="majorBidi"/>
                <w:bCs/>
                <w:sz w:val="20"/>
              </w:rPr>
              <w:t xml:space="preserve"> (para 7.4)</w:t>
            </w:r>
            <w:r w:rsidR="004503B7" w:rsidRPr="00AB0640">
              <w:rPr>
                <w:rFonts w:ascii="Arial Narrow" w:eastAsiaTheme="majorEastAsia" w:hAnsi="Arial Narrow" w:cstheme="majorBidi"/>
                <w:bCs/>
                <w:sz w:val="20"/>
              </w:rPr>
              <w:t xml:space="preserve">. </w:t>
            </w:r>
          </w:p>
        </w:tc>
        <w:tc>
          <w:tcPr>
            <w:tcW w:w="2165" w:type="pct"/>
            <w:tcBorders>
              <w:top w:val="single" w:sz="4" w:space="0" w:color="auto"/>
              <w:left w:val="single" w:sz="4" w:space="0" w:color="auto"/>
              <w:right w:val="single" w:sz="4" w:space="0" w:color="auto"/>
            </w:tcBorders>
          </w:tcPr>
          <w:p w14:paraId="5095FD1F" w14:textId="2A64E9E0" w:rsidR="006F2B94" w:rsidRPr="00AB0640" w:rsidRDefault="004503B7" w:rsidP="008028C6">
            <w:pPr>
              <w:jc w:val="left"/>
              <w:rPr>
                <w:rFonts w:ascii="Arial Narrow" w:eastAsiaTheme="majorEastAsia" w:hAnsi="Arial Narrow" w:cstheme="majorBidi"/>
                <w:bCs/>
                <w:sz w:val="20"/>
              </w:rPr>
            </w:pPr>
            <w:r w:rsidRPr="00AB0640">
              <w:rPr>
                <w:rFonts w:ascii="Arial Narrow" w:eastAsiaTheme="majorEastAsia" w:hAnsi="Arial Narrow" w:cstheme="majorBidi"/>
                <w:bCs/>
                <w:sz w:val="20"/>
              </w:rPr>
              <w:t>The resubmission provide</w:t>
            </w:r>
            <w:r w:rsidR="00583C46" w:rsidRPr="00AB0640">
              <w:rPr>
                <w:rFonts w:ascii="Arial Narrow" w:eastAsiaTheme="majorEastAsia" w:hAnsi="Arial Narrow" w:cstheme="majorBidi"/>
                <w:bCs/>
                <w:sz w:val="20"/>
              </w:rPr>
              <w:t>d</w:t>
            </w:r>
            <w:r w:rsidRPr="00AB0640">
              <w:rPr>
                <w:rFonts w:ascii="Arial Narrow" w:eastAsiaTheme="majorEastAsia" w:hAnsi="Arial Narrow" w:cstheme="majorBidi"/>
                <w:bCs/>
                <w:sz w:val="20"/>
              </w:rPr>
              <w:t xml:space="preserve"> a </w:t>
            </w:r>
            <w:r w:rsidRPr="00E75725">
              <w:rPr>
                <w:rFonts w:ascii="Arial Narrow" w:eastAsiaTheme="majorEastAsia" w:hAnsi="Arial Narrow" w:cstheme="majorBidi"/>
                <w:bCs/>
                <w:sz w:val="20"/>
              </w:rPr>
              <w:t>reduced</w:t>
            </w:r>
            <w:r w:rsidRPr="00AB0640">
              <w:rPr>
                <w:rFonts w:ascii="Arial Narrow" w:eastAsiaTheme="majorEastAsia" w:hAnsi="Arial Narrow" w:cstheme="majorBidi"/>
                <w:bCs/>
                <w:sz w:val="20"/>
              </w:rPr>
              <w:t xml:space="preserve"> </w:t>
            </w:r>
            <w:r w:rsidR="00A5738D" w:rsidRPr="00AB0640">
              <w:rPr>
                <w:rFonts w:ascii="Arial Narrow" w:eastAsiaTheme="majorEastAsia" w:hAnsi="Arial Narrow" w:cstheme="majorBidi"/>
                <w:bCs/>
                <w:sz w:val="20"/>
              </w:rPr>
              <w:t xml:space="preserve">published </w:t>
            </w:r>
            <w:r w:rsidRPr="00AB0640">
              <w:rPr>
                <w:rFonts w:ascii="Arial Narrow" w:eastAsiaTheme="majorEastAsia" w:hAnsi="Arial Narrow" w:cstheme="majorBidi"/>
                <w:bCs/>
                <w:sz w:val="20"/>
              </w:rPr>
              <w:t xml:space="preserve">price </w:t>
            </w:r>
            <w:r w:rsidRPr="00D3343B">
              <w:rPr>
                <w:rFonts w:ascii="Arial Narrow" w:eastAsiaTheme="majorEastAsia" w:hAnsi="Arial Narrow" w:cstheme="majorBidi"/>
                <w:bCs/>
                <w:sz w:val="20"/>
              </w:rPr>
              <w:t>(</w:t>
            </w:r>
            <w:r w:rsidR="00A5738D" w:rsidRPr="00D3343B">
              <w:rPr>
                <w:rFonts w:ascii="Arial Narrow" w:eastAsiaTheme="majorEastAsia" w:hAnsi="Arial Narrow" w:cstheme="majorBidi"/>
                <w:bCs/>
                <w:sz w:val="20"/>
              </w:rPr>
              <w:t xml:space="preserve">from </w:t>
            </w:r>
            <w:r w:rsidRPr="00D3343B">
              <w:rPr>
                <w:rFonts w:ascii="Arial Narrow" w:eastAsiaTheme="majorEastAsia" w:hAnsi="Arial Narrow" w:cstheme="majorBidi"/>
                <w:bCs/>
                <w:sz w:val="20"/>
              </w:rPr>
              <w:t>$</w:t>
            </w:r>
            <w:r w:rsidR="001F43CD" w:rsidRPr="001F43CD">
              <w:rPr>
                <w:rFonts w:ascii="Arial Narrow" w:eastAsiaTheme="majorEastAsia" w:hAnsi="Arial Narrow" w:cstheme="majorBidi"/>
                <w:bCs/>
                <w:sz w:val="20"/>
                <w:highlight w:val="black"/>
              </w:rPr>
              <w:t>@@@@</w:t>
            </w:r>
            <w:r w:rsidRPr="00D3343B">
              <w:rPr>
                <w:rFonts w:ascii="Arial Narrow" w:eastAsiaTheme="majorEastAsia" w:hAnsi="Arial Narrow" w:cstheme="majorBidi"/>
                <w:bCs/>
                <w:sz w:val="20"/>
              </w:rPr>
              <w:t xml:space="preserve"> to $</w:t>
            </w:r>
            <w:r w:rsidR="001F43CD" w:rsidRPr="001F43CD">
              <w:rPr>
                <w:rFonts w:ascii="Arial Narrow" w:eastAsiaTheme="majorEastAsia" w:hAnsi="Arial Narrow" w:cstheme="majorBidi"/>
                <w:bCs/>
                <w:sz w:val="20"/>
                <w:highlight w:val="black"/>
              </w:rPr>
              <w:t>@@@@</w:t>
            </w:r>
            <w:r w:rsidRPr="00D3343B">
              <w:rPr>
                <w:rFonts w:ascii="Arial Narrow" w:eastAsiaTheme="majorEastAsia" w:hAnsi="Arial Narrow" w:cstheme="majorBidi"/>
                <w:bCs/>
                <w:sz w:val="20"/>
              </w:rPr>
              <w:t>). The proposed effective price is $</w:t>
            </w:r>
            <w:r w:rsidR="001F43CD" w:rsidRPr="001F43CD">
              <w:rPr>
                <w:rFonts w:ascii="Arial Narrow" w:eastAsiaTheme="majorEastAsia" w:hAnsi="Arial Narrow" w:cstheme="majorBidi"/>
                <w:bCs/>
                <w:sz w:val="20"/>
                <w:highlight w:val="black"/>
              </w:rPr>
              <w:t>@@@@</w:t>
            </w:r>
            <w:r w:rsidRPr="00D3343B">
              <w:rPr>
                <w:rFonts w:ascii="Arial Narrow" w:eastAsiaTheme="majorEastAsia" w:hAnsi="Arial Narrow" w:cstheme="majorBidi"/>
                <w:bCs/>
                <w:sz w:val="20"/>
              </w:rPr>
              <w:t xml:space="preserve"> per </w:t>
            </w:r>
            <w:r w:rsidR="00921AFB" w:rsidRPr="00D3343B">
              <w:rPr>
                <w:rFonts w:ascii="Arial Narrow" w:eastAsiaTheme="majorEastAsia" w:hAnsi="Arial Narrow" w:cstheme="majorBidi"/>
                <w:bCs/>
                <w:sz w:val="20"/>
              </w:rPr>
              <w:t>pack</w:t>
            </w:r>
            <w:r w:rsidRPr="00D3343B">
              <w:rPr>
                <w:rFonts w:ascii="Arial Narrow" w:eastAsiaTheme="majorEastAsia" w:hAnsi="Arial Narrow" w:cstheme="majorBidi"/>
                <w:bCs/>
                <w:sz w:val="20"/>
              </w:rPr>
              <w:t xml:space="preserve">. </w:t>
            </w:r>
            <w:r w:rsidR="00747F52" w:rsidRPr="00D3343B">
              <w:rPr>
                <w:rFonts w:ascii="Arial Narrow" w:eastAsiaTheme="majorEastAsia" w:hAnsi="Arial Narrow" w:cstheme="majorBidi"/>
                <w:bCs/>
                <w:sz w:val="20"/>
              </w:rPr>
              <w:br/>
            </w:r>
            <w:r w:rsidRPr="00D3343B">
              <w:rPr>
                <w:rFonts w:ascii="Arial Narrow" w:eastAsiaTheme="majorEastAsia" w:hAnsi="Arial Narrow" w:cstheme="majorBidi"/>
                <w:bCs/>
                <w:sz w:val="20"/>
              </w:rPr>
              <w:t xml:space="preserve">For expenditures that exceed the expected expenditure caps, a </w:t>
            </w:r>
            <w:r w:rsidR="001F43CD" w:rsidRPr="001F43CD">
              <w:rPr>
                <w:rFonts w:ascii="Arial Narrow" w:eastAsiaTheme="majorEastAsia" w:hAnsi="Arial Narrow" w:cstheme="majorBidi"/>
                <w:bCs/>
                <w:sz w:val="20"/>
                <w:highlight w:val="black"/>
              </w:rPr>
              <w:t>@@@@</w:t>
            </w:r>
            <w:r w:rsidRPr="00D3343B">
              <w:rPr>
                <w:rFonts w:ascii="Arial Narrow" w:eastAsiaTheme="majorEastAsia" w:hAnsi="Arial Narrow" w:cstheme="majorBidi"/>
                <w:bCs/>
                <w:sz w:val="20"/>
              </w:rPr>
              <w:t xml:space="preserve"> cost</w:t>
            </w:r>
            <w:r w:rsidRPr="00AB0640">
              <w:rPr>
                <w:rFonts w:ascii="Arial Narrow" w:eastAsiaTheme="majorEastAsia" w:hAnsi="Arial Narrow" w:cstheme="majorBidi"/>
                <w:bCs/>
                <w:sz w:val="20"/>
              </w:rPr>
              <w:t xml:space="preserve">-sharing rebate mechanism between </w:t>
            </w:r>
            <w:r w:rsidR="000C3200" w:rsidRPr="00AB0640">
              <w:rPr>
                <w:rFonts w:ascii="Arial Narrow" w:eastAsiaTheme="majorEastAsia" w:hAnsi="Arial Narrow" w:cstheme="majorBidi"/>
                <w:bCs/>
                <w:sz w:val="20"/>
              </w:rPr>
              <w:t>the sponsor</w:t>
            </w:r>
            <w:r w:rsidRPr="00AB0640">
              <w:rPr>
                <w:rFonts w:ascii="Arial Narrow" w:eastAsiaTheme="majorEastAsia" w:hAnsi="Arial Narrow" w:cstheme="majorBidi"/>
                <w:bCs/>
                <w:sz w:val="20"/>
              </w:rPr>
              <w:t xml:space="preserve"> and the Government </w:t>
            </w:r>
            <w:r w:rsidR="00747F52" w:rsidRPr="00AB0640">
              <w:rPr>
                <w:rFonts w:ascii="Arial Narrow" w:eastAsiaTheme="majorEastAsia" w:hAnsi="Arial Narrow" w:cstheme="majorBidi"/>
                <w:bCs/>
                <w:sz w:val="20"/>
              </w:rPr>
              <w:t xml:space="preserve">was </w:t>
            </w:r>
            <w:r w:rsidRPr="00AB0640">
              <w:rPr>
                <w:rFonts w:ascii="Arial Narrow" w:eastAsiaTheme="majorEastAsia" w:hAnsi="Arial Narrow" w:cstheme="majorBidi"/>
                <w:bCs/>
                <w:sz w:val="20"/>
              </w:rPr>
              <w:t>proposed.</w:t>
            </w:r>
          </w:p>
          <w:p w14:paraId="5FAA2B0C" w14:textId="672DD839" w:rsidR="006F2B94" w:rsidRPr="00F770A1" w:rsidRDefault="006F2B94" w:rsidP="008028C6">
            <w:pPr>
              <w:jc w:val="left"/>
              <w:rPr>
                <w:rFonts w:ascii="Arial Narrow" w:eastAsiaTheme="majorEastAsia" w:hAnsi="Arial Narrow" w:cstheme="majorBidi"/>
                <w:bCs/>
                <w:sz w:val="20"/>
              </w:rPr>
            </w:pPr>
            <w:r w:rsidRPr="00F770A1">
              <w:rPr>
                <w:rFonts w:ascii="Arial Narrow" w:eastAsiaTheme="majorEastAsia" w:hAnsi="Arial Narrow" w:cstheme="majorBidi"/>
                <w:bCs/>
                <w:sz w:val="20"/>
              </w:rPr>
              <w:t>Despite the revised price, the base case ICER presented by the resubmission was</w:t>
            </w:r>
            <w:r w:rsidR="007546AD">
              <w:rPr>
                <w:rFonts w:ascii="Arial Narrow" w:eastAsiaTheme="majorEastAsia" w:hAnsi="Arial Narrow" w:cstheme="majorBidi"/>
                <w:bCs/>
                <w:sz w:val="20"/>
              </w:rPr>
              <w:br/>
            </w:r>
            <w:r w:rsidRPr="00F770A1">
              <w:rPr>
                <w:rFonts w:ascii="Arial Narrow" w:eastAsiaTheme="majorEastAsia" w:hAnsi="Arial Narrow" w:cstheme="majorBidi"/>
                <w:bCs/>
                <w:sz w:val="20"/>
              </w:rPr>
              <w:t xml:space="preserve"> </w:t>
            </w:r>
            <w:r w:rsidR="00202AE4">
              <w:rPr>
                <w:rFonts w:ascii="Arial Narrow" w:eastAsiaTheme="majorEastAsia" w:hAnsi="Arial Narrow" w:cstheme="majorBidi"/>
                <w:bCs/>
                <w:sz w:val="20"/>
              </w:rPr>
              <w:t xml:space="preserve">&gt; </w:t>
            </w:r>
            <w:r w:rsidR="0014338E">
              <w:rPr>
                <w:rFonts w:ascii="Arial Narrow" w:eastAsiaTheme="majorEastAsia" w:hAnsi="Arial Narrow" w:cstheme="majorBidi"/>
                <w:bCs/>
                <w:sz w:val="20"/>
              </w:rPr>
              <w:t>$1,055,000</w:t>
            </w:r>
            <w:r w:rsidRPr="00F770A1">
              <w:rPr>
                <w:rFonts w:ascii="Arial Narrow" w:eastAsiaTheme="majorEastAsia" w:hAnsi="Arial Narrow" w:cstheme="majorBidi"/>
                <w:bCs/>
                <w:sz w:val="20"/>
              </w:rPr>
              <w:t>per QALY gained.</w:t>
            </w:r>
          </w:p>
        </w:tc>
      </w:tr>
    </w:tbl>
    <w:p w14:paraId="7153F0F4" w14:textId="77777777" w:rsidR="004503B7" w:rsidRPr="00AB0640" w:rsidRDefault="004503B7" w:rsidP="008028C6">
      <w:pPr>
        <w:pStyle w:val="FooterTableFigure"/>
      </w:pPr>
      <w:r w:rsidRPr="00AB0640">
        <w:t xml:space="preserve">Source: Table ES 1, ppxvi-xvii in the resubmission </w:t>
      </w:r>
    </w:p>
    <w:p w14:paraId="35CE0179" w14:textId="3AC5A263" w:rsidR="007546AD" w:rsidRPr="007546AD" w:rsidRDefault="005B2675" w:rsidP="008028C6">
      <w:pPr>
        <w:pStyle w:val="FooterTableFigure"/>
      </w:pPr>
      <w:r w:rsidRPr="00AB0640">
        <w:t xml:space="preserve">DUSC = Drug Utilisation Sub-Committee; </w:t>
      </w:r>
      <w:r w:rsidR="00715ADF" w:rsidRPr="00AB0640">
        <w:t>FA = Friedreich’s ataxia;</w:t>
      </w:r>
      <w:r w:rsidR="00E11CD7" w:rsidRPr="00AB0640">
        <w:t xml:space="preserve"> ICER = incremental cost-effectiveness ratio;</w:t>
      </w:r>
      <w:r w:rsidR="00715ADF" w:rsidRPr="00AB0640">
        <w:t xml:space="preserve"> mFARS = modified Friedreich’s ataxia rating scale;</w:t>
      </w:r>
      <w:r w:rsidRPr="00AB0640">
        <w:t xml:space="preserve"> PBAC = Pharmaceutical Benefits Advisory Committee;</w:t>
      </w:r>
      <w:r w:rsidR="00715ADF" w:rsidRPr="00AB0640">
        <w:t xml:space="preserve"> PSD = public summary document</w:t>
      </w:r>
      <w:r w:rsidR="00E11CD7" w:rsidRPr="00AB0640">
        <w:t>; RSA = risk-sharing arrangement.</w:t>
      </w:r>
    </w:p>
    <w:p w14:paraId="02171471" w14:textId="61D58DE2" w:rsidR="002A0777" w:rsidRPr="002A0777" w:rsidRDefault="002A0777" w:rsidP="008028C6">
      <w:pPr>
        <w:pStyle w:val="3-BodyText"/>
        <w:numPr>
          <w:ilvl w:val="0"/>
          <w:numId w:val="0"/>
        </w:numPr>
        <w:ind w:left="720"/>
        <w:rPr>
          <w:i/>
          <w:iCs/>
        </w:rPr>
      </w:pPr>
      <w:r w:rsidRPr="002A0777">
        <w:rPr>
          <w:i/>
          <w:iCs/>
        </w:rPr>
        <w:t>For more detail on PBAC’s view, see section 7 PBAC outcome.</w:t>
      </w:r>
    </w:p>
    <w:p w14:paraId="76E4EF3C" w14:textId="13040F70" w:rsidR="00B60939" w:rsidRPr="00AB0640" w:rsidRDefault="00B50DB8" w:rsidP="008028C6">
      <w:pPr>
        <w:pStyle w:val="2-SectionHeading"/>
      </w:pPr>
      <w:bookmarkStart w:id="10" w:name="_Toc107902078"/>
      <w:bookmarkStart w:id="11" w:name="_Toc208932429"/>
      <w:bookmarkEnd w:id="10"/>
      <w:r w:rsidRPr="00AB0640">
        <w:t>Requested listing</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w:tblPr>
      <w:tblGrid>
        <w:gridCol w:w="2255"/>
        <w:gridCol w:w="2254"/>
        <w:gridCol w:w="986"/>
        <w:gridCol w:w="994"/>
        <w:gridCol w:w="1120"/>
        <w:gridCol w:w="1408"/>
      </w:tblGrid>
      <w:tr w:rsidR="00DE37CC" w:rsidRPr="00AB0640" w14:paraId="7BA5D5E0" w14:textId="77777777" w:rsidTr="4974B17B">
        <w:trPr>
          <w:cantSplit/>
          <w:trHeight w:val="20"/>
        </w:trPr>
        <w:tc>
          <w:tcPr>
            <w:tcW w:w="1250" w:type="pct"/>
            <w:shd w:val="clear" w:color="auto" w:fill="B8CCE4" w:themeFill="accent1" w:themeFillTint="66"/>
            <w:vAlign w:val="center"/>
          </w:tcPr>
          <w:p w14:paraId="76AEBD91" w14:textId="77777777" w:rsidR="00DE37CC" w:rsidRPr="00AB0640" w:rsidRDefault="00DE37CC" w:rsidP="008028C6">
            <w:pPr>
              <w:keepNext/>
              <w:rPr>
                <w:rFonts w:ascii="Arial Narrow" w:hAnsi="Arial Narrow"/>
                <w:b/>
                <w:bCs/>
                <w:sz w:val="20"/>
                <w:szCs w:val="20"/>
              </w:rPr>
            </w:pPr>
            <w:r w:rsidRPr="00AB0640">
              <w:rPr>
                <w:rFonts w:ascii="Arial Narrow" w:hAnsi="Arial Narrow"/>
                <w:b/>
                <w:bCs/>
                <w:sz w:val="20"/>
                <w:szCs w:val="20"/>
              </w:rPr>
              <w:t>MEDICINAL PRODUCT</w:t>
            </w:r>
          </w:p>
          <w:p w14:paraId="28AB5C16" w14:textId="77777777" w:rsidR="00DE37CC" w:rsidRPr="00AB0640" w:rsidRDefault="00DE37CC" w:rsidP="008028C6">
            <w:pPr>
              <w:keepNext/>
              <w:rPr>
                <w:rFonts w:ascii="Arial Narrow" w:hAnsi="Arial Narrow"/>
                <w:b/>
                <w:sz w:val="20"/>
                <w:szCs w:val="20"/>
              </w:rPr>
            </w:pPr>
            <w:r w:rsidRPr="00AB0640">
              <w:rPr>
                <w:rFonts w:ascii="Arial Narrow" w:hAnsi="Arial Narrow"/>
                <w:b/>
                <w:bCs/>
                <w:sz w:val="20"/>
                <w:szCs w:val="20"/>
              </w:rPr>
              <w:t>medicinal product pack</w:t>
            </w:r>
          </w:p>
        </w:tc>
        <w:tc>
          <w:tcPr>
            <w:tcW w:w="1250" w:type="pct"/>
            <w:shd w:val="clear" w:color="auto" w:fill="B8CCE4" w:themeFill="accent1" w:themeFillTint="66"/>
            <w:vAlign w:val="center"/>
          </w:tcPr>
          <w:p w14:paraId="6A69F0C6" w14:textId="15FBD76D" w:rsidR="00DE37CC" w:rsidRPr="00AB0640" w:rsidRDefault="00DE37CC" w:rsidP="008028C6">
            <w:pPr>
              <w:pStyle w:val="TableText0"/>
              <w:keepLines w:val="0"/>
              <w:jc w:val="center"/>
              <w:rPr>
                <w:b/>
                <w:bCs w:val="0"/>
                <w:snapToGrid w:val="0"/>
              </w:rPr>
            </w:pPr>
            <w:r w:rsidRPr="00AB0640">
              <w:rPr>
                <w:b/>
                <w:bCs w:val="0"/>
                <w:snapToGrid w:val="0"/>
              </w:rPr>
              <w:t>DPMQ</w:t>
            </w:r>
          </w:p>
        </w:tc>
        <w:tc>
          <w:tcPr>
            <w:tcW w:w="547" w:type="pct"/>
            <w:shd w:val="clear" w:color="auto" w:fill="B8CCE4" w:themeFill="accent1" w:themeFillTint="66"/>
            <w:vAlign w:val="center"/>
          </w:tcPr>
          <w:p w14:paraId="7D46CBCB" w14:textId="77777777" w:rsidR="00DE37CC" w:rsidRPr="00AB0640" w:rsidRDefault="00DE37CC" w:rsidP="008028C6">
            <w:pPr>
              <w:keepNext/>
              <w:jc w:val="center"/>
              <w:rPr>
                <w:rFonts w:ascii="Arial Narrow" w:hAnsi="Arial Narrow"/>
                <w:b/>
                <w:sz w:val="20"/>
                <w:szCs w:val="20"/>
              </w:rPr>
            </w:pPr>
            <w:r w:rsidRPr="00AB0640">
              <w:rPr>
                <w:rFonts w:ascii="Arial Narrow" w:hAnsi="Arial Narrow"/>
                <w:b/>
                <w:sz w:val="20"/>
                <w:szCs w:val="20"/>
              </w:rPr>
              <w:t>Max. qty packs</w:t>
            </w:r>
          </w:p>
        </w:tc>
        <w:tc>
          <w:tcPr>
            <w:tcW w:w="551" w:type="pct"/>
            <w:shd w:val="clear" w:color="auto" w:fill="B8CCE4" w:themeFill="accent1" w:themeFillTint="66"/>
            <w:vAlign w:val="center"/>
          </w:tcPr>
          <w:p w14:paraId="20053238" w14:textId="77777777" w:rsidR="00DE37CC" w:rsidRPr="00AB0640" w:rsidRDefault="00DE37CC" w:rsidP="008028C6">
            <w:pPr>
              <w:keepNext/>
              <w:jc w:val="center"/>
              <w:rPr>
                <w:rFonts w:ascii="Arial Narrow" w:hAnsi="Arial Narrow"/>
                <w:b/>
                <w:sz w:val="20"/>
                <w:szCs w:val="20"/>
              </w:rPr>
            </w:pPr>
            <w:r w:rsidRPr="00AB0640">
              <w:rPr>
                <w:rFonts w:ascii="Arial Narrow" w:hAnsi="Arial Narrow"/>
                <w:b/>
                <w:sz w:val="20"/>
                <w:szCs w:val="20"/>
              </w:rPr>
              <w:t>Max. qty units</w:t>
            </w:r>
          </w:p>
        </w:tc>
        <w:tc>
          <w:tcPr>
            <w:tcW w:w="621" w:type="pct"/>
            <w:shd w:val="clear" w:color="auto" w:fill="B8CCE4" w:themeFill="accent1" w:themeFillTint="66"/>
            <w:vAlign w:val="center"/>
          </w:tcPr>
          <w:p w14:paraId="02645169" w14:textId="77777777" w:rsidR="00DE37CC" w:rsidRPr="00AB0640" w:rsidRDefault="00DE37CC" w:rsidP="008028C6">
            <w:pPr>
              <w:keepNext/>
              <w:jc w:val="center"/>
              <w:rPr>
                <w:rFonts w:ascii="Arial Narrow" w:hAnsi="Arial Narrow"/>
                <w:b/>
                <w:sz w:val="20"/>
                <w:szCs w:val="20"/>
              </w:rPr>
            </w:pPr>
            <w:r w:rsidRPr="00AB0640">
              <w:rPr>
                <w:rFonts w:ascii="Arial Narrow" w:hAnsi="Arial Narrow"/>
                <w:b/>
                <w:sz w:val="20"/>
                <w:szCs w:val="20"/>
              </w:rPr>
              <w:t>№.of</w:t>
            </w:r>
          </w:p>
          <w:p w14:paraId="5D93CC0F" w14:textId="77777777" w:rsidR="00DE37CC" w:rsidRPr="00AB0640" w:rsidRDefault="00DE37CC" w:rsidP="008028C6">
            <w:pPr>
              <w:keepNext/>
              <w:jc w:val="center"/>
              <w:rPr>
                <w:rFonts w:ascii="Arial Narrow" w:hAnsi="Arial Narrow"/>
                <w:b/>
                <w:sz w:val="20"/>
                <w:szCs w:val="20"/>
              </w:rPr>
            </w:pPr>
            <w:r w:rsidRPr="00AB0640">
              <w:rPr>
                <w:rFonts w:ascii="Arial Narrow" w:hAnsi="Arial Narrow"/>
                <w:b/>
                <w:sz w:val="20"/>
                <w:szCs w:val="20"/>
              </w:rPr>
              <w:t>Rpts</w:t>
            </w:r>
          </w:p>
        </w:tc>
        <w:tc>
          <w:tcPr>
            <w:tcW w:w="781" w:type="pct"/>
            <w:shd w:val="clear" w:color="auto" w:fill="B8CCE4" w:themeFill="accent1" w:themeFillTint="66"/>
            <w:vAlign w:val="center"/>
          </w:tcPr>
          <w:p w14:paraId="0A084E05" w14:textId="77777777" w:rsidR="00DE37CC" w:rsidRPr="00AB0640" w:rsidRDefault="00DE37CC" w:rsidP="008028C6">
            <w:pPr>
              <w:keepNext/>
              <w:jc w:val="center"/>
              <w:rPr>
                <w:rFonts w:ascii="Arial Narrow" w:hAnsi="Arial Narrow"/>
                <w:b/>
                <w:sz w:val="20"/>
                <w:szCs w:val="20"/>
              </w:rPr>
            </w:pPr>
            <w:r w:rsidRPr="00AB0640">
              <w:rPr>
                <w:rFonts w:ascii="Arial Narrow" w:hAnsi="Arial Narrow"/>
                <w:b/>
                <w:sz w:val="20"/>
                <w:szCs w:val="20"/>
              </w:rPr>
              <w:t>Available brands</w:t>
            </w:r>
          </w:p>
        </w:tc>
      </w:tr>
      <w:tr w:rsidR="00DE37CC" w:rsidRPr="00AB0640" w14:paraId="54C6758A" w14:textId="77777777" w:rsidTr="4974B17B">
        <w:trPr>
          <w:cantSplit/>
          <w:trHeight w:val="20"/>
        </w:trPr>
        <w:tc>
          <w:tcPr>
            <w:tcW w:w="5000" w:type="pct"/>
            <w:gridSpan w:val="6"/>
            <w:shd w:val="clear" w:color="auto" w:fill="B8CCE4" w:themeFill="accent1" w:themeFillTint="66"/>
            <w:vAlign w:val="center"/>
          </w:tcPr>
          <w:p w14:paraId="240AFE31" w14:textId="77777777" w:rsidR="00DE37CC" w:rsidRPr="00AB0640" w:rsidRDefault="00DE37CC" w:rsidP="008028C6">
            <w:pPr>
              <w:pStyle w:val="TableText0"/>
              <w:keepLines w:val="0"/>
              <w:rPr>
                <w:rFonts w:cs="Arial"/>
                <w:szCs w:val="20"/>
              </w:rPr>
            </w:pPr>
            <w:r w:rsidRPr="00AB0640">
              <w:t>OMAVELOXOLONE</w:t>
            </w:r>
          </w:p>
        </w:tc>
      </w:tr>
      <w:tr w:rsidR="00DE37CC" w:rsidRPr="00AB0640" w14:paraId="53A4FBB3" w14:textId="77777777" w:rsidTr="4974B17B">
        <w:trPr>
          <w:cantSplit/>
          <w:trHeight w:val="20"/>
        </w:trPr>
        <w:tc>
          <w:tcPr>
            <w:tcW w:w="5000" w:type="pct"/>
            <w:gridSpan w:val="6"/>
            <w:shd w:val="clear" w:color="auto" w:fill="B8CCE4" w:themeFill="accent1" w:themeFillTint="66"/>
            <w:vAlign w:val="center"/>
          </w:tcPr>
          <w:p w14:paraId="5C9823DF" w14:textId="20D2F35F" w:rsidR="00DE37CC" w:rsidRPr="00AB0640" w:rsidRDefault="00DE37CC" w:rsidP="008028C6">
            <w:pPr>
              <w:pStyle w:val="TableText0"/>
              <w:keepLines w:val="0"/>
            </w:pPr>
            <w:r w:rsidRPr="00AB0640">
              <w:t>Initial and continuing treatment</w:t>
            </w:r>
          </w:p>
        </w:tc>
      </w:tr>
      <w:tr w:rsidR="00DE37CC" w:rsidRPr="00AB0640" w14:paraId="068CFDA8" w14:textId="77777777" w:rsidTr="4974B17B">
        <w:trPr>
          <w:cantSplit/>
          <w:trHeight w:val="20"/>
        </w:trPr>
        <w:tc>
          <w:tcPr>
            <w:tcW w:w="1250" w:type="pct"/>
            <w:shd w:val="clear" w:color="auto" w:fill="B8CCE4" w:themeFill="accent1" w:themeFillTint="66"/>
            <w:vAlign w:val="center"/>
          </w:tcPr>
          <w:p w14:paraId="7B58EC1F" w14:textId="77777777" w:rsidR="00DE37CC" w:rsidRPr="00AB0640" w:rsidRDefault="00DE37CC" w:rsidP="008028C6">
            <w:pPr>
              <w:pStyle w:val="TableText0"/>
              <w:keepLines w:val="0"/>
            </w:pPr>
            <w:r w:rsidRPr="00AB0640">
              <w:t>Omaveloxolone,</w:t>
            </w:r>
          </w:p>
          <w:p w14:paraId="1D676942" w14:textId="4586E2C3" w:rsidR="00DE37CC" w:rsidRPr="00AB0640" w:rsidRDefault="00DE37CC" w:rsidP="008028C6">
            <w:pPr>
              <w:keepNext/>
              <w:rPr>
                <w:rFonts w:ascii="Arial Narrow" w:hAnsi="Arial Narrow"/>
                <w:color w:val="0066FF"/>
                <w:sz w:val="20"/>
                <w:szCs w:val="20"/>
              </w:rPr>
            </w:pPr>
            <w:r w:rsidRPr="00AB0640">
              <w:rPr>
                <w:rFonts w:ascii="Arial Narrow" w:eastAsiaTheme="majorEastAsia" w:hAnsi="Arial Narrow" w:cstheme="majorBidi"/>
                <w:bCs/>
                <w:sz w:val="20"/>
              </w:rPr>
              <w:t>50 mg capsule</w:t>
            </w:r>
            <w:r w:rsidR="00F56F7B" w:rsidRPr="00AB0640">
              <w:rPr>
                <w:rFonts w:ascii="Arial Narrow" w:eastAsiaTheme="majorEastAsia" w:hAnsi="Arial Narrow" w:cstheme="majorBidi"/>
                <w:bCs/>
                <w:sz w:val="20"/>
              </w:rPr>
              <w:t>s, 90</w:t>
            </w:r>
          </w:p>
        </w:tc>
        <w:tc>
          <w:tcPr>
            <w:tcW w:w="1250" w:type="pct"/>
            <w:shd w:val="clear" w:color="auto" w:fill="FFFFFF" w:themeFill="background1"/>
          </w:tcPr>
          <w:p w14:paraId="00F5906F" w14:textId="491A2057" w:rsidR="00DE37CC" w:rsidRPr="00AB0640" w:rsidRDefault="00DE37CC" w:rsidP="008028C6">
            <w:pPr>
              <w:pStyle w:val="TableText0"/>
              <w:keepLines w:val="0"/>
            </w:pPr>
            <w:r>
              <w:t>Published:</w:t>
            </w:r>
            <w:r w:rsidR="00F56F7B">
              <w:t xml:space="preserve"> </w:t>
            </w:r>
            <w:r>
              <w:t>$</w:t>
            </w:r>
            <w:r w:rsidR="00467922" w:rsidRPr="00467922">
              <w:rPr>
                <w:highlight w:val="black"/>
              </w:rPr>
              <w:t>&amp;&amp;&amp;&amp;</w:t>
            </w:r>
            <w:r w:rsidRPr="00FE5AB3">
              <w:t xml:space="preserve"> </w:t>
            </w:r>
            <w:r w:rsidRPr="00AB0640">
              <w:t>Effective:</w:t>
            </w:r>
            <w:r w:rsidR="00F56F7B" w:rsidRPr="00AB0640">
              <w:t xml:space="preserve"> </w:t>
            </w:r>
            <w:r w:rsidRPr="00AB0640">
              <w:t>$</w:t>
            </w:r>
            <w:r w:rsidR="001F43CD" w:rsidRPr="001F43CD">
              <w:rPr>
                <w:highlight w:val="black"/>
              </w:rPr>
              <w:t>@@@@</w:t>
            </w:r>
          </w:p>
        </w:tc>
        <w:tc>
          <w:tcPr>
            <w:tcW w:w="547" w:type="pct"/>
            <w:shd w:val="clear" w:color="auto" w:fill="B8CCE4" w:themeFill="accent1" w:themeFillTint="66"/>
            <w:vAlign w:val="center"/>
          </w:tcPr>
          <w:p w14:paraId="67B299CF" w14:textId="77777777" w:rsidR="00DE37CC" w:rsidRPr="00AB0640" w:rsidRDefault="00DE37CC" w:rsidP="008028C6">
            <w:pPr>
              <w:keepNext/>
              <w:jc w:val="center"/>
              <w:rPr>
                <w:rFonts w:ascii="Arial Narrow" w:hAnsi="Arial Narrow"/>
                <w:sz w:val="20"/>
                <w:szCs w:val="20"/>
              </w:rPr>
            </w:pPr>
            <w:r w:rsidRPr="00AB0640">
              <w:rPr>
                <w:rFonts w:ascii="Arial Narrow" w:hAnsi="Arial Narrow"/>
                <w:sz w:val="20"/>
              </w:rPr>
              <w:t>1</w:t>
            </w:r>
          </w:p>
        </w:tc>
        <w:tc>
          <w:tcPr>
            <w:tcW w:w="551" w:type="pct"/>
            <w:shd w:val="clear" w:color="auto" w:fill="B8CCE4" w:themeFill="accent1" w:themeFillTint="66"/>
            <w:vAlign w:val="center"/>
          </w:tcPr>
          <w:p w14:paraId="49C38FD6" w14:textId="77777777" w:rsidR="00DE37CC" w:rsidRPr="00AB0640" w:rsidRDefault="00DE37CC" w:rsidP="008028C6">
            <w:pPr>
              <w:keepNext/>
              <w:jc w:val="center"/>
              <w:rPr>
                <w:rFonts w:ascii="Arial Narrow" w:hAnsi="Arial Narrow"/>
                <w:sz w:val="20"/>
                <w:szCs w:val="20"/>
              </w:rPr>
            </w:pPr>
            <w:r w:rsidRPr="00AB0640">
              <w:rPr>
                <w:rFonts w:ascii="Arial Narrow" w:hAnsi="Arial Narrow"/>
                <w:sz w:val="20"/>
              </w:rPr>
              <w:t>90</w:t>
            </w:r>
          </w:p>
        </w:tc>
        <w:tc>
          <w:tcPr>
            <w:tcW w:w="621" w:type="pct"/>
            <w:shd w:val="clear" w:color="auto" w:fill="B8CCE4" w:themeFill="accent1" w:themeFillTint="66"/>
            <w:vAlign w:val="center"/>
          </w:tcPr>
          <w:p w14:paraId="6E71F0C9" w14:textId="77777777" w:rsidR="00DE37CC" w:rsidRPr="00AB0640" w:rsidRDefault="00DE37CC" w:rsidP="008028C6">
            <w:pPr>
              <w:keepNext/>
              <w:jc w:val="center"/>
              <w:rPr>
                <w:rFonts w:ascii="Arial Narrow" w:hAnsi="Arial Narrow"/>
                <w:sz w:val="20"/>
                <w:szCs w:val="20"/>
              </w:rPr>
            </w:pPr>
            <w:r w:rsidRPr="00AB0640">
              <w:rPr>
                <w:rFonts w:ascii="Arial Narrow" w:hAnsi="Arial Narrow"/>
                <w:sz w:val="20"/>
              </w:rPr>
              <w:t>5</w:t>
            </w:r>
          </w:p>
        </w:tc>
        <w:tc>
          <w:tcPr>
            <w:tcW w:w="781" w:type="pct"/>
            <w:shd w:val="clear" w:color="auto" w:fill="B8CCE4" w:themeFill="accent1" w:themeFillTint="66"/>
            <w:vAlign w:val="center"/>
          </w:tcPr>
          <w:p w14:paraId="4591D45E" w14:textId="15653AD3" w:rsidR="00DE37CC" w:rsidRPr="00AB0640" w:rsidRDefault="00F56F7B" w:rsidP="008028C6">
            <w:pPr>
              <w:keepNext/>
              <w:jc w:val="center"/>
              <w:rPr>
                <w:rFonts w:ascii="Arial Narrow" w:hAnsi="Arial Narrow"/>
                <w:color w:val="0066FF"/>
                <w:sz w:val="20"/>
                <w:szCs w:val="20"/>
              </w:rPr>
            </w:pPr>
            <w:r w:rsidRPr="00AB0640">
              <w:rPr>
                <w:rFonts w:ascii="Arial Narrow" w:hAnsi="Arial Narrow"/>
                <w:sz w:val="20"/>
              </w:rPr>
              <w:t>Skyclarys</w:t>
            </w:r>
          </w:p>
        </w:tc>
      </w:tr>
    </w:tbl>
    <w:p w14:paraId="00FDF848" w14:textId="77777777" w:rsidR="00716D7A" w:rsidRPr="00AB0640" w:rsidRDefault="00716D7A" w:rsidP="008028C6">
      <w:pPr>
        <w:pStyle w:val="TableFigureFooter"/>
      </w:pPr>
      <w:r w:rsidRPr="00AB0640">
        <w:t>Source: Table 1.7, p46 of the resubmission</w:t>
      </w:r>
    </w:p>
    <w:p w14:paraId="2A2A81C7" w14:textId="2744C374" w:rsidR="00716D7A" w:rsidRPr="00AB0640" w:rsidRDefault="00716D7A" w:rsidP="008028C6">
      <w:pPr>
        <w:pStyle w:val="TableFigureFooter"/>
        <w:spacing w:after="0"/>
      </w:pPr>
      <w:r w:rsidRPr="00AB0640">
        <w:t>DPMQ = dispensed price for maximum quantity.</w:t>
      </w:r>
    </w:p>
    <w:p w14:paraId="3BC17BCC" w14:textId="77777777" w:rsidR="00716D7A" w:rsidRPr="00AB0640" w:rsidRDefault="00716D7A" w:rsidP="008028C6">
      <w:r w:rsidRPr="00AB0640">
        <w:rPr>
          <w:rStyle w:val="CommentReference"/>
          <w:b w:val="0"/>
          <w:bCs/>
          <w:sz w:val="18"/>
          <w:szCs w:val="18"/>
          <w:shd w:val="clear" w:color="auto" w:fill="B8CCE4" w:themeFill="accent1" w:themeFillTint="66"/>
        </w:rPr>
        <w:t>Blue shading</w:t>
      </w:r>
      <w:r w:rsidRPr="00AB0640">
        <w:rPr>
          <w:rStyle w:val="CommentReference"/>
          <w:b w:val="0"/>
          <w:bCs/>
          <w:sz w:val="18"/>
          <w:szCs w:val="18"/>
        </w:rPr>
        <w:t xml:space="preserve"> indicates information previously seen by the PBAC.</w:t>
      </w:r>
    </w:p>
    <w:p w14:paraId="54276675" w14:textId="6F9AAF97" w:rsidR="00DE37CC" w:rsidRPr="00AB0640" w:rsidRDefault="00DE37CC" w:rsidP="008028C6">
      <w:pPr>
        <w:rPr>
          <w:color w:val="0066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017"/>
      </w:tblGrid>
      <w:tr w:rsidR="00DE37CC" w:rsidRPr="00AB0640" w14:paraId="47181011" w14:textId="77777777" w:rsidTr="0065379D">
        <w:trPr>
          <w:cantSplit/>
          <w:trHeight w:val="20"/>
        </w:trPr>
        <w:tc>
          <w:tcPr>
            <w:tcW w:w="5000" w:type="pct"/>
            <w:shd w:val="clear" w:color="auto" w:fill="B8CCE4" w:themeFill="accent1" w:themeFillTint="66"/>
          </w:tcPr>
          <w:p w14:paraId="57CF4F0A" w14:textId="77777777" w:rsidR="00DE37CC" w:rsidRPr="00AB0640" w:rsidRDefault="00DE37CC" w:rsidP="008028C6">
            <w:pPr>
              <w:pStyle w:val="TableText0"/>
              <w:keepNext w:val="0"/>
              <w:keepLines w:val="0"/>
            </w:pPr>
            <w:r w:rsidRPr="00AB0640">
              <w:rPr>
                <w:b/>
              </w:rPr>
              <w:t xml:space="preserve">Category / Program: </w:t>
            </w:r>
            <w:r w:rsidRPr="00AB0640">
              <w:rPr>
                <w:bCs w:val="0"/>
              </w:rPr>
              <w:t xml:space="preserve">Section 85 - </w:t>
            </w:r>
            <w:r w:rsidRPr="00AB0640">
              <w:t>General Schedule</w:t>
            </w:r>
          </w:p>
        </w:tc>
      </w:tr>
      <w:tr w:rsidR="00DE37CC" w:rsidRPr="00AB0640" w14:paraId="416687A1" w14:textId="77777777" w:rsidTr="0065379D">
        <w:trPr>
          <w:cantSplit/>
          <w:trHeight w:val="20"/>
        </w:trPr>
        <w:tc>
          <w:tcPr>
            <w:tcW w:w="5000" w:type="pct"/>
            <w:shd w:val="clear" w:color="auto" w:fill="B8CCE4" w:themeFill="accent1" w:themeFillTint="66"/>
          </w:tcPr>
          <w:p w14:paraId="012D496D" w14:textId="77777777" w:rsidR="00DE37CC" w:rsidRPr="00AB0640" w:rsidRDefault="00DE37CC" w:rsidP="008028C6">
            <w:pPr>
              <w:pStyle w:val="TableText0"/>
              <w:keepNext w:val="0"/>
              <w:keepLines w:val="0"/>
              <w:rPr>
                <w:b/>
              </w:rPr>
            </w:pPr>
            <w:r w:rsidRPr="00AB0640">
              <w:rPr>
                <w:b/>
              </w:rPr>
              <w:t xml:space="preserve">Prescriber type: </w:t>
            </w:r>
            <w:r w:rsidRPr="00AB0640">
              <w:fldChar w:fldCharType="begin" w:fldLock="1">
                <w:ffData>
                  <w:name w:val="Check1"/>
                  <w:enabled/>
                  <w:calcOnExit w:val="0"/>
                  <w:checkBox>
                    <w:sizeAuto/>
                    <w:default w:val="0"/>
                  </w:checkBox>
                </w:ffData>
              </w:fldChar>
            </w:r>
            <w:r w:rsidRPr="00AB0640">
              <w:instrText xml:space="preserve"> FORMCHECKBOX </w:instrText>
            </w:r>
            <w:r w:rsidRPr="00AB0640">
              <w:fldChar w:fldCharType="separate"/>
            </w:r>
            <w:r w:rsidRPr="00AB0640">
              <w:fldChar w:fldCharType="end"/>
            </w:r>
            <w:r w:rsidRPr="00AB0640">
              <w:t xml:space="preserve">Dental </w:t>
            </w:r>
            <w:r w:rsidRPr="00AB0640">
              <w:fldChar w:fldCharType="begin" w:fldLock="1">
                <w:ffData>
                  <w:name w:val=""/>
                  <w:enabled/>
                  <w:calcOnExit w:val="0"/>
                  <w:checkBox>
                    <w:sizeAuto/>
                    <w:default w:val="1"/>
                  </w:checkBox>
                </w:ffData>
              </w:fldChar>
            </w:r>
            <w:r w:rsidRPr="00AB0640">
              <w:instrText xml:space="preserve"> FORMCHECKBOX </w:instrText>
            </w:r>
            <w:r w:rsidRPr="00AB0640">
              <w:fldChar w:fldCharType="separate"/>
            </w:r>
            <w:r w:rsidRPr="00AB0640">
              <w:fldChar w:fldCharType="end"/>
            </w:r>
            <w:r w:rsidRPr="00AB0640">
              <w:t xml:space="preserve">Medical Practitioners </w:t>
            </w:r>
            <w:r w:rsidRPr="00AB0640">
              <w:fldChar w:fldCharType="begin" w:fldLock="1">
                <w:ffData>
                  <w:name w:val="Check3"/>
                  <w:enabled/>
                  <w:calcOnExit w:val="0"/>
                  <w:checkBox>
                    <w:sizeAuto/>
                    <w:default w:val="0"/>
                  </w:checkBox>
                </w:ffData>
              </w:fldChar>
            </w:r>
            <w:r w:rsidRPr="00AB0640">
              <w:instrText xml:space="preserve"> FORMCHECKBOX </w:instrText>
            </w:r>
            <w:r w:rsidRPr="00AB0640">
              <w:fldChar w:fldCharType="separate"/>
            </w:r>
            <w:r w:rsidRPr="00AB0640">
              <w:fldChar w:fldCharType="end"/>
            </w:r>
            <w:r w:rsidRPr="00AB0640">
              <w:t xml:space="preserve">Nurse practitioners </w:t>
            </w:r>
            <w:r w:rsidRPr="00AB0640">
              <w:fldChar w:fldCharType="begin" w:fldLock="1">
                <w:ffData>
                  <w:name w:val=""/>
                  <w:enabled/>
                  <w:calcOnExit w:val="0"/>
                  <w:checkBox>
                    <w:sizeAuto/>
                    <w:default w:val="0"/>
                  </w:checkBox>
                </w:ffData>
              </w:fldChar>
            </w:r>
            <w:r w:rsidRPr="00AB0640">
              <w:instrText xml:space="preserve"> FORMCHECKBOX </w:instrText>
            </w:r>
            <w:r w:rsidRPr="00AB0640">
              <w:fldChar w:fldCharType="separate"/>
            </w:r>
            <w:r w:rsidRPr="00AB0640">
              <w:fldChar w:fldCharType="end"/>
            </w:r>
            <w:r w:rsidRPr="00AB0640">
              <w:t xml:space="preserve">Optometrists </w:t>
            </w:r>
            <w:r w:rsidRPr="00AB0640">
              <w:fldChar w:fldCharType="begin" w:fldLock="1">
                <w:ffData>
                  <w:name w:val="Check5"/>
                  <w:enabled/>
                  <w:calcOnExit w:val="0"/>
                  <w:checkBox>
                    <w:sizeAuto/>
                    <w:default w:val="0"/>
                  </w:checkBox>
                </w:ffData>
              </w:fldChar>
            </w:r>
            <w:r w:rsidRPr="00AB0640">
              <w:instrText xml:space="preserve"> FORMCHECKBOX </w:instrText>
            </w:r>
            <w:r w:rsidRPr="00AB0640">
              <w:fldChar w:fldCharType="separate"/>
            </w:r>
            <w:r w:rsidRPr="00AB0640">
              <w:fldChar w:fldCharType="end"/>
            </w:r>
          </w:p>
        </w:tc>
      </w:tr>
      <w:tr w:rsidR="00DE37CC" w:rsidRPr="00AB0640" w14:paraId="39C399A9" w14:textId="77777777" w:rsidTr="0065379D">
        <w:trPr>
          <w:cantSplit/>
          <w:trHeight w:val="20"/>
        </w:trPr>
        <w:tc>
          <w:tcPr>
            <w:tcW w:w="5000" w:type="pct"/>
            <w:shd w:val="clear" w:color="auto" w:fill="B8CCE4" w:themeFill="accent1" w:themeFillTint="66"/>
          </w:tcPr>
          <w:p w14:paraId="156E0BB3" w14:textId="77777777" w:rsidR="00DE37CC" w:rsidRPr="00AB0640" w:rsidRDefault="00DE37CC" w:rsidP="008028C6">
            <w:pPr>
              <w:pStyle w:val="TableText0"/>
              <w:keepNext w:val="0"/>
              <w:keepLines w:val="0"/>
            </w:pPr>
            <w:r w:rsidRPr="00AB0640">
              <w:rPr>
                <w:b/>
              </w:rPr>
              <w:t xml:space="preserve">Restriction type: </w:t>
            </w:r>
            <w:r w:rsidRPr="00AB0640">
              <w:fldChar w:fldCharType="begin" w:fldLock="1">
                <w:ffData>
                  <w:name w:val="Check3"/>
                  <w:enabled/>
                  <w:calcOnExit w:val="0"/>
                  <w:checkBox>
                    <w:sizeAuto/>
                    <w:default w:val="1"/>
                  </w:checkBox>
                </w:ffData>
              </w:fldChar>
            </w:r>
            <w:r w:rsidRPr="00AB0640">
              <w:instrText xml:space="preserve"> FORMCHECKBOX </w:instrText>
            </w:r>
            <w:r w:rsidRPr="00AB0640">
              <w:fldChar w:fldCharType="separate"/>
            </w:r>
            <w:r w:rsidRPr="00AB0640">
              <w:fldChar w:fldCharType="end"/>
            </w:r>
            <w:r w:rsidRPr="00AB0640">
              <w:t xml:space="preserve">Authority Required (telephone/online PBS Authorities system) </w:t>
            </w:r>
          </w:p>
        </w:tc>
      </w:tr>
      <w:tr w:rsidR="00DE37CC" w:rsidRPr="00AB0640" w14:paraId="0A24E0C0" w14:textId="77777777" w:rsidTr="0065379D">
        <w:trPr>
          <w:cantSplit/>
          <w:trHeight w:val="20"/>
        </w:trPr>
        <w:tc>
          <w:tcPr>
            <w:tcW w:w="5000" w:type="pct"/>
            <w:shd w:val="clear" w:color="auto" w:fill="B8CCE4" w:themeFill="accent1" w:themeFillTint="66"/>
            <w:vAlign w:val="center"/>
            <w:hideMark/>
          </w:tcPr>
          <w:p w14:paraId="1FEAB4C0" w14:textId="77777777" w:rsidR="00DE37CC" w:rsidRPr="00AB0640" w:rsidRDefault="00DE37CC" w:rsidP="008028C6">
            <w:pPr>
              <w:pStyle w:val="TableText0"/>
              <w:keepNext w:val="0"/>
              <w:keepLines w:val="0"/>
            </w:pPr>
            <w:r w:rsidRPr="00AB0640">
              <w:rPr>
                <w:b/>
              </w:rPr>
              <w:lastRenderedPageBreak/>
              <w:t>Indication:</w:t>
            </w:r>
            <w:r w:rsidRPr="00AB0640">
              <w:t xml:space="preserve"> Friedreich’s ataxia</w:t>
            </w:r>
          </w:p>
        </w:tc>
      </w:tr>
      <w:tr w:rsidR="00DE37CC" w:rsidRPr="00AB0640" w14:paraId="734D8245" w14:textId="77777777" w:rsidTr="0065379D">
        <w:trPr>
          <w:cantSplit/>
          <w:trHeight w:val="20"/>
        </w:trPr>
        <w:tc>
          <w:tcPr>
            <w:tcW w:w="5000" w:type="pct"/>
            <w:shd w:val="clear" w:color="auto" w:fill="B8CCE4" w:themeFill="accent1" w:themeFillTint="66"/>
            <w:vAlign w:val="center"/>
            <w:hideMark/>
          </w:tcPr>
          <w:p w14:paraId="43CEE5AA" w14:textId="77777777" w:rsidR="00DE37CC" w:rsidRPr="00AB0640" w:rsidRDefault="00DE37CC" w:rsidP="008028C6">
            <w:pPr>
              <w:pStyle w:val="TableText0"/>
              <w:keepNext w:val="0"/>
              <w:keepLines w:val="0"/>
            </w:pPr>
            <w:r w:rsidRPr="00AB0640">
              <w:rPr>
                <w:b/>
              </w:rPr>
              <w:t>Treatment Phase:</w:t>
            </w:r>
            <w:r w:rsidRPr="00AB0640">
              <w:t xml:space="preserve"> Initial treatment </w:t>
            </w:r>
          </w:p>
        </w:tc>
      </w:tr>
      <w:tr w:rsidR="00DE37CC" w:rsidRPr="00AB0640" w14:paraId="2936CB78" w14:textId="77777777" w:rsidTr="0065379D">
        <w:trPr>
          <w:cantSplit/>
          <w:trHeight w:val="20"/>
        </w:trPr>
        <w:tc>
          <w:tcPr>
            <w:tcW w:w="5000" w:type="pct"/>
            <w:shd w:val="clear" w:color="auto" w:fill="B8CCE4" w:themeFill="accent1" w:themeFillTint="66"/>
            <w:vAlign w:val="center"/>
            <w:hideMark/>
          </w:tcPr>
          <w:p w14:paraId="7F8B9742" w14:textId="77777777" w:rsidR="00DE37CC" w:rsidRPr="00AB0640" w:rsidRDefault="00DE37CC" w:rsidP="008028C6">
            <w:pPr>
              <w:pStyle w:val="TableText0"/>
              <w:keepNext w:val="0"/>
              <w:keepLines w:val="0"/>
              <w:rPr>
                <w:b/>
                <w:bCs w:val="0"/>
              </w:rPr>
            </w:pPr>
            <w:r w:rsidRPr="00AB0640">
              <w:rPr>
                <w:b/>
                <w:bCs w:val="0"/>
              </w:rPr>
              <w:t>Clinical criteria:</w:t>
            </w:r>
          </w:p>
        </w:tc>
      </w:tr>
      <w:tr w:rsidR="00DE37CC" w:rsidRPr="00AB0640" w14:paraId="4B6653EE" w14:textId="77777777" w:rsidTr="0065379D">
        <w:trPr>
          <w:cantSplit/>
          <w:trHeight w:val="20"/>
        </w:trPr>
        <w:tc>
          <w:tcPr>
            <w:tcW w:w="5000" w:type="pct"/>
            <w:shd w:val="clear" w:color="auto" w:fill="B8CCE4" w:themeFill="accent1" w:themeFillTint="66"/>
            <w:vAlign w:val="center"/>
            <w:hideMark/>
          </w:tcPr>
          <w:p w14:paraId="36288440" w14:textId="77777777" w:rsidR="00DE37CC" w:rsidRPr="00AB0640" w:rsidRDefault="00DE37CC" w:rsidP="008028C6">
            <w:pPr>
              <w:pStyle w:val="TableText0"/>
              <w:keepNext w:val="0"/>
              <w:keepLines w:val="0"/>
            </w:pPr>
            <w:r w:rsidRPr="00AB0640">
              <w:t>The patient must have a mutation in the frataxin (</w:t>
            </w:r>
            <w:r w:rsidRPr="00AB0640">
              <w:rPr>
                <w:i/>
                <w:iCs/>
              </w:rPr>
              <w:t>FXN</w:t>
            </w:r>
            <w:r w:rsidRPr="00AB0640">
              <w:t xml:space="preserve">) gene </w:t>
            </w:r>
          </w:p>
        </w:tc>
      </w:tr>
      <w:tr w:rsidR="00DE37CC" w:rsidRPr="00AB0640" w14:paraId="5C082DF8" w14:textId="77777777" w:rsidTr="0065379D">
        <w:trPr>
          <w:cantSplit/>
          <w:trHeight w:val="20"/>
        </w:trPr>
        <w:tc>
          <w:tcPr>
            <w:tcW w:w="5000" w:type="pct"/>
            <w:vAlign w:val="center"/>
            <w:hideMark/>
          </w:tcPr>
          <w:p w14:paraId="2FAEB2A5" w14:textId="77777777" w:rsidR="00DE37CC" w:rsidRPr="00AB0640" w:rsidRDefault="00DE37CC" w:rsidP="008028C6">
            <w:pPr>
              <w:pStyle w:val="TableText0"/>
              <w:keepNext w:val="0"/>
              <w:keepLines w:val="0"/>
            </w:pPr>
            <w:r w:rsidRPr="00AB0640">
              <w:t>AND</w:t>
            </w:r>
          </w:p>
        </w:tc>
      </w:tr>
      <w:tr w:rsidR="00DE37CC" w:rsidRPr="00AB0640" w14:paraId="4A186FFA" w14:textId="77777777" w:rsidTr="0065379D">
        <w:trPr>
          <w:cantSplit/>
          <w:trHeight w:val="20"/>
        </w:trPr>
        <w:tc>
          <w:tcPr>
            <w:tcW w:w="5000" w:type="pct"/>
            <w:vAlign w:val="center"/>
            <w:hideMark/>
          </w:tcPr>
          <w:p w14:paraId="40D86E9E" w14:textId="77777777" w:rsidR="00DE37CC" w:rsidRPr="00AB0640" w:rsidRDefault="00DE37CC" w:rsidP="008028C6">
            <w:pPr>
              <w:pStyle w:val="TableText0"/>
              <w:keepNext w:val="0"/>
              <w:keepLines w:val="0"/>
            </w:pPr>
            <w:r w:rsidRPr="00AB0640">
              <w:t>The patient must have a score of 20 to 80 on the modified Friedreich Ataxia Rating Scale (mFARS),</w:t>
            </w:r>
          </w:p>
        </w:tc>
      </w:tr>
      <w:tr w:rsidR="00DE37CC" w:rsidRPr="00AB0640" w14:paraId="7A58B41E" w14:textId="77777777" w:rsidTr="0065379D">
        <w:trPr>
          <w:cantSplit/>
          <w:trHeight w:val="20"/>
        </w:trPr>
        <w:tc>
          <w:tcPr>
            <w:tcW w:w="5000" w:type="pct"/>
            <w:shd w:val="clear" w:color="auto" w:fill="B8CCE4" w:themeFill="accent1" w:themeFillTint="66"/>
            <w:vAlign w:val="center"/>
          </w:tcPr>
          <w:p w14:paraId="268C95B9" w14:textId="77777777" w:rsidR="00DE37CC" w:rsidRPr="00AB0640" w:rsidRDefault="00DE37CC" w:rsidP="008028C6">
            <w:pPr>
              <w:pStyle w:val="TableText0"/>
              <w:keepNext w:val="0"/>
              <w:keepLines w:val="0"/>
            </w:pPr>
            <w:r w:rsidRPr="00AB0640">
              <w:t>AND</w:t>
            </w:r>
          </w:p>
        </w:tc>
      </w:tr>
      <w:tr w:rsidR="00DE37CC" w:rsidRPr="00AB0640" w14:paraId="61A13042" w14:textId="77777777" w:rsidTr="0065379D">
        <w:trPr>
          <w:cantSplit/>
          <w:trHeight w:val="20"/>
        </w:trPr>
        <w:tc>
          <w:tcPr>
            <w:tcW w:w="5000" w:type="pct"/>
            <w:shd w:val="clear" w:color="auto" w:fill="B8CCE4" w:themeFill="accent1" w:themeFillTint="66"/>
            <w:vAlign w:val="center"/>
          </w:tcPr>
          <w:p w14:paraId="3802E1E7" w14:textId="77777777" w:rsidR="00DE37CC" w:rsidRPr="00AB0640" w:rsidRDefault="00DE37CC" w:rsidP="008028C6">
            <w:pPr>
              <w:pStyle w:val="TableText0"/>
              <w:keepNext w:val="0"/>
              <w:keepLines w:val="0"/>
            </w:pPr>
            <w:r w:rsidRPr="00AB0640">
              <w:t>Patients with a history of clinically significant cardiac disease must show evidence that their disease is haemodynamically stable prior to initiating treatment (e.g. echocardiogram, electrocardiogram), records must be no more than 3 months old,</w:t>
            </w:r>
          </w:p>
        </w:tc>
      </w:tr>
      <w:tr w:rsidR="00DE37CC" w:rsidRPr="00AB0640" w14:paraId="4F9761C1" w14:textId="77777777" w:rsidTr="0065379D">
        <w:trPr>
          <w:cantSplit/>
          <w:trHeight w:val="20"/>
        </w:trPr>
        <w:tc>
          <w:tcPr>
            <w:tcW w:w="5000" w:type="pct"/>
            <w:shd w:val="clear" w:color="auto" w:fill="B8CCE4" w:themeFill="accent1" w:themeFillTint="66"/>
            <w:vAlign w:val="center"/>
            <w:hideMark/>
          </w:tcPr>
          <w:p w14:paraId="7FC54FE8" w14:textId="77777777" w:rsidR="00DE37CC" w:rsidRPr="00AB0640" w:rsidRDefault="00DE37CC" w:rsidP="008028C6">
            <w:pPr>
              <w:pStyle w:val="TableText0"/>
              <w:keepNext w:val="0"/>
              <w:keepLines w:val="0"/>
            </w:pPr>
            <w:r w:rsidRPr="00AB0640">
              <w:t>AND</w:t>
            </w:r>
          </w:p>
        </w:tc>
      </w:tr>
      <w:tr w:rsidR="00DE37CC" w:rsidRPr="00AB0640" w14:paraId="4CBAD4D0" w14:textId="77777777" w:rsidTr="0065379D">
        <w:trPr>
          <w:cantSplit/>
          <w:trHeight w:val="20"/>
        </w:trPr>
        <w:tc>
          <w:tcPr>
            <w:tcW w:w="5000" w:type="pct"/>
            <w:shd w:val="clear" w:color="auto" w:fill="B8CCE4" w:themeFill="accent1" w:themeFillTint="66"/>
            <w:vAlign w:val="center"/>
          </w:tcPr>
          <w:p w14:paraId="7D8E074B" w14:textId="77777777" w:rsidR="00DE37CC" w:rsidRPr="00AB0640" w:rsidRDefault="00DE37CC" w:rsidP="008028C6">
            <w:pPr>
              <w:pStyle w:val="TableText0"/>
              <w:keepNext w:val="0"/>
              <w:keepLines w:val="0"/>
            </w:pPr>
            <w:r w:rsidRPr="00AB0640">
              <w:t>The treatment must be given concomitantly with best supportive care for this condition</w:t>
            </w:r>
          </w:p>
        </w:tc>
      </w:tr>
      <w:tr w:rsidR="00DE37CC" w:rsidRPr="00AB0640" w14:paraId="5AA81620" w14:textId="77777777" w:rsidTr="0065379D">
        <w:trPr>
          <w:cantSplit/>
          <w:trHeight w:val="20"/>
        </w:trPr>
        <w:tc>
          <w:tcPr>
            <w:tcW w:w="5000" w:type="pct"/>
            <w:shd w:val="clear" w:color="auto" w:fill="B8CCE4" w:themeFill="accent1" w:themeFillTint="66"/>
            <w:vAlign w:val="center"/>
            <w:hideMark/>
          </w:tcPr>
          <w:p w14:paraId="3683001C" w14:textId="77777777" w:rsidR="00DE37CC" w:rsidRPr="00AB0640" w:rsidRDefault="00DE37CC" w:rsidP="008028C6">
            <w:pPr>
              <w:pStyle w:val="TableText0"/>
              <w:keepNext w:val="0"/>
              <w:keepLines w:val="0"/>
            </w:pPr>
            <w:r w:rsidRPr="00AB0640">
              <w:rPr>
                <w:b/>
                <w:bCs w:val="0"/>
              </w:rPr>
              <w:t>Treatment criteria</w:t>
            </w:r>
            <w:r w:rsidRPr="00AB0640">
              <w:t>:</w:t>
            </w:r>
          </w:p>
        </w:tc>
      </w:tr>
      <w:tr w:rsidR="00DE37CC" w:rsidRPr="00AB0640" w14:paraId="2C8F1B09" w14:textId="77777777" w:rsidTr="0065379D">
        <w:trPr>
          <w:cantSplit/>
          <w:trHeight w:val="20"/>
        </w:trPr>
        <w:tc>
          <w:tcPr>
            <w:tcW w:w="5000" w:type="pct"/>
            <w:shd w:val="clear" w:color="auto" w:fill="B8CCE4" w:themeFill="accent1" w:themeFillTint="66"/>
            <w:vAlign w:val="center"/>
            <w:hideMark/>
          </w:tcPr>
          <w:p w14:paraId="7D65AF4D" w14:textId="77777777" w:rsidR="00DE37CC" w:rsidRPr="00AB0640" w:rsidRDefault="00DE37CC" w:rsidP="008028C6">
            <w:pPr>
              <w:pStyle w:val="TableText0"/>
              <w:keepNext w:val="0"/>
              <w:keepLines w:val="0"/>
            </w:pPr>
            <w:r w:rsidRPr="00AB0640">
              <w:t>Patient must be under the management of a specialist with experience and expertise in the management of Friedreich's ataxia.</w:t>
            </w:r>
          </w:p>
          <w:p w14:paraId="41030978" w14:textId="77777777" w:rsidR="00DE37CC" w:rsidRPr="00AB0640" w:rsidRDefault="00DE37CC" w:rsidP="008028C6">
            <w:pPr>
              <w:pStyle w:val="TableText0"/>
              <w:keepNext w:val="0"/>
              <w:keepLines w:val="0"/>
              <w:rPr>
                <w:i/>
                <w:iCs/>
              </w:rPr>
            </w:pPr>
            <w:r w:rsidRPr="00AB0640">
              <w:t>If attendance at such a unit is not possible because of geographical isolation, management (including prescribing) may be in consultation with such a unit</w:t>
            </w:r>
          </w:p>
        </w:tc>
      </w:tr>
      <w:tr w:rsidR="00DE37CC" w:rsidRPr="00AB0640" w14:paraId="4EB89027" w14:textId="77777777" w:rsidTr="0065379D">
        <w:trPr>
          <w:cantSplit/>
          <w:trHeight w:val="20"/>
        </w:trPr>
        <w:tc>
          <w:tcPr>
            <w:tcW w:w="5000" w:type="pct"/>
            <w:shd w:val="clear" w:color="auto" w:fill="B8CCE4" w:themeFill="accent1" w:themeFillTint="66"/>
            <w:vAlign w:val="center"/>
            <w:hideMark/>
          </w:tcPr>
          <w:p w14:paraId="090CE4F7" w14:textId="77777777" w:rsidR="00DE37CC" w:rsidRPr="00AB0640" w:rsidRDefault="00DE37CC" w:rsidP="008028C6">
            <w:pPr>
              <w:pStyle w:val="TableText0"/>
              <w:keepNext w:val="0"/>
              <w:keepLines w:val="0"/>
              <w:rPr>
                <w:b/>
                <w:bCs w:val="0"/>
              </w:rPr>
            </w:pPr>
            <w:r w:rsidRPr="00AB0640">
              <w:rPr>
                <w:b/>
                <w:bCs w:val="0"/>
              </w:rPr>
              <w:t>Population criteria:</w:t>
            </w:r>
          </w:p>
        </w:tc>
      </w:tr>
      <w:tr w:rsidR="00DE37CC" w:rsidRPr="00AB0640" w14:paraId="37324746" w14:textId="77777777" w:rsidTr="0065379D">
        <w:trPr>
          <w:cantSplit/>
          <w:trHeight w:val="20"/>
        </w:trPr>
        <w:tc>
          <w:tcPr>
            <w:tcW w:w="5000" w:type="pct"/>
            <w:shd w:val="clear" w:color="auto" w:fill="B8CCE4" w:themeFill="accent1" w:themeFillTint="66"/>
            <w:vAlign w:val="center"/>
          </w:tcPr>
          <w:p w14:paraId="197EF965" w14:textId="77777777" w:rsidR="00DE37CC" w:rsidRPr="00AB0640" w:rsidRDefault="00DE37CC" w:rsidP="008028C6">
            <w:pPr>
              <w:pStyle w:val="TableText0"/>
              <w:keepNext w:val="0"/>
              <w:keepLines w:val="0"/>
              <w:rPr>
                <w:b/>
              </w:rPr>
            </w:pPr>
            <w:r w:rsidRPr="00AB0640">
              <w:t>Patient must be 16 years of age or older.</w:t>
            </w:r>
          </w:p>
        </w:tc>
      </w:tr>
      <w:tr w:rsidR="00DE37CC" w:rsidRPr="00AB0640" w14:paraId="0BF89A03" w14:textId="77777777" w:rsidTr="0065379D">
        <w:trPr>
          <w:cantSplit/>
          <w:trHeight w:val="20"/>
        </w:trPr>
        <w:tc>
          <w:tcPr>
            <w:tcW w:w="5000" w:type="pct"/>
            <w:shd w:val="clear" w:color="auto" w:fill="B8CCE4" w:themeFill="accent1" w:themeFillTint="66"/>
            <w:vAlign w:val="center"/>
            <w:hideMark/>
          </w:tcPr>
          <w:p w14:paraId="1EE50905" w14:textId="77777777" w:rsidR="00DE37CC" w:rsidRPr="00AB0640" w:rsidRDefault="00DE37CC" w:rsidP="008028C6">
            <w:pPr>
              <w:pStyle w:val="TableText0"/>
              <w:keepNext w:val="0"/>
              <w:keepLines w:val="0"/>
            </w:pPr>
            <w:r w:rsidRPr="00AB0640">
              <w:rPr>
                <w:b/>
              </w:rPr>
              <w:t>Prescribing Instructions:</w:t>
            </w:r>
          </w:p>
          <w:p w14:paraId="5397CE52" w14:textId="77777777" w:rsidR="00DE37CC" w:rsidRPr="00AB0640" w:rsidRDefault="00DE37CC" w:rsidP="008028C6">
            <w:pPr>
              <w:pStyle w:val="TableText0"/>
              <w:keepNext w:val="0"/>
              <w:keepLines w:val="0"/>
            </w:pPr>
            <w:r w:rsidRPr="00AB0640">
              <w:t>The following must be documented in the patient’s medical records:</w:t>
            </w:r>
          </w:p>
          <w:p w14:paraId="01D300E6" w14:textId="77777777" w:rsidR="00DE37CC" w:rsidRPr="00AB0640" w:rsidRDefault="00DE37CC" w:rsidP="008028C6">
            <w:pPr>
              <w:pStyle w:val="TableText0"/>
              <w:keepNext w:val="0"/>
              <w:keepLines w:val="0"/>
              <w:numPr>
                <w:ilvl w:val="0"/>
                <w:numId w:val="11"/>
              </w:numPr>
              <w:ind w:left="599" w:hanging="425"/>
            </w:pPr>
            <w:r w:rsidRPr="00AB0640">
              <w:t>Genetic diagnostic report confirming the presence of the Frataxin (</w:t>
            </w:r>
            <w:r w:rsidRPr="00AB0640">
              <w:rPr>
                <w:i/>
                <w:iCs/>
              </w:rPr>
              <w:t>FXN</w:t>
            </w:r>
            <w:r w:rsidRPr="00AB0640">
              <w:t>) gene mutation; and</w:t>
            </w:r>
          </w:p>
          <w:p w14:paraId="16D63A9E" w14:textId="77777777" w:rsidR="00DE37CC" w:rsidRPr="00AB0640" w:rsidRDefault="00DE37CC" w:rsidP="008028C6">
            <w:pPr>
              <w:pStyle w:val="TableText0"/>
              <w:keepNext w:val="0"/>
              <w:keepLines w:val="0"/>
              <w:numPr>
                <w:ilvl w:val="0"/>
                <w:numId w:val="11"/>
              </w:numPr>
              <w:ind w:left="599" w:hanging="425"/>
            </w:pPr>
            <w:r w:rsidRPr="00AB0640">
              <w:t>Echocardiogram or electrocardiogram results confirming that the patient’s cardiac disease is haemodynamically stable (if applicable).</w:t>
            </w:r>
          </w:p>
          <w:p w14:paraId="339388AF" w14:textId="77777777" w:rsidR="00DE37CC" w:rsidRPr="00AB0640" w:rsidRDefault="00DE37CC" w:rsidP="008028C6">
            <w:pPr>
              <w:pStyle w:val="TableText0"/>
              <w:keepNext w:val="0"/>
              <w:keepLines w:val="0"/>
              <w:rPr>
                <w:b/>
                <w:u w:val="single"/>
              </w:rPr>
            </w:pPr>
            <w:r w:rsidRPr="00AB0640" w:rsidDel="00910BAA">
              <w:rPr>
                <w:b/>
                <w:u w:val="single"/>
              </w:rPr>
              <w:t>Note</w:t>
            </w:r>
          </w:p>
          <w:p w14:paraId="3DEF5E6B" w14:textId="77777777" w:rsidR="00DE37CC" w:rsidRPr="00AB0640" w:rsidRDefault="00DE37CC" w:rsidP="008028C6">
            <w:pPr>
              <w:pStyle w:val="TableText0"/>
              <w:keepNext w:val="0"/>
              <w:keepLines w:val="0"/>
            </w:pPr>
            <w:r w:rsidRPr="00AB0640">
              <w:t>Clinically significant cardiac disease is defined as;</w:t>
            </w:r>
          </w:p>
          <w:p w14:paraId="2305F53B" w14:textId="77777777" w:rsidR="00DE37CC" w:rsidRPr="00AB0640" w:rsidRDefault="00DE37CC" w:rsidP="008028C6">
            <w:pPr>
              <w:pStyle w:val="TableText0"/>
              <w:keepNext w:val="0"/>
              <w:keepLines w:val="0"/>
              <w:numPr>
                <w:ilvl w:val="0"/>
                <w:numId w:val="10"/>
              </w:numPr>
              <w:ind w:left="599" w:hanging="425"/>
            </w:pPr>
            <w:r w:rsidRPr="00AB0640">
              <w:t>congenital or acquired valvular disease</w:t>
            </w:r>
          </w:p>
          <w:p w14:paraId="369DA16A" w14:textId="77777777" w:rsidR="00DE37CC" w:rsidRPr="00AB0640" w:rsidRDefault="00DE37CC" w:rsidP="008028C6">
            <w:pPr>
              <w:pStyle w:val="TableText0"/>
              <w:keepNext w:val="0"/>
              <w:keepLines w:val="0"/>
              <w:numPr>
                <w:ilvl w:val="0"/>
                <w:numId w:val="10"/>
              </w:numPr>
              <w:ind w:left="599" w:hanging="425"/>
            </w:pPr>
            <w:r w:rsidRPr="00AB0640">
              <w:t>pericardial constriction</w:t>
            </w:r>
          </w:p>
          <w:p w14:paraId="58463633" w14:textId="77777777" w:rsidR="00DE37CC" w:rsidRPr="00AB0640" w:rsidRDefault="00DE37CC" w:rsidP="008028C6">
            <w:pPr>
              <w:pStyle w:val="TableText0"/>
              <w:keepNext w:val="0"/>
              <w:keepLines w:val="0"/>
              <w:numPr>
                <w:ilvl w:val="0"/>
                <w:numId w:val="10"/>
              </w:numPr>
              <w:ind w:left="599" w:hanging="425"/>
            </w:pPr>
            <w:r w:rsidRPr="00AB0640">
              <w:t>restrictive or congestive cardiomyopathy</w:t>
            </w:r>
          </w:p>
          <w:p w14:paraId="189A2270" w14:textId="77777777" w:rsidR="00DE37CC" w:rsidRPr="00AB0640" w:rsidRDefault="00DE37CC" w:rsidP="008028C6">
            <w:pPr>
              <w:pStyle w:val="TableText0"/>
              <w:keepNext w:val="0"/>
              <w:keepLines w:val="0"/>
              <w:numPr>
                <w:ilvl w:val="0"/>
                <w:numId w:val="10"/>
              </w:numPr>
              <w:ind w:left="599" w:hanging="425"/>
            </w:pPr>
            <w:r w:rsidRPr="00AB0640">
              <w:t>coronary disease (prior myocardial infarction, percutaneous coronary intervention, coronary artery bypass graft surgery, or angina)</w:t>
            </w:r>
          </w:p>
          <w:p w14:paraId="6C27E958" w14:textId="77777777" w:rsidR="00DE37CC" w:rsidRPr="00AB0640" w:rsidRDefault="00DE37CC" w:rsidP="008028C6">
            <w:pPr>
              <w:pStyle w:val="TableText0"/>
              <w:keepNext w:val="0"/>
              <w:keepLines w:val="0"/>
              <w:numPr>
                <w:ilvl w:val="0"/>
                <w:numId w:val="10"/>
              </w:numPr>
              <w:ind w:left="599" w:hanging="425"/>
            </w:pPr>
            <w:r w:rsidRPr="00AB0640">
              <w:t>hospitalisation for heart failure in the last five years</w:t>
            </w:r>
          </w:p>
          <w:p w14:paraId="522FB9D2" w14:textId="77777777" w:rsidR="00DE37CC" w:rsidRPr="00AB0640" w:rsidRDefault="00DE37CC" w:rsidP="008028C6">
            <w:pPr>
              <w:pStyle w:val="TableText0"/>
              <w:keepNext w:val="0"/>
              <w:keepLines w:val="0"/>
              <w:numPr>
                <w:ilvl w:val="0"/>
                <w:numId w:val="10"/>
              </w:numPr>
              <w:ind w:left="599" w:hanging="425"/>
            </w:pPr>
            <w:r w:rsidRPr="00AB0640">
              <w:t>atrial fibrillation or arrhythmia</w:t>
            </w:r>
          </w:p>
        </w:tc>
      </w:tr>
      <w:tr w:rsidR="00DE37CC" w:rsidRPr="00AB0640" w14:paraId="581E19C2" w14:textId="77777777" w:rsidTr="0065379D">
        <w:trPr>
          <w:cantSplit/>
          <w:trHeight w:val="20"/>
        </w:trPr>
        <w:tc>
          <w:tcPr>
            <w:tcW w:w="5000" w:type="pct"/>
            <w:shd w:val="clear" w:color="auto" w:fill="B8CCE4" w:themeFill="accent1" w:themeFillTint="66"/>
            <w:vAlign w:val="center"/>
            <w:hideMark/>
          </w:tcPr>
          <w:p w14:paraId="5B392E12" w14:textId="77777777" w:rsidR="00DE37CC" w:rsidRPr="00AB0640" w:rsidRDefault="00DE37CC" w:rsidP="008028C6">
            <w:pPr>
              <w:pStyle w:val="TableText0"/>
              <w:keepNext w:val="0"/>
              <w:keepLines w:val="0"/>
              <w:rPr>
                <w:b/>
              </w:rPr>
            </w:pPr>
            <w:r w:rsidRPr="00AB0640">
              <w:rPr>
                <w:b/>
              </w:rPr>
              <w:t xml:space="preserve">Administrative Advice: </w:t>
            </w:r>
          </w:p>
          <w:p w14:paraId="3BA93F3B" w14:textId="77777777" w:rsidR="00DE37CC" w:rsidRPr="00AB0640" w:rsidRDefault="00DE37CC" w:rsidP="008028C6">
            <w:pPr>
              <w:pStyle w:val="TableText0"/>
              <w:keepNext w:val="0"/>
              <w:keepLines w:val="0"/>
              <w:rPr>
                <w:bCs w:val="0"/>
              </w:rPr>
            </w:pPr>
            <w:r w:rsidRPr="00AB0640">
              <w:rPr>
                <w:bCs w:val="0"/>
              </w:rPr>
              <w:t>Applications for authorisation under this restriction may be made in real time using the Online PBS Authorities system (see www.servicesaustralia.gov.au/HPOS) or by telephone by contacting Services Australia on 1800 888 333.</w:t>
            </w:r>
          </w:p>
          <w:p w14:paraId="66EB9A57" w14:textId="77777777" w:rsidR="00DE37CC" w:rsidRPr="00AB0640" w:rsidRDefault="00DE37CC" w:rsidP="008028C6">
            <w:pPr>
              <w:pStyle w:val="TableText0"/>
              <w:keepNext w:val="0"/>
              <w:keepLines w:val="0"/>
              <w:rPr>
                <w:b/>
                <w:u w:val="single"/>
              </w:rPr>
            </w:pPr>
            <w:r w:rsidRPr="00AB0640">
              <w:rPr>
                <w:b/>
                <w:u w:val="single"/>
              </w:rPr>
              <w:t>Note</w:t>
            </w:r>
          </w:p>
          <w:p w14:paraId="778CE8A0" w14:textId="77777777" w:rsidR="00DE37CC" w:rsidRPr="00AB0640" w:rsidRDefault="00DE37CC" w:rsidP="008028C6">
            <w:pPr>
              <w:pStyle w:val="TableText0"/>
              <w:keepNext w:val="0"/>
              <w:keepLines w:val="0"/>
            </w:pPr>
            <w:r w:rsidRPr="00AB0640">
              <w:t>No increase in the maximum number of repeats may be authorised.</w:t>
            </w:r>
          </w:p>
          <w:p w14:paraId="73C526FA" w14:textId="77777777" w:rsidR="00DE37CC" w:rsidRPr="00AB0640" w:rsidRDefault="00DE37CC" w:rsidP="008028C6">
            <w:pPr>
              <w:pStyle w:val="TableText0"/>
              <w:keepNext w:val="0"/>
              <w:keepLines w:val="0"/>
              <w:rPr>
                <w:b/>
                <w:u w:val="single"/>
              </w:rPr>
            </w:pPr>
            <w:r w:rsidRPr="00AB0640">
              <w:rPr>
                <w:b/>
                <w:u w:val="single"/>
              </w:rPr>
              <w:t>Note</w:t>
            </w:r>
          </w:p>
          <w:p w14:paraId="6D75318A" w14:textId="77777777" w:rsidR="00DE37CC" w:rsidRPr="00AB0640" w:rsidRDefault="00DE37CC" w:rsidP="008028C6">
            <w:pPr>
              <w:pStyle w:val="TableText0"/>
              <w:keepNext w:val="0"/>
              <w:keepLines w:val="0"/>
            </w:pPr>
            <w:r w:rsidRPr="00AB0640">
              <w:t>No increase in the maximum quantity or number of units may be authorised.</w:t>
            </w:r>
          </w:p>
          <w:p w14:paraId="43FA6A8D" w14:textId="77777777" w:rsidR="00DE37CC" w:rsidRPr="00AB0640" w:rsidRDefault="00DE37CC" w:rsidP="008028C6">
            <w:pPr>
              <w:pStyle w:val="TableText0"/>
              <w:keepNext w:val="0"/>
              <w:keepLines w:val="0"/>
              <w:rPr>
                <w:b/>
                <w:u w:val="single"/>
              </w:rPr>
            </w:pPr>
            <w:r w:rsidRPr="00AB0640">
              <w:rPr>
                <w:b/>
                <w:u w:val="single"/>
              </w:rPr>
              <w:t>Note</w:t>
            </w:r>
          </w:p>
          <w:p w14:paraId="78D680F4" w14:textId="77777777" w:rsidR="00DE37CC" w:rsidRPr="00AB0640" w:rsidRDefault="00DE37CC" w:rsidP="008028C6">
            <w:pPr>
              <w:pStyle w:val="TableText0"/>
              <w:keepNext w:val="0"/>
              <w:keepLines w:val="0"/>
            </w:pPr>
            <w:r w:rsidRPr="00AB0640">
              <w:t>Special Pricing Arrangements apply.</w:t>
            </w:r>
          </w:p>
        </w:tc>
      </w:tr>
    </w:tbl>
    <w:p w14:paraId="17381E7E" w14:textId="77777777" w:rsidR="00EF5067" w:rsidRPr="00AB0640" w:rsidRDefault="00EF5067" w:rsidP="008028C6">
      <w:pPr>
        <w:rPr>
          <w:rFonts w:ascii="Arial Narrow" w:hAnsi="Arial Narrow"/>
          <w:sz w:val="18"/>
          <w:szCs w:val="18"/>
        </w:rPr>
      </w:pPr>
      <w:r w:rsidRPr="00AB0640">
        <w:rPr>
          <w:rFonts w:ascii="Arial Narrow" w:hAnsi="Arial Narrow"/>
          <w:sz w:val="18"/>
          <w:szCs w:val="18"/>
        </w:rPr>
        <w:t>Source: Table 1.9, p54 of the resubmission.</w:t>
      </w:r>
    </w:p>
    <w:p w14:paraId="3D67F50F" w14:textId="039FE731" w:rsidR="00DE37CC" w:rsidRDefault="00DE37CC" w:rsidP="008028C6">
      <w:pPr>
        <w:rPr>
          <w:rStyle w:val="CommentReference"/>
          <w:b w:val="0"/>
          <w:bCs/>
          <w:sz w:val="18"/>
          <w:szCs w:val="18"/>
        </w:rPr>
      </w:pPr>
      <w:r w:rsidRPr="00AB0640">
        <w:rPr>
          <w:rStyle w:val="CommentReference"/>
          <w:b w:val="0"/>
          <w:bCs/>
          <w:sz w:val="18"/>
          <w:szCs w:val="18"/>
          <w:shd w:val="clear" w:color="auto" w:fill="B8CCE4" w:themeFill="accent1" w:themeFillTint="66"/>
        </w:rPr>
        <w:t>Blue shading</w:t>
      </w:r>
      <w:r w:rsidRPr="00AB0640">
        <w:rPr>
          <w:rStyle w:val="CommentReference"/>
          <w:b w:val="0"/>
          <w:bCs/>
          <w:sz w:val="18"/>
          <w:szCs w:val="18"/>
        </w:rPr>
        <w:t xml:space="preserve"> indicates information previously seen by the PBAC.</w:t>
      </w:r>
    </w:p>
    <w:p w14:paraId="2AD81952" w14:textId="77777777" w:rsidR="005F0C4E" w:rsidRPr="00AB0640" w:rsidRDefault="005F0C4E" w:rsidP="008028C6">
      <w:pPr>
        <w:rPr>
          <w:color w:val="0066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Pr>
      <w:tblGrid>
        <w:gridCol w:w="9017"/>
      </w:tblGrid>
      <w:tr w:rsidR="00DE37CC" w:rsidRPr="00AB0640" w14:paraId="78C79305" w14:textId="77777777" w:rsidTr="0065379D">
        <w:trPr>
          <w:cantSplit/>
          <w:trHeight w:val="20"/>
        </w:trPr>
        <w:tc>
          <w:tcPr>
            <w:tcW w:w="5000" w:type="pct"/>
            <w:shd w:val="clear" w:color="auto" w:fill="B8CCE4" w:themeFill="accent1" w:themeFillTint="66"/>
          </w:tcPr>
          <w:p w14:paraId="0668AD28" w14:textId="77777777" w:rsidR="00DE37CC" w:rsidRPr="00AB0640" w:rsidRDefault="00DE37CC" w:rsidP="008028C6">
            <w:pPr>
              <w:pStyle w:val="TableText0"/>
              <w:keepNext w:val="0"/>
              <w:keepLines w:val="0"/>
            </w:pPr>
            <w:r w:rsidRPr="00AB0640">
              <w:rPr>
                <w:b/>
              </w:rPr>
              <w:t xml:space="preserve">Category / Program: </w:t>
            </w:r>
            <w:r w:rsidRPr="00AB0640">
              <w:rPr>
                <w:bCs w:val="0"/>
              </w:rPr>
              <w:t xml:space="preserve">Section 85 - </w:t>
            </w:r>
            <w:r w:rsidRPr="00AB0640">
              <w:t>General Schedule</w:t>
            </w:r>
          </w:p>
        </w:tc>
      </w:tr>
      <w:tr w:rsidR="00DE37CC" w:rsidRPr="00AB0640" w14:paraId="540D6DD2" w14:textId="77777777" w:rsidTr="0065379D">
        <w:trPr>
          <w:cantSplit/>
          <w:trHeight w:val="20"/>
        </w:trPr>
        <w:tc>
          <w:tcPr>
            <w:tcW w:w="5000" w:type="pct"/>
            <w:shd w:val="clear" w:color="auto" w:fill="B8CCE4" w:themeFill="accent1" w:themeFillTint="66"/>
          </w:tcPr>
          <w:p w14:paraId="1B602F90" w14:textId="77777777" w:rsidR="00DE37CC" w:rsidRPr="00AB0640" w:rsidRDefault="00DE37CC" w:rsidP="008028C6">
            <w:pPr>
              <w:pStyle w:val="TableText0"/>
              <w:keepNext w:val="0"/>
              <w:keepLines w:val="0"/>
              <w:rPr>
                <w:b/>
              </w:rPr>
            </w:pPr>
            <w:r w:rsidRPr="00AB0640">
              <w:rPr>
                <w:b/>
              </w:rPr>
              <w:t xml:space="preserve">Prescriber type: </w:t>
            </w:r>
            <w:r w:rsidRPr="00AB0640">
              <w:fldChar w:fldCharType="begin" w:fldLock="1">
                <w:ffData>
                  <w:name w:val="Check1"/>
                  <w:enabled/>
                  <w:calcOnExit w:val="0"/>
                  <w:checkBox>
                    <w:sizeAuto/>
                    <w:default w:val="0"/>
                  </w:checkBox>
                </w:ffData>
              </w:fldChar>
            </w:r>
            <w:r w:rsidRPr="00AB0640">
              <w:instrText xml:space="preserve"> FORMCHECKBOX </w:instrText>
            </w:r>
            <w:r w:rsidRPr="00AB0640">
              <w:fldChar w:fldCharType="separate"/>
            </w:r>
            <w:r w:rsidRPr="00AB0640">
              <w:fldChar w:fldCharType="end"/>
            </w:r>
            <w:r w:rsidRPr="00AB0640">
              <w:t xml:space="preserve">Dental </w:t>
            </w:r>
            <w:r w:rsidRPr="00AB0640">
              <w:fldChar w:fldCharType="begin" w:fldLock="1">
                <w:ffData>
                  <w:name w:val=""/>
                  <w:enabled/>
                  <w:calcOnExit w:val="0"/>
                  <w:checkBox>
                    <w:sizeAuto/>
                    <w:default w:val="1"/>
                  </w:checkBox>
                </w:ffData>
              </w:fldChar>
            </w:r>
            <w:r w:rsidRPr="00AB0640">
              <w:instrText xml:space="preserve"> FORMCHECKBOX </w:instrText>
            </w:r>
            <w:r w:rsidRPr="00AB0640">
              <w:fldChar w:fldCharType="separate"/>
            </w:r>
            <w:r w:rsidRPr="00AB0640">
              <w:fldChar w:fldCharType="end"/>
            </w:r>
            <w:r w:rsidRPr="00AB0640">
              <w:t xml:space="preserve">Medical Practitioners </w:t>
            </w:r>
            <w:r w:rsidRPr="00AB0640">
              <w:fldChar w:fldCharType="begin" w:fldLock="1">
                <w:ffData>
                  <w:name w:val="Check3"/>
                  <w:enabled/>
                  <w:calcOnExit w:val="0"/>
                  <w:checkBox>
                    <w:sizeAuto/>
                    <w:default w:val="0"/>
                  </w:checkBox>
                </w:ffData>
              </w:fldChar>
            </w:r>
            <w:r w:rsidRPr="00AB0640">
              <w:instrText xml:space="preserve"> FORMCHECKBOX </w:instrText>
            </w:r>
            <w:r w:rsidRPr="00AB0640">
              <w:fldChar w:fldCharType="separate"/>
            </w:r>
            <w:r w:rsidRPr="00AB0640">
              <w:fldChar w:fldCharType="end"/>
            </w:r>
            <w:r w:rsidRPr="00AB0640">
              <w:t xml:space="preserve">Nurse practitioners </w:t>
            </w:r>
            <w:r w:rsidRPr="00AB0640">
              <w:fldChar w:fldCharType="begin" w:fldLock="1">
                <w:ffData>
                  <w:name w:val=""/>
                  <w:enabled/>
                  <w:calcOnExit w:val="0"/>
                  <w:checkBox>
                    <w:sizeAuto/>
                    <w:default w:val="0"/>
                  </w:checkBox>
                </w:ffData>
              </w:fldChar>
            </w:r>
            <w:r w:rsidRPr="00AB0640">
              <w:instrText xml:space="preserve"> FORMCHECKBOX </w:instrText>
            </w:r>
            <w:r w:rsidRPr="00AB0640">
              <w:fldChar w:fldCharType="separate"/>
            </w:r>
            <w:r w:rsidRPr="00AB0640">
              <w:fldChar w:fldCharType="end"/>
            </w:r>
            <w:r w:rsidRPr="00AB0640">
              <w:t xml:space="preserve">Optometrists </w:t>
            </w:r>
            <w:r w:rsidRPr="00AB0640">
              <w:fldChar w:fldCharType="begin" w:fldLock="1">
                <w:ffData>
                  <w:name w:val="Check5"/>
                  <w:enabled/>
                  <w:calcOnExit w:val="0"/>
                  <w:checkBox>
                    <w:sizeAuto/>
                    <w:default w:val="0"/>
                  </w:checkBox>
                </w:ffData>
              </w:fldChar>
            </w:r>
            <w:r w:rsidRPr="00AB0640">
              <w:instrText xml:space="preserve"> FORMCHECKBOX </w:instrText>
            </w:r>
            <w:r w:rsidRPr="00AB0640">
              <w:fldChar w:fldCharType="separate"/>
            </w:r>
            <w:r w:rsidRPr="00AB0640">
              <w:fldChar w:fldCharType="end"/>
            </w:r>
          </w:p>
        </w:tc>
      </w:tr>
      <w:tr w:rsidR="00DE37CC" w:rsidRPr="00AB0640" w14:paraId="48EB07B4" w14:textId="77777777" w:rsidTr="0065379D">
        <w:trPr>
          <w:cantSplit/>
          <w:trHeight w:val="20"/>
        </w:trPr>
        <w:tc>
          <w:tcPr>
            <w:tcW w:w="5000" w:type="pct"/>
            <w:shd w:val="clear" w:color="auto" w:fill="B8CCE4" w:themeFill="accent1" w:themeFillTint="66"/>
          </w:tcPr>
          <w:p w14:paraId="223AE835" w14:textId="77777777" w:rsidR="00DE37CC" w:rsidRPr="00AB0640" w:rsidRDefault="00DE37CC" w:rsidP="008028C6">
            <w:pPr>
              <w:pStyle w:val="TableText0"/>
              <w:keepNext w:val="0"/>
              <w:keepLines w:val="0"/>
            </w:pPr>
            <w:r w:rsidRPr="00AB0640">
              <w:rPr>
                <w:b/>
              </w:rPr>
              <w:t xml:space="preserve">Restriction type: </w:t>
            </w:r>
            <w:r w:rsidRPr="00AB0640">
              <w:fldChar w:fldCharType="begin" w:fldLock="1">
                <w:ffData>
                  <w:name w:val="Check3"/>
                  <w:enabled/>
                  <w:calcOnExit w:val="0"/>
                  <w:checkBox>
                    <w:sizeAuto/>
                    <w:default w:val="1"/>
                  </w:checkBox>
                </w:ffData>
              </w:fldChar>
            </w:r>
            <w:r w:rsidRPr="00AB0640">
              <w:instrText xml:space="preserve"> FORMCHECKBOX </w:instrText>
            </w:r>
            <w:r w:rsidRPr="00AB0640">
              <w:fldChar w:fldCharType="separate"/>
            </w:r>
            <w:r w:rsidRPr="00AB0640">
              <w:fldChar w:fldCharType="end"/>
            </w:r>
            <w:r w:rsidRPr="00AB0640">
              <w:t xml:space="preserve">Authority Required (telephone/online PBS Authorities system) </w:t>
            </w:r>
          </w:p>
        </w:tc>
      </w:tr>
      <w:tr w:rsidR="00DE37CC" w:rsidRPr="00AB0640" w14:paraId="60986356" w14:textId="77777777" w:rsidTr="0065379D">
        <w:trPr>
          <w:cantSplit/>
          <w:trHeight w:val="20"/>
        </w:trPr>
        <w:tc>
          <w:tcPr>
            <w:tcW w:w="5000" w:type="pct"/>
            <w:shd w:val="clear" w:color="auto" w:fill="B8CCE4" w:themeFill="accent1" w:themeFillTint="66"/>
            <w:vAlign w:val="center"/>
            <w:hideMark/>
          </w:tcPr>
          <w:p w14:paraId="7B93650B" w14:textId="77777777" w:rsidR="00DE37CC" w:rsidRPr="00AB0640" w:rsidRDefault="00DE37CC" w:rsidP="008028C6">
            <w:pPr>
              <w:pStyle w:val="TableText0"/>
              <w:keepNext w:val="0"/>
              <w:keepLines w:val="0"/>
            </w:pPr>
            <w:r w:rsidRPr="00AB0640">
              <w:rPr>
                <w:b/>
              </w:rPr>
              <w:t>Indication:</w:t>
            </w:r>
            <w:r w:rsidRPr="00AB0640">
              <w:t xml:space="preserve"> Friedreich’s ataxia</w:t>
            </w:r>
          </w:p>
        </w:tc>
      </w:tr>
      <w:tr w:rsidR="00DE37CC" w:rsidRPr="00AB0640" w14:paraId="7C708D12" w14:textId="77777777" w:rsidTr="0065379D">
        <w:trPr>
          <w:cantSplit/>
          <w:trHeight w:val="20"/>
        </w:trPr>
        <w:tc>
          <w:tcPr>
            <w:tcW w:w="5000" w:type="pct"/>
            <w:shd w:val="clear" w:color="auto" w:fill="B8CCE4" w:themeFill="accent1" w:themeFillTint="66"/>
            <w:vAlign w:val="center"/>
            <w:hideMark/>
          </w:tcPr>
          <w:p w14:paraId="5127BC53" w14:textId="77777777" w:rsidR="00DE37CC" w:rsidRPr="00AB0640" w:rsidRDefault="00DE37CC" w:rsidP="008028C6">
            <w:pPr>
              <w:pStyle w:val="TableText0"/>
              <w:keepNext w:val="0"/>
              <w:keepLines w:val="0"/>
            </w:pPr>
            <w:r w:rsidRPr="00AB0640">
              <w:rPr>
                <w:b/>
              </w:rPr>
              <w:t>Treatment Phase:</w:t>
            </w:r>
            <w:r w:rsidRPr="00AB0640">
              <w:t xml:space="preserve"> Continuing treatment </w:t>
            </w:r>
          </w:p>
        </w:tc>
      </w:tr>
      <w:tr w:rsidR="00DE37CC" w:rsidRPr="00AB0640" w14:paraId="44BD9E64" w14:textId="77777777" w:rsidTr="0065379D">
        <w:trPr>
          <w:cantSplit/>
          <w:trHeight w:val="20"/>
        </w:trPr>
        <w:tc>
          <w:tcPr>
            <w:tcW w:w="5000" w:type="pct"/>
            <w:shd w:val="clear" w:color="auto" w:fill="B8CCE4" w:themeFill="accent1" w:themeFillTint="66"/>
            <w:vAlign w:val="center"/>
            <w:hideMark/>
          </w:tcPr>
          <w:p w14:paraId="04E0F257" w14:textId="77777777" w:rsidR="00DE37CC" w:rsidRPr="00AB0640" w:rsidRDefault="00DE37CC" w:rsidP="008028C6">
            <w:pPr>
              <w:pStyle w:val="TableText0"/>
              <w:keepNext w:val="0"/>
              <w:keepLines w:val="0"/>
              <w:rPr>
                <w:b/>
                <w:bCs w:val="0"/>
              </w:rPr>
            </w:pPr>
            <w:r w:rsidRPr="00AB0640">
              <w:rPr>
                <w:b/>
                <w:bCs w:val="0"/>
              </w:rPr>
              <w:t>Clinical criteria:</w:t>
            </w:r>
          </w:p>
        </w:tc>
      </w:tr>
      <w:tr w:rsidR="00DE37CC" w:rsidRPr="00AB0640" w14:paraId="6CDA420B" w14:textId="77777777" w:rsidTr="0065379D">
        <w:trPr>
          <w:cantSplit/>
          <w:trHeight w:val="20"/>
        </w:trPr>
        <w:tc>
          <w:tcPr>
            <w:tcW w:w="5000" w:type="pct"/>
            <w:shd w:val="clear" w:color="auto" w:fill="B8CCE4" w:themeFill="accent1" w:themeFillTint="66"/>
            <w:vAlign w:val="center"/>
            <w:hideMark/>
          </w:tcPr>
          <w:p w14:paraId="3972314E" w14:textId="77777777" w:rsidR="00DE37CC" w:rsidRPr="00AB0640" w:rsidRDefault="00DE37CC" w:rsidP="008028C6">
            <w:pPr>
              <w:pStyle w:val="TableText0"/>
              <w:keepNext w:val="0"/>
              <w:keepLines w:val="0"/>
            </w:pPr>
            <w:r w:rsidRPr="00AB0640">
              <w:t>Patient must have previously received PBS-subsidised treatment with this drug for this condition,</w:t>
            </w:r>
          </w:p>
        </w:tc>
      </w:tr>
      <w:tr w:rsidR="00DE37CC" w:rsidRPr="00AB0640" w14:paraId="71A19309" w14:textId="77777777" w:rsidTr="0065379D">
        <w:trPr>
          <w:cantSplit/>
          <w:trHeight w:val="20"/>
        </w:trPr>
        <w:tc>
          <w:tcPr>
            <w:tcW w:w="5000" w:type="pct"/>
            <w:vAlign w:val="center"/>
            <w:hideMark/>
          </w:tcPr>
          <w:p w14:paraId="0C248F7E" w14:textId="77777777" w:rsidR="00DE37CC" w:rsidRPr="00AB0640" w:rsidRDefault="00DE37CC" w:rsidP="008028C6">
            <w:pPr>
              <w:pStyle w:val="TableText0"/>
              <w:keepNext w:val="0"/>
              <w:keepLines w:val="0"/>
            </w:pPr>
            <w:r w:rsidRPr="00AB0640">
              <w:lastRenderedPageBreak/>
              <w:t>AND</w:t>
            </w:r>
          </w:p>
        </w:tc>
      </w:tr>
      <w:tr w:rsidR="00DE37CC" w:rsidRPr="00AB0640" w14:paraId="3E9B5788" w14:textId="77777777" w:rsidTr="0065379D">
        <w:trPr>
          <w:cantSplit/>
          <w:trHeight w:val="20"/>
        </w:trPr>
        <w:tc>
          <w:tcPr>
            <w:tcW w:w="5000" w:type="pct"/>
            <w:vAlign w:val="center"/>
            <w:hideMark/>
          </w:tcPr>
          <w:p w14:paraId="5E92BE4C" w14:textId="77777777" w:rsidR="00DE37CC" w:rsidRPr="00AB0640" w:rsidRDefault="00DE37CC" w:rsidP="008028C6">
            <w:pPr>
              <w:pStyle w:val="TableText0"/>
              <w:keepNext w:val="0"/>
              <w:keepLines w:val="0"/>
            </w:pPr>
            <w:r w:rsidRPr="00AB0640">
              <w:t>Patient must continue to demonstrate clinical benefit,</w:t>
            </w:r>
          </w:p>
        </w:tc>
      </w:tr>
      <w:tr w:rsidR="00DE37CC" w:rsidRPr="00AB0640" w14:paraId="220C43DE" w14:textId="77777777" w:rsidTr="0065379D">
        <w:trPr>
          <w:cantSplit/>
          <w:trHeight w:val="20"/>
        </w:trPr>
        <w:tc>
          <w:tcPr>
            <w:tcW w:w="5000" w:type="pct"/>
            <w:shd w:val="clear" w:color="auto" w:fill="B8CCE4" w:themeFill="accent1" w:themeFillTint="66"/>
            <w:vAlign w:val="center"/>
          </w:tcPr>
          <w:p w14:paraId="6879C1CA" w14:textId="77777777" w:rsidR="00DE37CC" w:rsidRPr="00AB0640" w:rsidRDefault="00DE37CC" w:rsidP="008028C6">
            <w:pPr>
              <w:pStyle w:val="TableText0"/>
              <w:keepNext w:val="0"/>
              <w:keepLines w:val="0"/>
            </w:pPr>
            <w:r w:rsidRPr="00AB0640">
              <w:t>AND</w:t>
            </w:r>
          </w:p>
        </w:tc>
      </w:tr>
      <w:tr w:rsidR="00DE37CC" w:rsidRPr="00AB0640" w14:paraId="157B1B7A" w14:textId="77777777" w:rsidTr="0065379D">
        <w:trPr>
          <w:cantSplit/>
          <w:trHeight w:val="20"/>
        </w:trPr>
        <w:tc>
          <w:tcPr>
            <w:tcW w:w="5000" w:type="pct"/>
            <w:shd w:val="clear" w:color="auto" w:fill="B8CCE4" w:themeFill="accent1" w:themeFillTint="66"/>
            <w:vAlign w:val="center"/>
          </w:tcPr>
          <w:p w14:paraId="4B945B30" w14:textId="77777777" w:rsidR="00DE37CC" w:rsidRPr="00AB0640" w:rsidRDefault="00DE37CC" w:rsidP="008028C6">
            <w:pPr>
              <w:pStyle w:val="TableText0"/>
              <w:keepNext w:val="0"/>
              <w:keepLines w:val="0"/>
            </w:pPr>
            <w:r w:rsidRPr="00AB0640">
              <w:t>Patients with a history of clinically significant cardiac disease must show evidence that their disease is haemodynamically stable prior to continuing treatment (e.g. echocardiogram, electrocardiogram), records must be no more than 12 months old,</w:t>
            </w:r>
          </w:p>
        </w:tc>
      </w:tr>
      <w:tr w:rsidR="00DE37CC" w:rsidRPr="00AB0640" w14:paraId="784237DE" w14:textId="77777777" w:rsidTr="0065379D">
        <w:trPr>
          <w:cantSplit/>
          <w:trHeight w:val="20"/>
        </w:trPr>
        <w:tc>
          <w:tcPr>
            <w:tcW w:w="5000" w:type="pct"/>
            <w:shd w:val="clear" w:color="auto" w:fill="B8CCE4" w:themeFill="accent1" w:themeFillTint="66"/>
            <w:vAlign w:val="center"/>
            <w:hideMark/>
          </w:tcPr>
          <w:p w14:paraId="2ED9E566" w14:textId="77777777" w:rsidR="00DE37CC" w:rsidRPr="00AB0640" w:rsidRDefault="00DE37CC" w:rsidP="008028C6">
            <w:pPr>
              <w:pStyle w:val="TableText0"/>
              <w:keepNext w:val="0"/>
              <w:keepLines w:val="0"/>
            </w:pPr>
            <w:r w:rsidRPr="00AB0640">
              <w:t>AND</w:t>
            </w:r>
          </w:p>
        </w:tc>
      </w:tr>
      <w:tr w:rsidR="00DE37CC" w:rsidRPr="00AB0640" w14:paraId="2FD4C991" w14:textId="77777777" w:rsidTr="0065379D">
        <w:trPr>
          <w:cantSplit/>
          <w:trHeight w:val="20"/>
        </w:trPr>
        <w:tc>
          <w:tcPr>
            <w:tcW w:w="5000" w:type="pct"/>
            <w:shd w:val="clear" w:color="auto" w:fill="B8CCE4" w:themeFill="accent1" w:themeFillTint="66"/>
            <w:vAlign w:val="center"/>
          </w:tcPr>
          <w:p w14:paraId="1F663A3C" w14:textId="77777777" w:rsidR="00DE37CC" w:rsidRPr="00AB0640" w:rsidRDefault="00DE37CC" w:rsidP="008028C6">
            <w:pPr>
              <w:pStyle w:val="TableText0"/>
              <w:keepNext w:val="0"/>
              <w:keepLines w:val="0"/>
            </w:pPr>
            <w:r w:rsidRPr="00AB0640">
              <w:t>The treatment must be given concomitantly with best supportive care for this condition</w:t>
            </w:r>
          </w:p>
        </w:tc>
      </w:tr>
      <w:tr w:rsidR="00DE37CC" w:rsidRPr="00AB0640" w14:paraId="36614BA7" w14:textId="77777777" w:rsidTr="0065379D">
        <w:trPr>
          <w:cantSplit/>
          <w:trHeight w:val="20"/>
        </w:trPr>
        <w:tc>
          <w:tcPr>
            <w:tcW w:w="5000" w:type="pct"/>
            <w:shd w:val="clear" w:color="auto" w:fill="B8CCE4" w:themeFill="accent1" w:themeFillTint="66"/>
            <w:vAlign w:val="center"/>
            <w:hideMark/>
          </w:tcPr>
          <w:p w14:paraId="11459B3E" w14:textId="77777777" w:rsidR="00DE37CC" w:rsidRPr="00AB0640" w:rsidRDefault="00DE37CC" w:rsidP="008028C6">
            <w:pPr>
              <w:pStyle w:val="TableText0"/>
              <w:keepNext w:val="0"/>
              <w:keepLines w:val="0"/>
            </w:pPr>
            <w:r w:rsidRPr="00AB0640">
              <w:rPr>
                <w:b/>
                <w:bCs w:val="0"/>
              </w:rPr>
              <w:t>Treatment criteria</w:t>
            </w:r>
            <w:r w:rsidRPr="00AB0640">
              <w:t>:</w:t>
            </w:r>
          </w:p>
        </w:tc>
      </w:tr>
      <w:tr w:rsidR="00DE37CC" w:rsidRPr="00AB0640" w14:paraId="25DE18F4" w14:textId="77777777" w:rsidTr="0065379D">
        <w:trPr>
          <w:cantSplit/>
          <w:trHeight w:val="20"/>
        </w:trPr>
        <w:tc>
          <w:tcPr>
            <w:tcW w:w="5000" w:type="pct"/>
            <w:shd w:val="clear" w:color="auto" w:fill="B8CCE4" w:themeFill="accent1" w:themeFillTint="66"/>
            <w:vAlign w:val="center"/>
            <w:hideMark/>
          </w:tcPr>
          <w:p w14:paraId="4DA00D00" w14:textId="77777777" w:rsidR="00DE37CC" w:rsidRPr="00AB0640" w:rsidRDefault="00DE37CC" w:rsidP="008028C6">
            <w:pPr>
              <w:pStyle w:val="TableText0"/>
              <w:keepNext w:val="0"/>
              <w:keepLines w:val="0"/>
            </w:pPr>
            <w:r w:rsidRPr="00AB0640">
              <w:t>Patient must be under the management of a specialist with experience and expertise in the management of Friedreich's ataxia.</w:t>
            </w:r>
          </w:p>
          <w:p w14:paraId="101F8FD8" w14:textId="77777777" w:rsidR="00DE37CC" w:rsidRPr="00AB0640" w:rsidRDefault="00DE37CC" w:rsidP="008028C6">
            <w:pPr>
              <w:pStyle w:val="TableText0"/>
              <w:keepNext w:val="0"/>
              <w:keepLines w:val="0"/>
              <w:rPr>
                <w:i/>
                <w:iCs/>
              </w:rPr>
            </w:pPr>
            <w:r w:rsidRPr="00AB0640">
              <w:t>If attendance at such a unit is not possible because of geographical isolation, management (including prescribing) may be in consultation with such a unit</w:t>
            </w:r>
          </w:p>
        </w:tc>
      </w:tr>
      <w:tr w:rsidR="00DE37CC" w:rsidRPr="00AB0640" w14:paraId="43BC9796" w14:textId="77777777" w:rsidTr="0065379D">
        <w:trPr>
          <w:cantSplit/>
          <w:trHeight w:val="20"/>
        </w:trPr>
        <w:tc>
          <w:tcPr>
            <w:tcW w:w="5000" w:type="pct"/>
            <w:shd w:val="clear" w:color="auto" w:fill="B8CCE4" w:themeFill="accent1" w:themeFillTint="66"/>
            <w:vAlign w:val="center"/>
            <w:hideMark/>
          </w:tcPr>
          <w:p w14:paraId="5470070E" w14:textId="77777777" w:rsidR="00DE37CC" w:rsidRPr="00AB0640" w:rsidRDefault="00DE37CC" w:rsidP="008028C6">
            <w:pPr>
              <w:pStyle w:val="TableText0"/>
              <w:keepNext w:val="0"/>
              <w:keepLines w:val="0"/>
            </w:pPr>
            <w:r w:rsidRPr="00AB0640">
              <w:rPr>
                <w:b/>
              </w:rPr>
              <w:t>Prescribing Instructions:</w:t>
            </w:r>
          </w:p>
          <w:p w14:paraId="68CB89B0" w14:textId="77777777" w:rsidR="00DE37CC" w:rsidRPr="00AB0640" w:rsidRDefault="00DE37CC" w:rsidP="008028C6">
            <w:pPr>
              <w:pStyle w:val="TableText0"/>
              <w:keepNext w:val="0"/>
              <w:keepLines w:val="0"/>
              <w:rPr>
                <w:b/>
                <w:u w:val="single"/>
              </w:rPr>
            </w:pPr>
            <w:r w:rsidRPr="00AB0640" w:rsidDel="00910BAA">
              <w:rPr>
                <w:b/>
                <w:u w:val="single"/>
              </w:rPr>
              <w:t>Note</w:t>
            </w:r>
          </w:p>
          <w:p w14:paraId="636E0A77" w14:textId="77777777" w:rsidR="00DE37CC" w:rsidRPr="00AB0640" w:rsidRDefault="00DE37CC" w:rsidP="008028C6">
            <w:pPr>
              <w:pStyle w:val="TableText0"/>
              <w:keepNext w:val="0"/>
              <w:keepLines w:val="0"/>
            </w:pPr>
            <w:r w:rsidRPr="00AB0640">
              <w:t>Clinically significant cardiac disease is defined as;</w:t>
            </w:r>
          </w:p>
          <w:p w14:paraId="0F9455CB" w14:textId="77777777" w:rsidR="00DE37CC" w:rsidRPr="00AB0640" w:rsidRDefault="00DE37CC" w:rsidP="008028C6">
            <w:pPr>
              <w:pStyle w:val="TableText0"/>
              <w:keepNext w:val="0"/>
              <w:keepLines w:val="0"/>
              <w:numPr>
                <w:ilvl w:val="0"/>
                <w:numId w:val="12"/>
              </w:numPr>
              <w:ind w:left="599" w:hanging="425"/>
            </w:pPr>
            <w:r w:rsidRPr="00AB0640">
              <w:t>congenital or acquired valvular disease</w:t>
            </w:r>
          </w:p>
          <w:p w14:paraId="48AC0910" w14:textId="77777777" w:rsidR="00DE37CC" w:rsidRPr="00AB0640" w:rsidRDefault="00DE37CC" w:rsidP="008028C6">
            <w:pPr>
              <w:pStyle w:val="TableText0"/>
              <w:keepNext w:val="0"/>
              <w:keepLines w:val="0"/>
              <w:numPr>
                <w:ilvl w:val="0"/>
                <w:numId w:val="12"/>
              </w:numPr>
              <w:ind w:left="599" w:hanging="425"/>
            </w:pPr>
            <w:r w:rsidRPr="00AB0640">
              <w:t>pericardial constriction</w:t>
            </w:r>
          </w:p>
          <w:p w14:paraId="0AE48D1F" w14:textId="77777777" w:rsidR="00DE37CC" w:rsidRPr="00AB0640" w:rsidRDefault="00DE37CC" w:rsidP="008028C6">
            <w:pPr>
              <w:pStyle w:val="TableText0"/>
              <w:keepNext w:val="0"/>
              <w:keepLines w:val="0"/>
              <w:numPr>
                <w:ilvl w:val="0"/>
                <w:numId w:val="12"/>
              </w:numPr>
              <w:ind w:left="599" w:hanging="425"/>
            </w:pPr>
            <w:r w:rsidRPr="00AB0640">
              <w:t>restrictive or congestive cardiomyopathy</w:t>
            </w:r>
          </w:p>
          <w:p w14:paraId="7D069DB9" w14:textId="77777777" w:rsidR="00DE37CC" w:rsidRPr="00AB0640" w:rsidRDefault="00DE37CC" w:rsidP="008028C6">
            <w:pPr>
              <w:pStyle w:val="TableText0"/>
              <w:keepNext w:val="0"/>
              <w:keepLines w:val="0"/>
              <w:numPr>
                <w:ilvl w:val="0"/>
                <w:numId w:val="12"/>
              </w:numPr>
              <w:ind w:left="599" w:hanging="425"/>
            </w:pPr>
            <w:r w:rsidRPr="00AB0640">
              <w:t>coronary disease (prior myocardial infarction, percutaneous coronary intervention, coronary artery bypass graft surgery, or angina)</w:t>
            </w:r>
          </w:p>
          <w:p w14:paraId="01DDBCA5" w14:textId="77777777" w:rsidR="00DE37CC" w:rsidRPr="00AB0640" w:rsidRDefault="00DE37CC" w:rsidP="008028C6">
            <w:pPr>
              <w:pStyle w:val="TableText0"/>
              <w:keepNext w:val="0"/>
              <w:keepLines w:val="0"/>
              <w:numPr>
                <w:ilvl w:val="0"/>
                <w:numId w:val="12"/>
              </w:numPr>
              <w:ind w:left="599" w:hanging="425"/>
            </w:pPr>
            <w:r w:rsidRPr="00AB0640">
              <w:t>hospitalisation for heart failure in the last five years</w:t>
            </w:r>
          </w:p>
          <w:p w14:paraId="329AB1ED" w14:textId="77777777" w:rsidR="00DE37CC" w:rsidRPr="00AB0640" w:rsidRDefault="00DE37CC" w:rsidP="008028C6">
            <w:pPr>
              <w:pStyle w:val="TableText0"/>
              <w:keepNext w:val="0"/>
              <w:keepLines w:val="0"/>
              <w:numPr>
                <w:ilvl w:val="0"/>
                <w:numId w:val="12"/>
              </w:numPr>
              <w:ind w:left="599" w:hanging="425"/>
            </w:pPr>
            <w:r w:rsidRPr="00AB0640">
              <w:t>atrial fibrillation or arrhythmia</w:t>
            </w:r>
          </w:p>
          <w:p w14:paraId="73A89C7A" w14:textId="77777777" w:rsidR="00DE37CC" w:rsidRPr="00AB0640" w:rsidRDefault="00DE37CC" w:rsidP="008028C6">
            <w:pPr>
              <w:pStyle w:val="TableText0"/>
              <w:keepNext w:val="0"/>
              <w:keepLines w:val="0"/>
            </w:pPr>
          </w:p>
          <w:p w14:paraId="2687DAD3" w14:textId="77777777" w:rsidR="00DE37CC" w:rsidRPr="00AB0640" w:rsidRDefault="00DE37CC" w:rsidP="008028C6">
            <w:pPr>
              <w:pStyle w:val="TableText0"/>
              <w:keepNext w:val="0"/>
              <w:keepLines w:val="0"/>
            </w:pPr>
            <w:r w:rsidRPr="00AB0640" w:rsidDel="00910BAA">
              <w:rPr>
                <w:b/>
                <w:u w:val="single"/>
              </w:rPr>
              <w:t>Note</w:t>
            </w:r>
          </w:p>
          <w:p w14:paraId="44E296B6" w14:textId="77777777" w:rsidR="00DE37CC" w:rsidRPr="00AB0640" w:rsidRDefault="00DE37CC" w:rsidP="008028C6">
            <w:pPr>
              <w:pStyle w:val="TableText0"/>
              <w:keepNext w:val="0"/>
              <w:keepLines w:val="0"/>
            </w:pPr>
            <w:r w:rsidRPr="00AB0640">
              <w:t>The decision to permanently discontinue treatment with omaveloxolone for a particular patient needs to be taken in consultation with the patient and the treating physician and agreed by all parties.</w:t>
            </w:r>
          </w:p>
        </w:tc>
      </w:tr>
      <w:tr w:rsidR="00DE37CC" w:rsidRPr="00AB0640" w14:paraId="254FE8C4" w14:textId="77777777" w:rsidTr="0065379D">
        <w:trPr>
          <w:cantSplit/>
          <w:trHeight w:val="20"/>
        </w:trPr>
        <w:tc>
          <w:tcPr>
            <w:tcW w:w="5000" w:type="pct"/>
            <w:shd w:val="clear" w:color="auto" w:fill="B8CCE4" w:themeFill="accent1" w:themeFillTint="66"/>
            <w:vAlign w:val="center"/>
            <w:hideMark/>
          </w:tcPr>
          <w:p w14:paraId="35103CAB" w14:textId="77777777" w:rsidR="00DE37CC" w:rsidRPr="00AB0640" w:rsidRDefault="00DE37CC" w:rsidP="008028C6">
            <w:pPr>
              <w:pStyle w:val="TableText0"/>
              <w:keepNext w:val="0"/>
              <w:keepLines w:val="0"/>
              <w:rPr>
                <w:b/>
              </w:rPr>
            </w:pPr>
            <w:r w:rsidRPr="00AB0640">
              <w:rPr>
                <w:b/>
              </w:rPr>
              <w:t xml:space="preserve">Administrative Advice: </w:t>
            </w:r>
          </w:p>
          <w:p w14:paraId="4AF44A88" w14:textId="77777777" w:rsidR="00DE37CC" w:rsidRPr="00AB0640" w:rsidRDefault="00DE37CC" w:rsidP="008028C6">
            <w:pPr>
              <w:pStyle w:val="TableText0"/>
              <w:keepNext w:val="0"/>
              <w:keepLines w:val="0"/>
              <w:rPr>
                <w:bCs w:val="0"/>
              </w:rPr>
            </w:pPr>
            <w:r w:rsidRPr="00AB0640">
              <w:rPr>
                <w:bCs w:val="0"/>
              </w:rPr>
              <w:t>Applications for authorisation under this restriction may be made in real time using the Online PBS Authorities system (see www.servicesaustralia.gov.au/HPOS) or by telephone by contacting Services Australia on 1800 888 333.</w:t>
            </w:r>
          </w:p>
          <w:p w14:paraId="18DC1827" w14:textId="77777777" w:rsidR="00DE37CC" w:rsidRPr="00AB0640" w:rsidRDefault="00DE37CC" w:rsidP="008028C6">
            <w:pPr>
              <w:pStyle w:val="TableText0"/>
              <w:keepNext w:val="0"/>
              <w:keepLines w:val="0"/>
              <w:rPr>
                <w:b/>
                <w:u w:val="single"/>
              </w:rPr>
            </w:pPr>
            <w:r w:rsidRPr="00AB0640">
              <w:rPr>
                <w:b/>
                <w:u w:val="single"/>
              </w:rPr>
              <w:t>Note</w:t>
            </w:r>
          </w:p>
          <w:p w14:paraId="4E97545A" w14:textId="77777777" w:rsidR="00DE37CC" w:rsidRPr="00AB0640" w:rsidRDefault="00DE37CC" w:rsidP="008028C6">
            <w:pPr>
              <w:pStyle w:val="TableText0"/>
              <w:keepNext w:val="0"/>
              <w:keepLines w:val="0"/>
            </w:pPr>
            <w:r w:rsidRPr="00AB0640">
              <w:t>No increase in the maximum number of repeats may be authorised.</w:t>
            </w:r>
          </w:p>
          <w:p w14:paraId="1E8BE5C7" w14:textId="77777777" w:rsidR="00DE37CC" w:rsidRPr="00AB0640" w:rsidRDefault="00DE37CC" w:rsidP="008028C6">
            <w:pPr>
              <w:pStyle w:val="TableText0"/>
              <w:keepNext w:val="0"/>
              <w:keepLines w:val="0"/>
              <w:rPr>
                <w:b/>
                <w:u w:val="single"/>
              </w:rPr>
            </w:pPr>
            <w:r w:rsidRPr="00AB0640">
              <w:rPr>
                <w:b/>
                <w:u w:val="single"/>
              </w:rPr>
              <w:t>Note</w:t>
            </w:r>
          </w:p>
          <w:p w14:paraId="77FAB80A" w14:textId="77777777" w:rsidR="00DE37CC" w:rsidRPr="00AB0640" w:rsidRDefault="00DE37CC" w:rsidP="008028C6">
            <w:pPr>
              <w:pStyle w:val="TableText0"/>
              <w:keepNext w:val="0"/>
              <w:keepLines w:val="0"/>
            </w:pPr>
            <w:r w:rsidRPr="00AB0640">
              <w:t>No increase in the maximum quantity or number of units may be authorised.</w:t>
            </w:r>
          </w:p>
          <w:p w14:paraId="6873530A" w14:textId="77777777" w:rsidR="00DE37CC" w:rsidRPr="00AB0640" w:rsidRDefault="00DE37CC" w:rsidP="008028C6">
            <w:pPr>
              <w:pStyle w:val="TableText0"/>
              <w:keepNext w:val="0"/>
              <w:keepLines w:val="0"/>
              <w:rPr>
                <w:b/>
                <w:u w:val="single"/>
              </w:rPr>
            </w:pPr>
            <w:r w:rsidRPr="00AB0640">
              <w:rPr>
                <w:b/>
                <w:u w:val="single"/>
              </w:rPr>
              <w:t>Note</w:t>
            </w:r>
          </w:p>
          <w:p w14:paraId="2B4586C4" w14:textId="77777777" w:rsidR="00DE37CC" w:rsidRPr="00AB0640" w:rsidRDefault="00DE37CC" w:rsidP="008028C6">
            <w:pPr>
              <w:pStyle w:val="TableText0"/>
              <w:keepNext w:val="0"/>
              <w:keepLines w:val="0"/>
            </w:pPr>
            <w:r w:rsidRPr="00AB0640">
              <w:t>Special Pricing Arrangements apply.</w:t>
            </w:r>
          </w:p>
        </w:tc>
      </w:tr>
    </w:tbl>
    <w:p w14:paraId="4FCA4133" w14:textId="77777777" w:rsidR="00EF5067" w:rsidRPr="00AB0640" w:rsidRDefault="00EF5067" w:rsidP="008028C6">
      <w:pPr>
        <w:rPr>
          <w:rStyle w:val="CommentReference"/>
          <w:b w:val="0"/>
          <w:bCs/>
          <w:sz w:val="18"/>
          <w:szCs w:val="18"/>
          <w:shd w:val="clear" w:color="auto" w:fill="B8CCE4" w:themeFill="accent1" w:themeFillTint="66"/>
        </w:rPr>
      </w:pPr>
      <w:r w:rsidRPr="00AB0640">
        <w:rPr>
          <w:rFonts w:ascii="Arial Narrow" w:hAnsi="Arial Narrow"/>
          <w:sz w:val="18"/>
          <w:szCs w:val="18"/>
        </w:rPr>
        <w:t>Source: Table 1.10, p57 of the resubmission</w:t>
      </w:r>
      <w:r w:rsidRPr="00AB0640">
        <w:rPr>
          <w:rStyle w:val="CommentReference"/>
          <w:b w:val="0"/>
          <w:bCs/>
          <w:sz w:val="18"/>
          <w:szCs w:val="18"/>
          <w:shd w:val="clear" w:color="auto" w:fill="B8CCE4" w:themeFill="accent1" w:themeFillTint="66"/>
        </w:rPr>
        <w:t xml:space="preserve"> </w:t>
      </w:r>
    </w:p>
    <w:p w14:paraId="22BAEBD6" w14:textId="542FFB58" w:rsidR="00046D64" w:rsidRPr="00AB0640" w:rsidRDefault="00DE37CC" w:rsidP="008028C6">
      <w:r w:rsidRPr="00AB0640">
        <w:rPr>
          <w:rStyle w:val="CommentReference"/>
          <w:b w:val="0"/>
          <w:bCs/>
          <w:sz w:val="18"/>
          <w:szCs w:val="18"/>
          <w:shd w:val="clear" w:color="auto" w:fill="B8CCE4" w:themeFill="accent1" w:themeFillTint="66"/>
        </w:rPr>
        <w:t>Blue shading</w:t>
      </w:r>
      <w:r w:rsidRPr="00AB0640">
        <w:rPr>
          <w:rStyle w:val="CommentReference"/>
          <w:b w:val="0"/>
          <w:bCs/>
          <w:sz w:val="18"/>
          <w:szCs w:val="18"/>
        </w:rPr>
        <w:t xml:space="preserve"> indicates information previously seen by the PBAC.</w:t>
      </w:r>
    </w:p>
    <w:p w14:paraId="56588331" w14:textId="7B58349B" w:rsidR="00FC7214" w:rsidRPr="00F770A1" w:rsidRDefault="00912341" w:rsidP="008028C6">
      <w:pPr>
        <w:pStyle w:val="3-BodyText"/>
      </w:pPr>
      <w:r w:rsidRPr="00F770A1">
        <w:rPr>
          <w:color w:val="000000" w:themeColor="text1"/>
        </w:rPr>
        <w:t>T</w:t>
      </w:r>
      <w:r w:rsidR="00FC7214" w:rsidRPr="00F770A1">
        <w:rPr>
          <w:color w:val="000000" w:themeColor="text1"/>
        </w:rPr>
        <w:t>he resubmission</w:t>
      </w:r>
      <w:r w:rsidR="009A7399" w:rsidRPr="00F770A1">
        <w:rPr>
          <w:color w:val="000000" w:themeColor="text1"/>
        </w:rPr>
        <w:t xml:space="preserve"> proposed a </w:t>
      </w:r>
      <w:r w:rsidR="00AF41C7" w:rsidRPr="00F770A1">
        <w:rPr>
          <w:color w:val="000000" w:themeColor="text1"/>
        </w:rPr>
        <w:t>SPA</w:t>
      </w:r>
      <w:r w:rsidR="009A7399" w:rsidRPr="00F770A1">
        <w:rPr>
          <w:color w:val="000000" w:themeColor="text1"/>
        </w:rPr>
        <w:t xml:space="preserve"> </w:t>
      </w:r>
      <w:r w:rsidR="0007684A" w:rsidRPr="00F770A1">
        <w:rPr>
          <w:color w:val="000000" w:themeColor="text1"/>
        </w:rPr>
        <w:t xml:space="preserve">with </w:t>
      </w:r>
      <w:r w:rsidR="00921AFB" w:rsidRPr="00F770A1">
        <w:rPr>
          <w:color w:val="000000" w:themeColor="text1"/>
        </w:rPr>
        <w:t>an</w:t>
      </w:r>
      <w:r w:rsidR="00FC7214" w:rsidRPr="00F770A1">
        <w:rPr>
          <w:color w:val="000000" w:themeColor="text1"/>
        </w:rPr>
        <w:t xml:space="preserve"> effective </w:t>
      </w:r>
      <w:r w:rsidR="00F56F7B" w:rsidRPr="00F770A1">
        <w:rPr>
          <w:color w:val="000000" w:themeColor="text1"/>
        </w:rPr>
        <w:t xml:space="preserve">ex-manufacturer </w:t>
      </w:r>
      <w:r w:rsidR="00FC7214" w:rsidRPr="00F770A1">
        <w:rPr>
          <w:color w:val="000000" w:themeColor="text1"/>
        </w:rPr>
        <w:t>price</w:t>
      </w:r>
      <w:r w:rsidR="0007684A" w:rsidRPr="00F770A1">
        <w:rPr>
          <w:color w:val="000000" w:themeColor="text1"/>
        </w:rPr>
        <w:t xml:space="preserve"> (EMP)</w:t>
      </w:r>
      <w:r w:rsidR="00FC7214" w:rsidRPr="00F770A1">
        <w:rPr>
          <w:color w:val="000000" w:themeColor="text1"/>
        </w:rPr>
        <w:t xml:space="preserve"> </w:t>
      </w:r>
      <w:r w:rsidR="00F56F7B" w:rsidRPr="00F770A1">
        <w:rPr>
          <w:color w:val="000000" w:themeColor="text1"/>
        </w:rPr>
        <w:t xml:space="preserve">of </w:t>
      </w:r>
      <w:r w:rsidR="00FC7214" w:rsidRPr="00F770A1">
        <w:rPr>
          <w:color w:val="000000" w:themeColor="text1"/>
        </w:rPr>
        <w:t>$</w:t>
      </w:r>
      <w:r w:rsidR="001F43CD" w:rsidRPr="001F43CD">
        <w:rPr>
          <w:color w:val="000000" w:themeColor="text1"/>
          <w:highlight w:val="black"/>
        </w:rPr>
        <w:t>@@@@</w:t>
      </w:r>
      <w:r w:rsidR="00FC7214" w:rsidRPr="00F770A1">
        <w:rPr>
          <w:color w:val="000000" w:themeColor="text1"/>
        </w:rPr>
        <w:t xml:space="preserve"> per </w:t>
      </w:r>
      <w:r w:rsidR="00921AFB" w:rsidRPr="00F770A1">
        <w:rPr>
          <w:color w:val="000000" w:themeColor="text1"/>
        </w:rPr>
        <w:t>pack</w:t>
      </w:r>
      <w:r w:rsidR="00FC7214" w:rsidRPr="00F770A1">
        <w:rPr>
          <w:color w:val="000000" w:themeColor="text1"/>
        </w:rPr>
        <w:t xml:space="preserve"> </w:t>
      </w:r>
      <w:r w:rsidR="0007684A" w:rsidRPr="00F770A1">
        <w:rPr>
          <w:color w:val="000000" w:themeColor="text1"/>
        </w:rPr>
        <w:t xml:space="preserve">which </w:t>
      </w:r>
      <w:r w:rsidR="00FC7214" w:rsidRPr="00F770A1">
        <w:rPr>
          <w:color w:val="000000" w:themeColor="text1"/>
        </w:rPr>
        <w:t>represent</w:t>
      </w:r>
      <w:r w:rsidR="0007684A" w:rsidRPr="00F770A1">
        <w:rPr>
          <w:color w:val="000000" w:themeColor="text1"/>
        </w:rPr>
        <w:t>ed</w:t>
      </w:r>
      <w:r w:rsidR="00FC7214" w:rsidRPr="00F770A1">
        <w:rPr>
          <w:color w:val="000000" w:themeColor="text1"/>
        </w:rPr>
        <w:t xml:space="preserve"> a </w:t>
      </w:r>
      <w:r w:rsidR="001F43CD" w:rsidRPr="001F43CD">
        <w:rPr>
          <w:color w:val="000000" w:themeColor="text1"/>
          <w:highlight w:val="black"/>
        </w:rPr>
        <w:t>@@@@</w:t>
      </w:r>
      <w:r w:rsidR="00FC7214" w:rsidRPr="00F770A1">
        <w:rPr>
          <w:color w:val="000000" w:themeColor="text1"/>
        </w:rPr>
        <w:t xml:space="preserve">% reduction from the </w:t>
      </w:r>
      <w:r w:rsidR="0007684A" w:rsidRPr="00F770A1">
        <w:rPr>
          <w:color w:val="000000" w:themeColor="text1"/>
        </w:rPr>
        <w:t xml:space="preserve">published </w:t>
      </w:r>
      <w:r w:rsidR="00FC7214" w:rsidRPr="00F770A1">
        <w:rPr>
          <w:color w:val="000000" w:themeColor="text1"/>
        </w:rPr>
        <w:t xml:space="preserve">price. </w:t>
      </w:r>
    </w:p>
    <w:p w14:paraId="53BB5AB8" w14:textId="3B852E19" w:rsidR="00FC7214" w:rsidRPr="00F770A1" w:rsidRDefault="00FC7214" w:rsidP="008028C6">
      <w:pPr>
        <w:pStyle w:val="3-BodyText"/>
      </w:pPr>
      <w:r w:rsidRPr="00F770A1">
        <w:t xml:space="preserve">The </w:t>
      </w:r>
      <w:r w:rsidR="00DF4606" w:rsidRPr="00F770A1">
        <w:t xml:space="preserve">resubmission </w:t>
      </w:r>
      <w:r w:rsidR="0007684A" w:rsidRPr="00F770A1">
        <w:t xml:space="preserve">revised </w:t>
      </w:r>
      <w:r w:rsidR="0041401B" w:rsidRPr="00F770A1">
        <w:t xml:space="preserve">the </w:t>
      </w:r>
      <w:r w:rsidRPr="00F770A1">
        <w:t xml:space="preserve">proposed PBS restrictions </w:t>
      </w:r>
      <w:r w:rsidR="00921AFB" w:rsidRPr="00F770A1">
        <w:t>as per</w:t>
      </w:r>
      <w:r w:rsidRPr="00F770A1">
        <w:t xml:space="preserve"> previous </w:t>
      </w:r>
      <w:r w:rsidR="00DE3C82" w:rsidRPr="00F770A1">
        <w:t xml:space="preserve">ESC and/or PBAC </w:t>
      </w:r>
      <w:r w:rsidRPr="00F770A1">
        <w:t>advice</w:t>
      </w:r>
      <w:r w:rsidR="0007684A" w:rsidRPr="00F770A1">
        <w:t xml:space="preserve"> and included</w:t>
      </w:r>
      <w:r w:rsidRPr="00F770A1">
        <w:t>:</w:t>
      </w:r>
    </w:p>
    <w:p w14:paraId="55942B6B" w14:textId="44D1F1A4" w:rsidR="00FC7214" w:rsidRPr="00F770A1" w:rsidRDefault="00FC7214" w:rsidP="008028C6">
      <w:pPr>
        <w:pStyle w:val="Bulletpoints"/>
        <w:ind w:left="1080"/>
        <w:jc w:val="both"/>
      </w:pPr>
      <w:r w:rsidRPr="00F770A1">
        <w:t xml:space="preserve">a criterion </w:t>
      </w:r>
      <w:r w:rsidR="0007684A" w:rsidRPr="00F770A1">
        <w:t xml:space="preserve">in the initial supply restriction </w:t>
      </w:r>
      <w:r w:rsidRPr="00F770A1">
        <w:t xml:space="preserve">stating that </w:t>
      </w:r>
      <w:r w:rsidR="000459C2" w:rsidRPr="00F770A1">
        <w:t>p</w:t>
      </w:r>
      <w:r w:rsidRPr="00F770A1">
        <w:t xml:space="preserve">atient must have a </w:t>
      </w:r>
      <w:r w:rsidR="000459C2" w:rsidRPr="00F770A1">
        <w:t>modified Friedreich’s ataxia rating scale (</w:t>
      </w:r>
      <w:r w:rsidRPr="00F770A1">
        <w:t>mFARS</w:t>
      </w:r>
      <w:r w:rsidR="000459C2" w:rsidRPr="00F770A1">
        <w:t>)</w:t>
      </w:r>
      <w:r w:rsidRPr="00F770A1">
        <w:t xml:space="preserve"> </w:t>
      </w:r>
      <w:r w:rsidR="000459C2" w:rsidRPr="00F770A1">
        <w:t xml:space="preserve">score of </w:t>
      </w:r>
      <w:r w:rsidRPr="00F770A1">
        <w:t>between 20 and 80</w:t>
      </w:r>
      <w:r w:rsidR="0007684A" w:rsidRPr="00F770A1">
        <w:t>. This</w:t>
      </w:r>
      <w:r w:rsidR="00AF41C7" w:rsidRPr="00F770A1">
        <w:t xml:space="preserve"> </w:t>
      </w:r>
      <w:r w:rsidR="0007684A" w:rsidRPr="00F770A1">
        <w:t>was</w:t>
      </w:r>
      <w:r w:rsidRPr="00F770A1">
        <w:t xml:space="preserve"> consistent with the eligibility criterion in the MOXIe Part 2 trial (</w:t>
      </w:r>
      <w:r w:rsidR="00A909D1" w:rsidRPr="00F770A1">
        <w:t xml:space="preserve">paragraph </w:t>
      </w:r>
      <w:r w:rsidRPr="00F770A1">
        <w:t xml:space="preserve">3.7, omaveloxolone PSD, March 2025 PBAC </w:t>
      </w:r>
      <w:r w:rsidR="00DE3C82" w:rsidRPr="00F770A1">
        <w:t>m</w:t>
      </w:r>
      <w:r w:rsidRPr="00F770A1">
        <w:t xml:space="preserve">eeting). </w:t>
      </w:r>
      <w:r w:rsidR="00D979DD" w:rsidRPr="00F770A1">
        <w:t xml:space="preserve">The ESC considered that this </w:t>
      </w:r>
      <w:r w:rsidR="00392A7B" w:rsidRPr="00F770A1">
        <w:t>inclusion was appropriate.</w:t>
      </w:r>
    </w:p>
    <w:p w14:paraId="382C752F" w14:textId="3DC8B8DD" w:rsidR="00FC7214" w:rsidRPr="00F770A1" w:rsidRDefault="00FC7214" w:rsidP="008028C6">
      <w:pPr>
        <w:pStyle w:val="Bulletpoints"/>
        <w:ind w:left="1080"/>
        <w:jc w:val="both"/>
      </w:pPr>
      <w:r w:rsidRPr="00F770A1">
        <w:lastRenderedPageBreak/>
        <w:t xml:space="preserve">a </w:t>
      </w:r>
      <w:r w:rsidR="0007684A" w:rsidRPr="00F770A1">
        <w:t xml:space="preserve">criterion in the </w:t>
      </w:r>
      <w:r w:rsidRPr="00F770A1">
        <w:t xml:space="preserve">continuing </w:t>
      </w:r>
      <w:r w:rsidR="0007684A" w:rsidRPr="00F770A1">
        <w:t xml:space="preserve">supply restriction </w:t>
      </w:r>
      <w:r w:rsidRPr="00F770A1">
        <w:t xml:space="preserve">which stated that </w:t>
      </w:r>
      <w:r w:rsidR="0007684A" w:rsidRPr="00F770A1">
        <w:t xml:space="preserve">a </w:t>
      </w:r>
      <w:r w:rsidR="000459C2" w:rsidRPr="00F770A1">
        <w:t>p</w:t>
      </w:r>
      <w:r w:rsidRPr="00F770A1">
        <w:t>atient must continue to demonstrate clinical benefi</w:t>
      </w:r>
      <w:r w:rsidR="000459C2" w:rsidRPr="00F770A1">
        <w:t>t</w:t>
      </w:r>
      <w:r w:rsidRPr="00F770A1">
        <w:t xml:space="preserve"> (</w:t>
      </w:r>
      <w:r w:rsidR="00A909D1" w:rsidRPr="00F770A1">
        <w:t xml:space="preserve">paragraph </w:t>
      </w:r>
      <w:r w:rsidRPr="00F770A1">
        <w:t xml:space="preserve">3.10, omaveloxolone PSD, March 2025 PBAC </w:t>
      </w:r>
      <w:r w:rsidR="00DE3C82" w:rsidRPr="00F770A1">
        <w:t>m</w:t>
      </w:r>
      <w:r w:rsidRPr="00F770A1">
        <w:t>eeting).</w:t>
      </w:r>
      <w:r w:rsidR="00392A7B" w:rsidRPr="00F770A1">
        <w:t xml:space="preserve"> Although this aligned with what had been proposed by the ESC in March 2025, the ESC </w:t>
      </w:r>
      <w:r w:rsidR="00516A63" w:rsidRPr="00F770A1">
        <w:t>noted that patients are expected to experience continued disease progression despite receiving treatment</w:t>
      </w:r>
      <w:r w:rsidR="008B2BF3" w:rsidRPr="00F770A1">
        <w:t xml:space="preserve">. Therefore, </w:t>
      </w:r>
      <w:r w:rsidR="00A11A5F" w:rsidRPr="00F770A1">
        <w:t xml:space="preserve">the ESC considered that </w:t>
      </w:r>
      <w:r w:rsidR="00516A63" w:rsidRPr="00F770A1">
        <w:t xml:space="preserve">a </w:t>
      </w:r>
      <w:r w:rsidR="002D28E7" w:rsidRPr="00F770A1">
        <w:t xml:space="preserve">criterion </w:t>
      </w:r>
      <w:r w:rsidR="00EF6806" w:rsidRPr="00F770A1">
        <w:t xml:space="preserve">based on mFARS score might be more appropriate, e.g. </w:t>
      </w:r>
      <w:r w:rsidR="002D28E7" w:rsidRPr="00F770A1">
        <w:t xml:space="preserve">stating that treatment should be discontinued </w:t>
      </w:r>
      <w:r w:rsidR="004568EE" w:rsidRPr="00F770A1">
        <w:t>if the mFARS score increased by more than 2 points annually</w:t>
      </w:r>
      <w:r w:rsidR="00226137" w:rsidRPr="00F770A1">
        <w:t>, compared to the previous year, or if the mFARS score exceeded 80</w:t>
      </w:r>
      <w:r w:rsidR="007F3AB5" w:rsidRPr="00F770A1">
        <w:t>.</w:t>
      </w:r>
      <w:r w:rsidR="00202AE4">
        <w:t xml:space="preserve"> </w:t>
      </w:r>
      <w:r w:rsidR="00AD0CAA" w:rsidRPr="00F770A1">
        <w:t>The ESC noted that similar conditions for reimbursement had been recommended for omaveloxolone in Canada in July 2025</w:t>
      </w:r>
      <w:r w:rsidR="00AD0CAA" w:rsidRPr="00F770A1">
        <w:rPr>
          <w:rStyle w:val="FootnoteReference"/>
        </w:rPr>
        <w:footnoteReference w:id="1"/>
      </w:r>
      <w:r w:rsidR="00AD0CAA" w:rsidRPr="00F770A1">
        <w:t>.</w:t>
      </w:r>
      <w:r w:rsidR="004609FC">
        <w:t xml:space="preserve"> The </w:t>
      </w:r>
      <w:r w:rsidR="00C91F7F">
        <w:t>pre-PBAC response noted that mFARS is a research tool and is not generally used in clinical practice</w:t>
      </w:r>
      <w:r w:rsidR="00A65F7A">
        <w:t xml:space="preserve"> and </w:t>
      </w:r>
      <w:r w:rsidR="001917D7">
        <w:t xml:space="preserve">stated </w:t>
      </w:r>
      <w:r w:rsidR="00A65F7A">
        <w:t xml:space="preserve">that performing </w:t>
      </w:r>
      <w:r w:rsidR="006354D9">
        <w:t xml:space="preserve">an assessment yearly would be burdensome for clinicians and patients. The pre-PBAC response stated that </w:t>
      </w:r>
      <w:r w:rsidR="00B6207D">
        <w:t>the criterion “Patient must continue to demonstrate a clinical benefit” was sufficient.</w:t>
      </w:r>
    </w:p>
    <w:p w14:paraId="7F627BD2" w14:textId="5CD03D10" w:rsidR="00FC7214" w:rsidRDefault="001E07CA" w:rsidP="008028C6">
      <w:pPr>
        <w:pStyle w:val="3-BodyText"/>
      </w:pPr>
      <w:r w:rsidRPr="00F770A1">
        <w:t xml:space="preserve">In the previous submission, no upper age limit was proposed for patient’s eligibility to omaveloxolone. This did not align with the key MOXIe Part 2 trial which only included patients up to 40 years of age. </w:t>
      </w:r>
      <w:r w:rsidR="007F3AB5" w:rsidRPr="00F770A1">
        <w:t>In March 2025, t</w:t>
      </w:r>
      <w:r w:rsidRPr="00F770A1">
        <w:t xml:space="preserve">he ESC advised that it may be appropriate to restrict the use of omaveloxolone to patients diagnosed before the age of 40 years inclusive given patients over 40 years of age were excluded from the trial and as very late onset FA has a different disease course compared to classical FA, which has an onset during childhood and was the focus of the previous submission (paragraph 3.3, omaveloxolone PSD, March 2025 PBAC meeting). </w:t>
      </w:r>
      <w:r w:rsidR="0007684A" w:rsidRPr="00F770A1">
        <w:t>T</w:t>
      </w:r>
      <w:r w:rsidRPr="00F770A1">
        <w:t>he resubmission</w:t>
      </w:r>
      <w:r w:rsidR="0007684A" w:rsidRPr="00F770A1">
        <w:t xml:space="preserve"> stated that</w:t>
      </w:r>
      <w:r w:rsidRPr="00F770A1">
        <w:t xml:space="preserve"> an upper age limit for eligible patients was not proposed to avoid inequities and to align with other PBS listings that do not apply a maximum age, despite not including those patients in the clinical trials. In addition, the resubmission argued that the minimum mFARS score of 20 in the proposed PBS restriction ensures that </w:t>
      </w:r>
      <w:r w:rsidR="00143E53" w:rsidRPr="00F770A1">
        <w:t xml:space="preserve">all patients regardless of age of onset of FA </w:t>
      </w:r>
      <w:r w:rsidRPr="00F770A1">
        <w:t>demonstrate a comparable level of disease severity</w:t>
      </w:r>
      <w:r w:rsidR="002428BA" w:rsidRPr="00F770A1">
        <w:t xml:space="preserve"> at initiation of treatment</w:t>
      </w:r>
      <w:r w:rsidRPr="00F770A1">
        <w:t xml:space="preserve">. </w:t>
      </w:r>
      <w:r w:rsidR="00C831DF" w:rsidRPr="00F770A1">
        <w:t>The ESC considered that this was reasonable.</w:t>
      </w:r>
    </w:p>
    <w:p w14:paraId="5B8534F4" w14:textId="600122F9" w:rsidR="002A0777" w:rsidRPr="00F770A1" w:rsidRDefault="002A0777" w:rsidP="008028C6">
      <w:pPr>
        <w:pStyle w:val="3-BodyText"/>
        <w:numPr>
          <w:ilvl w:val="0"/>
          <w:numId w:val="0"/>
        </w:numPr>
        <w:ind w:left="720"/>
      </w:pPr>
      <w:r w:rsidRPr="002A0777">
        <w:rPr>
          <w:i/>
          <w:iCs/>
        </w:rPr>
        <w:t>For more detail on PBAC’s view, see section 7 PBAC outcome.</w:t>
      </w:r>
    </w:p>
    <w:p w14:paraId="7075B85C" w14:textId="62A47B7B" w:rsidR="00B50DB8" w:rsidRPr="00AB0640" w:rsidDel="00195452" w:rsidRDefault="00203181" w:rsidP="008028C6">
      <w:pPr>
        <w:pStyle w:val="2-SectionHeading"/>
      </w:pPr>
      <w:bookmarkStart w:id="12" w:name="_Toc208932430"/>
      <w:r w:rsidRPr="00AB0640" w:rsidDel="00195452">
        <w:t xml:space="preserve">Population and </w:t>
      </w:r>
      <w:r w:rsidR="008E0D3C" w:rsidRPr="00AB0640" w:rsidDel="00195452">
        <w:t>d</w:t>
      </w:r>
      <w:r w:rsidRPr="00AB0640" w:rsidDel="00195452">
        <w:t>isease</w:t>
      </w:r>
      <w:bookmarkEnd w:id="12"/>
    </w:p>
    <w:p w14:paraId="52F31CDB" w14:textId="18E58FB7" w:rsidR="005000D3" w:rsidRPr="00AB0640" w:rsidRDefault="005000D3" w:rsidP="008028C6">
      <w:pPr>
        <w:pStyle w:val="3-BodyText"/>
        <w:rPr>
          <w:color w:val="000000" w:themeColor="text1"/>
        </w:rPr>
      </w:pPr>
      <w:r w:rsidRPr="00AB0640">
        <w:rPr>
          <w:color w:val="000000" w:themeColor="text1"/>
        </w:rPr>
        <w:t xml:space="preserve">FA is a rare, autosomal recessive and progressive multisystem neurodegenerative movement disorder that affects the central and peripheral nervous systems, the musculoskeletal system, the myocardium, and the endocrine pancreas. FA is caused by guanine-adenine-adenine (GAA) trinucleotide repeat expansions in the </w:t>
      </w:r>
      <w:r w:rsidRPr="00AB0640">
        <w:rPr>
          <w:i/>
          <w:iCs/>
          <w:color w:val="000000" w:themeColor="text1"/>
        </w:rPr>
        <w:t>FXN</w:t>
      </w:r>
      <w:r w:rsidRPr="00AB0640">
        <w:rPr>
          <w:color w:val="000000" w:themeColor="text1"/>
        </w:rPr>
        <w:t xml:space="preserve"> gene, resulting in a deficiency in the protein frataxin. A greater number of GAA repeats is </w:t>
      </w:r>
      <w:r w:rsidRPr="00AB0640">
        <w:rPr>
          <w:color w:val="000000" w:themeColor="text1"/>
        </w:rPr>
        <w:lastRenderedPageBreak/>
        <w:t>associated with earlier symptom onset and more rapid progression, with more severe co-morbidities such as diabetes and cardiovascular disease</w:t>
      </w:r>
      <w:r w:rsidR="00F87F83" w:rsidRPr="00AB0640">
        <w:rPr>
          <w:color w:val="000000" w:themeColor="text1"/>
        </w:rPr>
        <w:t>.</w:t>
      </w:r>
      <w:r w:rsidRPr="00AB0640">
        <w:rPr>
          <w:rStyle w:val="FootnoteReference"/>
          <w:color w:val="000000" w:themeColor="text1"/>
        </w:rPr>
        <w:footnoteReference w:id="2"/>
      </w:r>
    </w:p>
    <w:p w14:paraId="65DA916E" w14:textId="21643377" w:rsidR="0090399B" w:rsidRPr="00AB0640" w:rsidRDefault="0090399B" w:rsidP="008028C6">
      <w:pPr>
        <w:pStyle w:val="3-BodyText"/>
        <w:rPr>
          <w:color w:val="000000" w:themeColor="text1"/>
        </w:rPr>
      </w:pPr>
      <w:r w:rsidRPr="00AB0640">
        <w:rPr>
          <w:color w:val="000000" w:themeColor="text1"/>
        </w:rPr>
        <w:t xml:space="preserve">Mitochondrial dysfunction, suppression of nuclear factor erythroid 2 like 2 (Nrf2) activity, impaired iron metabolism, oxidative stress, and other metabolic abnormalities are the results of frataxin deficiency. </w:t>
      </w:r>
      <w:r w:rsidR="00202CFC" w:rsidRPr="00AB0640">
        <w:rPr>
          <w:color w:val="000000" w:themeColor="text1"/>
        </w:rPr>
        <w:t>As FA progresses, symptoms may include difficulty swallowing, speech problems, fatigue, skeletal abnormalities (such as scoliosis and pes cavus</w:t>
      </w:r>
      <w:r w:rsidR="00E603CD" w:rsidRPr="00AB0640">
        <w:rPr>
          <w:color w:val="000000" w:themeColor="text1"/>
        </w:rPr>
        <w:t xml:space="preserve"> (which is an abnormally high and rigid longitudinal arch of the foot that does not flatten when bearing weight)</w:t>
      </w:r>
      <w:r w:rsidR="00202CFC" w:rsidRPr="00AB0640">
        <w:rPr>
          <w:color w:val="000000" w:themeColor="text1"/>
        </w:rPr>
        <w:t>), muscle weakness, reflex loss</w:t>
      </w:r>
      <w:r w:rsidR="00453FA4" w:rsidRPr="00AB0640">
        <w:rPr>
          <w:color w:val="000000" w:themeColor="text1"/>
        </w:rPr>
        <w:t>,</w:t>
      </w:r>
      <w:r w:rsidR="00202CFC" w:rsidRPr="00AB0640">
        <w:rPr>
          <w:color w:val="000000" w:themeColor="text1"/>
        </w:rPr>
        <w:t xml:space="preserve"> and sensory impairment.</w:t>
      </w:r>
    </w:p>
    <w:p w14:paraId="02489B65" w14:textId="20F7A772" w:rsidR="00202CFC" w:rsidRPr="00AB0640" w:rsidRDefault="00202CFC" w:rsidP="008028C6">
      <w:pPr>
        <w:pStyle w:val="3-BodyText"/>
        <w:rPr>
          <w:color w:val="000000" w:themeColor="text1"/>
        </w:rPr>
      </w:pPr>
      <w:r w:rsidRPr="00AB0640">
        <w:rPr>
          <w:color w:val="000000" w:themeColor="text1"/>
        </w:rPr>
        <w:t xml:space="preserve">The </w:t>
      </w:r>
      <w:r w:rsidR="00F87F83" w:rsidRPr="00AB0640">
        <w:rPr>
          <w:color w:val="000000" w:themeColor="text1"/>
        </w:rPr>
        <w:t xml:space="preserve">mean age of </w:t>
      </w:r>
      <w:r w:rsidRPr="00AB0640">
        <w:rPr>
          <w:color w:val="000000" w:themeColor="text1"/>
        </w:rPr>
        <w:t>onset of classical FA</w:t>
      </w:r>
      <w:r w:rsidR="00F87F83" w:rsidRPr="00AB0640">
        <w:rPr>
          <w:color w:val="000000" w:themeColor="text1"/>
        </w:rPr>
        <w:t xml:space="preserve"> (</w:t>
      </w:r>
      <w:r w:rsidR="00A4518A" w:rsidRPr="00AB0640">
        <w:rPr>
          <w:color w:val="000000" w:themeColor="text1"/>
        </w:rPr>
        <w:t xml:space="preserve">the most common form) </w:t>
      </w:r>
      <w:r w:rsidR="00F87F83" w:rsidRPr="00AB0640">
        <w:rPr>
          <w:color w:val="000000" w:themeColor="text1"/>
        </w:rPr>
        <w:t>is between</w:t>
      </w:r>
      <w:r w:rsidRPr="00AB0640">
        <w:rPr>
          <w:color w:val="000000" w:themeColor="text1"/>
        </w:rPr>
        <w:t xml:space="preserve"> 10 </w:t>
      </w:r>
      <w:r w:rsidR="00F87F83" w:rsidRPr="00AB0640">
        <w:rPr>
          <w:color w:val="000000" w:themeColor="text1"/>
        </w:rPr>
        <w:t>and</w:t>
      </w:r>
      <w:r w:rsidRPr="00AB0640">
        <w:rPr>
          <w:color w:val="000000" w:themeColor="text1"/>
        </w:rPr>
        <w:t xml:space="preserve"> 16 years. For late-onset and very late-onset FA, the disease generally develops after the age of 25 and 40 years, respectively. Some people have presented with symptoms before the age of 5 years, including infants as young as </w:t>
      </w:r>
      <w:r w:rsidR="00A4518A" w:rsidRPr="00AB0640">
        <w:rPr>
          <w:color w:val="000000" w:themeColor="text1"/>
        </w:rPr>
        <w:t>1</w:t>
      </w:r>
      <w:r w:rsidRPr="00AB0640">
        <w:rPr>
          <w:color w:val="000000" w:themeColor="text1"/>
        </w:rPr>
        <w:t xml:space="preserve"> year old</w:t>
      </w:r>
      <w:r w:rsidR="00F87F83" w:rsidRPr="00AB0640">
        <w:rPr>
          <w:color w:val="000000" w:themeColor="text1"/>
        </w:rPr>
        <w:t>.</w:t>
      </w:r>
      <w:r w:rsidRPr="00AB0640">
        <w:rPr>
          <w:rStyle w:val="FootnoteReference"/>
          <w:color w:val="000000" w:themeColor="text1"/>
        </w:rPr>
        <w:footnoteReference w:id="3"/>
      </w:r>
      <w:r w:rsidRPr="00AB0640">
        <w:rPr>
          <w:color w:val="000000" w:themeColor="text1"/>
        </w:rPr>
        <w:t xml:space="preserve"> Patients with FA have an average life expectancy of 30 to 40 years. Cardiac complications are a leading cause of death in people with FA</w:t>
      </w:r>
      <w:r w:rsidR="00F87F83" w:rsidRPr="00AB0640">
        <w:rPr>
          <w:color w:val="000000" w:themeColor="text1"/>
        </w:rPr>
        <w:t>.</w:t>
      </w:r>
      <w:r w:rsidRPr="00AB0640">
        <w:rPr>
          <w:rStyle w:val="FootnoteReference"/>
          <w:color w:val="000000" w:themeColor="text1"/>
        </w:rPr>
        <w:footnoteReference w:id="4"/>
      </w:r>
    </w:p>
    <w:p w14:paraId="483A1BC4" w14:textId="449EEEA0" w:rsidR="00617310" w:rsidRPr="00AB0640" w:rsidRDefault="00617310" w:rsidP="008028C6">
      <w:pPr>
        <w:pStyle w:val="3-BodyText"/>
        <w:rPr>
          <w:color w:val="000000" w:themeColor="text1"/>
        </w:rPr>
      </w:pPr>
      <w:r w:rsidRPr="00AB0640">
        <w:rPr>
          <w:color w:val="000000" w:themeColor="text1"/>
        </w:rPr>
        <w:t>The mFARS is an assessment tool which evaluates FA patient’s motor function in four key areas including bulbar (i.e., cerebellum and the lower part of the brainstem), upper and lower limb coordination, as well as upright stability. The mFARS is used as a standardised way to measure disease severity and track disease progression or improvement</w:t>
      </w:r>
      <w:r w:rsidR="009E48E1" w:rsidRPr="00AB0640">
        <w:rPr>
          <w:color w:val="000000" w:themeColor="text1"/>
        </w:rPr>
        <w:t xml:space="preserve">, with </w:t>
      </w:r>
      <w:r w:rsidRPr="00AB0640">
        <w:rPr>
          <w:color w:val="000000" w:themeColor="text1"/>
        </w:rPr>
        <w:t>higher scores indicating more severe physical impairment</w:t>
      </w:r>
      <w:r w:rsidR="00F87F83" w:rsidRPr="00AB0640">
        <w:rPr>
          <w:color w:val="000000" w:themeColor="text1"/>
        </w:rPr>
        <w:t>.</w:t>
      </w:r>
      <w:r w:rsidRPr="00AB0640">
        <w:rPr>
          <w:rStyle w:val="FootnoteReference"/>
          <w:color w:val="000000" w:themeColor="text1"/>
        </w:rPr>
        <w:footnoteReference w:id="5"/>
      </w:r>
      <w:r w:rsidR="007675AF" w:rsidRPr="00AB0640">
        <w:rPr>
          <w:color w:val="000000" w:themeColor="text1"/>
        </w:rPr>
        <w:t xml:space="preserve"> </w:t>
      </w:r>
      <w:r w:rsidR="007621A4" w:rsidRPr="00AB0640">
        <w:rPr>
          <w:color w:val="000000" w:themeColor="text1"/>
        </w:rPr>
        <w:t xml:space="preserve">Pes cavus makes performing some aspects of the mFARS challenging as two of the four subsections of mFARS include assessments of lower limb coordination and upright stability. Therefore, in the key trial, patients with pes cavus (limited to 20%) were excluded from the primary analysis. </w:t>
      </w:r>
    </w:p>
    <w:p w14:paraId="509282F1" w14:textId="06C9B872" w:rsidR="003D55DF" w:rsidRPr="00AB0640" w:rsidRDefault="003D55DF" w:rsidP="008028C6">
      <w:pPr>
        <w:pStyle w:val="3-BodyText"/>
        <w:rPr>
          <w:color w:val="000000" w:themeColor="text1"/>
        </w:rPr>
      </w:pPr>
      <w:r w:rsidRPr="00AB0640">
        <w:rPr>
          <w:color w:val="000000" w:themeColor="text1"/>
        </w:rPr>
        <w:t xml:space="preserve">Age distribution of FA patients in the Australian Friedreich's Ataxia Clinical Outcome Measures Study (FACOMS) is summarised in </w:t>
      </w:r>
      <w:r w:rsidRPr="00AB0640">
        <w:rPr>
          <w:color w:val="000000" w:themeColor="text1"/>
        </w:rPr>
        <w:fldChar w:fldCharType="begin" w:fldLock="1"/>
      </w:r>
      <w:r w:rsidRPr="00AB0640">
        <w:rPr>
          <w:color w:val="000000" w:themeColor="text1"/>
        </w:rPr>
        <w:instrText xml:space="preserve"> REF _Ref204595838 \h </w:instrText>
      </w:r>
      <w:r w:rsidRPr="00AB0640">
        <w:rPr>
          <w:color w:val="000000" w:themeColor="text1"/>
        </w:rPr>
      </w:r>
      <w:r w:rsidRPr="00AB0640">
        <w:rPr>
          <w:color w:val="000000" w:themeColor="text1"/>
        </w:rPr>
        <w:fldChar w:fldCharType="separate"/>
      </w:r>
      <w:r w:rsidR="00E056AF" w:rsidRPr="00AB0640">
        <w:t xml:space="preserve">Table </w:t>
      </w:r>
      <w:r w:rsidR="00E056AF">
        <w:rPr>
          <w:noProof/>
        </w:rPr>
        <w:t>3</w:t>
      </w:r>
      <w:r w:rsidRPr="00AB0640">
        <w:rPr>
          <w:color w:val="000000" w:themeColor="text1"/>
        </w:rPr>
        <w:fldChar w:fldCharType="end"/>
      </w:r>
      <w:r w:rsidRPr="00AB0640">
        <w:rPr>
          <w:color w:val="000000" w:themeColor="text1"/>
        </w:rPr>
        <w:t>.</w:t>
      </w:r>
    </w:p>
    <w:p w14:paraId="74A753B6" w14:textId="234A9A0B" w:rsidR="003D55DF" w:rsidRPr="00AB0640" w:rsidRDefault="003D55DF" w:rsidP="008028C6">
      <w:pPr>
        <w:pStyle w:val="Caption"/>
      </w:pPr>
      <w:bookmarkStart w:id="13" w:name="_Ref204595838"/>
      <w:r w:rsidRPr="00AB0640">
        <w:lastRenderedPageBreak/>
        <w:t xml:space="preserve">Table </w:t>
      </w:r>
      <w:r w:rsidR="00E056AF">
        <w:fldChar w:fldCharType="begin" w:fldLock="1"/>
      </w:r>
      <w:r w:rsidR="00E056AF">
        <w:instrText xml:space="preserve"> SEQ Table \* ARABIC </w:instrText>
      </w:r>
      <w:r w:rsidR="00E056AF">
        <w:fldChar w:fldCharType="separate"/>
      </w:r>
      <w:r w:rsidR="00E056AF">
        <w:rPr>
          <w:noProof/>
        </w:rPr>
        <w:t>3</w:t>
      </w:r>
      <w:r w:rsidR="00E056AF">
        <w:rPr>
          <w:noProof/>
        </w:rPr>
        <w:fldChar w:fldCharType="end"/>
      </w:r>
      <w:bookmarkEnd w:id="13"/>
      <w:r w:rsidRPr="00AB0640">
        <w:t>: Australian FACOMS — distribution by age and mFARS</w:t>
      </w:r>
    </w:p>
    <w:tbl>
      <w:tblPr>
        <w:tblStyle w:val="TableGrid"/>
        <w:tblW w:w="5000" w:type="pct"/>
        <w:tblLook w:val="04A0" w:firstRow="1" w:lastRow="0" w:firstColumn="1" w:lastColumn="0" w:noHBand="0" w:noVBand="1"/>
        <w:tblCaption w:val="Table 3: Australian FACOMS — distribution by age and mFARS"/>
      </w:tblPr>
      <w:tblGrid>
        <w:gridCol w:w="3397"/>
        <w:gridCol w:w="3261"/>
        <w:gridCol w:w="707"/>
        <w:gridCol w:w="851"/>
        <w:gridCol w:w="801"/>
      </w:tblGrid>
      <w:tr w:rsidR="003D55DF" w:rsidRPr="00AB0640" w14:paraId="39E3B088" w14:textId="77777777" w:rsidTr="0065379D">
        <w:trPr>
          <w:cantSplit/>
        </w:trPr>
        <w:tc>
          <w:tcPr>
            <w:tcW w:w="1884" w:type="pct"/>
            <w:tcBorders>
              <w:bottom w:val="single" w:sz="4" w:space="0" w:color="auto"/>
            </w:tcBorders>
          </w:tcPr>
          <w:p w14:paraId="52435DBC" w14:textId="77777777" w:rsidR="003D55DF" w:rsidRPr="00AB0640" w:rsidRDefault="003D55DF" w:rsidP="008028C6">
            <w:pPr>
              <w:pStyle w:val="PBACTabletext"/>
              <w:keepLines w:val="0"/>
              <w:suppressLineNumbers w:val="0"/>
              <w:rPr>
                <w:b/>
                <w:bCs/>
              </w:rPr>
            </w:pPr>
            <w:r w:rsidRPr="00AB0640">
              <w:rPr>
                <w:b/>
                <w:bCs/>
              </w:rPr>
              <w:t>Stratification</w:t>
            </w:r>
          </w:p>
        </w:tc>
        <w:tc>
          <w:tcPr>
            <w:tcW w:w="1808" w:type="pct"/>
          </w:tcPr>
          <w:p w14:paraId="7D6FCF6F" w14:textId="77777777" w:rsidR="003D55DF" w:rsidRPr="00AB0640" w:rsidRDefault="003D55DF" w:rsidP="008028C6">
            <w:pPr>
              <w:pStyle w:val="PBACTabletext"/>
              <w:keepLines w:val="0"/>
              <w:suppressLineNumbers w:val="0"/>
              <w:rPr>
                <w:b/>
                <w:bCs/>
              </w:rPr>
            </w:pPr>
            <w:r w:rsidRPr="00AB0640">
              <w:rPr>
                <w:b/>
                <w:bCs/>
              </w:rPr>
              <w:t>Description</w:t>
            </w:r>
          </w:p>
        </w:tc>
        <w:tc>
          <w:tcPr>
            <w:tcW w:w="392" w:type="pct"/>
          </w:tcPr>
          <w:p w14:paraId="4575C2DF" w14:textId="77777777" w:rsidR="003D55DF" w:rsidRPr="00AB0640" w:rsidRDefault="003D55DF" w:rsidP="008028C6">
            <w:pPr>
              <w:pStyle w:val="PBACTabletext"/>
              <w:keepLines w:val="0"/>
              <w:suppressLineNumbers w:val="0"/>
              <w:rPr>
                <w:b/>
                <w:bCs/>
              </w:rPr>
            </w:pPr>
            <w:r w:rsidRPr="00AB0640">
              <w:rPr>
                <w:b/>
                <w:bCs/>
              </w:rPr>
              <w:t>n</w:t>
            </w:r>
          </w:p>
        </w:tc>
        <w:tc>
          <w:tcPr>
            <w:tcW w:w="472" w:type="pct"/>
          </w:tcPr>
          <w:p w14:paraId="51C1AE11" w14:textId="77777777" w:rsidR="003D55DF" w:rsidRPr="00AB0640" w:rsidRDefault="003D55DF" w:rsidP="008028C6">
            <w:pPr>
              <w:pStyle w:val="PBACTabletext"/>
              <w:keepLines w:val="0"/>
              <w:suppressLineNumbers w:val="0"/>
              <w:rPr>
                <w:b/>
                <w:bCs/>
              </w:rPr>
            </w:pPr>
            <w:r w:rsidRPr="00AB0640">
              <w:rPr>
                <w:b/>
                <w:bCs/>
              </w:rPr>
              <w:t>N</w:t>
            </w:r>
          </w:p>
        </w:tc>
        <w:tc>
          <w:tcPr>
            <w:tcW w:w="444" w:type="pct"/>
          </w:tcPr>
          <w:p w14:paraId="0E3F9FD7" w14:textId="77777777" w:rsidR="003D55DF" w:rsidRPr="00AB0640" w:rsidRDefault="003D55DF" w:rsidP="008028C6">
            <w:pPr>
              <w:pStyle w:val="PBACTabletext"/>
              <w:keepLines w:val="0"/>
              <w:suppressLineNumbers w:val="0"/>
              <w:rPr>
                <w:b/>
                <w:bCs/>
              </w:rPr>
            </w:pPr>
            <w:r w:rsidRPr="00AB0640">
              <w:rPr>
                <w:b/>
                <w:bCs/>
              </w:rPr>
              <w:t>%</w:t>
            </w:r>
          </w:p>
        </w:tc>
      </w:tr>
      <w:tr w:rsidR="003D55DF" w:rsidRPr="00AB0640" w14:paraId="43B8F904" w14:textId="77777777" w:rsidTr="0065379D">
        <w:trPr>
          <w:cantSplit/>
        </w:trPr>
        <w:tc>
          <w:tcPr>
            <w:tcW w:w="1884" w:type="pct"/>
            <w:vMerge w:val="restart"/>
            <w:tcBorders>
              <w:top w:val="single" w:sz="4" w:space="0" w:color="auto"/>
              <w:left w:val="single" w:sz="4" w:space="0" w:color="auto"/>
              <w:right w:val="single" w:sz="4" w:space="0" w:color="auto"/>
            </w:tcBorders>
            <w:shd w:val="clear" w:color="auto" w:fill="B8CCE4" w:themeFill="accent1" w:themeFillTint="66"/>
          </w:tcPr>
          <w:p w14:paraId="6EF81870" w14:textId="71035B25" w:rsidR="003D55DF" w:rsidRPr="00AB0640" w:rsidRDefault="003D55DF" w:rsidP="008028C6">
            <w:pPr>
              <w:pStyle w:val="PBACTabletext"/>
              <w:keepLines w:val="0"/>
              <w:suppressLineNumbers w:val="0"/>
              <w:rPr>
                <w:vertAlign w:val="superscript"/>
              </w:rPr>
            </w:pPr>
            <w:r w:rsidRPr="00AB0640">
              <w:t>Age</w:t>
            </w:r>
            <w:r w:rsidR="009E48E1" w:rsidRPr="00AB0640">
              <w:t xml:space="preserve"> (age at current visit – visit 1)</w:t>
            </w:r>
          </w:p>
        </w:tc>
        <w:tc>
          <w:tcPr>
            <w:tcW w:w="1808" w:type="pct"/>
            <w:tcBorders>
              <w:left w:val="single" w:sz="4" w:space="0" w:color="auto"/>
            </w:tcBorders>
            <w:shd w:val="clear" w:color="auto" w:fill="B8CCE4" w:themeFill="accent1" w:themeFillTint="66"/>
          </w:tcPr>
          <w:p w14:paraId="3ECE6205" w14:textId="445A2436" w:rsidR="003D55DF" w:rsidRPr="00AB0640" w:rsidRDefault="00202AE4" w:rsidP="008028C6">
            <w:pPr>
              <w:pStyle w:val="PBACTabletext"/>
              <w:keepLines w:val="0"/>
              <w:suppressLineNumbers w:val="0"/>
            </w:pPr>
            <w:r>
              <w:t xml:space="preserve">&lt; </w:t>
            </w:r>
            <w:r w:rsidR="003D55DF" w:rsidRPr="00AB0640">
              <w:t>16 years</w:t>
            </w:r>
          </w:p>
        </w:tc>
        <w:tc>
          <w:tcPr>
            <w:tcW w:w="392" w:type="pct"/>
            <w:shd w:val="clear" w:color="auto" w:fill="B8CCE4" w:themeFill="accent1" w:themeFillTint="66"/>
          </w:tcPr>
          <w:p w14:paraId="0E9331DC" w14:textId="77777777" w:rsidR="003D55DF" w:rsidRPr="00AB0640" w:rsidRDefault="003D55DF" w:rsidP="008028C6">
            <w:pPr>
              <w:pStyle w:val="PBACTabletext"/>
              <w:keepLines w:val="0"/>
              <w:suppressLineNumbers w:val="0"/>
            </w:pPr>
            <w:r w:rsidRPr="00AB0640">
              <w:t>50</w:t>
            </w:r>
          </w:p>
        </w:tc>
        <w:tc>
          <w:tcPr>
            <w:tcW w:w="472" w:type="pct"/>
            <w:shd w:val="clear" w:color="auto" w:fill="B8CCE4" w:themeFill="accent1" w:themeFillTint="66"/>
          </w:tcPr>
          <w:p w14:paraId="3FEC88CF" w14:textId="77777777" w:rsidR="003D55DF" w:rsidRPr="00AB0640" w:rsidRDefault="003D55DF" w:rsidP="008028C6">
            <w:pPr>
              <w:pStyle w:val="PBACTabletext"/>
              <w:keepLines w:val="0"/>
              <w:suppressLineNumbers w:val="0"/>
            </w:pPr>
            <w:r w:rsidRPr="00AB0640">
              <w:t>202</w:t>
            </w:r>
          </w:p>
        </w:tc>
        <w:tc>
          <w:tcPr>
            <w:tcW w:w="444" w:type="pct"/>
            <w:shd w:val="clear" w:color="auto" w:fill="B8CCE4" w:themeFill="accent1" w:themeFillTint="66"/>
          </w:tcPr>
          <w:p w14:paraId="70493667" w14:textId="77777777" w:rsidR="003D55DF" w:rsidRPr="00AB0640" w:rsidRDefault="003D55DF" w:rsidP="008028C6">
            <w:pPr>
              <w:pStyle w:val="PBACTabletext"/>
              <w:keepLines w:val="0"/>
              <w:suppressLineNumbers w:val="0"/>
            </w:pPr>
            <w:r w:rsidRPr="00AB0640">
              <w:t>24.8</w:t>
            </w:r>
          </w:p>
        </w:tc>
      </w:tr>
      <w:tr w:rsidR="003D55DF" w:rsidRPr="00AB0640" w14:paraId="228D8C31" w14:textId="77777777" w:rsidTr="0065379D">
        <w:trPr>
          <w:cantSplit/>
        </w:trPr>
        <w:tc>
          <w:tcPr>
            <w:tcW w:w="1884" w:type="pct"/>
            <w:vMerge/>
            <w:tcBorders>
              <w:left w:val="single" w:sz="4" w:space="0" w:color="auto"/>
              <w:right w:val="single" w:sz="4" w:space="0" w:color="auto"/>
            </w:tcBorders>
            <w:shd w:val="clear" w:color="auto" w:fill="B8CCE4" w:themeFill="accent1" w:themeFillTint="66"/>
          </w:tcPr>
          <w:p w14:paraId="2A35E200" w14:textId="77777777" w:rsidR="003D55DF" w:rsidRPr="00AB0640" w:rsidRDefault="003D55DF" w:rsidP="008028C6">
            <w:pPr>
              <w:pStyle w:val="PBACTabletext"/>
              <w:keepLines w:val="0"/>
              <w:suppressLineNumbers w:val="0"/>
            </w:pPr>
          </w:p>
        </w:tc>
        <w:tc>
          <w:tcPr>
            <w:tcW w:w="1808" w:type="pct"/>
            <w:tcBorders>
              <w:left w:val="single" w:sz="4" w:space="0" w:color="auto"/>
            </w:tcBorders>
            <w:shd w:val="clear" w:color="auto" w:fill="B8CCE4" w:themeFill="accent1" w:themeFillTint="66"/>
          </w:tcPr>
          <w:p w14:paraId="702BE1C7" w14:textId="4FA86E76" w:rsidR="003D55DF" w:rsidRPr="00AB0640" w:rsidRDefault="003D55DF" w:rsidP="008028C6">
            <w:pPr>
              <w:pStyle w:val="PBACTabletext"/>
              <w:keepLines w:val="0"/>
              <w:suppressLineNumbers w:val="0"/>
            </w:pPr>
            <w:r w:rsidRPr="00AB0640">
              <w:t>16-40 years</w:t>
            </w:r>
          </w:p>
        </w:tc>
        <w:tc>
          <w:tcPr>
            <w:tcW w:w="392" w:type="pct"/>
            <w:shd w:val="clear" w:color="auto" w:fill="B8CCE4" w:themeFill="accent1" w:themeFillTint="66"/>
          </w:tcPr>
          <w:p w14:paraId="5E818FF1" w14:textId="77777777" w:rsidR="003D55DF" w:rsidRPr="00AB0640" w:rsidRDefault="003D55DF" w:rsidP="008028C6">
            <w:pPr>
              <w:pStyle w:val="PBACTabletext"/>
              <w:keepLines w:val="0"/>
              <w:suppressLineNumbers w:val="0"/>
            </w:pPr>
            <w:r w:rsidRPr="00AB0640">
              <w:t>111</w:t>
            </w:r>
          </w:p>
        </w:tc>
        <w:tc>
          <w:tcPr>
            <w:tcW w:w="472" w:type="pct"/>
            <w:shd w:val="clear" w:color="auto" w:fill="B8CCE4" w:themeFill="accent1" w:themeFillTint="66"/>
          </w:tcPr>
          <w:p w14:paraId="2B7C0C1C" w14:textId="77777777" w:rsidR="003D55DF" w:rsidRPr="00AB0640" w:rsidRDefault="003D55DF" w:rsidP="008028C6">
            <w:pPr>
              <w:pStyle w:val="PBACTabletext"/>
              <w:keepLines w:val="0"/>
              <w:suppressLineNumbers w:val="0"/>
            </w:pPr>
            <w:r w:rsidRPr="00AB0640">
              <w:t>202</w:t>
            </w:r>
          </w:p>
        </w:tc>
        <w:tc>
          <w:tcPr>
            <w:tcW w:w="444" w:type="pct"/>
            <w:shd w:val="clear" w:color="auto" w:fill="B8CCE4" w:themeFill="accent1" w:themeFillTint="66"/>
          </w:tcPr>
          <w:p w14:paraId="50E955CD" w14:textId="77777777" w:rsidR="003D55DF" w:rsidRPr="00AB0640" w:rsidRDefault="003D55DF" w:rsidP="008028C6">
            <w:pPr>
              <w:pStyle w:val="PBACTabletext"/>
              <w:keepLines w:val="0"/>
              <w:suppressLineNumbers w:val="0"/>
            </w:pPr>
            <w:r w:rsidRPr="00AB0640">
              <w:t>55.0</w:t>
            </w:r>
          </w:p>
        </w:tc>
      </w:tr>
      <w:tr w:rsidR="003D55DF" w:rsidRPr="00AB0640" w14:paraId="4286BA73" w14:textId="77777777" w:rsidTr="0065379D">
        <w:trPr>
          <w:cantSplit/>
        </w:trPr>
        <w:tc>
          <w:tcPr>
            <w:tcW w:w="1884" w:type="pct"/>
            <w:vMerge/>
            <w:tcBorders>
              <w:left w:val="single" w:sz="4" w:space="0" w:color="auto"/>
              <w:right w:val="single" w:sz="4" w:space="0" w:color="auto"/>
            </w:tcBorders>
            <w:shd w:val="clear" w:color="auto" w:fill="B8CCE4" w:themeFill="accent1" w:themeFillTint="66"/>
          </w:tcPr>
          <w:p w14:paraId="2B47EACD" w14:textId="77777777" w:rsidR="003D55DF" w:rsidRPr="00AB0640" w:rsidRDefault="003D55DF" w:rsidP="008028C6">
            <w:pPr>
              <w:pStyle w:val="PBACTabletext"/>
              <w:keepLines w:val="0"/>
              <w:suppressLineNumbers w:val="0"/>
            </w:pPr>
          </w:p>
        </w:tc>
        <w:tc>
          <w:tcPr>
            <w:tcW w:w="1808" w:type="pct"/>
            <w:tcBorders>
              <w:left w:val="single" w:sz="4" w:space="0" w:color="auto"/>
            </w:tcBorders>
            <w:shd w:val="clear" w:color="auto" w:fill="B8CCE4" w:themeFill="accent1" w:themeFillTint="66"/>
          </w:tcPr>
          <w:p w14:paraId="01077A64" w14:textId="62C531D1" w:rsidR="003D55DF" w:rsidRPr="00AB0640" w:rsidRDefault="00202AE4" w:rsidP="008028C6">
            <w:pPr>
              <w:pStyle w:val="PBACTabletext"/>
              <w:keepLines w:val="0"/>
              <w:suppressLineNumbers w:val="0"/>
            </w:pPr>
            <w:r>
              <w:t xml:space="preserve">&gt; </w:t>
            </w:r>
            <w:r w:rsidR="003D55DF" w:rsidRPr="00AB0640">
              <w:t>40 years</w:t>
            </w:r>
          </w:p>
        </w:tc>
        <w:tc>
          <w:tcPr>
            <w:tcW w:w="392" w:type="pct"/>
            <w:shd w:val="clear" w:color="auto" w:fill="B8CCE4" w:themeFill="accent1" w:themeFillTint="66"/>
          </w:tcPr>
          <w:p w14:paraId="16EEFF7C" w14:textId="77777777" w:rsidR="003D55DF" w:rsidRPr="00AB0640" w:rsidRDefault="003D55DF" w:rsidP="008028C6">
            <w:pPr>
              <w:pStyle w:val="PBACTabletext"/>
              <w:keepLines w:val="0"/>
              <w:suppressLineNumbers w:val="0"/>
            </w:pPr>
            <w:r w:rsidRPr="00AB0640">
              <w:t>41</w:t>
            </w:r>
          </w:p>
        </w:tc>
        <w:tc>
          <w:tcPr>
            <w:tcW w:w="472" w:type="pct"/>
            <w:shd w:val="clear" w:color="auto" w:fill="B8CCE4" w:themeFill="accent1" w:themeFillTint="66"/>
          </w:tcPr>
          <w:p w14:paraId="69CBF184" w14:textId="77777777" w:rsidR="003D55DF" w:rsidRPr="00AB0640" w:rsidRDefault="003D55DF" w:rsidP="008028C6">
            <w:pPr>
              <w:pStyle w:val="PBACTabletext"/>
              <w:keepLines w:val="0"/>
              <w:suppressLineNumbers w:val="0"/>
            </w:pPr>
            <w:r w:rsidRPr="00AB0640">
              <w:t>202</w:t>
            </w:r>
          </w:p>
        </w:tc>
        <w:tc>
          <w:tcPr>
            <w:tcW w:w="444" w:type="pct"/>
            <w:shd w:val="clear" w:color="auto" w:fill="B8CCE4" w:themeFill="accent1" w:themeFillTint="66"/>
          </w:tcPr>
          <w:p w14:paraId="4FFD4682" w14:textId="77777777" w:rsidR="003D55DF" w:rsidRPr="00AB0640" w:rsidRDefault="003D55DF" w:rsidP="008028C6">
            <w:pPr>
              <w:pStyle w:val="PBACTabletext"/>
              <w:keepLines w:val="0"/>
              <w:suppressLineNumbers w:val="0"/>
            </w:pPr>
            <w:r w:rsidRPr="00AB0640">
              <w:t>20.3</w:t>
            </w:r>
          </w:p>
        </w:tc>
      </w:tr>
      <w:tr w:rsidR="003D55DF" w:rsidRPr="00AB0640" w14:paraId="42FCAA25" w14:textId="77777777" w:rsidTr="0065379D">
        <w:trPr>
          <w:cantSplit/>
        </w:trPr>
        <w:tc>
          <w:tcPr>
            <w:tcW w:w="1884" w:type="pct"/>
            <w:vMerge/>
            <w:tcBorders>
              <w:left w:val="single" w:sz="4" w:space="0" w:color="auto"/>
              <w:bottom w:val="single" w:sz="4" w:space="0" w:color="auto"/>
              <w:right w:val="single" w:sz="4" w:space="0" w:color="auto"/>
            </w:tcBorders>
            <w:shd w:val="clear" w:color="auto" w:fill="B8CCE4" w:themeFill="accent1" w:themeFillTint="66"/>
          </w:tcPr>
          <w:p w14:paraId="45ABA3B8" w14:textId="77777777" w:rsidR="003D55DF" w:rsidRPr="00AB0640" w:rsidRDefault="003D55DF" w:rsidP="008028C6">
            <w:pPr>
              <w:pStyle w:val="PBACTabletext"/>
              <w:keepLines w:val="0"/>
              <w:suppressLineNumbers w:val="0"/>
            </w:pPr>
          </w:p>
        </w:tc>
        <w:tc>
          <w:tcPr>
            <w:tcW w:w="1808" w:type="pct"/>
            <w:tcBorders>
              <w:left w:val="single" w:sz="4" w:space="0" w:color="auto"/>
            </w:tcBorders>
            <w:shd w:val="clear" w:color="auto" w:fill="B8CCE4" w:themeFill="accent1" w:themeFillTint="66"/>
          </w:tcPr>
          <w:p w14:paraId="64B4B0CB" w14:textId="77A98BF8" w:rsidR="003D55DF" w:rsidRPr="00AB0640" w:rsidRDefault="003D55DF" w:rsidP="008028C6">
            <w:pPr>
              <w:pStyle w:val="PBACTabletext"/>
              <w:keepLines w:val="0"/>
              <w:suppressLineNumbers w:val="0"/>
            </w:pPr>
            <w:r w:rsidRPr="00AB0640">
              <w:t xml:space="preserve">≥16 years </w:t>
            </w:r>
          </w:p>
        </w:tc>
        <w:tc>
          <w:tcPr>
            <w:tcW w:w="392" w:type="pct"/>
            <w:shd w:val="clear" w:color="auto" w:fill="B8CCE4" w:themeFill="accent1" w:themeFillTint="66"/>
          </w:tcPr>
          <w:p w14:paraId="02EF4B9E" w14:textId="77777777" w:rsidR="003D55DF" w:rsidRPr="00AB0640" w:rsidRDefault="003D55DF" w:rsidP="008028C6">
            <w:pPr>
              <w:pStyle w:val="PBACTabletext"/>
              <w:keepLines w:val="0"/>
              <w:suppressLineNumbers w:val="0"/>
            </w:pPr>
            <w:r w:rsidRPr="00AB0640">
              <w:t>152</w:t>
            </w:r>
          </w:p>
        </w:tc>
        <w:tc>
          <w:tcPr>
            <w:tcW w:w="472" w:type="pct"/>
            <w:shd w:val="clear" w:color="auto" w:fill="B8CCE4" w:themeFill="accent1" w:themeFillTint="66"/>
          </w:tcPr>
          <w:p w14:paraId="3134A725" w14:textId="77777777" w:rsidR="003D55DF" w:rsidRPr="00AB0640" w:rsidRDefault="003D55DF" w:rsidP="008028C6">
            <w:pPr>
              <w:pStyle w:val="PBACTabletext"/>
              <w:keepLines w:val="0"/>
              <w:suppressLineNumbers w:val="0"/>
            </w:pPr>
            <w:r w:rsidRPr="00AB0640">
              <w:t>202</w:t>
            </w:r>
          </w:p>
        </w:tc>
        <w:tc>
          <w:tcPr>
            <w:tcW w:w="444" w:type="pct"/>
            <w:shd w:val="clear" w:color="auto" w:fill="B8CCE4" w:themeFill="accent1" w:themeFillTint="66"/>
          </w:tcPr>
          <w:p w14:paraId="4BFCF981" w14:textId="77777777" w:rsidR="003D55DF" w:rsidRPr="00AB0640" w:rsidRDefault="003D55DF" w:rsidP="008028C6">
            <w:pPr>
              <w:pStyle w:val="PBACTabletext"/>
              <w:keepLines w:val="0"/>
              <w:suppressLineNumbers w:val="0"/>
            </w:pPr>
            <w:r w:rsidRPr="00AB0640">
              <w:t>75.2</w:t>
            </w:r>
          </w:p>
        </w:tc>
      </w:tr>
      <w:tr w:rsidR="003D55DF" w:rsidRPr="00AB0640" w14:paraId="7DFFFFA0" w14:textId="77777777" w:rsidTr="0065379D">
        <w:trPr>
          <w:cantSplit/>
        </w:trPr>
        <w:tc>
          <w:tcPr>
            <w:tcW w:w="1884" w:type="pct"/>
            <w:tcBorders>
              <w:left w:val="single" w:sz="4" w:space="0" w:color="auto"/>
              <w:right w:val="single" w:sz="4" w:space="0" w:color="auto"/>
            </w:tcBorders>
          </w:tcPr>
          <w:p w14:paraId="721836F0" w14:textId="28CC95ED" w:rsidR="003D55DF" w:rsidRPr="00AB0640" w:rsidRDefault="003D55DF" w:rsidP="008028C6">
            <w:pPr>
              <w:pStyle w:val="PBACTabletext"/>
              <w:keepLines w:val="0"/>
              <w:suppressLineNumbers w:val="0"/>
              <w:rPr>
                <w:vertAlign w:val="superscript"/>
              </w:rPr>
            </w:pPr>
            <w:r w:rsidRPr="00AB0640">
              <w:t>mFARS</w:t>
            </w:r>
            <w:r w:rsidR="009E48E1" w:rsidRPr="00AB0640">
              <w:rPr>
                <w:vertAlign w:val="superscript"/>
              </w:rPr>
              <w:t>a</w:t>
            </w:r>
          </w:p>
        </w:tc>
        <w:tc>
          <w:tcPr>
            <w:tcW w:w="3116" w:type="pct"/>
            <w:gridSpan w:val="4"/>
            <w:tcBorders>
              <w:left w:val="single" w:sz="4" w:space="0" w:color="auto"/>
            </w:tcBorders>
          </w:tcPr>
          <w:p w14:paraId="26008BCD" w14:textId="77777777" w:rsidR="003D55DF" w:rsidRPr="00AB0640" w:rsidRDefault="003D55DF" w:rsidP="008028C6">
            <w:pPr>
              <w:pStyle w:val="PBACTabletext"/>
              <w:keepLines w:val="0"/>
              <w:suppressLineNumbers w:val="0"/>
            </w:pPr>
            <w:r w:rsidRPr="00AB0640">
              <w:t>Disease severity</w:t>
            </w:r>
          </w:p>
        </w:tc>
      </w:tr>
      <w:tr w:rsidR="003D55DF" w:rsidRPr="00AB0640" w14:paraId="5C964358" w14:textId="77777777" w:rsidTr="0065379D">
        <w:trPr>
          <w:cantSplit/>
        </w:trPr>
        <w:tc>
          <w:tcPr>
            <w:tcW w:w="1884" w:type="pct"/>
            <w:tcBorders>
              <w:left w:val="single" w:sz="4" w:space="0" w:color="auto"/>
              <w:right w:val="single" w:sz="4" w:space="0" w:color="auto"/>
            </w:tcBorders>
          </w:tcPr>
          <w:p w14:paraId="60FE9A41" w14:textId="77777777" w:rsidR="003D55DF" w:rsidRPr="00AB0640" w:rsidRDefault="003D55DF" w:rsidP="008028C6">
            <w:pPr>
              <w:pStyle w:val="PBACTabletext"/>
              <w:keepLines w:val="0"/>
              <w:suppressLineNumbers w:val="0"/>
            </w:pPr>
          </w:p>
        </w:tc>
        <w:tc>
          <w:tcPr>
            <w:tcW w:w="1808" w:type="pct"/>
            <w:tcBorders>
              <w:left w:val="single" w:sz="4" w:space="0" w:color="auto"/>
            </w:tcBorders>
          </w:tcPr>
          <w:p w14:paraId="227096A4" w14:textId="0974E097" w:rsidR="003D55DF" w:rsidRPr="00AB0640" w:rsidRDefault="003D55DF" w:rsidP="008028C6">
            <w:pPr>
              <w:pStyle w:val="PBACTabletext"/>
              <w:keepLines w:val="0"/>
              <w:suppressLineNumbers w:val="0"/>
            </w:pPr>
            <w:r w:rsidRPr="00AB0640">
              <w:t xml:space="preserve">≥ 20 to ≤ </w:t>
            </w:r>
            <w:r w:rsidR="004D575E" w:rsidRPr="00AB0640">
              <w:t>80</w:t>
            </w:r>
          </w:p>
        </w:tc>
        <w:tc>
          <w:tcPr>
            <w:tcW w:w="392" w:type="pct"/>
          </w:tcPr>
          <w:p w14:paraId="544FE20D" w14:textId="77777777" w:rsidR="003D55DF" w:rsidRPr="00AB0640" w:rsidRDefault="003D55DF" w:rsidP="008028C6">
            <w:pPr>
              <w:pStyle w:val="PBACTabletext"/>
              <w:keepLines w:val="0"/>
              <w:suppressLineNumbers w:val="0"/>
            </w:pPr>
            <w:r w:rsidRPr="00AB0640">
              <w:t>184</w:t>
            </w:r>
          </w:p>
        </w:tc>
        <w:tc>
          <w:tcPr>
            <w:tcW w:w="472" w:type="pct"/>
          </w:tcPr>
          <w:p w14:paraId="179FE9B6" w14:textId="77777777" w:rsidR="003D55DF" w:rsidRPr="00AB0640" w:rsidRDefault="003D55DF" w:rsidP="008028C6">
            <w:pPr>
              <w:pStyle w:val="PBACTabletext"/>
              <w:keepLines w:val="0"/>
              <w:suppressLineNumbers w:val="0"/>
            </w:pPr>
            <w:r w:rsidRPr="00AB0640">
              <w:t>202</w:t>
            </w:r>
          </w:p>
        </w:tc>
        <w:tc>
          <w:tcPr>
            <w:tcW w:w="444" w:type="pct"/>
          </w:tcPr>
          <w:p w14:paraId="6CD5AE8D" w14:textId="77777777" w:rsidR="003D55DF" w:rsidRPr="00AB0640" w:rsidRDefault="003D55DF" w:rsidP="008028C6">
            <w:pPr>
              <w:pStyle w:val="PBACTabletext"/>
              <w:keepLines w:val="0"/>
              <w:suppressLineNumbers w:val="0"/>
            </w:pPr>
            <w:r w:rsidRPr="00AB0640">
              <w:t>91.1</w:t>
            </w:r>
          </w:p>
        </w:tc>
      </w:tr>
      <w:tr w:rsidR="003D55DF" w:rsidRPr="00AB0640" w14:paraId="3EA38C47" w14:textId="77777777" w:rsidTr="0065379D">
        <w:trPr>
          <w:cantSplit/>
        </w:trPr>
        <w:tc>
          <w:tcPr>
            <w:tcW w:w="1884" w:type="pct"/>
            <w:tcBorders>
              <w:left w:val="single" w:sz="4" w:space="0" w:color="auto"/>
              <w:right w:val="single" w:sz="4" w:space="0" w:color="auto"/>
            </w:tcBorders>
            <w:shd w:val="clear" w:color="auto" w:fill="B8CCE4" w:themeFill="accent1" w:themeFillTint="66"/>
          </w:tcPr>
          <w:p w14:paraId="0BA26502" w14:textId="22A10025" w:rsidR="003D55DF" w:rsidRPr="00AB0640" w:rsidRDefault="003D55DF" w:rsidP="008028C6">
            <w:pPr>
              <w:pStyle w:val="PBACTabletext"/>
              <w:keepLines w:val="0"/>
              <w:suppressLineNumbers w:val="0"/>
            </w:pPr>
            <w:r w:rsidRPr="00AB0640">
              <w:t>Age and mFARS</w:t>
            </w:r>
            <w:r w:rsidR="009E48E1" w:rsidRPr="00AB0640">
              <w:rPr>
                <w:vertAlign w:val="superscript"/>
              </w:rPr>
              <w:t>a</w:t>
            </w:r>
            <w:r w:rsidRPr="00AB0640">
              <w:t xml:space="preserve"> </w:t>
            </w:r>
            <w:r w:rsidR="00202AE4">
              <w:t xml:space="preserve">&lt; </w:t>
            </w:r>
            <w:r w:rsidRPr="00AB0640">
              <w:t>20 (</w:t>
            </w:r>
            <w:r w:rsidR="006A324C" w:rsidRPr="00AB0640">
              <w:t>a</w:t>
            </w:r>
            <w:r w:rsidRPr="00AB0640">
              <w:t>ge at diagnosis)</w:t>
            </w:r>
          </w:p>
        </w:tc>
        <w:tc>
          <w:tcPr>
            <w:tcW w:w="3116" w:type="pct"/>
            <w:gridSpan w:val="4"/>
            <w:tcBorders>
              <w:left w:val="single" w:sz="4" w:space="0" w:color="auto"/>
            </w:tcBorders>
            <w:shd w:val="clear" w:color="auto" w:fill="B8CCE4" w:themeFill="accent1" w:themeFillTint="66"/>
          </w:tcPr>
          <w:p w14:paraId="7009AFA0" w14:textId="77777777" w:rsidR="003D55DF" w:rsidRPr="00AB0640" w:rsidRDefault="003D55DF" w:rsidP="008028C6">
            <w:pPr>
              <w:pStyle w:val="PBACTabletext"/>
              <w:keepLines w:val="0"/>
              <w:suppressLineNumbers w:val="0"/>
            </w:pPr>
            <w:r w:rsidRPr="00AB0640">
              <w:t>Analysis for cascade testing</w:t>
            </w:r>
          </w:p>
        </w:tc>
      </w:tr>
      <w:tr w:rsidR="003D55DF" w:rsidRPr="00AB0640" w14:paraId="1687ED33" w14:textId="77777777" w:rsidTr="0065379D">
        <w:trPr>
          <w:cantSplit/>
        </w:trPr>
        <w:tc>
          <w:tcPr>
            <w:tcW w:w="1884" w:type="pct"/>
            <w:tcBorders>
              <w:left w:val="single" w:sz="4" w:space="0" w:color="auto"/>
              <w:right w:val="single" w:sz="4" w:space="0" w:color="auto"/>
            </w:tcBorders>
            <w:shd w:val="clear" w:color="auto" w:fill="B8CCE4" w:themeFill="accent1" w:themeFillTint="66"/>
          </w:tcPr>
          <w:p w14:paraId="23496313" w14:textId="77777777" w:rsidR="003D55DF" w:rsidRPr="00AB0640" w:rsidRDefault="003D55DF" w:rsidP="008028C6">
            <w:pPr>
              <w:pStyle w:val="PBACTabletext"/>
              <w:keepLines w:val="0"/>
              <w:suppressLineNumbers w:val="0"/>
            </w:pPr>
          </w:p>
        </w:tc>
        <w:tc>
          <w:tcPr>
            <w:tcW w:w="1808" w:type="pct"/>
            <w:tcBorders>
              <w:left w:val="single" w:sz="4" w:space="0" w:color="auto"/>
            </w:tcBorders>
            <w:shd w:val="clear" w:color="auto" w:fill="B8CCE4" w:themeFill="accent1" w:themeFillTint="66"/>
          </w:tcPr>
          <w:p w14:paraId="516A9D3A" w14:textId="5D346C0C" w:rsidR="003D55DF" w:rsidRPr="00AB0640" w:rsidRDefault="003D55DF" w:rsidP="008028C6">
            <w:pPr>
              <w:pStyle w:val="PBACTabletext"/>
              <w:keepLines w:val="0"/>
              <w:suppressLineNumbers w:val="0"/>
              <w:rPr>
                <w:vertAlign w:val="superscript"/>
              </w:rPr>
            </w:pPr>
            <w:r w:rsidRPr="00AB0640">
              <w:t>≥16 years</w:t>
            </w:r>
            <w:r w:rsidR="009E48E1" w:rsidRPr="00AB0640">
              <w:rPr>
                <w:vertAlign w:val="superscript"/>
              </w:rPr>
              <w:t>b</w:t>
            </w:r>
          </w:p>
        </w:tc>
        <w:tc>
          <w:tcPr>
            <w:tcW w:w="392" w:type="pct"/>
            <w:shd w:val="clear" w:color="auto" w:fill="B8CCE4" w:themeFill="accent1" w:themeFillTint="66"/>
          </w:tcPr>
          <w:p w14:paraId="021EA54C" w14:textId="77777777" w:rsidR="003D55DF" w:rsidRPr="00AB0640" w:rsidRDefault="003D55DF" w:rsidP="008028C6">
            <w:pPr>
              <w:pStyle w:val="PBACTabletext"/>
              <w:keepLines w:val="0"/>
              <w:suppressLineNumbers w:val="0"/>
            </w:pPr>
            <w:r w:rsidRPr="00AB0640">
              <w:t>7</w:t>
            </w:r>
          </w:p>
        </w:tc>
        <w:tc>
          <w:tcPr>
            <w:tcW w:w="472" w:type="pct"/>
            <w:shd w:val="clear" w:color="auto" w:fill="B8CCE4" w:themeFill="accent1" w:themeFillTint="66"/>
          </w:tcPr>
          <w:p w14:paraId="6CB8054F" w14:textId="77777777" w:rsidR="003D55DF" w:rsidRPr="00AB0640" w:rsidRDefault="003D55DF" w:rsidP="008028C6">
            <w:pPr>
              <w:pStyle w:val="PBACTabletext"/>
              <w:keepLines w:val="0"/>
              <w:suppressLineNumbers w:val="0"/>
            </w:pPr>
            <w:r w:rsidRPr="00AB0640">
              <w:t>152</w:t>
            </w:r>
          </w:p>
        </w:tc>
        <w:tc>
          <w:tcPr>
            <w:tcW w:w="444" w:type="pct"/>
            <w:shd w:val="clear" w:color="auto" w:fill="B8CCE4" w:themeFill="accent1" w:themeFillTint="66"/>
          </w:tcPr>
          <w:p w14:paraId="6AB0AA73" w14:textId="77777777" w:rsidR="003D55DF" w:rsidRPr="00AB0640" w:rsidRDefault="003D55DF" w:rsidP="008028C6">
            <w:pPr>
              <w:pStyle w:val="PBACTabletext"/>
              <w:keepLines w:val="0"/>
              <w:suppressLineNumbers w:val="0"/>
            </w:pPr>
            <w:r w:rsidRPr="00AB0640">
              <w:t>4.6</w:t>
            </w:r>
          </w:p>
        </w:tc>
      </w:tr>
      <w:tr w:rsidR="003D55DF" w:rsidRPr="00AB0640" w14:paraId="2601F35D" w14:textId="77777777" w:rsidTr="0065379D">
        <w:trPr>
          <w:cantSplit/>
        </w:trPr>
        <w:tc>
          <w:tcPr>
            <w:tcW w:w="1884" w:type="pct"/>
            <w:tcBorders>
              <w:left w:val="single" w:sz="4" w:space="0" w:color="auto"/>
              <w:right w:val="single" w:sz="4" w:space="0" w:color="auto"/>
            </w:tcBorders>
            <w:shd w:val="clear" w:color="auto" w:fill="B8CCE4" w:themeFill="accent1" w:themeFillTint="66"/>
          </w:tcPr>
          <w:p w14:paraId="77A374D2" w14:textId="77777777" w:rsidR="003D55DF" w:rsidRPr="00AB0640" w:rsidRDefault="003D55DF" w:rsidP="008028C6">
            <w:pPr>
              <w:pStyle w:val="PBACTabletext"/>
              <w:keepLines w:val="0"/>
              <w:suppressLineNumbers w:val="0"/>
            </w:pPr>
          </w:p>
        </w:tc>
        <w:tc>
          <w:tcPr>
            <w:tcW w:w="1808" w:type="pct"/>
            <w:tcBorders>
              <w:left w:val="single" w:sz="4" w:space="0" w:color="auto"/>
            </w:tcBorders>
            <w:shd w:val="clear" w:color="auto" w:fill="B8CCE4" w:themeFill="accent1" w:themeFillTint="66"/>
          </w:tcPr>
          <w:p w14:paraId="54C59E70" w14:textId="77777777" w:rsidR="003D55DF" w:rsidRPr="00AB0640" w:rsidRDefault="003D55DF" w:rsidP="008028C6">
            <w:pPr>
              <w:pStyle w:val="PBACTabletext"/>
              <w:keepLines w:val="0"/>
              <w:suppressLineNumbers w:val="0"/>
            </w:pPr>
            <w:r w:rsidRPr="00AB0640">
              <w:t>16-25 years (intermediate onset)</w:t>
            </w:r>
          </w:p>
        </w:tc>
        <w:tc>
          <w:tcPr>
            <w:tcW w:w="392" w:type="pct"/>
            <w:shd w:val="clear" w:color="auto" w:fill="B8CCE4" w:themeFill="accent1" w:themeFillTint="66"/>
          </w:tcPr>
          <w:p w14:paraId="3C5C1C29" w14:textId="77777777" w:rsidR="003D55DF" w:rsidRPr="00AB0640" w:rsidRDefault="003D55DF" w:rsidP="008028C6">
            <w:pPr>
              <w:pStyle w:val="PBACTabletext"/>
              <w:keepLines w:val="0"/>
              <w:suppressLineNumbers w:val="0"/>
            </w:pPr>
            <w:r w:rsidRPr="00AB0640">
              <w:t>4</w:t>
            </w:r>
          </w:p>
        </w:tc>
        <w:tc>
          <w:tcPr>
            <w:tcW w:w="472" w:type="pct"/>
            <w:shd w:val="clear" w:color="auto" w:fill="B8CCE4" w:themeFill="accent1" w:themeFillTint="66"/>
          </w:tcPr>
          <w:p w14:paraId="34B112D5" w14:textId="77777777" w:rsidR="003D55DF" w:rsidRPr="00AB0640" w:rsidRDefault="003D55DF" w:rsidP="008028C6">
            <w:pPr>
              <w:pStyle w:val="PBACTabletext"/>
              <w:keepLines w:val="0"/>
              <w:suppressLineNumbers w:val="0"/>
            </w:pPr>
            <w:r w:rsidRPr="00AB0640">
              <w:t>56</w:t>
            </w:r>
          </w:p>
        </w:tc>
        <w:tc>
          <w:tcPr>
            <w:tcW w:w="444" w:type="pct"/>
            <w:shd w:val="clear" w:color="auto" w:fill="B8CCE4" w:themeFill="accent1" w:themeFillTint="66"/>
          </w:tcPr>
          <w:p w14:paraId="082C493A" w14:textId="77777777" w:rsidR="003D55DF" w:rsidRPr="00AB0640" w:rsidRDefault="003D55DF" w:rsidP="008028C6">
            <w:pPr>
              <w:pStyle w:val="PBACTabletext"/>
              <w:keepLines w:val="0"/>
              <w:suppressLineNumbers w:val="0"/>
            </w:pPr>
            <w:r w:rsidRPr="00AB0640">
              <w:t>7.1</w:t>
            </w:r>
          </w:p>
        </w:tc>
      </w:tr>
      <w:tr w:rsidR="003D55DF" w:rsidRPr="00AB0640" w14:paraId="5346D252" w14:textId="77777777" w:rsidTr="0065379D">
        <w:trPr>
          <w:cantSplit/>
        </w:trPr>
        <w:tc>
          <w:tcPr>
            <w:tcW w:w="1884" w:type="pct"/>
            <w:tcBorders>
              <w:left w:val="single" w:sz="4" w:space="0" w:color="auto"/>
              <w:bottom w:val="single" w:sz="4" w:space="0" w:color="auto"/>
              <w:right w:val="single" w:sz="4" w:space="0" w:color="auto"/>
            </w:tcBorders>
            <w:shd w:val="clear" w:color="auto" w:fill="B8CCE4" w:themeFill="accent1" w:themeFillTint="66"/>
          </w:tcPr>
          <w:p w14:paraId="33E20097" w14:textId="77777777" w:rsidR="003D55DF" w:rsidRPr="00AB0640" w:rsidRDefault="003D55DF" w:rsidP="008028C6">
            <w:pPr>
              <w:pStyle w:val="PBACTabletext"/>
              <w:keepLines w:val="0"/>
              <w:suppressLineNumbers w:val="0"/>
            </w:pPr>
          </w:p>
        </w:tc>
        <w:tc>
          <w:tcPr>
            <w:tcW w:w="1808" w:type="pct"/>
            <w:tcBorders>
              <w:left w:val="single" w:sz="4" w:space="0" w:color="auto"/>
            </w:tcBorders>
            <w:shd w:val="clear" w:color="auto" w:fill="B8CCE4" w:themeFill="accent1" w:themeFillTint="66"/>
          </w:tcPr>
          <w:p w14:paraId="003D777A" w14:textId="3DCE3861" w:rsidR="003D55DF" w:rsidRPr="00AB0640" w:rsidRDefault="00202AE4" w:rsidP="008028C6">
            <w:pPr>
              <w:pStyle w:val="PBACTabletext"/>
              <w:keepLines w:val="0"/>
              <w:suppressLineNumbers w:val="0"/>
            </w:pPr>
            <w:r>
              <w:t xml:space="preserve">&gt; </w:t>
            </w:r>
            <w:r w:rsidR="003D55DF" w:rsidRPr="00AB0640">
              <w:t>25 years (late onset)</w:t>
            </w:r>
          </w:p>
        </w:tc>
        <w:tc>
          <w:tcPr>
            <w:tcW w:w="392" w:type="pct"/>
            <w:shd w:val="clear" w:color="auto" w:fill="B8CCE4" w:themeFill="accent1" w:themeFillTint="66"/>
          </w:tcPr>
          <w:p w14:paraId="511D35E5" w14:textId="77777777" w:rsidR="003D55DF" w:rsidRPr="00AB0640" w:rsidRDefault="003D55DF" w:rsidP="008028C6">
            <w:pPr>
              <w:pStyle w:val="PBACTabletext"/>
              <w:keepLines w:val="0"/>
              <w:suppressLineNumbers w:val="0"/>
            </w:pPr>
            <w:r w:rsidRPr="00AB0640">
              <w:t>2</w:t>
            </w:r>
          </w:p>
        </w:tc>
        <w:tc>
          <w:tcPr>
            <w:tcW w:w="472" w:type="pct"/>
            <w:shd w:val="clear" w:color="auto" w:fill="B8CCE4" w:themeFill="accent1" w:themeFillTint="66"/>
          </w:tcPr>
          <w:p w14:paraId="68A98355" w14:textId="77777777" w:rsidR="003D55DF" w:rsidRPr="00AB0640" w:rsidRDefault="003D55DF" w:rsidP="008028C6">
            <w:pPr>
              <w:pStyle w:val="PBACTabletext"/>
              <w:keepLines w:val="0"/>
              <w:suppressLineNumbers w:val="0"/>
            </w:pPr>
            <w:r w:rsidRPr="00AB0640">
              <w:t>39</w:t>
            </w:r>
          </w:p>
        </w:tc>
        <w:tc>
          <w:tcPr>
            <w:tcW w:w="444" w:type="pct"/>
            <w:shd w:val="clear" w:color="auto" w:fill="B8CCE4" w:themeFill="accent1" w:themeFillTint="66"/>
          </w:tcPr>
          <w:p w14:paraId="4A2046BE" w14:textId="77777777" w:rsidR="003D55DF" w:rsidRPr="00AB0640" w:rsidRDefault="003D55DF" w:rsidP="008028C6">
            <w:pPr>
              <w:pStyle w:val="PBACTabletext"/>
              <w:keepLines w:val="0"/>
              <w:suppressLineNumbers w:val="0"/>
            </w:pPr>
            <w:r w:rsidRPr="00AB0640">
              <w:t>5.1</w:t>
            </w:r>
          </w:p>
        </w:tc>
      </w:tr>
    </w:tbl>
    <w:p w14:paraId="5EFF71D3" w14:textId="4B3D7D3B" w:rsidR="003D55DF" w:rsidRPr="00AB0640" w:rsidRDefault="003D55DF" w:rsidP="008028C6">
      <w:pPr>
        <w:pStyle w:val="TableFooter"/>
      </w:pPr>
      <w:r w:rsidRPr="00AB0640">
        <w:t>Source: Table 1</w:t>
      </w:r>
      <w:r w:rsidR="00654617" w:rsidRPr="00AB0640">
        <w:t>.</w:t>
      </w:r>
      <w:r w:rsidRPr="00AB0640">
        <w:t>8, p48 of the resubmission</w:t>
      </w:r>
      <w:r w:rsidR="004D575E" w:rsidRPr="00AB0640">
        <w:t>; Attachment 4 of the resubmission</w:t>
      </w:r>
    </w:p>
    <w:p w14:paraId="08BE83EC" w14:textId="25FB076F" w:rsidR="003D55DF" w:rsidRPr="00AB0640" w:rsidRDefault="003D55DF" w:rsidP="008028C6">
      <w:pPr>
        <w:pStyle w:val="TableFooter"/>
      </w:pPr>
      <w:r w:rsidRPr="00AB0640">
        <w:t xml:space="preserve">FACOMS = Friedreich's Ataxia Clinical Outcome Measures Study; mFARS = </w:t>
      </w:r>
      <w:r w:rsidR="00654617" w:rsidRPr="00AB0640">
        <w:t>modified Friedreich’s ataxia rating scale</w:t>
      </w:r>
      <w:r w:rsidRPr="00AB0640">
        <w:t>.</w:t>
      </w:r>
    </w:p>
    <w:p w14:paraId="1453D4A8" w14:textId="5D63C5E8" w:rsidR="009E48E1" w:rsidRPr="00AB0640" w:rsidRDefault="003D55DF" w:rsidP="008028C6">
      <w:pPr>
        <w:pStyle w:val="TableFooter"/>
      </w:pPr>
      <w:r w:rsidRPr="00AB0640">
        <w:rPr>
          <w:vertAlign w:val="superscript"/>
        </w:rPr>
        <w:t>a</w:t>
      </w:r>
      <w:r w:rsidR="006A324C" w:rsidRPr="00AB0640">
        <w:rPr>
          <w:vertAlign w:val="superscript"/>
        </w:rPr>
        <w:t xml:space="preserve"> </w:t>
      </w:r>
      <w:r w:rsidR="009E48E1" w:rsidRPr="00AB0640">
        <w:t>Scores from the version of mFARS used in the Australian FACOMS range</w:t>
      </w:r>
      <w:r w:rsidR="00986660" w:rsidRPr="00AB0640">
        <w:t>d</w:t>
      </w:r>
      <w:r w:rsidR="009E48E1" w:rsidRPr="00AB0640">
        <w:t xml:space="preserve"> from 0 to 93, whereby the bulbar function section is scored from 0 to 5. </w:t>
      </w:r>
      <w:r w:rsidR="00986660" w:rsidRPr="00AB0640">
        <w:t>T</w:t>
      </w:r>
      <w:r w:rsidR="00E36987" w:rsidRPr="00AB0640">
        <w:t xml:space="preserve">he </w:t>
      </w:r>
      <w:r w:rsidR="009E48E1" w:rsidRPr="00AB0640">
        <w:t xml:space="preserve">mFARS in the key trial MOXIe Part 2 </w:t>
      </w:r>
      <w:r w:rsidR="006C38F5" w:rsidRPr="00AB0640">
        <w:t>scored on a scale of 0 to 99</w:t>
      </w:r>
      <w:r w:rsidR="009E48E1" w:rsidRPr="00AB0640">
        <w:t xml:space="preserve">, with the bulbar function scored from 0 to 11. </w:t>
      </w:r>
      <w:r w:rsidR="006C38F5" w:rsidRPr="00AB0640">
        <w:t xml:space="preserve">A higher score indicates more severe physical impairment. </w:t>
      </w:r>
    </w:p>
    <w:p w14:paraId="0FD7A72A" w14:textId="1D1639CA" w:rsidR="003D55DF" w:rsidRPr="00AB0640" w:rsidRDefault="009E48E1" w:rsidP="008028C6">
      <w:pPr>
        <w:pStyle w:val="TableFooter"/>
      </w:pPr>
      <w:r w:rsidRPr="00AB0640">
        <w:rPr>
          <w:vertAlign w:val="superscript"/>
        </w:rPr>
        <w:t xml:space="preserve">b </w:t>
      </w:r>
      <w:r w:rsidR="003D55DF" w:rsidRPr="00AB0640">
        <w:t>Age at current visit (Visit 1)</w:t>
      </w:r>
    </w:p>
    <w:p w14:paraId="192F00C6" w14:textId="77777777" w:rsidR="00E43F24" w:rsidRPr="00AB0640" w:rsidRDefault="00E43F24" w:rsidP="008028C6">
      <w:r w:rsidRPr="00AB0640">
        <w:rPr>
          <w:rStyle w:val="CommentReference"/>
          <w:b w:val="0"/>
          <w:bCs/>
          <w:sz w:val="18"/>
          <w:szCs w:val="18"/>
          <w:shd w:val="clear" w:color="auto" w:fill="B8CCE4" w:themeFill="accent1" w:themeFillTint="66"/>
        </w:rPr>
        <w:t>Blue shading</w:t>
      </w:r>
      <w:r w:rsidRPr="00AB0640">
        <w:rPr>
          <w:rStyle w:val="CommentReference"/>
          <w:b w:val="0"/>
          <w:bCs/>
          <w:sz w:val="18"/>
          <w:szCs w:val="18"/>
        </w:rPr>
        <w:t xml:space="preserve"> indicates information previously seen by the PBAC.</w:t>
      </w:r>
    </w:p>
    <w:p w14:paraId="1F2351D2" w14:textId="77777777" w:rsidR="003D55DF" w:rsidRPr="00AB0640" w:rsidRDefault="003D55DF" w:rsidP="008028C6">
      <w:pPr>
        <w:pStyle w:val="TableFooter"/>
      </w:pPr>
    </w:p>
    <w:p w14:paraId="0A20A48B" w14:textId="2A806347" w:rsidR="003041D1" w:rsidRPr="00AB0640" w:rsidRDefault="003041D1" w:rsidP="008028C6">
      <w:pPr>
        <w:pStyle w:val="3-BodyText"/>
        <w:rPr>
          <w:color w:val="000000" w:themeColor="text1"/>
        </w:rPr>
      </w:pPr>
      <w:r w:rsidRPr="00AB0640">
        <w:rPr>
          <w:color w:val="000000" w:themeColor="text1"/>
        </w:rPr>
        <w:t>Diagnosis of FA is based on presentation of symptoms (gait ataxia, balance</w:t>
      </w:r>
      <w:r w:rsidR="006A324C" w:rsidRPr="00AB0640">
        <w:rPr>
          <w:color w:val="000000" w:themeColor="text1"/>
        </w:rPr>
        <w:t>,</w:t>
      </w:r>
      <w:r w:rsidRPr="00AB0640">
        <w:rPr>
          <w:color w:val="000000" w:themeColor="text1"/>
        </w:rPr>
        <w:t xml:space="preserve"> and coordination disturbances), confirmed by genetic testing for GAA expansion in the </w:t>
      </w:r>
      <w:r w:rsidRPr="00AB0640">
        <w:rPr>
          <w:i/>
          <w:iCs/>
          <w:color w:val="000000" w:themeColor="text1"/>
        </w:rPr>
        <w:t>FXN</w:t>
      </w:r>
      <w:r w:rsidRPr="00AB0640">
        <w:rPr>
          <w:color w:val="000000" w:themeColor="text1"/>
        </w:rPr>
        <w:t xml:space="preserve"> gene. FA is usually diagnosed during childhood or adolescence. The clinical diagnosis of FA is performed through </w:t>
      </w:r>
      <w:proofErr w:type="gramStart"/>
      <w:r w:rsidRPr="00AB0640">
        <w:rPr>
          <w:color w:val="000000" w:themeColor="text1"/>
        </w:rPr>
        <w:t>a number of</w:t>
      </w:r>
      <w:proofErr w:type="gramEnd"/>
      <w:r w:rsidRPr="00AB0640">
        <w:rPr>
          <w:color w:val="000000" w:themeColor="text1"/>
        </w:rPr>
        <w:t xml:space="preserve"> tests including a review of a person’s medical history, a medical examination, magnetic resonance imaging (MRI)</w:t>
      </w:r>
      <w:r w:rsidR="006A324C" w:rsidRPr="00AB0640">
        <w:rPr>
          <w:color w:val="000000" w:themeColor="text1"/>
        </w:rPr>
        <w:t>,</w:t>
      </w:r>
      <w:r w:rsidRPr="00AB0640">
        <w:rPr>
          <w:color w:val="000000" w:themeColor="text1"/>
        </w:rPr>
        <w:t xml:space="preserve"> and potentially an electrocardiogram or echocardiogram, with genetic testing providing a conclusive diagnosis. In Australia, diagnosis is usually confirmed with a paediatric neurologist in close collaboration with a paediatric geneticist.</w:t>
      </w:r>
    </w:p>
    <w:p w14:paraId="3C408B6F" w14:textId="3333CDBA" w:rsidR="008F2463" w:rsidRPr="00AB0640" w:rsidRDefault="00CB19CE" w:rsidP="008028C6">
      <w:pPr>
        <w:pStyle w:val="3-BodyText"/>
        <w:rPr>
          <w:color w:val="000000" w:themeColor="text1"/>
        </w:rPr>
      </w:pPr>
      <w:r w:rsidRPr="00AB0640">
        <w:rPr>
          <w:color w:val="000000" w:themeColor="text1"/>
        </w:rPr>
        <w:t xml:space="preserve">A genetic counsellor should </w:t>
      </w:r>
      <w:r w:rsidR="00D965C4">
        <w:rPr>
          <w:color w:val="000000" w:themeColor="text1"/>
        </w:rPr>
        <w:t xml:space="preserve">be involved in patient care, to </w:t>
      </w:r>
      <w:r w:rsidRPr="00AB0640">
        <w:rPr>
          <w:color w:val="000000" w:themeColor="text1"/>
        </w:rPr>
        <w:t>provide emotional support, information about the test and results, and advice on testing siblings and other family members. Neurologists should liaise with their clinical genetic counterparts given the potential implications for family members of patients who undergo genetic testing including any reproductive choices they may make. Informed consent should be sought from all undergoing genetic testing.</w:t>
      </w:r>
      <w:r w:rsidR="008F2463" w:rsidRPr="00AB0640">
        <w:rPr>
          <w:color w:val="000000" w:themeColor="text1"/>
        </w:rPr>
        <w:t xml:space="preserve"> </w:t>
      </w:r>
    </w:p>
    <w:p w14:paraId="351573F5" w14:textId="103AA971" w:rsidR="00064FAB" w:rsidRDefault="008F2463" w:rsidP="008028C6">
      <w:pPr>
        <w:pStyle w:val="3-BodyText"/>
        <w:rPr>
          <w:color w:val="000000" w:themeColor="text1"/>
        </w:rPr>
      </w:pPr>
      <w:r w:rsidRPr="00AB0640">
        <w:rPr>
          <w:color w:val="000000" w:themeColor="text1"/>
        </w:rPr>
        <w:t>Omaveloxolone is an orally bioavailable triterpenoid analogue and a potent activator of the transcription factor, Nrf2. Omaveloxolone selectively and reversibly binds to Keap1 (Kelch-like ECH-associated protein 1), allowing for nuclear translocation of Nrf2 and transcription of its target genes. Nrf2 controls the expression of genes involved in mitochondrial function, redox balance, and inflammation.</w:t>
      </w:r>
      <w:r w:rsidR="00617310" w:rsidRPr="00AB0640">
        <w:rPr>
          <w:color w:val="000000" w:themeColor="text1"/>
        </w:rPr>
        <w:t xml:space="preserve"> </w:t>
      </w:r>
      <w:r w:rsidR="00AD2D20" w:rsidRPr="00AB0640">
        <w:rPr>
          <w:color w:val="000000" w:themeColor="text1"/>
        </w:rPr>
        <w:t>Omaveloxolone is proposed to be used for the treatment of FA in adults and adolescents aged 16 years and older.</w:t>
      </w:r>
    </w:p>
    <w:p w14:paraId="06B00513" w14:textId="6D0C6F9C" w:rsidR="002A0777" w:rsidRPr="00AB0640" w:rsidRDefault="002A0777" w:rsidP="008028C6">
      <w:pPr>
        <w:pStyle w:val="3-BodyText"/>
        <w:numPr>
          <w:ilvl w:val="0"/>
          <w:numId w:val="0"/>
        </w:numPr>
        <w:ind w:left="720"/>
        <w:rPr>
          <w:color w:val="000000" w:themeColor="text1"/>
        </w:rPr>
      </w:pPr>
      <w:r w:rsidRPr="002A0777">
        <w:rPr>
          <w:i/>
          <w:iCs/>
        </w:rPr>
        <w:t>For more detail on PBAC’s view, see section 7 PBAC outcome.</w:t>
      </w:r>
    </w:p>
    <w:p w14:paraId="51E5AE96" w14:textId="136A63B1" w:rsidR="00B50DB8" w:rsidRPr="00AB0640" w:rsidRDefault="00B50DB8" w:rsidP="008028C6">
      <w:pPr>
        <w:pStyle w:val="2-SectionHeading"/>
      </w:pPr>
      <w:bookmarkStart w:id="14" w:name="_Toc208932431"/>
      <w:r w:rsidRPr="00AB0640">
        <w:t>Comparator</w:t>
      </w:r>
      <w:bookmarkEnd w:id="14"/>
    </w:p>
    <w:p w14:paraId="30A067BB" w14:textId="7D50BF02" w:rsidR="00B50DB8" w:rsidRDefault="00D95A7E" w:rsidP="008028C6">
      <w:pPr>
        <w:pStyle w:val="3-BodyText"/>
      </w:pPr>
      <w:r w:rsidRPr="00AB0640">
        <w:t xml:space="preserve">The resubmission </w:t>
      </w:r>
      <w:r w:rsidR="00D85D8A" w:rsidRPr="00AB0640">
        <w:t xml:space="preserve">again </w:t>
      </w:r>
      <w:r w:rsidRPr="00AB0640">
        <w:t xml:space="preserve">nominated BSC as the main comparator. BSC for FA involves the management of disease-related symptoms (cardiac, metabolic, respiratory, </w:t>
      </w:r>
      <w:r w:rsidRPr="00AB0640">
        <w:lastRenderedPageBreak/>
        <w:t>nutritional</w:t>
      </w:r>
      <w:r w:rsidR="00AD2D20" w:rsidRPr="00AB0640">
        <w:t>,</w:t>
      </w:r>
      <w:r w:rsidRPr="00AB0640">
        <w:t xml:space="preserve"> and orthopaedic support) via a multi-disciplinary clinic. The ESC </w:t>
      </w:r>
      <w:r w:rsidR="00AD2D20" w:rsidRPr="00AB0640">
        <w:t xml:space="preserve">previously </w:t>
      </w:r>
      <w:r w:rsidRPr="00AB0640">
        <w:t>considered that the nomination of BSC as the main comparator was appropriate (</w:t>
      </w:r>
      <w:r w:rsidR="00A909D1" w:rsidRPr="00AB0640">
        <w:t xml:space="preserve">paragraph </w:t>
      </w:r>
      <w:r w:rsidRPr="00AB0640">
        <w:t xml:space="preserve">5.1, omaveloxolone PSD, March 2025 PBAC </w:t>
      </w:r>
      <w:r w:rsidR="00C569F4" w:rsidRPr="00AB0640">
        <w:t>m</w:t>
      </w:r>
      <w:r w:rsidRPr="00AB0640">
        <w:t>eeting).</w:t>
      </w:r>
      <w:bookmarkStart w:id="15" w:name="_Ref107305381"/>
      <w:r w:rsidR="00024EB5" w:rsidRPr="00AB0640">
        <w:t xml:space="preserve"> </w:t>
      </w:r>
      <w:bookmarkEnd w:id="15"/>
    </w:p>
    <w:p w14:paraId="7B360BE0" w14:textId="0FB71897" w:rsidR="002A0777" w:rsidRPr="00AB0640" w:rsidRDefault="002A0777" w:rsidP="008028C6">
      <w:pPr>
        <w:pStyle w:val="3-BodyText"/>
        <w:numPr>
          <w:ilvl w:val="0"/>
          <w:numId w:val="0"/>
        </w:numPr>
        <w:ind w:left="720"/>
      </w:pPr>
      <w:r w:rsidRPr="002A0777">
        <w:rPr>
          <w:i/>
          <w:iCs/>
        </w:rPr>
        <w:t>For more detail on PBAC’s view, see section 7 PBAC outcome.</w:t>
      </w:r>
    </w:p>
    <w:p w14:paraId="7F9C27C8" w14:textId="77777777" w:rsidR="00223D5A" w:rsidRPr="00AB0640" w:rsidRDefault="00223D5A" w:rsidP="008028C6">
      <w:pPr>
        <w:pStyle w:val="2-SectionHeading"/>
        <w:numPr>
          <w:ilvl w:val="0"/>
          <w:numId w:val="1"/>
        </w:numPr>
      </w:pPr>
      <w:bookmarkStart w:id="16" w:name="_Toc208932432"/>
      <w:bookmarkStart w:id="17" w:name="_Toc22897640"/>
      <w:r w:rsidRPr="00AB0640">
        <w:t>Consideration of the evidence</w:t>
      </w:r>
      <w:bookmarkEnd w:id="16"/>
    </w:p>
    <w:p w14:paraId="63DCBD2C" w14:textId="6C7A2734" w:rsidR="00D34505" w:rsidRPr="00B3327D" w:rsidRDefault="00D34505" w:rsidP="008028C6">
      <w:pPr>
        <w:pStyle w:val="3-BodyText"/>
      </w:pPr>
      <w:bookmarkStart w:id="18" w:name="_Hlk76375935"/>
      <w:r w:rsidRPr="00F770A1">
        <w:t xml:space="preserve">The resubmission did not present any new clinical evidence and there were no new data cutoffs. Updated propensity score matched analyses, with a follow up of 5 years, were presented in the </w:t>
      </w:r>
      <w:r w:rsidR="002A31CD">
        <w:t>Pre-Sub-Committee Response (</w:t>
      </w:r>
      <w:r w:rsidRPr="00F770A1">
        <w:t>PSCR</w:t>
      </w:r>
      <w:r w:rsidR="002A31CD">
        <w:t>)</w:t>
      </w:r>
      <w:r w:rsidRPr="00F770A1">
        <w:t xml:space="preserve">. </w:t>
      </w:r>
      <w:r w:rsidRPr="00F770A1">
        <w:rPr>
          <w:shd w:val="clear" w:color="auto" w:fill="B8CCE4" w:themeFill="accent1" w:themeFillTint="66"/>
        </w:rPr>
        <w:t>Blue shading</w:t>
      </w:r>
      <w:r w:rsidRPr="00F770A1">
        <w:t xml:space="preserve"> in tables in this section indicates </w:t>
      </w:r>
      <w:r w:rsidRPr="00B3327D">
        <w:t>information/data previously considered by the PBAC.</w:t>
      </w:r>
    </w:p>
    <w:p w14:paraId="1DDBC64F" w14:textId="278D57EA" w:rsidR="00774F51" w:rsidRPr="00B3327D" w:rsidRDefault="00774F51" w:rsidP="008028C6">
      <w:pPr>
        <w:pStyle w:val="4-SubsectionHeading"/>
      </w:pPr>
      <w:r w:rsidRPr="00B3327D">
        <w:t>Sponsor hearing</w:t>
      </w:r>
    </w:p>
    <w:p w14:paraId="1A7416AC" w14:textId="7FECCA99" w:rsidR="00774F51" w:rsidRPr="00B3327D" w:rsidRDefault="00774F51" w:rsidP="008028C6">
      <w:pPr>
        <w:numPr>
          <w:ilvl w:val="1"/>
          <w:numId w:val="1"/>
        </w:numPr>
        <w:spacing w:after="120"/>
        <w:rPr>
          <w:rFonts w:cs="Calibri"/>
          <w:bCs/>
          <w:snapToGrid w:val="0"/>
        </w:rPr>
      </w:pPr>
      <w:r w:rsidRPr="00B3327D">
        <w:rPr>
          <w:rFonts w:cs="Calibri"/>
          <w:bCs/>
          <w:snapToGrid w:val="0"/>
        </w:rPr>
        <w:t>There was no hearing for this item.</w:t>
      </w:r>
    </w:p>
    <w:p w14:paraId="4EF42A9A" w14:textId="44284230" w:rsidR="00CB102D" w:rsidRPr="00B3327D" w:rsidRDefault="00831005" w:rsidP="008028C6">
      <w:pPr>
        <w:numPr>
          <w:ilvl w:val="1"/>
          <w:numId w:val="1"/>
        </w:numPr>
        <w:spacing w:after="120"/>
        <w:rPr>
          <w:rFonts w:asciiTheme="minorHAnsi" w:hAnsiTheme="minorHAnsi"/>
          <w:bCs/>
          <w:snapToGrid w:val="0"/>
        </w:rPr>
      </w:pPr>
      <w:r>
        <w:rPr>
          <w:rFonts w:asciiTheme="minorHAnsi" w:hAnsiTheme="minorHAnsi"/>
          <w:bCs/>
          <w:snapToGrid w:val="0"/>
        </w:rPr>
        <w:t>T</w:t>
      </w:r>
      <w:r w:rsidR="00245C3B">
        <w:rPr>
          <w:rFonts w:asciiTheme="minorHAnsi" w:hAnsiTheme="minorHAnsi"/>
          <w:bCs/>
          <w:snapToGrid w:val="0"/>
        </w:rPr>
        <w:t xml:space="preserve">he PBAC recalled </w:t>
      </w:r>
      <w:r w:rsidR="00D324A4">
        <w:rPr>
          <w:rFonts w:asciiTheme="minorHAnsi" w:hAnsiTheme="minorHAnsi"/>
          <w:bCs/>
          <w:snapToGrid w:val="0"/>
        </w:rPr>
        <w:t xml:space="preserve">that there was a sponsor hearing in March 2025 at which the </w:t>
      </w:r>
      <w:r w:rsidR="00CB102D">
        <w:rPr>
          <w:rFonts w:asciiTheme="minorHAnsi" w:hAnsiTheme="minorHAnsi"/>
          <w:bCs/>
          <w:snapToGrid w:val="0"/>
        </w:rPr>
        <w:t>clinician described the mFARS scale which was used to measure response in the MOXIe Part 2 trial</w:t>
      </w:r>
      <w:r w:rsidR="00254084">
        <w:rPr>
          <w:rFonts w:asciiTheme="minorHAnsi" w:hAnsiTheme="minorHAnsi"/>
          <w:bCs/>
          <w:snapToGrid w:val="0"/>
        </w:rPr>
        <w:t xml:space="preserve">. The clinician stated that the </w:t>
      </w:r>
      <w:r w:rsidR="00CB102D">
        <w:rPr>
          <w:rFonts w:asciiTheme="minorHAnsi" w:hAnsiTheme="minorHAnsi"/>
          <w:bCs/>
          <w:snapToGrid w:val="0"/>
        </w:rPr>
        <w:t>difference of</w:t>
      </w:r>
      <w:r w:rsidR="00CB102D" w:rsidRPr="0049179B">
        <w:rPr>
          <w:rFonts w:asciiTheme="minorHAnsi" w:hAnsiTheme="minorHAnsi"/>
          <w:bCs/>
          <w:snapToGrid w:val="0"/>
        </w:rPr>
        <w:t xml:space="preserve"> </w:t>
      </w:r>
      <w:r w:rsidR="00CB102D">
        <w:rPr>
          <w:rFonts w:asciiTheme="minorHAnsi" w:hAnsiTheme="minorHAnsi"/>
          <w:bCs/>
          <w:snapToGrid w:val="0"/>
        </w:rPr>
        <w:t>-</w:t>
      </w:r>
      <w:r w:rsidR="00CB102D" w:rsidRPr="0049179B">
        <w:rPr>
          <w:rFonts w:asciiTheme="minorHAnsi" w:hAnsiTheme="minorHAnsi"/>
          <w:bCs/>
          <w:snapToGrid w:val="0"/>
        </w:rPr>
        <w:t xml:space="preserve">2.40 </w:t>
      </w:r>
      <w:r w:rsidR="00CB102D">
        <w:rPr>
          <w:rFonts w:asciiTheme="minorHAnsi" w:hAnsiTheme="minorHAnsi"/>
          <w:bCs/>
          <w:snapToGrid w:val="0"/>
        </w:rPr>
        <w:t>point</w:t>
      </w:r>
      <w:r w:rsidR="00254084">
        <w:rPr>
          <w:rFonts w:asciiTheme="minorHAnsi" w:hAnsiTheme="minorHAnsi"/>
          <w:bCs/>
          <w:snapToGrid w:val="0"/>
        </w:rPr>
        <w:t>s</w:t>
      </w:r>
      <w:r w:rsidR="00CB102D">
        <w:rPr>
          <w:rFonts w:asciiTheme="minorHAnsi" w:hAnsiTheme="minorHAnsi"/>
          <w:bCs/>
          <w:snapToGrid w:val="0"/>
        </w:rPr>
        <w:t xml:space="preserve"> </w:t>
      </w:r>
      <w:r w:rsidR="00254084">
        <w:rPr>
          <w:rFonts w:asciiTheme="minorHAnsi" w:hAnsiTheme="minorHAnsi"/>
          <w:bCs/>
          <w:snapToGrid w:val="0"/>
        </w:rPr>
        <w:t xml:space="preserve">between the omaveloxolone and placebo arms at Week 48 </w:t>
      </w:r>
      <w:r w:rsidR="00CB102D">
        <w:rPr>
          <w:rFonts w:asciiTheme="minorHAnsi" w:hAnsiTheme="minorHAnsi"/>
          <w:bCs/>
          <w:snapToGrid w:val="0"/>
        </w:rPr>
        <w:t>was clinically significant</w:t>
      </w:r>
      <w:r w:rsidR="00254084">
        <w:rPr>
          <w:rFonts w:asciiTheme="minorHAnsi" w:hAnsiTheme="minorHAnsi"/>
          <w:bCs/>
          <w:snapToGrid w:val="0"/>
        </w:rPr>
        <w:t xml:space="preserve"> compared to </w:t>
      </w:r>
      <w:r w:rsidR="00CB102D">
        <w:rPr>
          <w:rFonts w:asciiTheme="minorHAnsi" w:hAnsiTheme="minorHAnsi"/>
          <w:bCs/>
          <w:snapToGrid w:val="0"/>
        </w:rPr>
        <w:t>n</w:t>
      </w:r>
      <w:r w:rsidR="00CB102D" w:rsidRPr="007A5833">
        <w:rPr>
          <w:rFonts w:asciiTheme="minorHAnsi" w:hAnsiTheme="minorHAnsi"/>
          <w:bCs/>
          <w:snapToGrid w:val="0"/>
        </w:rPr>
        <w:t xml:space="preserve">atural history studies </w:t>
      </w:r>
      <w:r w:rsidR="00254084">
        <w:rPr>
          <w:rFonts w:asciiTheme="minorHAnsi" w:hAnsiTheme="minorHAnsi"/>
          <w:bCs/>
          <w:snapToGrid w:val="0"/>
        </w:rPr>
        <w:t xml:space="preserve">which </w:t>
      </w:r>
      <w:r w:rsidR="00CB102D" w:rsidRPr="007A5833">
        <w:rPr>
          <w:rFonts w:asciiTheme="minorHAnsi" w:hAnsiTheme="minorHAnsi"/>
          <w:bCs/>
          <w:snapToGrid w:val="0"/>
        </w:rPr>
        <w:t xml:space="preserve">have shown that </w:t>
      </w:r>
      <w:r w:rsidR="00254084">
        <w:rPr>
          <w:rFonts w:asciiTheme="minorHAnsi" w:hAnsiTheme="minorHAnsi"/>
          <w:bCs/>
          <w:snapToGrid w:val="0"/>
        </w:rPr>
        <w:t xml:space="preserve">FA </w:t>
      </w:r>
      <w:r w:rsidR="00CB102D">
        <w:rPr>
          <w:rFonts w:asciiTheme="minorHAnsi" w:hAnsiTheme="minorHAnsi"/>
          <w:bCs/>
          <w:snapToGrid w:val="0"/>
        </w:rPr>
        <w:t>patients</w:t>
      </w:r>
      <w:r w:rsidR="00CB102D" w:rsidRPr="007A5833">
        <w:rPr>
          <w:rFonts w:asciiTheme="minorHAnsi" w:hAnsiTheme="minorHAnsi"/>
          <w:bCs/>
          <w:snapToGrid w:val="0"/>
        </w:rPr>
        <w:t xml:space="preserve"> generally progress at a</w:t>
      </w:r>
      <w:r w:rsidR="00CB102D">
        <w:rPr>
          <w:rFonts w:asciiTheme="minorHAnsi" w:hAnsiTheme="minorHAnsi"/>
          <w:bCs/>
          <w:snapToGrid w:val="0"/>
        </w:rPr>
        <w:t xml:space="preserve">n average </w:t>
      </w:r>
      <w:r w:rsidR="00CB102D" w:rsidRPr="007A5833">
        <w:rPr>
          <w:rFonts w:asciiTheme="minorHAnsi" w:hAnsiTheme="minorHAnsi"/>
          <w:bCs/>
          <w:snapToGrid w:val="0"/>
        </w:rPr>
        <w:t xml:space="preserve">of </w:t>
      </w:r>
      <w:r w:rsidR="00CB102D">
        <w:rPr>
          <w:rFonts w:asciiTheme="minorHAnsi" w:hAnsiTheme="minorHAnsi"/>
          <w:bCs/>
          <w:snapToGrid w:val="0"/>
        </w:rPr>
        <w:t>1.8</w:t>
      </w:r>
      <w:r w:rsidR="00CB102D" w:rsidRPr="007A5833">
        <w:rPr>
          <w:rFonts w:asciiTheme="minorHAnsi" w:hAnsiTheme="minorHAnsi"/>
          <w:bCs/>
          <w:snapToGrid w:val="0"/>
        </w:rPr>
        <w:t xml:space="preserve"> points annually on the mFARS scale (Patel et al., 2016)</w:t>
      </w:r>
      <w:r w:rsidR="00CB102D">
        <w:rPr>
          <w:rFonts w:asciiTheme="minorHAnsi" w:hAnsiTheme="minorHAnsi"/>
          <w:bCs/>
          <w:snapToGrid w:val="0"/>
        </w:rPr>
        <w:t>.</w:t>
      </w:r>
      <w:r w:rsidR="00CB102D" w:rsidRPr="007A5833">
        <w:rPr>
          <w:rFonts w:asciiTheme="minorHAnsi" w:hAnsiTheme="minorHAnsi"/>
          <w:bCs/>
          <w:snapToGrid w:val="0"/>
        </w:rPr>
        <w:t xml:space="preserve"> </w:t>
      </w:r>
      <w:r w:rsidR="00CB102D">
        <w:rPr>
          <w:rFonts w:asciiTheme="minorHAnsi" w:hAnsiTheme="minorHAnsi"/>
          <w:bCs/>
          <w:snapToGrid w:val="0"/>
        </w:rPr>
        <w:t>The</w:t>
      </w:r>
      <w:r w:rsidR="00254084">
        <w:rPr>
          <w:rFonts w:asciiTheme="minorHAnsi" w:hAnsiTheme="minorHAnsi"/>
          <w:bCs/>
          <w:snapToGrid w:val="0"/>
        </w:rPr>
        <w:t xml:space="preserve"> clinician stated that omaveloxolone</w:t>
      </w:r>
      <w:r w:rsidR="00CB102D">
        <w:rPr>
          <w:rFonts w:asciiTheme="minorHAnsi" w:hAnsiTheme="minorHAnsi"/>
          <w:bCs/>
          <w:snapToGrid w:val="0"/>
        </w:rPr>
        <w:t xml:space="preserve"> </w:t>
      </w:r>
      <w:r w:rsidR="00CB102D" w:rsidRPr="0049179B">
        <w:rPr>
          <w:rFonts w:asciiTheme="minorHAnsi" w:hAnsiTheme="minorHAnsi"/>
          <w:bCs/>
          <w:snapToGrid w:val="0"/>
        </w:rPr>
        <w:t xml:space="preserve">potentially </w:t>
      </w:r>
      <w:r w:rsidR="00CB102D">
        <w:rPr>
          <w:rFonts w:asciiTheme="minorHAnsi" w:hAnsiTheme="minorHAnsi"/>
          <w:bCs/>
          <w:snapToGrid w:val="0"/>
        </w:rPr>
        <w:t xml:space="preserve">slowed </w:t>
      </w:r>
      <w:r w:rsidR="00CB102D" w:rsidRPr="0049179B">
        <w:rPr>
          <w:rFonts w:asciiTheme="minorHAnsi" w:hAnsiTheme="minorHAnsi"/>
          <w:bCs/>
          <w:snapToGrid w:val="0"/>
        </w:rPr>
        <w:t>disease progression by more than a year, allowing patients to continue to undertake daily activities and maintain independence for longer.</w:t>
      </w:r>
      <w:r w:rsidR="00CB102D">
        <w:rPr>
          <w:rFonts w:asciiTheme="minorHAnsi" w:hAnsiTheme="minorHAnsi"/>
          <w:bCs/>
          <w:snapToGrid w:val="0"/>
        </w:rPr>
        <w:t xml:space="preserve"> Additionally, the clinician n</w:t>
      </w:r>
      <w:r w:rsidR="00CB102D" w:rsidRPr="00882B29">
        <w:rPr>
          <w:rFonts w:asciiTheme="minorHAnsi" w:hAnsiTheme="minorHAnsi"/>
          <w:bCs/>
          <w:snapToGrid w:val="0"/>
        </w:rPr>
        <w:t xml:space="preserve">oted </w:t>
      </w:r>
      <w:r w:rsidR="00CB102D">
        <w:rPr>
          <w:rFonts w:asciiTheme="minorHAnsi" w:hAnsiTheme="minorHAnsi"/>
          <w:bCs/>
          <w:snapToGrid w:val="0"/>
        </w:rPr>
        <w:t xml:space="preserve">the reduction in mFARS score </w:t>
      </w:r>
      <w:r w:rsidR="00CB102D" w:rsidRPr="00B3327D">
        <w:rPr>
          <w:rFonts w:asciiTheme="minorHAnsi" w:hAnsiTheme="minorHAnsi"/>
          <w:bCs/>
          <w:snapToGrid w:val="0"/>
        </w:rPr>
        <w:t>may also represent improvements to care</w:t>
      </w:r>
      <w:r w:rsidR="003317BB">
        <w:rPr>
          <w:rFonts w:asciiTheme="minorHAnsi" w:hAnsiTheme="minorHAnsi"/>
          <w:bCs/>
          <w:snapToGrid w:val="0"/>
        </w:rPr>
        <w:t>give</w:t>
      </w:r>
      <w:r w:rsidR="00CB102D" w:rsidRPr="00B3327D">
        <w:rPr>
          <w:rFonts w:asciiTheme="minorHAnsi" w:hAnsiTheme="minorHAnsi"/>
          <w:bCs/>
          <w:snapToGrid w:val="0"/>
        </w:rPr>
        <w:t>rs including reducing the amount of carer hours required and unpaid care provided by family.</w:t>
      </w:r>
    </w:p>
    <w:p w14:paraId="72968166" w14:textId="77777777" w:rsidR="00774F51" w:rsidRPr="00B3327D" w:rsidRDefault="00774F51" w:rsidP="008028C6">
      <w:pPr>
        <w:pStyle w:val="4-SubsectionHeading"/>
      </w:pPr>
      <w:r w:rsidRPr="00B3327D">
        <w:t>Consumer comments</w:t>
      </w:r>
    </w:p>
    <w:p w14:paraId="28273CF5" w14:textId="44F190BB" w:rsidR="00774F51" w:rsidRPr="00B3327D" w:rsidRDefault="00774F51" w:rsidP="008028C6">
      <w:pPr>
        <w:numPr>
          <w:ilvl w:val="1"/>
          <w:numId w:val="1"/>
        </w:numPr>
        <w:spacing w:after="120"/>
        <w:rPr>
          <w:rFonts w:asciiTheme="minorHAnsi" w:hAnsiTheme="minorHAnsi"/>
          <w:bCs/>
          <w:snapToGrid w:val="0"/>
        </w:rPr>
      </w:pPr>
      <w:bookmarkStart w:id="19" w:name="_Hlk76382618"/>
      <w:r w:rsidRPr="00B3327D">
        <w:rPr>
          <w:rFonts w:asciiTheme="minorHAnsi" w:hAnsiTheme="minorHAnsi"/>
          <w:bCs/>
          <w:snapToGrid w:val="0"/>
        </w:rPr>
        <w:t>The PBAC noted and welcomed the input from individuals (</w:t>
      </w:r>
      <w:r w:rsidR="00230F7D" w:rsidRPr="00B3327D">
        <w:rPr>
          <w:rFonts w:asciiTheme="minorHAnsi" w:hAnsiTheme="minorHAnsi"/>
          <w:bCs/>
          <w:snapToGrid w:val="0"/>
        </w:rPr>
        <w:t>46</w:t>
      </w:r>
      <w:r w:rsidRPr="00B3327D">
        <w:rPr>
          <w:rFonts w:asciiTheme="minorHAnsi" w:hAnsiTheme="minorHAnsi"/>
          <w:bCs/>
          <w:snapToGrid w:val="0"/>
        </w:rPr>
        <w:t>)</w:t>
      </w:r>
      <w:r w:rsidR="00230F7D" w:rsidRPr="00B3327D">
        <w:rPr>
          <w:rFonts w:asciiTheme="minorHAnsi" w:hAnsiTheme="minorHAnsi"/>
          <w:bCs/>
          <w:snapToGrid w:val="0"/>
        </w:rPr>
        <w:t xml:space="preserve"> and </w:t>
      </w:r>
      <w:r w:rsidRPr="00B3327D">
        <w:rPr>
          <w:rFonts w:asciiTheme="minorHAnsi" w:hAnsiTheme="minorHAnsi"/>
          <w:bCs/>
          <w:snapToGrid w:val="0"/>
        </w:rPr>
        <w:t>an organisation (1) via the Consumer Comments facility on the PBS website.</w:t>
      </w:r>
      <w:r w:rsidR="00202AE4">
        <w:rPr>
          <w:rFonts w:asciiTheme="minorHAnsi" w:hAnsiTheme="minorHAnsi"/>
          <w:bCs/>
          <w:snapToGrid w:val="0"/>
        </w:rPr>
        <w:t xml:space="preserve"> </w:t>
      </w:r>
      <w:r w:rsidR="00230F7D" w:rsidRPr="00B3327D">
        <w:rPr>
          <w:rFonts w:asciiTheme="minorHAnsi" w:hAnsiTheme="minorHAnsi"/>
          <w:bCs/>
          <w:snapToGrid w:val="0"/>
        </w:rPr>
        <w:t>The PBAC also recalled that in March 2025</w:t>
      </w:r>
      <w:r w:rsidR="00875D1B" w:rsidRPr="00B3327D">
        <w:rPr>
          <w:rFonts w:asciiTheme="minorHAnsi" w:hAnsiTheme="minorHAnsi"/>
          <w:bCs/>
          <w:snapToGrid w:val="0"/>
        </w:rPr>
        <w:t xml:space="preserve"> input was received from individuals (77), health care professionals (10) and organisations (2)</w:t>
      </w:r>
      <w:r w:rsidR="004560CE" w:rsidRPr="00B3327D">
        <w:rPr>
          <w:rFonts w:asciiTheme="minorHAnsi" w:hAnsiTheme="minorHAnsi"/>
          <w:bCs/>
          <w:snapToGrid w:val="0"/>
        </w:rPr>
        <w:t xml:space="preserve">. </w:t>
      </w:r>
    </w:p>
    <w:p w14:paraId="394D6243" w14:textId="02060CDA" w:rsidR="00EA7DC4" w:rsidRPr="00A27752" w:rsidRDefault="00EA7DC4" w:rsidP="008028C6">
      <w:pPr>
        <w:numPr>
          <w:ilvl w:val="1"/>
          <w:numId w:val="1"/>
        </w:numPr>
        <w:spacing w:after="120"/>
        <w:rPr>
          <w:snapToGrid w:val="0"/>
        </w:rPr>
      </w:pPr>
      <w:r w:rsidRPr="00B3327D">
        <w:rPr>
          <w:rFonts w:asciiTheme="minorHAnsi" w:hAnsiTheme="minorHAnsi"/>
          <w:bCs/>
          <w:snapToGrid w:val="0"/>
        </w:rPr>
        <w:t>The comments from individuals</w:t>
      </w:r>
      <w:r>
        <w:rPr>
          <w:rFonts w:asciiTheme="minorHAnsi" w:hAnsiTheme="minorHAnsi"/>
          <w:bCs/>
          <w:snapToGrid w:val="0"/>
        </w:rPr>
        <w:t xml:space="preserve"> </w:t>
      </w:r>
      <w:r w:rsidR="00F62B69">
        <w:rPr>
          <w:rFonts w:asciiTheme="minorHAnsi" w:hAnsiTheme="minorHAnsi"/>
          <w:bCs/>
          <w:snapToGrid w:val="0"/>
        </w:rPr>
        <w:t xml:space="preserve">(in March and November 2025) </w:t>
      </w:r>
      <w:r>
        <w:rPr>
          <w:rFonts w:asciiTheme="minorHAnsi" w:hAnsiTheme="minorHAnsi"/>
          <w:bCs/>
          <w:snapToGrid w:val="0"/>
        </w:rPr>
        <w:t>included patients with FA and p</w:t>
      </w:r>
      <w:r w:rsidRPr="00264B4F">
        <w:rPr>
          <w:rFonts w:asciiTheme="minorHAnsi" w:hAnsiTheme="minorHAnsi"/>
          <w:bCs/>
          <w:snapToGrid w:val="0"/>
        </w:rPr>
        <w:t>arents, family members, partners or care</w:t>
      </w:r>
      <w:r w:rsidR="003317BB">
        <w:rPr>
          <w:rFonts w:asciiTheme="minorHAnsi" w:hAnsiTheme="minorHAnsi"/>
          <w:bCs/>
          <w:snapToGrid w:val="0"/>
        </w:rPr>
        <w:t>give</w:t>
      </w:r>
      <w:r w:rsidRPr="00264B4F">
        <w:rPr>
          <w:rFonts w:asciiTheme="minorHAnsi" w:hAnsiTheme="minorHAnsi"/>
          <w:bCs/>
          <w:snapToGrid w:val="0"/>
        </w:rPr>
        <w:t xml:space="preserve">rs of people living with FA. </w:t>
      </w:r>
      <w:r>
        <w:rPr>
          <w:rFonts w:asciiTheme="minorHAnsi" w:hAnsiTheme="minorHAnsi"/>
          <w:bCs/>
          <w:snapToGrid w:val="0"/>
        </w:rPr>
        <w:t xml:space="preserve">Input </w:t>
      </w:r>
      <w:r w:rsidRPr="00836F75">
        <w:rPr>
          <w:rFonts w:asciiTheme="minorHAnsi" w:hAnsiTheme="minorHAnsi"/>
          <w:bCs/>
          <w:snapToGrid w:val="0"/>
        </w:rPr>
        <w:t>described</w:t>
      </w:r>
      <w:r>
        <w:rPr>
          <w:rFonts w:asciiTheme="minorHAnsi" w:hAnsiTheme="minorHAnsi"/>
          <w:bCs/>
          <w:snapToGrid w:val="0"/>
        </w:rPr>
        <w:t xml:space="preserve"> the impacts of this condition, which </w:t>
      </w:r>
      <w:r w:rsidR="002E69E5">
        <w:rPr>
          <w:rFonts w:asciiTheme="minorHAnsi" w:hAnsiTheme="minorHAnsi"/>
          <w:bCs/>
          <w:snapToGrid w:val="0"/>
        </w:rPr>
        <w:t>consist of progressive symptoms affecting walking, balance, speech</w:t>
      </w:r>
      <w:r w:rsidR="008C0C14">
        <w:rPr>
          <w:rFonts w:asciiTheme="minorHAnsi" w:hAnsiTheme="minorHAnsi"/>
          <w:bCs/>
          <w:snapToGrid w:val="0"/>
        </w:rPr>
        <w:t xml:space="preserve"> and</w:t>
      </w:r>
      <w:r w:rsidR="002E69E5">
        <w:rPr>
          <w:rFonts w:asciiTheme="minorHAnsi" w:hAnsiTheme="minorHAnsi"/>
          <w:bCs/>
          <w:snapToGrid w:val="0"/>
        </w:rPr>
        <w:t xml:space="preserve"> coordination</w:t>
      </w:r>
      <w:r w:rsidR="008C0C14">
        <w:rPr>
          <w:rFonts w:asciiTheme="minorHAnsi" w:hAnsiTheme="minorHAnsi"/>
          <w:bCs/>
          <w:snapToGrid w:val="0"/>
        </w:rPr>
        <w:t xml:space="preserve">, </w:t>
      </w:r>
      <w:r>
        <w:rPr>
          <w:rFonts w:asciiTheme="minorHAnsi" w:hAnsiTheme="minorHAnsi"/>
          <w:bCs/>
          <w:snapToGrid w:val="0"/>
        </w:rPr>
        <w:t>reduc</w:t>
      </w:r>
      <w:r w:rsidR="009636D0">
        <w:rPr>
          <w:rFonts w:asciiTheme="minorHAnsi" w:hAnsiTheme="minorHAnsi"/>
          <w:bCs/>
          <w:snapToGrid w:val="0"/>
        </w:rPr>
        <w:t>ing</w:t>
      </w:r>
      <w:r>
        <w:rPr>
          <w:rFonts w:asciiTheme="minorHAnsi" w:hAnsiTheme="minorHAnsi"/>
          <w:bCs/>
          <w:snapToGrid w:val="0"/>
        </w:rPr>
        <w:t xml:space="preserve"> people’s ability to undertake daily tasks</w:t>
      </w:r>
      <w:r w:rsidR="009636D0">
        <w:rPr>
          <w:rFonts w:asciiTheme="minorHAnsi" w:hAnsiTheme="minorHAnsi"/>
          <w:bCs/>
          <w:snapToGrid w:val="0"/>
        </w:rPr>
        <w:t xml:space="preserve"> and </w:t>
      </w:r>
      <w:r>
        <w:rPr>
          <w:rFonts w:asciiTheme="minorHAnsi" w:hAnsiTheme="minorHAnsi"/>
          <w:bCs/>
          <w:snapToGrid w:val="0"/>
        </w:rPr>
        <w:t>quality of life</w:t>
      </w:r>
      <w:r w:rsidR="009636D0">
        <w:rPr>
          <w:rFonts w:asciiTheme="minorHAnsi" w:hAnsiTheme="minorHAnsi"/>
          <w:bCs/>
          <w:snapToGrid w:val="0"/>
        </w:rPr>
        <w:t xml:space="preserve">. The comments also described </w:t>
      </w:r>
      <w:r>
        <w:rPr>
          <w:rFonts w:asciiTheme="minorHAnsi" w:hAnsiTheme="minorHAnsi"/>
          <w:bCs/>
          <w:snapToGrid w:val="0"/>
        </w:rPr>
        <w:t xml:space="preserve">how important it was for patients to find treatments that would delay </w:t>
      </w:r>
      <w:r w:rsidR="006B614D">
        <w:rPr>
          <w:rFonts w:asciiTheme="minorHAnsi" w:hAnsiTheme="minorHAnsi"/>
          <w:bCs/>
          <w:snapToGrid w:val="0"/>
        </w:rPr>
        <w:t xml:space="preserve">disease </w:t>
      </w:r>
      <w:r>
        <w:rPr>
          <w:rFonts w:asciiTheme="minorHAnsi" w:hAnsiTheme="minorHAnsi"/>
          <w:bCs/>
          <w:snapToGrid w:val="0"/>
        </w:rPr>
        <w:t>progression</w:t>
      </w:r>
      <w:r w:rsidRPr="00FE3385">
        <w:rPr>
          <w:rFonts w:asciiTheme="minorHAnsi" w:hAnsiTheme="minorHAnsi"/>
          <w:bCs/>
          <w:snapToGrid w:val="0"/>
        </w:rPr>
        <w:t xml:space="preserve">. </w:t>
      </w:r>
      <w:r w:rsidR="00ED6810">
        <w:rPr>
          <w:rFonts w:asciiTheme="minorHAnsi" w:hAnsiTheme="minorHAnsi"/>
          <w:bCs/>
          <w:snapToGrid w:val="0"/>
        </w:rPr>
        <w:t xml:space="preserve">The comments </w:t>
      </w:r>
      <w:r w:rsidR="006B4BC4">
        <w:rPr>
          <w:rFonts w:asciiTheme="minorHAnsi" w:hAnsiTheme="minorHAnsi"/>
          <w:bCs/>
          <w:snapToGrid w:val="0"/>
        </w:rPr>
        <w:t>noted that, despite not being a cure, omaveloxolone has the potential to preserve functionality</w:t>
      </w:r>
      <w:r w:rsidR="00801659">
        <w:rPr>
          <w:rFonts w:asciiTheme="minorHAnsi" w:hAnsiTheme="minorHAnsi"/>
          <w:bCs/>
          <w:snapToGrid w:val="0"/>
        </w:rPr>
        <w:t>, reduce symptoms of disease (such as drooling and tremors)</w:t>
      </w:r>
      <w:r w:rsidR="006B4BC4">
        <w:rPr>
          <w:rFonts w:asciiTheme="minorHAnsi" w:hAnsiTheme="minorHAnsi"/>
          <w:bCs/>
          <w:snapToGrid w:val="0"/>
        </w:rPr>
        <w:t xml:space="preserve"> and delay life-limiting outcomes such as diabetes and disability. </w:t>
      </w:r>
      <w:r w:rsidRPr="00FE3385">
        <w:rPr>
          <w:rFonts w:asciiTheme="minorHAnsi" w:hAnsiTheme="minorHAnsi"/>
          <w:bCs/>
          <w:snapToGrid w:val="0"/>
        </w:rPr>
        <w:t>Input from care</w:t>
      </w:r>
      <w:r w:rsidR="003317BB">
        <w:rPr>
          <w:rFonts w:asciiTheme="minorHAnsi" w:hAnsiTheme="minorHAnsi"/>
          <w:bCs/>
          <w:snapToGrid w:val="0"/>
        </w:rPr>
        <w:t>give</w:t>
      </w:r>
      <w:r w:rsidRPr="00FE3385">
        <w:rPr>
          <w:rFonts w:asciiTheme="minorHAnsi" w:hAnsiTheme="minorHAnsi"/>
          <w:bCs/>
          <w:snapToGrid w:val="0"/>
        </w:rPr>
        <w:t xml:space="preserve">rs highlighted the substantial difficulties and challenges in witnessing and supporting progressive FA decline. </w:t>
      </w:r>
      <w:r>
        <w:rPr>
          <w:rFonts w:asciiTheme="minorHAnsi" w:hAnsiTheme="minorHAnsi"/>
          <w:bCs/>
          <w:snapToGrid w:val="0"/>
        </w:rPr>
        <w:t>T</w:t>
      </w:r>
      <w:r w:rsidRPr="00FE3385">
        <w:t xml:space="preserve">he potential benefits of omaveloxolone </w:t>
      </w:r>
      <w:r>
        <w:t xml:space="preserve">were described, </w:t>
      </w:r>
      <w:r w:rsidRPr="00FE3385">
        <w:rPr>
          <w:rFonts w:asciiTheme="minorHAnsi" w:hAnsiTheme="minorHAnsi"/>
          <w:bCs/>
          <w:snapToGrid w:val="0"/>
        </w:rPr>
        <w:t xml:space="preserve">including a slowing of disease progression, improvement in daily functioning, and </w:t>
      </w:r>
      <w:r w:rsidRPr="00FE3385">
        <w:rPr>
          <w:rFonts w:asciiTheme="minorHAnsi" w:hAnsiTheme="minorHAnsi"/>
          <w:bCs/>
          <w:snapToGrid w:val="0"/>
        </w:rPr>
        <w:lastRenderedPageBreak/>
        <w:t>reduction in symptoms</w:t>
      </w:r>
      <w:r>
        <w:rPr>
          <w:rFonts w:asciiTheme="minorHAnsi" w:hAnsiTheme="minorHAnsi"/>
          <w:bCs/>
          <w:snapToGrid w:val="0"/>
        </w:rPr>
        <w:t xml:space="preserve">. This allowed patients to </w:t>
      </w:r>
      <w:r w:rsidRPr="00FE3385">
        <w:t>regain or retain</w:t>
      </w:r>
      <w:r w:rsidRPr="00FE3385">
        <w:rPr>
          <w:rFonts w:asciiTheme="minorHAnsi" w:hAnsiTheme="minorHAnsi"/>
          <w:bCs/>
          <w:snapToGrid w:val="0"/>
        </w:rPr>
        <w:t xml:space="preserve"> independence</w:t>
      </w:r>
      <w:r>
        <w:rPr>
          <w:rFonts w:asciiTheme="minorHAnsi" w:hAnsiTheme="minorHAnsi"/>
          <w:bCs/>
          <w:snapToGrid w:val="0"/>
        </w:rPr>
        <w:t xml:space="preserve"> and </w:t>
      </w:r>
      <w:r w:rsidRPr="00FE3385">
        <w:rPr>
          <w:rFonts w:asciiTheme="minorHAnsi" w:hAnsiTheme="minorHAnsi"/>
          <w:bCs/>
          <w:snapToGrid w:val="0"/>
        </w:rPr>
        <w:t>continuing working and participating in social and sporting activities</w:t>
      </w:r>
      <w:r>
        <w:rPr>
          <w:rFonts w:asciiTheme="minorHAnsi" w:hAnsiTheme="minorHAnsi"/>
          <w:bCs/>
          <w:snapToGrid w:val="0"/>
        </w:rPr>
        <w:t xml:space="preserve">, in addition to </w:t>
      </w:r>
      <w:r w:rsidRPr="00FE3385">
        <w:rPr>
          <w:rFonts w:asciiTheme="minorHAnsi" w:hAnsiTheme="minorHAnsi"/>
          <w:bCs/>
          <w:snapToGrid w:val="0"/>
        </w:rPr>
        <w:t>reducing caregiver burden.</w:t>
      </w:r>
      <w:r w:rsidR="00FA7720">
        <w:rPr>
          <w:rFonts w:asciiTheme="minorHAnsi" w:hAnsiTheme="minorHAnsi"/>
          <w:bCs/>
          <w:snapToGrid w:val="0"/>
        </w:rPr>
        <w:t xml:space="preserve"> The input also </w:t>
      </w:r>
      <w:r w:rsidR="00584C7A" w:rsidRPr="006D2BDF">
        <w:rPr>
          <w:rFonts w:asciiTheme="minorHAnsi" w:hAnsiTheme="minorHAnsi"/>
          <w:bCs/>
          <w:snapToGrid w:val="0"/>
        </w:rPr>
        <w:t>stated om</w:t>
      </w:r>
      <w:r w:rsidR="00FE447E" w:rsidRPr="006D2BDF">
        <w:rPr>
          <w:rFonts w:asciiTheme="minorHAnsi" w:hAnsiTheme="minorHAnsi"/>
          <w:bCs/>
          <w:snapToGrid w:val="0"/>
        </w:rPr>
        <w:t>a</w:t>
      </w:r>
      <w:r w:rsidR="00584C7A" w:rsidRPr="006D2BDF">
        <w:rPr>
          <w:rFonts w:asciiTheme="minorHAnsi" w:hAnsiTheme="minorHAnsi"/>
          <w:bCs/>
          <w:snapToGrid w:val="0"/>
        </w:rPr>
        <w:t>veloxolone was</w:t>
      </w:r>
      <w:r w:rsidR="00584C7A">
        <w:rPr>
          <w:rFonts w:asciiTheme="minorHAnsi" w:hAnsiTheme="minorHAnsi"/>
          <w:bCs/>
          <w:snapToGrid w:val="0"/>
        </w:rPr>
        <w:t xml:space="preserve"> well tolerated and that adverse events such as headache, </w:t>
      </w:r>
      <w:r w:rsidR="000922AD">
        <w:rPr>
          <w:rFonts w:asciiTheme="minorHAnsi" w:hAnsiTheme="minorHAnsi"/>
          <w:bCs/>
          <w:snapToGrid w:val="0"/>
        </w:rPr>
        <w:t>nausea and diarrhoea were manageable.</w:t>
      </w:r>
      <w:r w:rsidR="00FA7720">
        <w:rPr>
          <w:rFonts w:asciiTheme="minorHAnsi" w:hAnsiTheme="minorHAnsi"/>
          <w:bCs/>
          <w:snapToGrid w:val="0"/>
        </w:rPr>
        <w:t xml:space="preserve"> </w:t>
      </w:r>
    </w:p>
    <w:p w14:paraId="03D3633F" w14:textId="43ABD424" w:rsidR="00A27752" w:rsidRDefault="00A27752" w:rsidP="008028C6">
      <w:pPr>
        <w:numPr>
          <w:ilvl w:val="1"/>
          <w:numId w:val="1"/>
        </w:numPr>
        <w:spacing w:after="120"/>
        <w:rPr>
          <w:snapToGrid w:val="0"/>
        </w:rPr>
      </w:pPr>
      <w:r>
        <w:rPr>
          <w:rFonts w:asciiTheme="minorHAnsi" w:hAnsiTheme="minorHAnsi"/>
          <w:bCs/>
          <w:snapToGrid w:val="0"/>
        </w:rPr>
        <w:t xml:space="preserve">The PBAC noted that advice received from </w:t>
      </w:r>
      <w:r w:rsidR="00D13482">
        <w:rPr>
          <w:rFonts w:asciiTheme="minorHAnsi" w:hAnsiTheme="minorHAnsi"/>
          <w:bCs/>
          <w:snapToGrid w:val="0"/>
        </w:rPr>
        <w:t>the National Paediatric Medicines Forum</w:t>
      </w:r>
      <w:r w:rsidR="00F62B69">
        <w:rPr>
          <w:rFonts w:asciiTheme="minorHAnsi" w:hAnsiTheme="minorHAnsi"/>
          <w:bCs/>
          <w:snapToGrid w:val="0"/>
        </w:rPr>
        <w:t xml:space="preserve"> which, noting the high unmet need for disease-modifying treatments in FA, supported the resubmission.</w:t>
      </w:r>
    </w:p>
    <w:p w14:paraId="68BF7975" w14:textId="52081C01" w:rsidR="00EA7DC4" w:rsidRPr="00467D5E" w:rsidRDefault="00F62B69" w:rsidP="008028C6">
      <w:pPr>
        <w:pStyle w:val="3-BodyText"/>
        <w:rPr>
          <w:snapToGrid w:val="0"/>
        </w:rPr>
      </w:pPr>
      <w:r>
        <w:rPr>
          <w:snapToGrid w:val="0"/>
        </w:rPr>
        <w:t xml:space="preserve">The PBAC </w:t>
      </w:r>
      <w:r w:rsidR="0001065F">
        <w:rPr>
          <w:snapToGrid w:val="0"/>
        </w:rPr>
        <w:t xml:space="preserve">again </w:t>
      </w:r>
      <w:r>
        <w:rPr>
          <w:snapToGrid w:val="0"/>
        </w:rPr>
        <w:t>noted the i</w:t>
      </w:r>
      <w:r w:rsidR="00EA7DC4" w:rsidRPr="003D2F7A">
        <w:rPr>
          <w:snapToGrid w:val="0"/>
        </w:rPr>
        <w:t xml:space="preserve">nput from health professionals </w:t>
      </w:r>
      <w:r w:rsidR="0001065F">
        <w:rPr>
          <w:snapToGrid w:val="0"/>
        </w:rPr>
        <w:t xml:space="preserve">received in March 2025 </w:t>
      </w:r>
      <w:r w:rsidR="00EA7DC4">
        <w:rPr>
          <w:snapToGrid w:val="0"/>
        </w:rPr>
        <w:t>from</w:t>
      </w:r>
      <w:r w:rsidR="00EA7DC4" w:rsidRPr="003D2F7A">
        <w:rPr>
          <w:snapToGrid w:val="0"/>
        </w:rPr>
        <w:t xml:space="preserve"> neurologists, clinical researchers</w:t>
      </w:r>
      <w:r w:rsidR="00B3327D">
        <w:rPr>
          <w:snapToGrid w:val="0"/>
        </w:rPr>
        <w:t>/</w:t>
      </w:r>
      <w:r w:rsidR="00EA7DC4" w:rsidRPr="003D2F7A">
        <w:rPr>
          <w:snapToGrid w:val="0"/>
        </w:rPr>
        <w:t xml:space="preserve">investigators, physiotherapists and an occupational therapist. </w:t>
      </w:r>
      <w:r w:rsidR="0001065F">
        <w:rPr>
          <w:snapToGrid w:val="0"/>
        </w:rPr>
        <w:t>T</w:t>
      </w:r>
      <w:r w:rsidR="00EA7DC4">
        <w:rPr>
          <w:snapToGrid w:val="0"/>
        </w:rPr>
        <w:t xml:space="preserve">he health professionals </w:t>
      </w:r>
      <w:r w:rsidR="00EA7DC4" w:rsidRPr="003D2F7A">
        <w:rPr>
          <w:bCs/>
          <w:snapToGrid w:val="0"/>
        </w:rPr>
        <w:t>describe</w:t>
      </w:r>
      <w:r w:rsidR="00EA7DC4">
        <w:rPr>
          <w:bCs/>
          <w:snapToGrid w:val="0"/>
        </w:rPr>
        <w:t>d</w:t>
      </w:r>
      <w:r w:rsidR="00EA7DC4" w:rsidRPr="003D2F7A">
        <w:rPr>
          <w:bCs/>
          <w:snapToGrid w:val="0"/>
        </w:rPr>
        <w:t xml:space="preserve"> the significant impact of this progressive neurogenerative condition on quality of life</w:t>
      </w:r>
      <w:r w:rsidR="00EA7DC4">
        <w:rPr>
          <w:bCs/>
          <w:snapToGrid w:val="0"/>
        </w:rPr>
        <w:t>, stating that FA</w:t>
      </w:r>
      <w:r w:rsidR="00EA7DC4" w:rsidRPr="003D2F7A">
        <w:rPr>
          <w:bCs/>
          <w:snapToGrid w:val="0"/>
        </w:rPr>
        <w:t xml:space="preserve"> slowly reduces the capacity for people to undertake daily tasks, walk, talk and swallow food. Vision and sight become impaired, there may be curvature of the spine, pain, limb spasticity, continence issues, muscle weakness, changes in sleep and fatigue and significant depression. </w:t>
      </w:r>
      <w:r w:rsidR="00EA7DC4">
        <w:rPr>
          <w:bCs/>
          <w:snapToGrid w:val="0"/>
        </w:rPr>
        <w:t xml:space="preserve">Clinicians stated that </w:t>
      </w:r>
      <w:r w:rsidR="00EA7DC4" w:rsidRPr="003D2F7A">
        <w:rPr>
          <w:bCs/>
          <w:snapToGrid w:val="0"/>
        </w:rPr>
        <w:t xml:space="preserve">the retention of functional capacities </w:t>
      </w:r>
      <w:r w:rsidR="00EA7DC4">
        <w:rPr>
          <w:bCs/>
          <w:snapToGrid w:val="0"/>
        </w:rPr>
        <w:t>w</w:t>
      </w:r>
      <w:r w:rsidR="00EA7DC4" w:rsidRPr="003D2F7A">
        <w:rPr>
          <w:bCs/>
          <w:snapToGrid w:val="0"/>
        </w:rPr>
        <w:t>as crucial to quality of life</w:t>
      </w:r>
      <w:r w:rsidR="00EA7DC4">
        <w:rPr>
          <w:bCs/>
          <w:snapToGrid w:val="0"/>
        </w:rPr>
        <w:t xml:space="preserve"> and </w:t>
      </w:r>
      <w:r w:rsidR="00EA7DC4" w:rsidRPr="003D2F7A">
        <w:rPr>
          <w:snapToGrid w:val="0"/>
        </w:rPr>
        <w:t>that omaveloxolone can slow the progression of the disease, allowing people to maintain their functional capacity, remain ambulant for longer</w:t>
      </w:r>
      <w:r w:rsidR="00EA7DC4">
        <w:rPr>
          <w:snapToGrid w:val="0"/>
        </w:rPr>
        <w:t xml:space="preserve"> and</w:t>
      </w:r>
      <w:r w:rsidR="00EA7DC4" w:rsidRPr="003D2F7A">
        <w:rPr>
          <w:snapToGrid w:val="0"/>
        </w:rPr>
        <w:t xml:space="preserve"> reduce/delay the need for carer assistance requirement. </w:t>
      </w:r>
      <w:r w:rsidR="00EA7DC4">
        <w:rPr>
          <w:snapToGrid w:val="0"/>
        </w:rPr>
        <w:t xml:space="preserve">Clinicians stated </w:t>
      </w:r>
      <w:r w:rsidR="00EA7DC4" w:rsidRPr="003D2F7A">
        <w:rPr>
          <w:bCs/>
          <w:snapToGrid w:val="0"/>
        </w:rPr>
        <w:t>that omaveloxolone has a favourable safety profile with very few people needing to cease treatment due to adverse events</w:t>
      </w:r>
      <w:r w:rsidR="00EA7DC4">
        <w:rPr>
          <w:bCs/>
          <w:snapToGrid w:val="0"/>
        </w:rPr>
        <w:t xml:space="preserve">, but noted </w:t>
      </w:r>
      <w:r w:rsidR="00EA7DC4">
        <w:t xml:space="preserve">a need for monitoring for elevated liver enzymes and that withdrawal from the medication can result in accelerated degeneration. </w:t>
      </w:r>
    </w:p>
    <w:p w14:paraId="3CD5D55D" w14:textId="7929C5CF" w:rsidR="00EA7DC4" w:rsidRPr="00EA7DC4" w:rsidRDefault="0001065F" w:rsidP="008028C6">
      <w:pPr>
        <w:pStyle w:val="3-BodyText"/>
        <w:rPr>
          <w:snapToGrid w:val="0"/>
        </w:rPr>
      </w:pPr>
      <w:r>
        <w:rPr>
          <w:snapToGrid w:val="0"/>
        </w:rPr>
        <w:t xml:space="preserve">Further the </w:t>
      </w:r>
      <w:r w:rsidR="007125B6">
        <w:rPr>
          <w:snapToGrid w:val="0"/>
        </w:rPr>
        <w:t>PBAC recalled the</w:t>
      </w:r>
      <w:r w:rsidR="00EA7DC4" w:rsidRPr="00E35DB6">
        <w:rPr>
          <w:snapToGrid w:val="0"/>
        </w:rPr>
        <w:t xml:space="preserve"> advice received from Friedreich's Ataxia Research Alliance (FARA) and Friedreich Ataxia Research Association</w:t>
      </w:r>
      <w:r w:rsidR="007125B6">
        <w:rPr>
          <w:snapToGrid w:val="0"/>
        </w:rPr>
        <w:t xml:space="preserve"> in March 2025</w:t>
      </w:r>
      <w:r w:rsidR="00EA7DC4" w:rsidRPr="00E35DB6">
        <w:rPr>
          <w:snapToGrid w:val="0"/>
        </w:rPr>
        <w:t>. Both organisations noted there are currently no approved treatments for FA in Australia. Additionally, both organisations noted that s</w:t>
      </w:r>
      <w:r w:rsidR="00EA7DC4" w:rsidRPr="00E35DB6">
        <w:rPr>
          <w:rFonts w:eastAsia="Times New Roman" w:cs="Arial"/>
          <w:bCs/>
          <w:snapToGrid w:val="0"/>
          <w:szCs w:val="24"/>
        </w:rPr>
        <w:t>ymptom management is not enough to fight this disease, as it does nothing to slow disease progression and results in high financial and social burden.</w:t>
      </w:r>
      <w:r w:rsidR="00EA7DC4" w:rsidRPr="00463A84">
        <w:t xml:space="preserve"> </w:t>
      </w:r>
      <w:r w:rsidR="00EA7DC4" w:rsidRPr="00E35DB6">
        <w:rPr>
          <w:rFonts w:eastAsia="Times New Roman" w:cs="Arial"/>
          <w:bCs/>
          <w:snapToGrid w:val="0"/>
          <w:szCs w:val="24"/>
        </w:rPr>
        <w:t>Both organisations were supportive of the listing of omaveloxolone, noting the most important benefit of this treatment was the slowed progression of disease which resulted in retention of motor function, allowing individuals with FA to remain employed for longer, prevent falls that result in emergency room visits, and prolong individuals’ abilities to independently perform activities of daily living, reducing the need for personal care assistants or reliance on family members. The comments also noted the side effects of omaveloxolone were minimal and include transient elevation of liver function enzymes, elevated cholesterol, headache, diarrh</w:t>
      </w:r>
      <w:r w:rsidR="00AF5AD8">
        <w:rPr>
          <w:rFonts w:eastAsia="Times New Roman" w:cs="Arial"/>
          <w:bCs/>
          <w:snapToGrid w:val="0"/>
          <w:szCs w:val="24"/>
        </w:rPr>
        <w:t>o</w:t>
      </w:r>
      <w:r w:rsidR="00EA7DC4" w:rsidRPr="00E35DB6">
        <w:rPr>
          <w:rFonts w:eastAsia="Times New Roman" w:cs="Arial"/>
          <w:bCs/>
          <w:snapToGrid w:val="0"/>
          <w:szCs w:val="24"/>
        </w:rPr>
        <w:t xml:space="preserve">ea, and nausea. </w:t>
      </w:r>
    </w:p>
    <w:p w14:paraId="609C0765" w14:textId="7AAB661D" w:rsidR="00B60939" w:rsidRPr="00AB0640" w:rsidRDefault="00B60939" w:rsidP="008028C6">
      <w:pPr>
        <w:pStyle w:val="4-SubsectionHeading"/>
      </w:pPr>
      <w:bookmarkStart w:id="20" w:name="_Toc208932433"/>
      <w:bookmarkEnd w:id="18"/>
      <w:bookmarkEnd w:id="19"/>
      <w:r w:rsidRPr="00AB0640">
        <w:t xml:space="preserve">Clinical </w:t>
      </w:r>
      <w:r w:rsidR="00D5243B" w:rsidRPr="00AB0640">
        <w:t>studies</w:t>
      </w:r>
      <w:bookmarkEnd w:id="17"/>
      <w:bookmarkEnd w:id="20"/>
    </w:p>
    <w:p w14:paraId="17DE34DC" w14:textId="0B4A8FA5" w:rsidR="007F1017" w:rsidRPr="00AB0640" w:rsidRDefault="0041401B" w:rsidP="008028C6">
      <w:pPr>
        <w:pStyle w:val="3-BodyText"/>
      </w:pPr>
      <w:r w:rsidRPr="00AB0640">
        <w:t xml:space="preserve">MOXIe Part 2 represents the key evidence to support the clinical claim in the </w:t>
      </w:r>
      <w:r w:rsidR="00AD2D20" w:rsidRPr="00AB0640">
        <w:t>re</w:t>
      </w:r>
      <w:r w:rsidRPr="00AB0640">
        <w:t xml:space="preserve">submission. This was a randomised, placebo-controlled, double-blind trial assessing the efficacy and safety of omaveloxolone 150 mg once daily </w:t>
      </w:r>
      <w:r w:rsidR="00453FA4" w:rsidRPr="00AB0640">
        <w:t xml:space="preserve">for 48 weeks </w:t>
      </w:r>
      <w:r w:rsidRPr="00AB0640">
        <w:t xml:space="preserve">in FA patients </w:t>
      </w:r>
      <w:r w:rsidR="00AD2D20" w:rsidRPr="00AB0640">
        <w:t xml:space="preserve">aged </w:t>
      </w:r>
      <w:r w:rsidRPr="00AB0640">
        <w:t xml:space="preserve">16-40 years. A total of 103 FA patients with or without pes cavus </w:t>
      </w:r>
      <w:r w:rsidRPr="00AB0640">
        <w:lastRenderedPageBreak/>
        <w:t xml:space="preserve">received omaveloxolone (n=51) or placebo (n=52) in the ‘All </w:t>
      </w:r>
      <w:r w:rsidR="00C569F4" w:rsidRPr="00AB0640">
        <w:t>R</w:t>
      </w:r>
      <w:r w:rsidRPr="00AB0640">
        <w:t xml:space="preserve">andomised’ population. Randomisation was stratified by pes cavus status (pes cavus </w:t>
      </w:r>
      <w:r w:rsidR="00B3327D" w:rsidRPr="00B3327D">
        <w:t>versus</w:t>
      </w:r>
      <w:r w:rsidRPr="00AB0640">
        <w:t xml:space="preserve"> no pes cavus).</w:t>
      </w:r>
    </w:p>
    <w:p w14:paraId="214E6D5F" w14:textId="3A599A72" w:rsidR="0041401B" w:rsidRPr="00AB0640" w:rsidRDefault="0041401B" w:rsidP="008028C6">
      <w:pPr>
        <w:pStyle w:val="3-BodyText"/>
      </w:pPr>
      <w:r w:rsidRPr="00AB0640">
        <w:t>A total of 82 FA patients without pes cavus received omaveloxolone (n=40) or placebo (n=42). This was the study’s pre-specified primary ‘Full Analysis’ set (FAS). Patients with pes cavus were limited to 20% of the total study population. The rationale for this approach was based on efficacy findings from the dose ranging study MOXIe Part 1 study and the hypothesis that the presence of this deformity may represent a different subtype of FA, with a different pathophysiology and clinical phenotype.</w:t>
      </w:r>
    </w:p>
    <w:p w14:paraId="0BB911B8" w14:textId="58AC2AC6" w:rsidR="00F9333F" w:rsidRPr="00AB0640" w:rsidRDefault="00F9333F" w:rsidP="008028C6">
      <w:pPr>
        <w:pStyle w:val="3-BodyText"/>
      </w:pPr>
      <w:r w:rsidRPr="00AB0640">
        <w:t>Details of the MOXIe Part 2 trial are provided in</w:t>
      </w:r>
      <w:r w:rsidR="00516A81" w:rsidRPr="00AB0640">
        <w:t xml:space="preserve"> </w:t>
      </w:r>
      <w:r w:rsidR="00516A81" w:rsidRPr="00AB0640">
        <w:fldChar w:fldCharType="begin" w:fldLock="1"/>
      </w:r>
      <w:r w:rsidR="00516A81" w:rsidRPr="00AB0640">
        <w:instrText xml:space="preserve"> REF _Ref205468508 \h </w:instrText>
      </w:r>
      <w:r w:rsidR="00516A81" w:rsidRPr="00AB0640">
        <w:fldChar w:fldCharType="separate"/>
      </w:r>
      <w:r w:rsidR="00E056AF" w:rsidRPr="00AB0640">
        <w:t xml:space="preserve">Table </w:t>
      </w:r>
      <w:r w:rsidR="00E056AF">
        <w:rPr>
          <w:noProof/>
        </w:rPr>
        <w:t>4</w:t>
      </w:r>
      <w:r w:rsidR="00516A81" w:rsidRPr="00AB0640">
        <w:fldChar w:fldCharType="end"/>
      </w:r>
      <w:r w:rsidR="00516A81" w:rsidRPr="00AB0640">
        <w:t>.</w:t>
      </w:r>
      <w:r w:rsidR="001D2F9B" w:rsidRPr="00AB0640">
        <w:t xml:space="preserve"> </w:t>
      </w:r>
    </w:p>
    <w:p w14:paraId="19B1F9BE" w14:textId="63F4DC67" w:rsidR="00F9333F" w:rsidRPr="00AB0640" w:rsidRDefault="00F9333F" w:rsidP="008028C6">
      <w:pPr>
        <w:pStyle w:val="Caption"/>
      </w:pPr>
      <w:bookmarkStart w:id="21" w:name="_Ref205468508"/>
      <w:r w:rsidRPr="00AB0640">
        <w:t xml:space="preserve">Table </w:t>
      </w:r>
      <w:r w:rsidR="00E056AF">
        <w:fldChar w:fldCharType="begin" w:fldLock="1"/>
      </w:r>
      <w:r w:rsidR="00E056AF">
        <w:instrText xml:space="preserve"> SEQ Table \* ARABIC </w:instrText>
      </w:r>
      <w:r w:rsidR="00E056AF">
        <w:fldChar w:fldCharType="separate"/>
      </w:r>
      <w:r w:rsidR="00E056AF">
        <w:rPr>
          <w:noProof/>
        </w:rPr>
        <w:t>4</w:t>
      </w:r>
      <w:r w:rsidR="00E056AF">
        <w:rPr>
          <w:noProof/>
        </w:rPr>
        <w:fldChar w:fldCharType="end"/>
      </w:r>
      <w:bookmarkEnd w:id="21"/>
      <w:r w:rsidRPr="00AB0640">
        <w:t xml:space="preserve">: </w:t>
      </w:r>
      <w:r w:rsidRPr="00AB0640">
        <w:rPr>
          <w:rStyle w:val="CommentReference"/>
          <w:b/>
          <w:bCs w:val="0"/>
          <w:szCs w:val="24"/>
        </w:rPr>
        <w:t xml:space="preserve">Trials and associated reports presented in the </w:t>
      </w:r>
      <w:r w:rsidR="00982235" w:rsidRPr="00AB0640">
        <w:rPr>
          <w:rStyle w:val="CommentReference"/>
          <w:b/>
          <w:bCs w:val="0"/>
          <w:szCs w:val="24"/>
        </w:rPr>
        <w:t>re</w:t>
      </w:r>
      <w:r w:rsidRPr="00AB0640">
        <w:rPr>
          <w:rStyle w:val="CommentReference"/>
          <w:b/>
          <w:bCs w:val="0"/>
          <w:szCs w:val="24"/>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CellMar>
          <w:left w:w="28" w:type="dxa"/>
          <w:right w:w="28" w:type="dxa"/>
        </w:tblCellMar>
        <w:tblLook w:val="01E0" w:firstRow="1" w:lastRow="1" w:firstColumn="1" w:lastColumn="1" w:noHBand="0" w:noVBand="0"/>
        <w:tblCaption w:val="Table 4: Trials and associated reports presented in the submission"/>
      </w:tblPr>
      <w:tblGrid>
        <w:gridCol w:w="1423"/>
        <w:gridCol w:w="5383"/>
        <w:gridCol w:w="2211"/>
      </w:tblGrid>
      <w:tr w:rsidR="00F9333F" w:rsidRPr="00AB0640" w14:paraId="76145306" w14:textId="77777777" w:rsidTr="0065379D">
        <w:trPr>
          <w:tblHeader/>
        </w:trPr>
        <w:tc>
          <w:tcPr>
            <w:tcW w:w="78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BC6B32E" w14:textId="77777777" w:rsidR="00F9333F" w:rsidRPr="00AB0640" w:rsidRDefault="00F9333F" w:rsidP="008028C6">
            <w:pPr>
              <w:pStyle w:val="In-tableHeading"/>
              <w:rPr>
                <w:lang w:val="en-AU"/>
              </w:rPr>
            </w:pPr>
            <w:r w:rsidRPr="00AB0640">
              <w:rPr>
                <w:lang w:val="en-AU"/>
              </w:rPr>
              <w:t>Trial ID</w:t>
            </w:r>
          </w:p>
        </w:tc>
        <w:tc>
          <w:tcPr>
            <w:tcW w:w="298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0D4DEA6" w14:textId="77777777" w:rsidR="00F9333F" w:rsidRPr="00AB0640" w:rsidRDefault="00F9333F" w:rsidP="008028C6">
            <w:pPr>
              <w:pStyle w:val="In-tableHeading"/>
              <w:rPr>
                <w:lang w:val="en-AU"/>
              </w:rPr>
            </w:pPr>
            <w:r w:rsidRPr="00AB0640">
              <w:rPr>
                <w:lang w:val="en-AU"/>
              </w:rPr>
              <w:t>Protocol title/ Publication title</w:t>
            </w:r>
          </w:p>
        </w:tc>
        <w:tc>
          <w:tcPr>
            <w:tcW w:w="122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16E7892" w14:textId="77777777" w:rsidR="00F9333F" w:rsidRPr="00AB0640" w:rsidRDefault="00F9333F" w:rsidP="008028C6">
            <w:pPr>
              <w:pStyle w:val="In-tableHeading"/>
              <w:rPr>
                <w:lang w:val="en-AU"/>
              </w:rPr>
            </w:pPr>
            <w:r w:rsidRPr="00AB0640">
              <w:rPr>
                <w:lang w:val="en-AU"/>
              </w:rPr>
              <w:t>Publication citation</w:t>
            </w:r>
          </w:p>
        </w:tc>
      </w:tr>
      <w:tr w:rsidR="0012285A" w:rsidRPr="00AB0640" w14:paraId="26262E21" w14:textId="77777777" w:rsidTr="0065379D">
        <w:tc>
          <w:tcPr>
            <w:tcW w:w="789" w:type="pct"/>
            <w:vMerge w:val="restart"/>
            <w:tcBorders>
              <w:top w:val="single" w:sz="4" w:space="0" w:color="auto"/>
              <w:left w:val="single" w:sz="4" w:space="0" w:color="auto"/>
              <w:right w:val="single" w:sz="4" w:space="0" w:color="auto"/>
            </w:tcBorders>
            <w:shd w:val="clear" w:color="auto" w:fill="B8CCE4" w:themeFill="accent1" w:themeFillTint="66"/>
            <w:vAlign w:val="center"/>
          </w:tcPr>
          <w:p w14:paraId="12B4CB97" w14:textId="77777777" w:rsidR="0012285A" w:rsidRPr="00AB0640" w:rsidRDefault="0012285A" w:rsidP="008028C6">
            <w:pPr>
              <w:pStyle w:val="TableText0"/>
            </w:pPr>
            <w:r w:rsidRPr="00AB0640">
              <w:t>MOXIe Part 2</w:t>
            </w:r>
          </w:p>
          <w:p w14:paraId="04C21328" w14:textId="3CF30FCF" w:rsidR="0012285A" w:rsidRPr="00AB0640" w:rsidRDefault="0012285A" w:rsidP="008028C6">
            <w:pPr>
              <w:pStyle w:val="TableText0"/>
            </w:pPr>
            <w:r w:rsidRPr="00AB0640">
              <w:rPr>
                <w:bCs w:val="0"/>
              </w:rPr>
              <w:t>NCT02255435</w:t>
            </w:r>
          </w:p>
        </w:tc>
        <w:tc>
          <w:tcPr>
            <w:tcW w:w="2985" w:type="pct"/>
            <w:tcBorders>
              <w:top w:val="single" w:sz="4" w:space="0" w:color="auto"/>
              <w:left w:val="single" w:sz="4" w:space="0" w:color="auto"/>
              <w:bottom w:val="nil"/>
              <w:right w:val="single" w:sz="4" w:space="0" w:color="auto"/>
            </w:tcBorders>
            <w:shd w:val="clear" w:color="auto" w:fill="B8CCE4" w:themeFill="accent1" w:themeFillTint="66"/>
            <w:hideMark/>
          </w:tcPr>
          <w:p w14:paraId="24659051" w14:textId="0CC5F9A0" w:rsidR="0012285A" w:rsidRPr="00AB0640" w:rsidRDefault="0012285A" w:rsidP="008028C6">
            <w:pPr>
              <w:pStyle w:val="TableText0"/>
              <w:spacing w:after="120"/>
            </w:pPr>
            <w:r w:rsidRPr="00AB0640">
              <w:t>Clinical study report: RTA 408 (Omaveloxolone) 408-C-1402 Part 2: A Clinical Study Report: Phase 2 study of the safety, efficacy, and pharmacodynamics of RTA 408 in the treatment of Friedreich’s ataxia.</w:t>
            </w:r>
          </w:p>
        </w:tc>
        <w:tc>
          <w:tcPr>
            <w:tcW w:w="1226" w:type="pct"/>
            <w:tcBorders>
              <w:top w:val="single" w:sz="4" w:space="0" w:color="auto"/>
              <w:left w:val="single" w:sz="4" w:space="0" w:color="auto"/>
              <w:bottom w:val="nil"/>
              <w:right w:val="single" w:sz="4" w:space="0" w:color="auto"/>
            </w:tcBorders>
            <w:shd w:val="clear" w:color="auto" w:fill="B8CCE4" w:themeFill="accent1" w:themeFillTint="66"/>
            <w:hideMark/>
          </w:tcPr>
          <w:p w14:paraId="675E4266" w14:textId="77777777" w:rsidR="0012285A" w:rsidRPr="00AB0640" w:rsidRDefault="0012285A" w:rsidP="008028C6">
            <w:pPr>
              <w:pStyle w:val="TableText0"/>
            </w:pPr>
            <w:r w:rsidRPr="00AB0640">
              <w:t>5 November 2020</w:t>
            </w:r>
          </w:p>
        </w:tc>
      </w:tr>
      <w:tr w:rsidR="0012285A" w:rsidRPr="00AB0640" w14:paraId="4D909381" w14:textId="77777777" w:rsidTr="0065379D">
        <w:tc>
          <w:tcPr>
            <w:tcW w:w="789" w:type="pct"/>
            <w:vMerge/>
            <w:tcBorders>
              <w:left w:val="single" w:sz="4" w:space="0" w:color="auto"/>
              <w:right w:val="single" w:sz="4" w:space="0" w:color="auto"/>
            </w:tcBorders>
            <w:shd w:val="clear" w:color="auto" w:fill="B8CCE4" w:themeFill="accent1" w:themeFillTint="66"/>
            <w:vAlign w:val="center"/>
            <w:hideMark/>
          </w:tcPr>
          <w:p w14:paraId="08347088" w14:textId="697398AB" w:rsidR="0012285A" w:rsidRPr="00AB0640" w:rsidRDefault="0012285A" w:rsidP="008028C6">
            <w:pPr>
              <w:pStyle w:val="TableText0"/>
            </w:pPr>
          </w:p>
        </w:tc>
        <w:tc>
          <w:tcPr>
            <w:tcW w:w="2985" w:type="pct"/>
            <w:tcBorders>
              <w:top w:val="nil"/>
              <w:left w:val="single" w:sz="4" w:space="0" w:color="auto"/>
              <w:bottom w:val="nil"/>
              <w:right w:val="single" w:sz="4" w:space="0" w:color="auto"/>
            </w:tcBorders>
            <w:shd w:val="clear" w:color="auto" w:fill="B8CCE4" w:themeFill="accent1" w:themeFillTint="66"/>
          </w:tcPr>
          <w:p w14:paraId="0062FD7E" w14:textId="72C0A1CF" w:rsidR="0012285A" w:rsidRPr="00AB0640" w:rsidRDefault="0012285A" w:rsidP="008028C6">
            <w:pPr>
              <w:pStyle w:val="TableText0"/>
              <w:spacing w:after="120"/>
            </w:pPr>
            <w:r w:rsidRPr="00AB0640">
              <w:t xml:space="preserve">Lynch DR, Chin MP, </w:t>
            </w:r>
            <w:r w:rsidRPr="00AB0640">
              <w:rPr>
                <w:i/>
                <w:iCs/>
              </w:rPr>
              <w:t>et al</w:t>
            </w:r>
            <w:r w:rsidRPr="00AB0640">
              <w:t xml:space="preserve">. Safety and </w:t>
            </w:r>
            <w:r w:rsidR="00B815F2" w:rsidRPr="00AB0640">
              <w:t>e</w:t>
            </w:r>
            <w:r w:rsidRPr="00AB0640">
              <w:t xml:space="preserve">fficacy of </w:t>
            </w:r>
            <w:r w:rsidR="00B815F2" w:rsidRPr="00AB0640">
              <w:t>o</w:t>
            </w:r>
            <w:r w:rsidRPr="00AB0640">
              <w:t xml:space="preserve">maveloxolone in Friedreich </w:t>
            </w:r>
            <w:r w:rsidR="00B815F2" w:rsidRPr="00AB0640">
              <w:t>a</w:t>
            </w:r>
            <w:r w:rsidRPr="00AB0640">
              <w:t xml:space="preserve">taxia (MOXIe </w:t>
            </w:r>
            <w:r w:rsidR="00B815F2" w:rsidRPr="00AB0640">
              <w:t>s</w:t>
            </w:r>
            <w:r w:rsidRPr="00AB0640">
              <w:t>tudy).</w:t>
            </w:r>
          </w:p>
        </w:tc>
        <w:tc>
          <w:tcPr>
            <w:tcW w:w="1226" w:type="pct"/>
            <w:tcBorders>
              <w:top w:val="nil"/>
              <w:left w:val="single" w:sz="4" w:space="0" w:color="auto"/>
              <w:bottom w:val="nil"/>
              <w:right w:val="single" w:sz="4" w:space="0" w:color="auto"/>
            </w:tcBorders>
            <w:shd w:val="clear" w:color="auto" w:fill="B8CCE4" w:themeFill="accent1" w:themeFillTint="66"/>
            <w:hideMark/>
          </w:tcPr>
          <w:p w14:paraId="70A38E22" w14:textId="77777777" w:rsidR="0012285A" w:rsidRPr="00AB0640" w:rsidRDefault="0012285A" w:rsidP="008028C6">
            <w:pPr>
              <w:pStyle w:val="TableText0"/>
            </w:pPr>
            <w:r w:rsidRPr="00AB0640">
              <w:rPr>
                <w:i/>
                <w:iCs/>
              </w:rPr>
              <w:t>Annals of Neurology</w:t>
            </w:r>
            <w:r w:rsidRPr="00AB0640">
              <w:t xml:space="preserve"> 2021; 89(2):212-225</w:t>
            </w:r>
          </w:p>
        </w:tc>
      </w:tr>
      <w:tr w:rsidR="0012285A" w:rsidRPr="00AB0640" w14:paraId="1C896418" w14:textId="77777777" w:rsidTr="0065379D">
        <w:trPr>
          <w:trHeight w:val="533"/>
        </w:trPr>
        <w:tc>
          <w:tcPr>
            <w:tcW w:w="789" w:type="pct"/>
            <w:vMerge/>
            <w:tcBorders>
              <w:left w:val="single" w:sz="4" w:space="0" w:color="auto"/>
              <w:right w:val="single" w:sz="4" w:space="0" w:color="auto"/>
            </w:tcBorders>
            <w:shd w:val="clear" w:color="auto" w:fill="B8CCE4" w:themeFill="accent1" w:themeFillTint="66"/>
            <w:vAlign w:val="center"/>
            <w:hideMark/>
          </w:tcPr>
          <w:p w14:paraId="3E77AC55" w14:textId="77777777" w:rsidR="0012285A" w:rsidRPr="00AB0640" w:rsidRDefault="0012285A" w:rsidP="008028C6">
            <w:pPr>
              <w:keepNext/>
              <w:keepLines/>
              <w:jc w:val="left"/>
              <w:rPr>
                <w:rFonts w:ascii="Arial Narrow" w:eastAsiaTheme="majorEastAsia" w:hAnsi="Arial Narrow" w:cstheme="majorBidi"/>
                <w:bCs/>
                <w:sz w:val="20"/>
              </w:rPr>
            </w:pPr>
          </w:p>
        </w:tc>
        <w:tc>
          <w:tcPr>
            <w:tcW w:w="2985" w:type="pct"/>
            <w:tcBorders>
              <w:top w:val="nil"/>
              <w:left w:val="single" w:sz="4" w:space="0" w:color="auto"/>
              <w:bottom w:val="nil"/>
              <w:right w:val="single" w:sz="4" w:space="0" w:color="auto"/>
            </w:tcBorders>
            <w:shd w:val="clear" w:color="auto" w:fill="B8CCE4" w:themeFill="accent1" w:themeFillTint="66"/>
          </w:tcPr>
          <w:p w14:paraId="32DA655A" w14:textId="481896E9" w:rsidR="0012285A" w:rsidRPr="00AB0640" w:rsidRDefault="0012285A" w:rsidP="008028C6">
            <w:pPr>
              <w:pStyle w:val="TableText0"/>
              <w:spacing w:after="120"/>
            </w:pPr>
            <w:r w:rsidRPr="00AB0640">
              <w:t xml:space="preserve">Hendrix S, Goldsberry A, </w:t>
            </w:r>
            <w:r w:rsidRPr="00AB0640">
              <w:rPr>
                <w:i/>
                <w:iCs/>
              </w:rPr>
              <w:t>et al</w:t>
            </w:r>
            <w:r w:rsidRPr="00AB0640">
              <w:t xml:space="preserve">. Efficacy of </w:t>
            </w:r>
            <w:r w:rsidR="00B815F2" w:rsidRPr="00AB0640">
              <w:t>o</w:t>
            </w:r>
            <w:r w:rsidRPr="00AB0640">
              <w:t xml:space="preserve">maveloxolone in Friedreich's </w:t>
            </w:r>
            <w:r w:rsidR="00B815F2" w:rsidRPr="00AB0640">
              <w:t>a</w:t>
            </w:r>
            <w:r w:rsidRPr="00AB0640">
              <w:t xml:space="preserve">taxia: </w:t>
            </w:r>
            <w:r w:rsidR="00B815F2" w:rsidRPr="00AB0640">
              <w:t>Post-hoc analysis using global statistics test to strengthen secondary endpoint analyses</w:t>
            </w:r>
            <w:r w:rsidRPr="00AB0640">
              <w:t xml:space="preserve"> [Conference abstract].</w:t>
            </w:r>
          </w:p>
        </w:tc>
        <w:tc>
          <w:tcPr>
            <w:tcW w:w="1226" w:type="pct"/>
            <w:tcBorders>
              <w:top w:val="nil"/>
              <w:left w:val="single" w:sz="4" w:space="0" w:color="auto"/>
              <w:bottom w:val="nil"/>
              <w:right w:val="single" w:sz="4" w:space="0" w:color="auto"/>
            </w:tcBorders>
            <w:shd w:val="clear" w:color="auto" w:fill="B8CCE4" w:themeFill="accent1" w:themeFillTint="66"/>
          </w:tcPr>
          <w:p w14:paraId="7F6F043C" w14:textId="697E415C" w:rsidR="0012285A" w:rsidRPr="00AB0640" w:rsidRDefault="0012285A" w:rsidP="008028C6">
            <w:pPr>
              <w:pStyle w:val="TableText0"/>
            </w:pPr>
            <w:r w:rsidRPr="00AB0640">
              <w:rPr>
                <w:i/>
                <w:iCs/>
              </w:rPr>
              <w:t>Neurology</w:t>
            </w:r>
            <w:r w:rsidRPr="00AB0640">
              <w:t xml:space="preserve"> 2023; </w:t>
            </w:r>
          </w:p>
          <w:p w14:paraId="220E6019" w14:textId="6E6A3F81" w:rsidR="0012285A" w:rsidRPr="00AB0640" w:rsidRDefault="0012285A" w:rsidP="008028C6">
            <w:pPr>
              <w:pStyle w:val="TableText0"/>
            </w:pPr>
            <w:r w:rsidRPr="00AB0640">
              <w:t>100 (17_supplement_2)</w:t>
            </w:r>
          </w:p>
        </w:tc>
      </w:tr>
      <w:tr w:rsidR="0012285A" w:rsidRPr="00AB0640" w14:paraId="5771D796" w14:textId="77777777" w:rsidTr="0065379D">
        <w:tc>
          <w:tcPr>
            <w:tcW w:w="789" w:type="pct"/>
            <w:vMerge/>
            <w:tcBorders>
              <w:left w:val="single" w:sz="4" w:space="0" w:color="auto"/>
              <w:right w:val="single" w:sz="4" w:space="0" w:color="auto"/>
            </w:tcBorders>
            <w:shd w:val="clear" w:color="auto" w:fill="B8CCE4" w:themeFill="accent1" w:themeFillTint="66"/>
            <w:vAlign w:val="center"/>
          </w:tcPr>
          <w:p w14:paraId="41E2A016" w14:textId="77777777" w:rsidR="0012285A" w:rsidRPr="00AB0640" w:rsidRDefault="0012285A" w:rsidP="008028C6">
            <w:pPr>
              <w:keepNext/>
              <w:keepLines/>
              <w:jc w:val="left"/>
              <w:rPr>
                <w:rFonts w:ascii="Arial Narrow" w:eastAsiaTheme="majorEastAsia" w:hAnsi="Arial Narrow" w:cstheme="majorBidi"/>
                <w:bCs/>
                <w:sz w:val="20"/>
              </w:rPr>
            </w:pPr>
          </w:p>
        </w:tc>
        <w:tc>
          <w:tcPr>
            <w:tcW w:w="2985" w:type="pct"/>
            <w:tcBorders>
              <w:top w:val="nil"/>
              <w:left w:val="single" w:sz="4" w:space="0" w:color="auto"/>
              <w:bottom w:val="nil"/>
              <w:right w:val="single" w:sz="4" w:space="0" w:color="auto"/>
            </w:tcBorders>
            <w:shd w:val="clear" w:color="auto" w:fill="B8CCE4" w:themeFill="accent1" w:themeFillTint="66"/>
          </w:tcPr>
          <w:p w14:paraId="2E245545" w14:textId="4EF57295" w:rsidR="0012285A" w:rsidRPr="00AB0640" w:rsidRDefault="0012285A" w:rsidP="008028C6">
            <w:pPr>
              <w:pStyle w:val="TableText0"/>
              <w:spacing w:after="120"/>
            </w:pPr>
            <w:r w:rsidRPr="0007652B">
              <w:rPr>
                <w:lang w:val="de-DE"/>
              </w:rPr>
              <w:t xml:space="preserve">Zaoui P, Chin M, </w:t>
            </w:r>
            <w:r w:rsidRPr="0007652B">
              <w:rPr>
                <w:i/>
                <w:iCs/>
                <w:lang w:val="de-DE"/>
              </w:rPr>
              <w:t>et al</w:t>
            </w:r>
            <w:r w:rsidRPr="0007652B">
              <w:rPr>
                <w:lang w:val="de-DE"/>
              </w:rPr>
              <w:t xml:space="preserve">. </w:t>
            </w:r>
            <w:r w:rsidRPr="00AB0640">
              <w:t>Kidney effects in the moxie trial: A study of omaveloxolone in patients with Friedrich's ataxia [Conference Abstract].</w:t>
            </w:r>
          </w:p>
        </w:tc>
        <w:tc>
          <w:tcPr>
            <w:tcW w:w="1226" w:type="pct"/>
            <w:tcBorders>
              <w:top w:val="nil"/>
              <w:left w:val="single" w:sz="4" w:space="0" w:color="auto"/>
              <w:bottom w:val="nil"/>
              <w:right w:val="single" w:sz="4" w:space="0" w:color="auto"/>
            </w:tcBorders>
            <w:shd w:val="clear" w:color="auto" w:fill="B8CCE4" w:themeFill="accent1" w:themeFillTint="66"/>
          </w:tcPr>
          <w:p w14:paraId="42E7F369" w14:textId="62364496" w:rsidR="0012285A" w:rsidRPr="00AB0640" w:rsidRDefault="0012285A" w:rsidP="008028C6">
            <w:pPr>
              <w:pStyle w:val="TableText0"/>
              <w:rPr>
                <w:i/>
                <w:iCs/>
              </w:rPr>
            </w:pPr>
            <w:r w:rsidRPr="00AB0640">
              <w:rPr>
                <w:i/>
                <w:iCs/>
              </w:rPr>
              <w:t>Nephrology dialysis transplantation</w:t>
            </w:r>
            <w:r w:rsidRPr="00AB0640">
              <w:t xml:space="preserve"> 2020; 35(supplement 3), iii526</w:t>
            </w:r>
          </w:p>
        </w:tc>
      </w:tr>
      <w:tr w:rsidR="0012285A" w:rsidRPr="00AB0640" w14:paraId="019CEF77" w14:textId="77777777" w:rsidTr="0065379D">
        <w:tc>
          <w:tcPr>
            <w:tcW w:w="789" w:type="pct"/>
            <w:vMerge/>
            <w:tcBorders>
              <w:left w:val="single" w:sz="4" w:space="0" w:color="auto"/>
              <w:right w:val="single" w:sz="4" w:space="0" w:color="auto"/>
            </w:tcBorders>
            <w:shd w:val="clear" w:color="auto" w:fill="B8CCE4" w:themeFill="accent1" w:themeFillTint="66"/>
            <w:vAlign w:val="center"/>
          </w:tcPr>
          <w:p w14:paraId="61EDA57D" w14:textId="77777777" w:rsidR="0012285A" w:rsidRPr="00AB0640" w:rsidRDefault="0012285A" w:rsidP="008028C6">
            <w:pPr>
              <w:keepNext/>
              <w:keepLines/>
              <w:jc w:val="left"/>
              <w:rPr>
                <w:rFonts w:ascii="Arial Narrow" w:eastAsiaTheme="majorEastAsia" w:hAnsi="Arial Narrow" w:cstheme="majorBidi"/>
                <w:bCs/>
                <w:sz w:val="20"/>
              </w:rPr>
            </w:pPr>
          </w:p>
        </w:tc>
        <w:tc>
          <w:tcPr>
            <w:tcW w:w="2985" w:type="pct"/>
            <w:tcBorders>
              <w:top w:val="nil"/>
              <w:left w:val="single" w:sz="4" w:space="0" w:color="auto"/>
              <w:bottom w:val="nil"/>
              <w:right w:val="single" w:sz="4" w:space="0" w:color="auto"/>
            </w:tcBorders>
            <w:shd w:val="clear" w:color="auto" w:fill="FFFFFF" w:themeFill="background1"/>
            <w:vAlign w:val="center"/>
          </w:tcPr>
          <w:p w14:paraId="74F284BF" w14:textId="547756E6" w:rsidR="0012285A" w:rsidRPr="00AB0640" w:rsidRDefault="0012285A" w:rsidP="008028C6">
            <w:pPr>
              <w:pStyle w:val="TableText0"/>
              <w:spacing w:after="120"/>
            </w:pPr>
            <w:r w:rsidRPr="00AB0640">
              <w:t xml:space="preserve">Boesch S, Delatycki M, </w:t>
            </w:r>
            <w:r w:rsidRPr="00AB0640">
              <w:rPr>
                <w:i/>
                <w:iCs/>
              </w:rPr>
              <w:t>et al</w:t>
            </w:r>
            <w:r w:rsidRPr="00AB0640">
              <w:t>. The MOXIe trial of omaveloxolone in Friedreich Ataxia: exploring the transient nature of treatment-emergent adverse events [Conference abstract].</w:t>
            </w:r>
            <w:r w:rsidR="001D2F9B" w:rsidRPr="00AB0640">
              <w:rPr>
                <w:vertAlign w:val="superscript"/>
              </w:rPr>
              <w:t>a</w:t>
            </w:r>
            <w:r w:rsidRPr="00AB0640">
              <w:t xml:space="preserve"> </w:t>
            </w:r>
          </w:p>
        </w:tc>
        <w:tc>
          <w:tcPr>
            <w:tcW w:w="1226" w:type="pct"/>
            <w:tcBorders>
              <w:top w:val="nil"/>
              <w:left w:val="single" w:sz="4" w:space="0" w:color="auto"/>
              <w:bottom w:val="nil"/>
              <w:right w:val="single" w:sz="4" w:space="0" w:color="auto"/>
            </w:tcBorders>
            <w:shd w:val="clear" w:color="auto" w:fill="FFFFFF" w:themeFill="background1"/>
          </w:tcPr>
          <w:p w14:paraId="16DB9983" w14:textId="40B5B548" w:rsidR="0012285A" w:rsidRPr="00AB0640" w:rsidRDefault="0012285A" w:rsidP="008028C6">
            <w:pPr>
              <w:pStyle w:val="TableText0"/>
              <w:rPr>
                <w:i/>
                <w:iCs/>
              </w:rPr>
            </w:pPr>
            <w:r w:rsidRPr="00AB0640">
              <w:rPr>
                <w:i/>
                <w:iCs/>
              </w:rPr>
              <w:t xml:space="preserve">Neurology </w:t>
            </w:r>
            <w:r w:rsidRPr="00AB0640">
              <w:t>2024; 102(17).</w:t>
            </w:r>
          </w:p>
        </w:tc>
      </w:tr>
      <w:tr w:rsidR="0012285A" w:rsidRPr="00AB0640" w14:paraId="4CA1F8A9" w14:textId="77777777" w:rsidTr="0065379D">
        <w:tc>
          <w:tcPr>
            <w:tcW w:w="789" w:type="pct"/>
            <w:vMerge/>
            <w:tcBorders>
              <w:left w:val="single" w:sz="4" w:space="0" w:color="auto"/>
              <w:bottom w:val="single" w:sz="4" w:space="0" w:color="auto"/>
              <w:right w:val="single" w:sz="4" w:space="0" w:color="auto"/>
            </w:tcBorders>
            <w:shd w:val="clear" w:color="auto" w:fill="B8CCE4" w:themeFill="accent1" w:themeFillTint="66"/>
            <w:vAlign w:val="center"/>
          </w:tcPr>
          <w:p w14:paraId="55365C2C" w14:textId="77777777" w:rsidR="0012285A" w:rsidRPr="00AB0640" w:rsidRDefault="0012285A" w:rsidP="008028C6">
            <w:pPr>
              <w:keepNext/>
              <w:keepLines/>
              <w:jc w:val="left"/>
              <w:rPr>
                <w:rFonts w:ascii="Arial Narrow" w:eastAsiaTheme="majorEastAsia" w:hAnsi="Arial Narrow" w:cstheme="majorBidi"/>
                <w:bCs/>
                <w:sz w:val="20"/>
              </w:rPr>
            </w:pPr>
          </w:p>
        </w:tc>
        <w:tc>
          <w:tcPr>
            <w:tcW w:w="2985" w:type="pct"/>
            <w:tcBorders>
              <w:top w:val="nil"/>
              <w:left w:val="single" w:sz="4" w:space="0" w:color="auto"/>
              <w:bottom w:val="single" w:sz="4" w:space="0" w:color="auto"/>
              <w:right w:val="single" w:sz="4" w:space="0" w:color="auto"/>
            </w:tcBorders>
            <w:shd w:val="clear" w:color="auto" w:fill="FFFFFF" w:themeFill="background1"/>
            <w:vAlign w:val="center"/>
          </w:tcPr>
          <w:p w14:paraId="217AF0EF" w14:textId="52DE4356" w:rsidR="0012285A" w:rsidRPr="00AB0640" w:rsidRDefault="0012285A" w:rsidP="008028C6">
            <w:pPr>
              <w:pStyle w:val="TableText0"/>
              <w:spacing w:after="120"/>
            </w:pPr>
            <w:r w:rsidRPr="00AB0640">
              <w:t xml:space="preserve">Lynch DR, Boesch S, </w:t>
            </w:r>
            <w:r w:rsidRPr="00AB0640">
              <w:rPr>
                <w:i/>
                <w:iCs/>
              </w:rPr>
              <w:t>et al</w:t>
            </w:r>
            <w:r w:rsidRPr="00AB0640">
              <w:t>. Efficacy and safety results from part 2 MOXIe: A randomized, double-blind, placebo-controlled trial of omaveloxolone in Friedreich ataxia</w:t>
            </w:r>
            <w:r w:rsidR="00B815F2" w:rsidRPr="00AB0640">
              <w:t xml:space="preserve"> [Conference abstract]</w:t>
            </w:r>
            <w:r w:rsidRPr="00AB0640">
              <w:t>.</w:t>
            </w:r>
            <w:r w:rsidR="001D2F9B" w:rsidRPr="00AB0640">
              <w:rPr>
                <w:vertAlign w:val="superscript"/>
              </w:rPr>
              <w:t>a</w:t>
            </w:r>
            <w:r w:rsidRPr="00AB0640">
              <w:t xml:space="preserve"> </w:t>
            </w:r>
          </w:p>
        </w:tc>
        <w:tc>
          <w:tcPr>
            <w:tcW w:w="1226" w:type="pct"/>
            <w:tcBorders>
              <w:top w:val="nil"/>
              <w:left w:val="single" w:sz="4" w:space="0" w:color="auto"/>
              <w:bottom w:val="single" w:sz="4" w:space="0" w:color="auto"/>
              <w:right w:val="single" w:sz="4" w:space="0" w:color="auto"/>
            </w:tcBorders>
            <w:shd w:val="clear" w:color="auto" w:fill="FFFFFF" w:themeFill="background1"/>
          </w:tcPr>
          <w:p w14:paraId="0479B85A" w14:textId="73D2C9B8" w:rsidR="0012285A" w:rsidRPr="00AB0640" w:rsidRDefault="0012285A" w:rsidP="008028C6">
            <w:pPr>
              <w:pStyle w:val="TableText0"/>
              <w:rPr>
                <w:i/>
                <w:iCs/>
              </w:rPr>
            </w:pPr>
            <w:r w:rsidRPr="00AB0640">
              <w:rPr>
                <w:i/>
                <w:iCs/>
              </w:rPr>
              <w:t>Neurology</w:t>
            </w:r>
            <w:r w:rsidRPr="00AB0640">
              <w:t xml:space="preserve"> 2020; 95(4): E439.</w:t>
            </w:r>
          </w:p>
        </w:tc>
      </w:tr>
      <w:tr w:rsidR="0012285A" w:rsidRPr="00AB0640" w14:paraId="3D0D1ACA" w14:textId="77777777" w:rsidTr="0065379D">
        <w:tc>
          <w:tcPr>
            <w:tcW w:w="789" w:type="pct"/>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DD1AB5B" w14:textId="77777777" w:rsidR="0012285A" w:rsidRPr="00AB0640" w:rsidRDefault="0012285A" w:rsidP="008028C6">
            <w:pPr>
              <w:pStyle w:val="TableText0"/>
            </w:pPr>
            <w:r w:rsidRPr="00AB0640">
              <w:t>Propensity score matched analysis</w:t>
            </w:r>
          </w:p>
        </w:tc>
        <w:tc>
          <w:tcPr>
            <w:tcW w:w="2985" w:type="pct"/>
            <w:tcBorders>
              <w:top w:val="single" w:sz="4" w:space="0" w:color="auto"/>
              <w:left w:val="single" w:sz="4" w:space="0" w:color="auto"/>
              <w:bottom w:val="nil"/>
              <w:right w:val="single" w:sz="4" w:space="0" w:color="auto"/>
            </w:tcBorders>
            <w:shd w:val="clear" w:color="auto" w:fill="B8CCE4" w:themeFill="accent1" w:themeFillTint="66"/>
            <w:hideMark/>
          </w:tcPr>
          <w:p w14:paraId="4FA7BC91" w14:textId="6E25A73F" w:rsidR="0012285A" w:rsidRPr="00AB0640" w:rsidRDefault="0012285A" w:rsidP="008028C6">
            <w:pPr>
              <w:pStyle w:val="TableText0"/>
              <w:spacing w:after="120"/>
            </w:pPr>
            <w:r w:rsidRPr="00AB0640">
              <w:t xml:space="preserve">Clinical study report: RTA 408 </w:t>
            </w:r>
            <w:r w:rsidR="00B815F2" w:rsidRPr="00AB0640">
              <w:t>post hoc propensity</w:t>
            </w:r>
            <w:r w:rsidRPr="00AB0640">
              <w:t xml:space="preserve">-matched analysis of Study 408-C-1402 </w:t>
            </w:r>
            <w:r w:rsidR="00B815F2" w:rsidRPr="00AB0640">
              <w:t>extension and natural history</w:t>
            </w:r>
            <w:r w:rsidRPr="00AB0640">
              <w:t>.</w:t>
            </w:r>
          </w:p>
        </w:tc>
        <w:tc>
          <w:tcPr>
            <w:tcW w:w="1226" w:type="pct"/>
            <w:tcBorders>
              <w:top w:val="single" w:sz="4" w:space="0" w:color="auto"/>
              <w:left w:val="single" w:sz="4" w:space="0" w:color="auto"/>
              <w:bottom w:val="nil"/>
              <w:right w:val="single" w:sz="4" w:space="0" w:color="auto"/>
            </w:tcBorders>
            <w:shd w:val="clear" w:color="auto" w:fill="B8CCE4" w:themeFill="accent1" w:themeFillTint="66"/>
            <w:hideMark/>
          </w:tcPr>
          <w:p w14:paraId="70F9DFD6" w14:textId="77777777" w:rsidR="0012285A" w:rsidRPr="00AB0640" w:rsidRDefault="0012285A" w:rsidP="008028C6">
            <w:pPr>
              <w:pStyle w:val="TableText0"/>
              <w:spacing w:after="120"/>
            </w:pPr>
            <w:r w:rsidRPr="00AB0640">
              <w:t>24 August 2022.</w:t>
            </w:r>
          </w:p>
        </w:tc>
      </w:tr>
      <w:tr w:rsidR="0012285A" w:rsidRPr="00AB0640" w14:paraId="2A70D1C6" w14:textId="77777777" w:rsidTr="0065379D">
        <w:tc>
          <w:tcPr>
            <w:tcW w:w="789" w:type="pct"/>
            <w:vMerge/>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21F4B1E" w14:textId="77777777" w:rsidR="0012285A" w:rsidRPr="00AB0640" w:rsidRDefault="0012285A" w:rsidP="008028C6">
            <w:pPr>
              <w:keepNext/>
              <w:keepLines/>
              <w:jc w:val="left"/>
              <w:rPr>
                <w:rFonts w:ascii="Arial Narrow" w:eastAsiaTheme="majorEastAsia" w:hAnsi="Arial Narrow" w:cstheme="majorBidi"/>
                <w:bCs/>
                <w:sz w:val="20"/>
              </w:rPr>
            </w:pPr>
          </w:p>
        </w:tc>
        <w:tc>
          <w:tcPr>
            <w:tcW w:w="2985" w:type="pct"/>
            <w:tcBorders>
              <w:top w:val="nil"/>
              <w:left w:val="single" w:sz="4" w:space="0" w:color="auto"/>
              <w:bottom w:val="single" w:sz="4" w:space="0" w:color="auto"/>
              <w:right w:val="single" w:sz="4" w:space="0" w:color="auto"/>
            </w:tcBorders>
            <w:shd w:val="clear" w:color="auto" w:fill="B8CCE4" w:themeFill="accent1" w:themeFillTint="66"/>
            <w:hideMark/>
          </w:tcPr>
          <w:p w14:paraId="459182D5" w14:textId="50011854" w:rsidR="0012285A" w:rsidRPr="00AB0640" w:rsidRDefault="0012285A" w:rsidP="008028C6">
            <w:pPr>
              <w:pStyle w:val="TableText0"/>
            </w:pPr>
            <w:r w:rsidRPr="00AB0640">
              <w:t xml:space="preserve">Lynch DR, Goldsberry A, </w:t>
            </w:r>
            <w:r w:rsidRPr="00AB0640">
              <w:rPr>
                <w:i/>
                <w:iCs/>
              </w:rPr>
              <w:t>et al</w:t>
            </w:r>
            <w:r w:rsidRPr="00AB0640">
              <w:t>. Propensity matched comparison of omaveloxolone treatment to Friedreich ataxia natural history data.</w:t>
            </w:r>
          </w:p>
        </w:tc>
        <w:tc>
          <w:tcPr>
            <w:tcW w:w="1226" w:type="pct"/>
            <w:tcBorders>
              <w:top w:val="nil"/>
              <w:left w:val="single" w:sz="4" w:space="0" w:color="auto"/>
              <w:bottom w:val="single" w:sz="4" w:space="0" w:color="auto"/>
              <w:right w:val="single" w:sz="4" w:space="0" w:color="auto"/>
            </w:tcBorders>
            <w:shd w:val="clear" w:color="auto" w:fill="B8CCE4" w:themeFill="accent1" w:themeFillTint="66"/>
            <w:hideMark/>
          </w:tcPr>
          <w:p w14:paraId="7A550369" w14:textId="77777777" w:rsidR="0012285A" w:rsidRPr="00AB0640" w:rsidRDefault="0012285A" w:rsidP="008028C6">
            <w:pPr>
              <w:pStyle w:val="TableText0"/>
            </w:pPr>
            <w:r w:rsidRPr="00AB0640">
              <w:rPr>
                <w:i/>
                <w:iCs/>
              </w:rPr>
              <w:t>Annals of clinical and translational neurology</w:t>
            </w:r>
            <w:r w:rsidRPr="00AB0640">
              <w:t xml:space="preserve"> 2024; 11(1):4-16.</w:t>
            </w:r>
          </w:p>
        </w:tc>
      </w:tr>
    </w:tbl>
    <w:p w14:paraId="104ACE08" w14:textId="32A06C94" w:rsidR="00F9333F" w:rsidRPr="00AB0640" w:rsidRDefault="00F9333F" w:rsidP="008028C6">
      <w:pPr>
        <w:pStyle w:val="TableFooter"/>
        <w:keepNext/>
        <w:keepLines/>
      </w:pPr>
      <w:r w:rsidRPr="00AB0640">
        <w:t xml:space="preserve">Source: Table 2.3, pp72-74 of the </w:t>
      </w:r>
      <w:r w:rsidR="00516A81" w:rsidRPr="00AB0640">
        <w:t>re</w:t>
      </w:r>
      <w:r w:rsidRPr="00AB0640">
        <w:t>submission</w:t>
      </w:r>
    </w:p>
    <w:p w14:paraId="1BD024C3" w14:textId="19F53AB5" w:rsidR="00E724A0" w:rsidRPr="00AB0640" w:rsidRDefault="00E724A0" w:rsidP="008028C6">
      <w:pPr>
        <w:keepNext/>
        <w:keepLines/>
        <w:rPr>
          <w:rStyle w:val="CommentReference"/>
          <w:b w:val="0"/>
          <w:bCs/>
          <w:sz w:val="18"/>
          <w:szCs w:val="18"/>
        </w:rPr>
      </w:pPr>
      <w:r w:rsidRPr="00AB0640">
        <w:rPr>
          <w:rStyle w:val="CommentReference"/>
          <w:b w:val="0"/>
          <w:bCs/>
          <w:sz w:val="18"/>
          <w:szCs w:val="18"/>
          <w:shd w:val="clear" w:color="auto" w:fill="B8CCE4" w:themeFill="accent1" w:themeFillTint="66"/>
        </w:rPr>
        <w:t>Blue shading</w:t>
      </w:r>
      <w:r w:rsidRPr="00AB0640">
        <w:rPr>
          <w:rStyle w:val="CommentReference"/>
          <w:b w:val="0"/>
          <w:bCs/>
          <w:sz w:val="18"/>
          <w:szCs w:val="18"/>
        </w:rPr>
        <w:t xml:space="preserve"> indicates clinical evidence previously seen by the PBAC.</w:t>
      </w:r>
    </w:p>
    <w:p w14:paraId="6A835EF6" w14:textId="2F1A07C5" w:rsidR="001D2F9B" w:rsidRPr="00AB0640" w:rsidRDefault="001D2F9B" w:rsidP="008028C6">
      <w:pPr>
        <w:keepNext/>
        <w:keepLines/>
        <w:rPr>
          <w:rFonts w:ascii="Arial Narrow" w:hAnsi="Arial Narrow"/>
          <w:sz w:val="18"/>
          <w:szCs w:val="18"/>
        </w:rPr>
      </w:pPr>
      <w:r w:rsidRPr="00AB0640">
        <w:rPr>
          <w:rStyle w:val="CommentReference"/>
          <w:b w:val="0"/>
          <w:bCs/>
          <w:sz w:val="18"/>
          <w:szCs w:val="18"/>
          <w:vertAlign w:val="superscript"/>
        </w:rPr>
        <w:t xml:space="preserve">a </w:t>
      </w:r>
      <w:r w:rsidRPr="00AB0640">
        <w:rPr>
          <w:rFonts w:ascii="Arial Narrow" w:hAnsi="Arial Narrow"/>
          <w:sz w:val="18"/>
          <w:szCs w:val="18"/>
        </w:rPr>
        <w:t>Although two conference abstracts were identified which were not included in the previous submission, data from these abstracts were not used in the resubmission.</w:t>
      </w:r>
      <w:r w:rsidR="00202AE4">
        <w:rPr>
          <w:rFonts w:ascii="Arial Narrow" w:hAnsi="Arial Narrow"/>
          <w:sz w:val="18"/>
          <w:szCs w:val="18"/>
        </w:rPr>
        <w:t xml:space="preserve"> </w:t>
      </w:r>
    </w:p>
    <w:p w14:paraId="33D00196" w14:textId="77777777" w:rsidR="00E724A0" w:rsidRPr="00AB0640" w:rsidRDefault="00E724A0" w:rsidP="008028C6">
      <w:pPr>
        <w:pStyle w:val="TableFooter"/>
      </w:pPr>
    </w:p>
    <w:p w14:paraId="221C3ED2" w14:textId="6B233018" w:rsidR="00F9333F" w:rsidRPr="00AB0640" w:rsidRDefault="00516A81" w:rsidP="008028C6">
      <w:pPr>
        <w:pStyle w:val="3-BodyText"/>
      </w:pPr>
      <w:r w:rsidRPr="00AB0640">
        <w:t>The key features of the MOXIe Part 2 trial are summarised in</w:t>
      </w:r>
      <w:r w:rsidR="00E724A0" w:rsidRPr="00AB0640">
        <w:t xml:space="preserve"> </w:t>
      </w:r>
      <w:r w:rsidR="00E724A0" w:rsidRPr="00AB0640">
        <w:fldChar w:fldCharType="begin" w:fldLock="1"/>
      </w:r>
      <w:r w:rsidR="00E724A0" w:rsidRPr="00AB0640">
        <w:instrText xml:space="preserve"> REF _Ref207374433 \h </w:instrText>
      </w:r>
      <w:r w:rsidR="00E724A0" w:rsidRPr="00AB0640">
        <w:fldChar w:fldCharType="separate"/>
      </w:r>
      <w:r w:rsidR="00E056AF" w:rsidRPr="00AB0640">
        <w:t xml:space="preserve">Table </w:t>
      </w:r>
      <w:r w:rsidR="00E056AF">
        <w:rPr>
          <w:noProof/>
        </w:rPr>
        <w:t>5</w:t>
      </w:r>
      <w:r w:rsidR="00E724A0" w:rsidRPr="00AB0640">
        <w:fldChar w:fldCharType="end"/>
      </w:r>
      <w:r w:rsidR="00E724A0" w:rsidRPr="00AB0640">
        <w:t>.</w:t>
      </w:r>
    </w:p>
    <w:p w14:paraId="06816D47" w14:textId="33FB6421" w:rsidR="00516A81" w:rsidRPr="00AB0640" w:rsidRDefault="00516A81" w:rsidP="008028C6">
      <w:pPr>
        <w:pStyle w:val="Caption"/>
        <w:rPr>
          <w:rStyle w:val="CommentReference"/>
          <w:rFonts w:eastAsiaTheme="majorEastAsia" w:cstheme="majorBidi"/>
          <w:b/>
          <w:bCs w:val="0"/>
        </w:rPr>
      </w:pPr>
      <w:bookmarkStart w:id="22" w:name="_Ref207374433"/>
      <w:r w:rsidRPr="00AB0640">
        <w:lastRenderedPageBreak/>
        <w:t xml:space="preserve">Table </w:t>
      </w:r>
      <w:r w:rsidR="00E056AF">
        <w:fldChar w:fldCharType="begin" w:fldLock="1"/>
      </w:r>
      <w:r w:rsidR="00E056AF">
        <w:instrText xml:space="preserve"> SEQ Table \* ARABIC </w:instrText>
      </w:r>
      <w:r w:rsidR="00E056AF">
        <w:fldChar w:fldCharType="separate"/>
      </w:r>
      <w:r w:rsidR="00E056AF">
        <w:rPr>
          <w:noProof/>
        </w:rPr>
        <w:t>5</w:t>
      </w:r>
      <w:r w:rsidR="00E056AF">
        <w:rPr>
          <w:noProof/>
        </w:rPr>
        <w:fldChar w:fldCharType="end"/>
      </w:r>
      <w:bookmarkEnd w:id="22"/>
      <w:r w:rsidRPr="00AB0640">
        <w:rPr>
          <w:b w:val="0"/>
          <w:bCs w:val="0"/>
        </w:rPr>
        <w:t xml:space="preserve">: </w:t>
      </w:r>
      <w:r w:rsidRPr="00AB0640">
        <w:rPr>
          <w:rStyle w:val="CommentReference"/>
          <w:rFonts w:eastAsiaTheme="majorEastAsia" w:cstheme="majorBidi"/>
          <w:b/>
          <w:bCs w:val="0"/>
        </w:rPr>
        <w:t>Key characteristics of the key MOXIe Part 2 trial</w:t>
      </w:r>
    </w:p>
    <w:tbl>
      <w:tblPr>
        <w:tblStyle w:val="TableGrid"/>
        <w:tblW w:w="5000" w:type="pct"/>
        <w:shd w:val="clear" w:color="auto" w:fill="B8CCE4" w:themeFill="accent1" w:themeFillTint="66"/>
        <w:tblLook w:val="04A0" w:firstRow="1" w:lastRow="0" w:firstColumn="1" w:lastColumn="0" w:noHBand="0" w:noVBand="1"/>
        <w:tblCaption w:val="Table 5: Key characteristics of the key MOXIe Part 2 trial"/>
      </w:tblPr>
      <w:tblGrid>
        <w:gridCol w:w="815"/>
        <w:gridCol w:w="1271"/>
        <w:gridCol w:w="1930"/>
        <w:gridCol w:w="987"/>
        <w:gridCol w:w="1306"/>
        <w:gridCol w:w="1162"/>
        <w:gridCol w:w="1546"/>
      </w:tblGrid>
      <w:tr w:rsidR="00DF0CFC" w:rsidRPr="00AB0640" w14:paraId="7FEA2C38" w14:textId="77777777" w:rsidTr="0065379D">
        <w:trPr>
          <w:cantSplit/>
        </w:trPr>
        <w:tc>
          <w:tcPr>
            <w:tcW w:w="4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20" w:type="dxa"/>
              <w:bottom w:w="0" w:type="dxa"/>
              <w:right w:w="20" w:type="dxa"/>
            </w:tcMar>
            <w:hideMark/>
          </w:tcPr>
          <w:p w14:paraId="2E49F30B" w14:textId="77777777" w:rsidR="00516A81" w:rsidRPr="00AB0640" w:rsidRDefault="00516A81" w:rsidP="008028C6">
            <w:pPr>
              <w:pStyle w:val="FooterTableFigure"/>
              <w:keepNext/>
              <w:spacing w:after="0"/>
              <w:jc w:val="left"/>
              <w:rPr>
                <w:b/>
                <w:szCs w:val="20"/>
              </w:rPr>
            </w:pPr>
            <w:r w:rsidRPr="00AB0640">
              <w:rPr>
                <w:b/>
                <w:bCs/>
                <w:sz w:val="20"/>
                <w:szCs w:val="20"/>
              </w:rPr>
              <w:t>Design</w:t>
            </w:r>
          </w:p>
        </w:tc>
        <w:tc>
          <w:tcPr>
            <w:tcW w:w="706"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20" w:type="dxa"/>
              <w:bottom w:w="0" w:type="dxa"/>
              <w:right w:w="20" w:type="dxa"/>
            </w:tcMar>
            <w:hideMark/>
          </w:tcPr>
          <w:p w14:paraId="65FDB3F4" w14:textId="77777777" w:rsidR="00516A81" w:rsidRPr="00AB0640" w:rsidRDefault="00516A81" w:rsidP="008028C6">
            <w:pPr>
              <w:pStyle w:val="FooterTableFigure"/>
              <w:keepNext/>
              <w:spacing w:after="0"/>
              <w:jc w:val="left"/>
              <w:rPr>
                <w:b/>
                <w:bCs/>
                <w:sz w:val="20"/>
                <w:szCs w:val="20"/>
              </w:rPr>
            </w:pPr>
            <w:r w:rsidRPr="00AB0640">
              <w:rPr>
                <w:b/>
                <w:bCs/>
                <w:sz w:val="20"/>
                <w:szCs w:val="20"/>
              </w:rPr>
              <w:t>Treatment regimens</w:t>
            </w:r>
          </w:p>
        </w:tc>
        <w:tc>
          <w:tcPr>
            <w:tcW w:w="107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20" w:type="dxa"/>
              <w:bottom w:w="0" w:type="dxa"/>
              <w:right w:w="20" w:type="dxa"/>
            </w:tcMar>
            <w:hideMark/>
          </w:tcPr>
          <w:p w14:paraId="50ED7201" w14:textId="77777777" w:rsidR="00516A81" w:rsidRPr="00AB0640" w:rsidRDefault="00516A81" w:rsidP="008028C6">
            <w:pPr>
              <w:pStyle w:val="FooterTableFigure"/>
              <w:keepNext/>
              <w:spacing w:after="0"/>
              <w:jc w:val="left"/>
              <w:rPr>
                <w:b/>
                <w:bCs/>
                <w:sz w:val="20"/>
                <w:szCs w:val="20"/>
              </w:rPr>
            </w:pPr>
            <w:r w:rsidRPr="00AB0640">
              <w:rPr>
                <w:b/>
                <w:bCs/>
                <w:sz w:val="20"/>
                <w:szCs w:val="20"/>
              </w:rPr>
              <w:t>Patient population</w:t>
            </w:r>
          </w:p>
        </w:tc>
        <w:tc>
          <w:tcPr>
            <w:tcW w:w="548"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20" w:type="dxa"/>
              <w:bottom w:w="0" w:type="dxa"/>
              <w:right w:w="20" w:type="dxa"/>
            </w:tcMar>
            <w:hideMark/>
          </w:tcPr>
          <w:p w14:paraId="403B6C73" w14:textId="77777777" w:rsidR="00516A81" w:rsidRPr="00AB0640" w:rsidRDefault="00516A81" w:rsidP="008028C6">
            <w:pPr>
              <w:pStyle w:val="FooterTableFigure"/>
              <w:keepNext/>
              <w:spacing w:after="0"/>
              <w:jc w:val="left"/>
              <w:rPr>
                <w:b/>
                <w:bCs/>
                <w:sz w:val="20"/>
                <w:szCs w:val="20"/>
              </w:rPr>
            </w:pPr>
            <w:r w:rsidRPr="00AB0640">
              <w:rPr>
                <w:b/>
                <w:bCs/>
                <w:sz w:val="20"/>
                <w:szCs w:val="20"/>
              </w:rPr>
              <w:t>N</w:t>
            </w:r>
          </w:p>
        </w:tc>
        <w:tc>
          <w:tcPr>
            <w:tcW w:w="72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20" w:type="dxa"/>
              <w:bottom w:w="0" w:type="dxa"/>
              <w:right w:w="20" w:type="dxa"/>
            </w:tcMar>
            <w:hideMark/>
          </w:tcPr>
          <w:p w14:paraId="42BC5AAF" w14:textId="77777777" w:rsidR="00516A81" w:rsidRPr="00AB0640" w:rsidRDefault="00516A81" w:rsidP="008028C6">
            <w:pPr>
              <w:pStyle w:val="FooterTableFigure"/>
              <w:keepNext/>
              <w:spacing w:after="0"/>
              <w:jc w:val="left"/>
              <w:rPr>
                <w:b/>
                <w:bCs/>
                <w:sz w:val="20"/>
                <w:szCs w:val="20"/>
              </w:rPr>
            </w:pPr>
            <w:r w:rsidRPr="00AB0640">
              <w:rPr>
                <w:b/>
                <w:bCs/>
                <w:sz w:val="20"/>
                <w:szCs w:val="20"/>
              </w:rPr>
              <w:t>Efficacy outcomes</w:t>
            </w:r>
          </w:p>
        </w:tc>
        <w:tc>
          <w:tcPr>
            <w:tcW w:w="63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20" w:type="dxa"/>
              <w:bottom w:w="0" w:type="dxa"/>
              <w:right w:w="20" w:type="dxa"/>
            </w:tcMar>
            <w:hideMark/>
          </w:tcPr>
          <w:p w14:paraId="4EEFBC6C" w14:textId="77777777" w:rsidR="00516A81" w:rsidRPr="00AB0640" w:rsidRDefault="00516A81" w:rsidP="008028C6">
            <w:pPr>
              <w:pStyle w:val="FooterTableFigure"/>
              <w:keepNext/>
              <w:spacing w:after="0"/>
              <w:jc w:val="left"/>
              <w:rPr>
                <w:b/>
                <w:bCs/>
                <w:sz w:val="20"/>
                <w:szCs w:val="20"/>
              </w:rPr>
            </w:pPr>
            <w:r w:rsidRPr="00AB0640">
              <w:rPr>
                <w:b/>
                <w:bCs/>
                <w:sz w:val="20"/>
                <w:szCs w:val="20"/>
              </w:rPr>
              <w:t>Safety outcomes</w:t>
            </w:r>
          </w:p>
        </w:tc>
        <w:tc>
          <w:tcPr>
            <w:tcW w:w="858"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20" w:type="dxa"/>
              <w:bottom w:w="0" w:type="dxa"/>
              <w:right w:w="20" w:type="dxa"/>
            </w:tcMar>
            <w:hideMark/>
          </w:tcPr>
          <w:p w14:paraId="5E1C54B2" w14:textId="77777777" w:rsidR="00516A81" w:rsidRPr="00AB0640" w:rsidRDefault="00516A81" w:rsidP="008028C6">
            <w:pPr>
              <w:pStyle w:val="FooterTableFigure"/>
              <w:keepNext/>
              <w:spacing w:after="0"/>
              <w:jc w:val="left"/>
              <w:rPr>
                <w:b/>
                <w:bCs/>
                <w:sz w:val="20"/>
                <w:szCs w:val="20"/>
              </w:rPr>
            </w:pPr>
            <w:r w:rsidRPr="00AB0640">
              <w:rPr>
                <w:b/>
                <w:bCs/>
                <w:sz w:val="20"/>
                <w:szCs w:val="20"/>
              </w:rPr>
              <w:t>Risk of bias/applicability</w:t>
            </w:r>
          </w:p>
        </w:tc>
      </w:tr>
      <w:tr w:rsidR="00DF0CFC" w:rsidRPr="00AB0640" w14:paraId="042AF7BA" w14:textId="77777777" w:rsidTr="0065379D">
        <w:trPr>
          <w:cantSplit/>
        </w:trPr>
        <w:tc>
          <w:tcPr>
            <w:tcW w:w="453"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20" w:type="dxa"/>
              <w:bottom w:w="0" w:type="dxa"/>
              <w:right w:w="20" w:type="dxa"/>
            </w:tcMar>
            <w:hideMark/>
          </w:tcPr>
          <w:p w14:paraId="55AF4E56" w14:textId="77777777" w:rsidR="00516A81" w:rsidRPr="00AB0640" w:rsidRDefault="00516A81" w:rsidP="008028C6">
            <w:pPr>
              <w:pStyle w:val="FooterTableFigure"/>
              <w:spacing w:after="0"/>
              <w:jc w:val="left"/>
              <w:rPr>
                <w:sz w:val="20"/>
                <w:szCs w:val="20"/>
              </w:rPr>
            </w:pPr>
            <w:r w:rsidRPr="00AB0640">
              <w:rPr>
                <w:sz w:val="20"/>
                <w:szCs w:val="20"/>
              </w:rPr>
              <w:t>MC, DB, PC, PG, Phase 2</w:t>
            </w:r>
          </w:p>
          <w:p w14:paraId="415D2BF5" w14:textId="77777777" w:rsidR="00516A81" w:rsidRPr="00AB0640" w:rsidRDefault="00516A81" w:rsidP="008028C6">
            <w:pPr>
              <w:pStyle w:val="FooterTableFigure"/>
              <w:spacing w:after="0"/>
              <w:jc w:val="left"/>
              <w:rPr>
                <w:sz w:val="20"/>
                <w:szCs w:val="20"/>
              </w:rPr>
            </w:pPr>
            <w:r w:rsidRPr="00AB0640">
              <w:rPr>
                <w:sz w:val="20"/>
                <w:szCs w:val="20"/>
              </w:rPr>
              <w:t>RCT</w:t>
            </w:r>
          </w:p>
        </w:tc>
        <w:tc>
          <w:tcPr>
            <w:tcW w:w="706"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20" w:type="dxa"/>
              <w:bottom w:w="0" w:type="dxa"/>
              <w:right w:w="20" w:type="dxa"/>
            </w:tcMar>
            <w:hideMark/>
          </w:tcPr>
          <w:p w14:paraId="512E0654" w14:textId="4113DC84" w:rsidR="00516A81" w:rsidRPr="00AB0640" w:rsidRDefault="00516A81" w:rsidP="008028C6">
            <w:pPr>
              <w:pStyle w:val="FooterTableFigure"/>
              <w:spacing w:after="0"/>
              <w:jc w:val="left"/>
              <w:rPr>
                <w:sz w:val="20"/>
                <w:szCs w:val="20"/>
              </w:rPr>
            </w:pPr>
            <w:r w:rsidRPr="00AB0640">
              <w:rPr>
                <w:sz w:val="20"/>
                <w:szCs w:val="20"/>
              </w:rPr>
              <w:t>Omaveloxolone</w:t>
            </w:r>
            <w:r w:rsidR="0084223B" w:rsidRPr="00AB0640">
              <w:rPr>
                <w:sz w:val="20"/>
                <w:szCs w:val="20"/>
              </w:rPr>
              <w:t xml:space="preserve"> </w:t>
            </w:r>
            <w:r w:rsidRPr="00AB0640">
              <w:rPr>
                <w:sz w:val="20"/>
                <w:szCs w:val="20"/>
              </w:rPr>
              <w:t>150 mg once</w:t>
            </w:r>
            <w:r w:rsidR="0084223B" w:rsidRPr="00AB0640">
              <w:rPr>
                <w:sz w:val="20"/>
                <w:szCs w:val="20"/>
              </w:rPr>
              <w:t xml:space="preserve"> </w:t>
            </w:r>
            <w:r w:rsidRPr="00AB0640">
              <w:rPr>
                <w:sz w:val="20"/>
                <w:szCs w:val="20"/>
              </w:rPr>
              <w:t>daily for 48 weeks</w:t>
            </w:r>
          </w:p>
          <w:p w14:paraId="6DB5A459" w14:textId="77777777" w:rsidR="00516A81" w:rsidRPr="00AB0640" w:rsidRDefault="00516A81" w:rsidP="008028C6">
            <w:pPr>
              <w:pStyle w:val="FooterTableFigure"/>
              <w:spacing w:after="0"/>
              <w:jc w:val="left"/>
              <w:rPr>
                <w:sz w:val="20"/>
                <w:szCs w:val="20"/>
              </w:rPr>
            </w:pPr>
            <w:r w:rsidRPr="00AB0640">
              <w:rPr>
                <w:sz w:val="20"/>
                <w:szCs w:val="20"/>
              </w:rPr>
              <w:t>OR</w:t>
            </w:r>
          </w:p>
          <w:p w14:paraId="2F503B6B" w14:textId="121F5C96" w:rsidR="00516A81" w:rsidRPr="00AB0640" w:rsidRDefault="00516A81" w:rsidP="008028C6">
            <w:pPr>
              <w:pStyle w:val="FooterTableFigure"/>
              <w:spacing w:after="0"/>
              <w:jc w:val="left"/>
              <w:rPr>
                <w:sz w:val="20"/>
                <w:szCs w:val="20"/>
              </w:rPr>
            </w:pPr>
            <w:r w:rsidRPr="00AB0640">
              <w:rPr>
                <w:sz w:val="20"/>
                <w:szCs w:val="20"/>
              </w:rPr>
              <w:t>Placebo orally</w:t>
            </w:r>
            <w:r w:rsidR="0084223B" w:rsidRPr="00AB0640">
              <w:rPr>
                <w:sz w:val="20"/>
                <w:szCs w:val="20"/>
              </w:rPr>
              <w:t xml:space="preserve"> </w:t>
            </w:r>
            <w:r w:rsidRPr="00AB0640">
              <w:rPr>
                <w:sz w:val="20"/>
                <w:szCs w:val="20"/>
              </w:rPr>
              <w:t>once daily for 48</w:t>
            </w:r>
            <w:r w:rsidR="0084223B" w:rsidRPr="00AB0640">
              <w:rPr>
                <w:sz w:val="20"/>
                <w:szCs w:val="20"/>
              </w:rPr>
              <w:t xml:space="preserve"> </w:t>
            </w:r>
            <w:r w:rsidRPr="00AB0640">
              <w:rPr>
                <w:sz w:val="20"/>
                <w:szCs w:val="20"/>
              </w:rPr>
              <w:t>weeks</w:t>
            </w:r>
          </w:p>
        </w:tc>
        <w:tc>
          <w:tcPr>
            <w:tcW w:w="1071"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20" w:type="dxa"/>
              <w:bottom w:w="0" w:type="dxa"/>
              <w:right w:w="20" w:type="dxa"/>
            </w:tcMar>
          </w:tcPr>
          <w:p w14:paraId="3404353D" w14:textId="77777777" w:rsidR="00516A81" w:rsidRPr="00AB0640" w:rsidRDefault="00516A81" w:rsidP="008028C6">
            <w:pPr>
              <w:pStyle w:val="FooterTableFigure"/>
              <w:spacing w:after="0"/>
              <w:jc w:val="left"/>
              <w:rPr>
                <w:sz w:val="20"/>
                <w:szCs w:val="20"/>
                <w:u w:val="single"/>
              </w:rPr>
            </w:pPr>
            <w:r w:rsidRPr="00AB0640">
              <w:rPr>
                <w:sz w:val="20"/>
                <w:szCs w:val="20"/>
                <w:u w:val="single"/>
              </w:rPr>
              <w:t>Demographics</w:t>
            </w:r>
          </w:p>
          <w:p w14:paraId="207B35EF" w14:textId="77777777" w:rsidR="00516A81" w:rsidRPr="00AB0640" w:rsidRDefault="00516A81" w:rsidP="008028C6">
            <w:pPr>
              <w:pStyle w:val="FooterTableFigure"/>
              <w:spacing w:after="0"/>
              <w:jc w:val="left"/>
              <w:rPr>
                <w:sz w:val="20"/>
                <w:szCs w:val="20"/>
              </w:rPr>
            </w:pPr>
            <w:r w:rsidRPr="00AB0640">
              <w:rPr>
                <w:sz w:val="20"/>
                <w:szCs w:val="20"/>
              </w:rPr>
              <w:t>Male: 53%</w:t>
            </w:r>
          </w:p>
          <w:p w14:paraId="31D0E452" w14:textId="77777777" w:rsidR="00516A81" w:rsidRPr="00AB0640" w:rsidRDefault="00516A81" w:rsidP="008028C6">
            <w:pPr>
              <w:pStyle w:val="FooterTableFigure"/>
              <w:spacing w:after="0"/>
              <w:jc w:val="left"/>
              <w:rPr>
                <w:sz w:val="20"/>
                <w:szCs w:val="20"/>
              </w:rPr>
            </w:pPr>
            <w:r w:rsidRPr="00AB0640">
              <w:rPr>
                <w:sz w:val="20"/>
                <w:szCs w:val="20"/>
              </w:rPr>
              <w:t>Mean age: 24 yo</w:t>
            </w:r>
          </w:p>
          <w:p w14:paraId="35D3F71B" w14:textId="77777777" w:rsidR="00516A81" w:rsidRPr="00AB0640" w:rsidRDefault="00516A81" w:rsidP="008028C6">
            <w:pPr>
              <w:pStyle w:val="FooterTableFigure"/>
              <w:spacing w:after="0"/>
              <w:jc w:val="left"/>
              <w:rPr>
                <w:sz w:val="20"/>
                <w:szCs w:val="20"/>
              </w:rPr>
            </w:pPr>
            <w:r w:rsidRPr="00AB0640">
              <w:rPr>
                <w:sz w:val="20"/>
                <w:szCs w:val="20"/>
              </w:rPr>
              <w:t>White: 97%</w:t>
            </w:r>
          </w:p>
          <w:p w14:paraId="7945F20C" w14:textId="2293DF31" w:rsidR="00516A81" w:rsidRPr="00AB0640" w:rsidRDefault="00516A81" w:rsidP="008028C6">
            <w:pPr>
              <w:pStyle w:val="FooterTableFigure"/>
              <w:spacing w:after="0"/>
              <w:jc w:val="left"/>
              <w:rPr>
                <w:sz w:val="20"/>
                <w:szCs w:val="20"/>
              </w:rPr>
            </w:pPr>
            <w:r w:rsidRPr="00AB0640">
              <w:rPr>
                <w:sz w:val="20"/>
                <w:szCs w:val="20"/>
              </w:rPr>
              <w:t>Mean mFARS</w:t>
            </w:r>
            <w:r w:rsidR="0084223B" w:rsidRPr="00AB0640">
              <w:rPr>
                <w:sz w:val="20"/>
                <w:szCs w:val="20"/>
              </w:rPr>
              <w:t xml:space="preserve"> score</w:t>
            </w:r>
            <w:r w:rsidRPr="00AB0640">
              <w:rPr>
                <w:sz w:val="20"/>
                <w:szCs w:val="20"/>
              </w:rPr>
              <w:t>: 40</w:t>
            </w:r>
          </w:p>
          <w:p w14:paraId="0B63A854" w14:textId="21C95CE9" w:rsidR="00516A81" w:rsidRPr="00AB0640" w:rsidRDefault="00516A81" w:rsidP="008028C6">
            <w:pPr>
              <w:pStyle w:val="FooterTableFigure"/>
              <w:spacing w:before="40" w:after="0"/>
              <w:contextualSpacing w:val="0"/>
              <w:jc w:val="left"/>
              <w:rPr>
                <w:sz w:val="20"/>
                <w:szCs w:val="20"/>
              </w:rPr>
            </w:pPr>
            <w:r w:rsidRPr="00AB0640">
              <w:rPr>
                <w:sz w:val="20"/>
                <w:szCs w:val="20"/>
                <w:u w:val="single"/>
              </w:rPr>
              <w:t xml:space="preserve">Inclusion </w:t>
            </w:r>
            <w:r w:rsidR="0084223B" w:rsidRPr="00AB0640">
              <w:rPr>
                <w:sz w:val="20"/>
                <w:szCs w:val="20"/>
                <w:u w:val="single"/>
              </w:rPr>
              <w:t>c</w:t>
            </w:r>
            <w:r w:rsidRPr="00AB0640">
              <w:rPr>
                <w:sz w:val="20"/>
                <w:szCs w:val="20"/>
                <w:u w:val="single"/>
              </w:rPr>
              <w:t>riteria</w:t>
            </w:r>
          </w:p>
          <w:p w14:paraId="12177C96" w14:textId="62A8C3FB" w:rsidR="00516A81" w:rsidRPr="00AB0640" w:rsidRDefault="00516A81" w:rsidP="008028C6">
            <w:pPr>
              <w:pStyle w:val="FooterTableFigure"/>
              <w:spacing w:after="0"/>
              <w:jc w:val="left"/>
              <w:rPr>
                <w:sz w:val="20"/>
                <w:szCs w:val="20"/>
              </w:rPr>
            </w:pPr>
            <w:r w:rsidRPr="00AB0640">
              <w:rPr>
                <w:sz w:val="20"/>
                <w:szCs w:val="20"/>
              </w:rPr>
              <w:t>16 to 40 yo with</w:t>
            </w:r>
            <w:r w:rsidR="0084223B" w:rsidRPr="00AB0640">
              <w:rPr>
                <w:sz w:val="20"/>
                <w:szCs w:val="20"/>
              </w:rPr>
              <w:t xml:space="preserve"> </w:t>
            </w:r>
            <w:r w:rsidRPr="00AB0640">
              <w:rPr>
                <w:sz w:val="20"/>
                <w:szCs w:val="20"/>
              </w:rPr>
              <w:t>genetically confirmed FA</w:t>
            </w:r>
          </w:p>
          <w:p w14:paraId="3D1CC25B" w14:textId="1425B925" w:rsidR="00516A81" w:rsidRPr="00AB0640" w:rsidRDefault="00516A81" w:rsidP="008028C6">
            <w:pPr>
              <w:pStyle w:val="FooterTableFigure"/>
              <w:spacing w:after="0"/>
              <w:jc w:val="left"/>
              <w:rPr>
                <w:sz w:val="20"/>
                <w:szCs w:val="20"/>
              </w:rPr>
            </w:pPr>
            <w:r w:rsidRPr="00AB0640">
              <w:rPr>
                <w:sz w:val="20"/>
                <w:szCs w:val="20"/>
              </w:rPr>
              <w:t>-mFARS score ≥20 - ≤80</w:t>
            </w:r>
          </w:p>
          <w:p w14:paraId="1358E777" w14:textId="1E7A5FF8" w:rsidR="00516A81" w:rsidRPr="00AB0640" w:rsidRDefault="00516A81" w:rsidP="008028C6">
            <w:pPr>
              <w:pStyle w:val="FooterTableFigure"/>
              <w:snapToGrid w:val="0"/>
              <w:spacing w:before="40" w:after="0"/>
              <w:contextualSpacing w:val="0"/>
              <w:jc w:val="left"/>
              <w:rPr>
                <w:sz w:val="20"/>
                <w:szCs w:val="20"/>
                <w:u w:val="single"/>
              </w:rPr>
            </w:pPr>
            <w:r w:rsidRPr="00AB0640">
              <w:rPr>
                <w:sz w:val="20"/>
                <w:szCs w:val="20"/>
                <w:u w:val="single"/>
              </w:rPr>
              <w:t>Exclusion</w:t>
            </w:r>
            <w:r w:rsidR="0084223B" w:rsidRPr="00AB0640">
              <w:rPr>
                <w:sz w:val="20"/>
                <w:szCs w:val="20"/>
                <w:u w:val="single"/>
              </w:rPr>
              <w:t xml:space="preserve"> cr</w:t>
            </w:r>
            <w:r w:rsidRPr="00AB0640">
              <w:rPr>
                <w:sz w:val="20"/>
                <w:szCs w:val="20"/>
                <w:u w:val="single"/>
              </w:rPr>
              <w:t>iteria</w:t>
            </w:r>
          </w:p>
          <w:p w14:paraId="54B481DE" w14:textId="77777777" w:rsidR="00516A81" w:rsidRPr="00AB0640" w:rsidRDefault="00516A81" w:rsidP="008028C6">
            <w:pPr>
              <w:pStyle w:val="FooterTableFigure"/>
              <w:spacing w:after="0"/>
              <w:jc w:val="left"/>
              <w:rPr>
                <w:sz w:val="20"/>
                <w:szCs w:val="20"/>
              </w:rPr>
            </w:pPr>
            <w:r w:rsidRPr="00AB0640">
              <w:rPr>
                <w:sz w:val="20"/>
                <w:szCs w:val="20"/>
              </w:rPr>
              <w:t xml:space="preserve">Uncontrolled diabetes </w:t>
            </w:r>
          </w:p>
          <w:p w14:paraId="2BE6FFFC" w14:textId="239A287F" w:rsidR="00516A81" w:rsidRPr="00AB0640" w:rsidRDefault="00516A81" w:rsidP="008028C6">
            <w:pPr>
              <w:pStyle w:val="FooterTableFigure"/>
              <w:spacing w:after="0"/>
              <w:jc w:val="left"/>
              <w:rPr>
                <w:sz w:val="20"/>
                <w:szCs w:val="20"/>
              </w:rPr>
            </w:pPr>
            <w:r w:rsidRPr="00AB0640">
              <w:rPr>
                <w:sz w:val="20"/>
                <w:szCs w:val="20"/>
              </w:rPr>
              <w:t xml:space="preserve">BNP </w:t>
            </w:r>
            <w:r w:rsidR="00202AE4">
              <w:rPr>
                <w:sz w:val="20"/>
                <w:szCs w:val="20"/>
              </w:rPr>
              <w:t xml:space="preserve">&gt; </w:t>
            </w:r>
            <w:r w:rsidRPr="00AB0640">
              <w:rPr>
                <w:sz w:val="20"/>
                <w:szCs w:val="20"/>
              </w:rPr>
              <w:t>200 pg/mL</w:t>
            </w:r>
          </w:p>
          <w:p w14:paraId="57F73452" w14:textId="77777777" w:rsidR="00516A81" w:rsidRPr="00AB0640" w:rsidRDefault="00516A81" w:rsidP="008028C6">
            <w:pPr>
              <w:pStyle w:val="FooterTableFigure"/>
              <w:spacing w:after="0"/>
              <w:jc w:val="left"/>
              <w:rPr>
                <w:sz w:val="20"/>
                <w:szCs w:val="20"/>
              </w:rPr>
            </w:pPr>
            <w:r w:rsidRPr="00AB0640">
              <w:rPr>
                <w:sz w:val="20"/>
                <w:szCs w:val="20"/>
              </w:rPr>
              <w:t>History of significant cardiac or hepatic disease.</w:t>
            </w:r>
          </w:p>
        </w:tc>
        <w:tc>
          <w:tcPr>
            <w:tcW w:w="548"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20" w:type="dxa"/>
              <w:bottom w:w="0" w:type="dxa"/>
              <w:right w:w="20" w:type="dxa"/>
            </w:tcMar>
          </w:tcPr>
          <w:p w14:paraId="419F1C75" w14:textId="77777777" w:rsidR="00516A81" w:rsidRPr="0007652B" w:rsidRDefault="00516A81" w:rsidP="008028C6">
            <w:pPr>
              <w:pStyle w:val="FooterTableFigure"/>
              <w:spacing w:after="0"/>
              <w:jc w:val="left"/>
              <w:rPr>
                <w:sz w:val="20"/>
                <w:szCs w:val="20"/>
                <w:u w:val="single"/>
                <w:lang w:val="de-DE"/>
              </w:rPr>
            </w:pPr>
            <w:r w:rsidRPr="0007652B">
              <w:rPr>
                <w:sz w:val="20"/>
                <w:szCs w:val="20"/>
                <w:u w:val="single"/>
                <w:lang w:val="de-DE"/>
              </w:rPr>
              <w:t>ITT</w:t>
            </w:r>
          </w:p>
          <w:p w14:paraId="10139936" w14:textId="77777777" w:rsidR="00516A81" w:rsidRPr="0007652B" w:rsidRDefault="00516A81" w:rsidP="008028C6">
            <w:pPr>
              <w:pStyle w:val="FooterTableFigure"/>
              <w:spacing w:after="0"/>
              <w:jc w:val="left"/>
              <w:rPr>
                <w:sz w:val="20"/>
                <w:szCs w:val="20"/>
                <w:lang w:val="de-DE"/>
              </w:rPr>
            </w:pPr>
            <w:r w:rsidRPr="0007652B">
              <w:rPr>
                <w:sz w:val="20"/>
                <w:szCs w:val="20"/>
                <w:lang w:val="de-DE"/>
              </w:rPr>
              <w:t>N = 103</w:t>
            </w:r>
          </w:p>
          <w:p w14:paraId="5AE964E3" w14:textId="77777777" w:rsidR="00516A81" w:rsidRPr="0007652B" w:rsidRDefault="00516A81" w:rsidP="008028C6">
            <w:pPr>
              <w:pStyle w:val="FooterTableFigure"/>
              <w:spacing w:after="0"/>
              <w:jc w:val="left"/>
              <w:rPr>
                <w:sz w:val="20"/>
                <w:szCs w:val="20"/>
                <w:lang w:val="de-DE"/>
              </w:rPr>
            </w:pPr>
            <w:r w:rsidRPr="0007652B">
              <w:rPr>
                <w:sz w:val="20"/>
                <w:szCs w:val="20"/>
                <w:lang w:val="de-DE"/>
              </w:rPr>
              <w:t>Oma, n = 51;</w:t>
            </w:r>
          </w:p>
          <w:p w14:paraId="3E8530B8" w14:textId="01B991DA" w:rsidR="00516A81" w:rsidRPr="0007652B" w:rsidRDefault="00516A81" w:rsidP="008028C6">
            <w:pPr>
              <w:pStyle w:val="FooterTableFigure"/>
              <w:spacing w:after="0"/>
              <w:jc w:val="left"/>
              <w:rPr>
                <w:sz w:val="20"/>
                <w:szCs w:val="20"/>
                <w:u w:val="single"/>
                <w:lang w:val="de-DE"/>
              </w:rPr>
            </w:pPr>
            <w:r w:rsidRPr="0007652B">
              <w:rPr>
                <w:sz w:val="20"/>
                <w:szCs w:val="20"/>
                <w:lang w:val="de-DE"/>
              </w:rPr>
              <w:t>Pla, n = 52</w:t>
            </w:r>
          </w:p>
          <w:p w14:paraId="6BDC453C" w14:textId="13AED361" w:rsidR="00516A81" w:rsidRPr="00AB0640" w:rsidRDefault="00516A81" w:rsidP="008028C6">
            <w:pPr>
              <w:pStyle w:val="FooterTableFigure"/>
              <w:snapToGrid w:val="0"/>
              <w:spacing w:before="40" w:after="0"/>
              <w:contextualSpacing w:val="0"/>
              <w:jc w:val="left"/>
              <w:rPr>
                <w:sz w:val="20"/>
                <w:szCs w:val="20"/>
                <w:u w:val="single"/>
              </w:rPr>
            </w:pPr>
            <w:r w:rsidRPr="00AB0640">
              <w:rPr>
                <w:sz w:val="20"/>
                <w:szCs w:val="20"/>
                <w:u w:val="single"/>
              </w:rPr>
              <w:t>FAS</w:t>
            </w:r>
            <w:r w:rsidR="00DF0CFC" w:rsidRPr="00AB0640">
              <w:rPr>
                <w:sz w:val="20"/>
                <w:szCs w:val="20"/>
                <w:u w:val="single"/>
              </w:rPr>
              <w:t xml:space="preserve"> </w:t>
            </w:r>
            <w:r w:rsidRPr="00AB0640">
              <w:rPr>
                <w:sz w:val="20"/>
                <w:szCs w:val="20"/>
                <w:u w:val="single"/>
              </w:rPr>
              <w:t>(without pes</w:t>
            </w:r>
            <w:r w:rsidR="00DF0CFC" w:rsidRPr="00AB0640">
              <w:rPr>
                <w:sz w:val="20"/>
                <w:szCs w:val="20"/>
                <w:u w:val="single"/>
              </w:rPr>
              <w:t xml:space="preserve"> </w:t>
            </w:r>
            <w:r w:rsidRPr="00AB0640">
              <w:rPr>
                <w:sz w:val="20"/>
                <w:szCs w:val="20"/>
                <w:u w:val="single"/>
              </w:rPr>
              <w:t>cavus)</w:t>
            </w:r>
          </w:p>
          <w:p w14:paraId="7C58F479" w14:textId="77777777" w:rsidR="00516A81" w:rsidRPr="00AB0640" w:rsidRDefault="00516A81" w:rsidP="008028C6">
            <w:pPr>
              <w:pStyle w:val="FooterTableFigure"/>
              <w:spacing w:after="0"/>
              <w:jc w:val="left"/>
              <w:rPr>
                <w:sz w:val="20"/>
                <w:szCs w:val="20"/>
              </w:rPr>
            </w:pPr>
            <w:r w:rsidRPr="00AB0640">
              <w:rPr>
                <w:sz w:val="20"/>
                <w:szCs w:val="20"/>
              </w:rPr>
              <w:t>N = 82</w:t>
            </w:r>
          </w:p>
          <w:p w14:paraId="7BA7B286" w14:textId="77777777" w:rsidR="00516A81" w:rsidRPr="00AB0640" w:rsidRDefault="00516A81" w:rsidP="008028C6">
            <w:pPr>
              <w:pStyle w:val="FooterTableFigure"/>
              <w:spacing w:after="0"/>
              <w:jc w:val="left"/>
              <w:rPr>
                <w:sz w:val="20"/>
                <w:szCs w:val="20"/>
              </w:rPr>
            </w:pPr>
            <w:r w:rsidRPr="00AB0640">
              <w:rPr>
                <w:sz w:val="20"/>
                <w:szCs w:val="20"/>
              </w:rPr>
              <w:t>Oma, n = 40;</w:t>
            </w:r>
          </w:p>
          <w:p w14:paraId="6B78C686" w14:textId="610DCFAF" w:rsidR="00516A81" w:rsidRPr="00AB0640" w:rsidRDefault="00516A81" w:rsidP="008028C6">
            <w:pPr>
              <w:pStyle w:val="FooterTableFigure"/>
              <w:spacing w:after="0"/>
              <w:jc w:val="left"/>
              <w:rPr>
                <w:sz w:val="20"/>
                <w:szCs w:val="20"/>
              </w:rPr>
            </w:pPr>
            <w:r w:rsidRPr="00AB0640">
              <w:rPr>
                <w:sz w:val="20"/>
                <w:szCs w:val="20"/>
              </w:rPr>
              <w:t>Pla, n= 42</w:t>
            </w:r>
          </w:p>
          <w:p w14:paraId="1364E8A9" w14:textId="77777777" w:rsidR="00516A81" w:rsidRPr="00AB0640" w:rsidRDefault="00516A81" w:rsidP="008028C6">
            <w:pPr>
              <w:pStyle w:val="FooterTableFigure"/>
              <w:spacing w:after="0"/>
              <w:jc w:val="left"/>
              <w:rPr>
                <w:sz w:val="20"/>
                <w:szCs w:val="20"/>
              </w:rPr>
            </w:pPr>
          </w:p>
        </w:tc>
        <w:tc>
          <w:tcPr>
            <w:tcW w:w="725"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20" w:type="dxa"/>
              <w:bottom w:w="0" w:type="dxa"/>
              <w:right w:w="20" w:type="dxa"/>
            </w:tcMar>
          </w:tcPr>
          <w:p w14:paraId="213E571D" w14:textId="71675C01" w:rsidR="00516A81" w:rsidRPr="00AB0640" w:rsidRDefault="00516A81" w:rsidP="008028C6">
            <w:pPr>
              <w:pStyle w:val="FooterTableFigure"/>
              <w:spacing w:after="0"/>
              <w:jc w:val="left"/>
              <w:rPr>
                <w:sz w:val="20"/>
                <w:szCs w:val="20"/>
                <w:u w:val="single"/>
              </w:rPr>
            </w:pPr>
            <w:r w:rsidRPr="00AB0640">
              <w:rPr>
                <w:sz w:val="20"/>
                <w:szCs w:val="20"/>
                <w:u w:val="single"/>
              </w:rPr>
              <w:t xml:space="preserve">Primary </w:t>
            </w:r>
            <w:r w:rsidR="00DF0CFC" w:rsidRPr="00AB0640">
              <w:rPr>
                <w:sz w:val="20"/>
                <w:szCs w:val="20"/>
                <w:u w:val="single"/>
              </w:rPr>
              <w:t>e</w:t>
            </w:r>
            <w:r w:rsidRPr="00AB0640">
              <w:rPr>
                <w:sz w:val="20"/>
                <w:szCs w:val="20"/>
                <w:u w:val="single"/>
              </w:rPr>
              <w:t>ndpoint:</w:t>
            </w:r>
          </w:p>
          <w:p w14:paraId="059D9CF1" w14:textId="2541865B" w:rsidR="00516A81" w:rsidRPr="00AB0640" w:rsidRDefault="00516A81" w:rsidP="008028C6">
            <w:pPr>
              <w:pStyle w:val="FooterTableFigure"/>
              <w:spacing w:after="0"/>
              <w:jc w:val="left"/>
              <w:rPr>
                <w:sz w:val="20"/>
                <w:szCs w:val="20"/>
              </w:rPr>
            </w:pPr>
            <w:r w:rsidRPr="00AB0640">
              <w:rPr>
                <w:sz w:val="20"/>
                <w:szCs w:val="20"/>
              </w:rPr>
              <w:t>LSM change from baseline in mFARS score at 48 weeks</w:t>
            </w:r>
          </w:p>
          <w:p w14:paraId="0A9A7457" w14:textId="77777777" w:rsidR="00516A81" w:rsidRPr="00AB0640" w:rsidRDefault="00516A81" w:rsidP="008028C6">
            <w:pPr>
              <w:pStyle w:val="FooterTableFigure"/>
              <w:spacing w:before="120" w:after="0"/>
              <w:contextualSpacing w:val="0"/>
              <w:jc w:val="left"/>
              <w:rPr>
                <w:sz w:val="20"/>
                <w:szCs w:val="20"/>
                <w:u w:val="single"/>
              </w:rPr>
            </w:pPr>
            <w:r w:rsidRPr="00AB0640">
              <w:rPr>
                <w:sz w:val="20"/>
                <w:szCs w:val="20"/>
                <w:u w:val="single"/>
              </w:rPr>
              <w:t>Secondary Endpoints:</w:t>
            </w:r>
          </w:p>
          <w:p w14:paraId="2ABFE70E" w14:textId="4E901BE3" w:rsidR="00516A81" w:rsidRPr="00AB0640" w:rsidRDefault="00516A81" w:rsidP="008028C6">
            <w:pPr>
              <w:pStyle w:val="FooterTableFigure"/>
              <w:spacing w:after="0"/>
              <w:jc w:val="left"/>
              <w:rPr>
                <w:sz w:val="20"/>
                <w:szCs w:val="20"/>
              </w:rPr>
            </w:pPr>
            <w:r w:rsidRPr="00AB0640">
              <w:rPr>
                <w:sz w:val="20"/>
                <w:szCs w:val="20"/>
              </w:rPr>
              <w:t>LSM change in PGIC from baseline at 48 weeks</w:t>
            </w:r>
          </w:p>
          <w:p w14:paraId="1F0FCD38" w14:textId="77777777" w:rsidR="00516A81" w:rsidRPr="00AB0640" w:rsidRDefault="00516A81" w:rsidP="008028C6">
            <w:pPr>
              <w:pStyle w:val="FooterTableFigure"/>
              <w:spacing w:before="40" w:after="0"/>
              <w:contextualSpacing w:val="0"/>
              <w:jc w:val="left"/>
              <w:rPr>
                <w:sz w:val="20"/>
                <w:szCs w:val="20"/>
              </w:rPr>
            </w:pPr>
            <w:r w:rsidRPr="00AB0640">
              <w:rPr>
                <w:sz w:val="20"/>
                <w:szCs w:val="20"/>
              </w:rPr>
              <w:t>LSM change in CGIC from baseline at 48 weeks</w:t>
            </w:r>
          </w:p>
        </w:tc>
        <w:tc>
          <w:tcPr>
            <w:tcW w:w="639"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20" w:type="dxa"/>
              <w:bottom w:w="0" w:type="dxa"/>
              <w:right w:w="20" w:type="dxa"/>
            </w:tcMar>
          </w:tcPr>
          <w:p w14:paraId="3C409B9C" w14:textId="77777777" w:rsidR="00516A81" w:rsidRPr="00AB0640" w:rsidRDefault="00516A81" w:rsidP="008028C6">
            <w:pPr>
              <w:pStyle w:val="FooterTableFigure"/>
              <w:spacing w:before="40" w:after="0"/>
              <w:jc w:val="left"/>
              <w:rPr>
                <w:sz w:val="20"/>
                <w:szCs w:val="20"/>
              </w:rPr>
            </w:pPr>
            <w:r w:rsidRPr="00AB0640">
              <w:rPr>
                <w:sz w:val="20"/>
                <w:szCs w:val="20"/>
              </w:rPr>
              <w:t>Any SAE;</w:t>
            </w:r>
          </w:p>
          <w:p w14:paraId="159E8757" w14:textId="77777777" w:rsidR="00516A81" w:rsidRPr="00AB0640" w:rsidRDefault="00516A81" w:rsidP="008028C6">
            <w:pPr>
              <w:pStyle w:val="FooterTableFigure"/>
              <w:spacing w:before="40" w:after="0"/>
              <w:contextualSpacing w:val="0"/>
              <w:jc w:val="left"/>
              <w:rPr>
                <w:sz w:val="20"/>
                <w:szCs w:val="20"/>
              </w:rPr>
            </w:pPr>
            <w:r w:rsidRPr="00AB0640">
              <w:rPr>
                <w:sz w:val="20"/>
                <w:szCs w:val="20"/>
              </w:rPr>
              <w:t>Discontinuation</w:t>
            </w:r>
          </w:p>
          <w:p w14:paraId="7DBADC02" w14:textId="77777777" w:rsidR="00516A81" w:rsidRPr="00AB0640" w:rsidRDefault="00516A81" w:rsidP="008028C6">
            <w:pPr>
              <w:pStyle w:val="FooterTableFigure"/>
              <w:spacing w:before="40" w:after="0"/>
              <w:contextualSpacing w:val="0"/>
              <w:jc w:val="left"/>
              <w:rPr>
                <w:sz w:val="20"/>
                <w:szCs w:val="20"/>
              </w:rPr>
            </w:pPr>
            <w:r w:rsidRPr="00AB0640">
              <w:rPr>
                <w:sz w:val="20"/>
                <w:szCs w:val="20"/>
              </w:rPr>
              <w:t>due to AE;</w:t>
            </w:r>
          </w:p>
          <w:p w14:paraId="04973CE7" w14:textId="77777777" w:rsidR="00516A81" w:rsidRPr="00AB0640" w:rsidRDefault="00516A81" w:rsidP="008028C6">
            <w:pPr>
              <w:pStyle w:val="FooterTableFigure"/>
              <w:spacing w:before="40" w:after="0"/>
              <w:contextualSpacing w:val="0"/>
              <w:jc w:val="left"/>
              <w:rPr>
                <w:sz w:val="20"/>
                <w:szCs w:val="20"/>
              </w:rPr>
            </w:pPr>
            <w:r w:rsidRPr="00AB0640">
              <w:rPr>
                <w:sz w:val="20"/>
                <w:szCs w:val="20"/>
              </w:rPr>
              <w:t>Increased ALT;</w:t>
            </w:r>
          </w:p>
          <w:p w14:paraId="39082D47" w14:textId="77777777" w:rsidR="00516A81" w:rsidRPr="00AB0640" w:rsidRDefault="00516A81" w:rsidP="008028C6">
            <w:pPr>
              <w:pStyle w:val="FooterTableFigure"/>
              <w:spacing w:before="40" w:after="0"/>
              <w:contextualSpacing w:val="0"/>
              <w:jc w:val="left"/>
              <w:rPr>
                <w:sz w:val="20"/>
                <w:szCs w:val="20"/>
              </w:rPr>
            </w:pPr>
            <w:r w:rsidRPr="00AB0640">
              <w:rPr>
                <w:sz w:val="20"/>
                <w:szCs w:val="20"/>
              </w:rPr>
              <w:t xml:space="preserve">Increased AST. </w:t>
            </w:r>
          </w:p>
          <w:p w14:paraId="09BDE1F3" w14:textId="77777777" w:rsidR="00516A81" w:rsidRPr="00AB0640" w:rsidRDefault="00516A81" w:rsidP="008028C6">
            <w:pPr>
              <w:pStyle w:val="FooterTableFigure"/>
              <w:spacing w:after="0"/>
              <w:jc w:val="left"/>
              <w:rPr>
                <w:sz w:val="20"/>
                <w:szCs w:val="20"/>
              </w:rPr>
            </w:pPr>
          </w:p>
        </w:tc>
        <w:tc>
          <w:tcPr>
            <w:tcW w:w="858" w:type="pct"/>
            <w:tcBorders>
              <w:top w:val="single" w:sz="4" w:space="0" w:color="auto"/>
              <w:left w:val="single" w:sz="4" w:space="0" w:color="auto"/>
              <w:bottom w:val="single" w:sz="4" w:space="0" w:color="auto"/>
              <w:right w:val="single" w:sz="4" w:space="0" w:color="auto"/>
            </w:tcBorders>
            <w:shd w:val="clear" w:color="auto" w:fill="B8CCE4" w:themeFill="accent1" w:themeFillTint="66"/>
            <w:tcMar>
              <w:top w:w="0" w:type="dxa"/>
              <w:left w:w="20" w:type="dxa"/>
              <w:bottom w:w="0" w:type="dxa"/>
              <w:right w:w="20" w:type="dxa"/>
            </w:tcMar>
            <w:hideMark/>
          </w:tcPr>
          <w:p w14:paraId="5491E2FF" w14:textId="2DA6CB52" w:rsidR="00516A81" w:rsidRPr="00AB0640" w:rsidRDefault="00516A81" w:rsidP="008028C6">
            <w:pPr>
              <w:pStyle w:val="FooterTableFigure"/>
              <w:spacing w:after="0"/>
              <w:contextualSpacing w:val="0"/>
              <w:jc w:val="left"/>
              <w:rPr>
                <w:sz w:val="20"/>
                <w:szCs w:val="20"/>
              </w:rPr>
            </w:pPr>
            <w:r w:rsidRPr="00AB0640">
              <w:rPr>
                <w:sz w:val="20"/>
                <w:szCs w:val="20"/>
                <w:u w:val="single"/>
              </w:rPr>
              <w:t xml:space="preserve">Selection </w:t>
            </w:r>
            <w:r w:rsidR="0084223B" w:rsidRPr="00AB0640">
              <w:rPr>
                <w:sz w:val="20"/>
                <w:szCs w:val="20"/>
                <w:u w:val="single"/>
              </w:rPr>
              <w:t>b</w:t>
            </w:r>
            <w:r w:rsidRPr="00AB0640">
              <w:rPr>
                <w:sz w:val="20"/>
                <w:szCs w:val="20"/>
                <w:u w:val="single"/>
              </w:rPr>
              <w:t>ias</w:t>
            </w:r>
            <w:r w:rsidRPr="00AB0640">
              <w:rPr>
                <w:sz w:val="20"/>
                <w:szCs w:val="20"/>
              </w:rPr>
              <w:t xml:space="preserve">: Unclear due to small sample size and imbalances for some baseline characteristics. </w:t>
            </w:r>
            <w:r w:rsidRPr="00AB0640">
              <w:rPr>
                <w:sz w:val="20"/>
                <w:szCs w:val="20"/>
                <w:u w:val="single"/>
              </w:rPr>
              <w:t xml:space="preserve">Performance </w:t>
            </w:r>
            <w:r w:rsidR="0084223B" w:rsidRPr="00AB0640">
              <w:rPr>
                <w:sz w:val="20"/>
                <w:szCs w:val="20"/>
                <w:u w:val="single"/>
              </w:rPr>
              <w:t>b</w:t>
            </w:r>
            <w:r w:rsidRPr="00AB0640">
              <w:rPr>
                <w:sz w:val="20"/>
                <w:szCs w:val="20"/>
                <w:u w:val="single"/>
              </w:rPr>
              <w:t>ias</w:t>
            </w:r>
            <w:r w:rsidRPr="00AB0640">
              <w:rPr>
                <w:sz w:val="20"/>
                <w:szCs w:val="20"/>
              </w:rPr>
              <w:t>: Unclear as AEs may have resulted in unblinding.</w:t>
            </w:r>
          </w:p>
          <w:p w14:paraId="7BBE218E" w14:textId="1D5602CB" w:rsidR="00516A81" w:rsidRPr="00AB0640" w:rsidRDefault="00516A81" w:rsidP="008028C6">
            <w:pPr>
              <w:pStyle w:val="FooterTableFigure"/>
              <w:spacing w:before="40" w:after="0"/>
              <w:contextualSpacing w:val="0"/>
              <w:jc w:val="left"/>
              <w:rPr>
                <w:sz w:val="20"/>
                <w:szCs w:val="20"/>
              </w:rPr>
            </w:pPr>
            <w:r w:rsidRPr="00AB0640">
              <w:rPr>
                <w:sz w:val="20"/>
                <w:szCs w:val="20"/>
                <w:u w:val="single"/>
              </w:rPr>
              <w:t xml:space="preserve">Detection </w:t>
            </w:r>
            <w:r w:rsidR="0084223B" w:rsidRPr="00AB0640">
              <w:rPr>
                <w:sz w:val="20"/>
                <w:szCs w:val="20"/>
                <w:u w:val="single"/>
              </w:rPr>
              <w:t>b</w:t>
            </w:r>
            <w:r w:rsidRPr="00AB0640">
              <w:rPr>
                <w:sz w:val="20"/>
                <w:szCs w:val="20"/>
                <w:u w:val="single"/>
              </w:rPr>
              <w:t>ias:</w:t>
            </w:r>
            <w:r w:rsidRPr="00AB0640">
              <w:rPr>
                <w:sz w:val="20"/>
                <w:szCs w:val="20"/>
              </w:rPr>
              <w:t xml:space="preserve"> Unclear (see performance bias).</w:t>
            </w:r>
          </w:p>
          <w:p w14:paraId="481A4B62" w14:textId="5AA14B74" w:rsidR="00516A81" w:rsidRPr="00AB0640" w:rsidRDefault="00516A81" w:rsidP="008028C6">
            <w:pPr>
              <w:pStyle w:val="FooterTableFigure"/>
              <w:spacing w:before="40" w:after="0"/>
              <w:contextualSpacing w:val="0"/>
              <w:jc w:val="left"/>
              <w:rPr>
                <w:sz w:val="20"/>
                <w:szCs w:val="20"/>
              </w:rPr>
            </w:pPr>
            <w:r w:rsidRPr="00AB0640">
              <w:rPr>
                <w:sz w:val="20"/>
                <w:szCs w:val="20"/>
                <w:u w:val="single"/>
              </w:rPr>
              <w:t xml:space="preserve">Attrition </w:t>
            </w:r>
            <w:r w:rsidR="0084223B" w:rsidRPr="00AB0640">
              <w:rPr>
                <w:sz w:val="20"/>
                <w:szCs w:val="20"/>
                <w:u w:val="single"/>
              </w:rPr>
              <w:t>bi</w:t>
            </w:r>
            <w:r w:rsidRPr="00AB0640">
              <w:rPr>
                <w:sz w:val="20"/>
                <w:szCs w:val="20"/>
                <w:u w:val="single"/>
              </w:rPr>
              <w:t>as</w:t>
            </w:r>
            <w:r w:rsidRPr="00AB0640">
              <w:rPr>
                <w:sz w:val="20"/>
                <w:szCs w:val="20"/>
              </w:rPr>
              <w:t xml:space="preserve">: High. </w:t>
            </w:r>
          </w:p>
          <w:p w14:paraId="33CABFC0" w14:textId="27A7562E" w:rsidR="00516A81" w:rsidRPr="00AB0640" w:rsidRDefault="00516A81" w:rsidP="008028C6">
            <w:pPr>
              <w:pStyle w:val="FooterTableFigure"/>
              <w:spacing w:before="40" w:after="0"/>
              <w:contextualSpacing w:val="0"/>
              <w:jc w:val="left"/>
              <w:rPr>
                <w:sz w:val="20"/>
                <w:szCs w:val="20"/>
              </w:rPr>
            </w:pPr>
            <w:r w:rsidRPr="00AB0640">
              <w:rPr>
                <w:sz w:val="20"/>
                <w:szCs w:val="20"/>
                <w:u w:val="single"/>
              </w:rPr>
              <w:t xml:space="preserve">Reporting </w:t>
            </w:r>
            <w:r w:rsidR="0084223B" w:rsidRPr="00AB0640">
              <w:rPr>
                <w:sz w:val="20"/>
                <w:szCs w:val="20"/>
                <w:u w:val="single"/>
              </w:rPr>
              <w:t>b</w:t>
            </w:r>
            <w:r w:rsidRPr="00AB0640">
              <w:rPr>
                <w:sz w:val="20"/>
                <w:szCs w:val="20"/>
                <w:u w:val="single"/>
              </w:rPr>
              <w:t>ias</w:t>
            </w:r>
            <w:r w:rsidRPr="00AB0640">
              <w:rPr>
                <w:sz w:val="20"/>
                <w:szCs w:val="20"/>
              </w:rPr>
              <w:t xml:space="preserve">: Low. </w:t>
            </w:r>
          </w:p>
        </w:tc>
      </w:tr>
    </w:tbl>
    <w:p w14:paraId="7F6E5F47" w14:textId="28DEFE33" w:rsidR="00516A81" w:rsidRPr="00AB0640" w:rsidRDefault="00516A81" w:rsidP="008028C6">
      <w:pPr>
        <w:pStyle w:val="TableFooter"/>
        <w:rPr>
          <w:szCs w:val="22"/>
        </w:rPr>
      </w:pPr>
      <w:r w:rsidRPr="00AB0640">
        <w:t xml:space="preserve">Source: Section 2 of the resubmission and the MOXIe Part 2 Clinical Study Report </w:t>
      </w:r>
    </w:p>
    <w:p w14:paraId="6F5BFD69" w14:textId="7A616D9D" w:rsidR="00F9333F" w:rsidRPr="00AB0640" w:rsidRDefault="00516A81" w:rsidP="008028C6">
      <w:pPr>
        <w:pStyle w:val="TableFooter"/>
      </w:pPr>
      <w:r w:rsidRPr="00AB0640">
        <w:t>AE</w:t>
      </w:r>
      <w:r w:rsidR="00DF0CFC" w:rsidRPr="00AB0640">
        <w:t xml:space="preserve"> = </w:t>
      </w:r>
      <w:r w:rsidRPr="00AB0640">
        <w:t>adverse event; ALT</w:t>
      </w:r>
      <w:r w:rsidR="00DF0CFC" w:rsidRPr="00AB0640">
        <w:t xml:space="preserve"> = </w:t>
      </w:r>
      <w:r w:rsidRPr="00AB0640">
        <w:t>alanine aminotransferase; AST</w:t>
      </w:r>
      <w:r w:rsidR="00DF0CFC" w:rsidRPr="00AB0640">
        <w:t xml:space="preserve"> = </w:t>
      </w:r>
      <w:r w:rsidRPr="00AB0640">
        <w:t>aspartate aminotransferase; BNP</w:t>
      </w:r>
      <w:r w:rsidR="00DF0CFC" w:rsidRPr="00AB0640">
        <w:t xml:space="preserve"> = </w:t>
      </w:r>
      <w:r w:rsidRPr="00AB0640">
        <w:t>beta natriuretic peptide; CGIC</w:t>
      </w:r>
      <w:r w:rsidR="00DF0CFC" w:rsidRPr="00AB0640">
        <w:t xml:space="preserve"> = </w:t>
      </w:r>
      <w:r w:rsidRPr="00AB0640">
        <w:t>Clinical Global Impression of Change; DB</w:t>
      </w:r>
      <w:r w:rsidR="00DF0CFC" w:rsidRPr="00AB0640">
        <w:t xml:space="preserve"> = </w:t>
      </w:r>
      <w:r w:rsidRPr="00AB0640">
        <w:t>double blind; FA</w:t>
      </w:r>
      <w:r w:rsidR="00DF0CFC" w:rsidRPr="00AB0640">
        <w:t xml:space="preserve"> = </w:t>
      </w:r>
      <w:r w:rsidRPr="00AB0640">
        <w:t>Friedreich’s ataxia; FAS</w:t>
      </w:r>
      <w:r w:rsidR="00DF0CFC" w:rsidRPr="00AB0640">
        <w:t xml:space="preserve"> = </w:t>
      </w:r>
      <w:r w:rsidRPr="00AB0640">
        <w:t>full-analysis set</w:t>
      </w:r>
      <w:r w:rsidR="00DF0CFC" w:rsidRPr="00AB0640">
        <w:t xml:space="preserve">; </w:t>
      </w:r>
      <w:r w:rsidRPr="00AB0640">
        <w:t>ITT</w:t>
      </w:r>
      <w:r w:rsidR="00DF0CFC" w:rsidRPr="00AB0640">
        <w:t xml:space="preserve"> = </w:t>
      </w:r>
      <w:r w:rsidRPr="00AB0640">
        <w:t>intention to treat; MC</w:t>
      </w:r>
      <w:r w:rsidR="00DF0CFC" w:rsidRPr="00AB0640">
        <w:t xml:space="preserve"> = </w:t>
      </w:r>
      <w:r w:rsidRPr="00AB0640">
        <w:t>multi-centre; mFARS</w:t>
      </w:r>
      <w:r w:rsidR="00DF0CFC" w:rsidRPr="00AB0640">
        <w:t xml:space="preserve"> = </w:t>
      </w:r>
      <w:r w:rsidRPr="00AB0640">
        <w:t xml:space="preserve">modified Friedreich’s </w:t>
      </w:r>
      <w:r w:rsidR="00654617" w:rsidRPr="00AB0640">
        <w:t>a</w:t>
      </w:r>
      <w:r w:rsidRPr="00AB0640">
        <w:t xml:space="preserve">taxia </w:t>
      </w:r>
      <w:r w:rsidR="00654617" w:rsidRPr="00AB0640">
        <w:t>r</w:t>
      </w:r>
      <w:r w:rsidRPr="00AB0640">
        <w:t xml:space="preserve">ating </w:t>
      </w:r>
      <w:r w:rsidR="00654617" w:rsidRPr="00AB0640">
        <w:t>s</w:t>
      </w:r>
      <w:r w:rsidRPr="00AB0640">
        <w:t>cale; LSM</w:t>
      </w:r>
      <w:r w:rsidR="00DF0CFC" w:rsidRPr="00AB0640">
        <w:t xml:space="preserve"> = </w:t>
      </w:r>
      <w:r w:rsidRPr="00AB0640">
        <w:t xml:space="preserve">least squares mean; </w:t>
      </w:r>
      <w:r w:rsidR="00B815F2" w:rsidRPr="00AB0640">
        <w:t xml:space="preserve">oma = omaveloxolone; </w:t>
      </w:r>
      <w:r w:rsidRPr="00AB0640">
        <w:t>PC</w:t>
      </w:r>
      <w:r w:rsidR="00DF0CFC" w:rsidRPr="00AB0640">
        <w:t xml:space="preserve"> = </w:t>
      </w:r>
      <w:r w:rsidRPr="00AB0640">
        <w:t>placebo controlled; PG</w:t>
      </w:r>
      <w:r w:rsidR="00DF0CFC" w:rsidRPr="00AB0640">
        <w:t xml:space="preserve"> = </w:t>
      </w:r>
      <w:r w:rsidRPr="00AB0640">
        <w:t>parallel group; PGIC</w:t>
      </w:r>
      <w:r w:rsidR="00DF0CFC" w:rsidRPr="00AB0640">
        <w:t xml:space="preserve"> = </w:t>
      </w:r>
      <w:r w:rsidRPr="00AB0640">
        <w:t xml:space="preserve">Patient Global Impression of Change; </w:t>
      </w:r>
      <w:r w:rsidR="0084223B" w:rsidRPr="00AB0640">
        <w:t xml:space="preserve">Pla = placebo; </w:t>
      </w:r>
      <w:r w:rsidRPr="00AB0640">
        <w:t>RCT</w:t>
      </w:r>
      <w:r w:rsidR="00DF0CFC" w:rsidRPr="00AB0640">
        <w:t xml:space="preserve"> = </w:t>
      </w:r>
      <w:r w:rsidRPr="00AB0640">
        <w:t>randomised controlled trial; SAE</w:t>
      </w:r>
      <w:r w:rsidR="00DF0CFC" w:rsidRPr="00AB0640">
        <w:t xml:space="preserve"> = </w:t>
      </w:r>
      <w:r w:rsidRPr="00AB0640">
        <w:t>serious adverse event; yo</w:t>
      </w:r>
      <w:r w:rsidR="00DF0CFC" w:rsidRPr="00AB0640">
        <w:t xml:space="preserve"> = </w:t>
      </w:r>
      <w:r w:rsidRPr="00AB0640">
        <w:t>years old</w:t>
      </w:r>
    </w:p>
    <w:p w14:paraId="725887C6" w14:textId="77777777" w:rsidR="00E724A0" w:rsidRPr="00AB0640" w:rsidRDefault="00E724A0" w:rsidP="008028C6">
      <w:r w:rsidRPr="00AB0640">
        <w:rPr>
          <w:rStyle w:val="CommentReference"/>
          <w:b w:val="0"/>
          <w:bCs/>
          <w:sz w:val="18"/>
          <w:szCs w:val="18"/>
          <w:shd w:val="clear" w:color="auto" w:fill="B8CCE4" w:themeFill="accent1" w:themeFillTint="66"/>
        </w:rPr>
        <w:t>Blue shading</w:t>
      </w:r>
      <w:r w:rsidRPr="00AB0640">
        <w:rPr>
          <w:rStyle w:val="CommentReference"/>
          <w:b w:val="0"/>
          <w:bCs/>
          <w:sz w:val="18"/>
          <w:szCs w:val="18"/>
        </w:rPr>
        <w:t xml:space="preserve"> indicates information previously seen by the PBAC.</w:t>
      </w:r>
    </w:p>
    <w:p w14:paraId="0DFE5D93" w14:textId="77777777" w:rsidR="00E724A0" w:rsidRPr="00AB0640" w:rsidRDefault="00E724A0" w:rsidP="008028C6">
      <w:pPr>
        <w:pStyle w:val="TableFooter"/>
      </w:pPr>
    </w:p>
    <w:p w14:paraId="1A331367" w14:textId="63842E26" w:rsidR="00516A81" w:rsidRPr="00AB0640" w:rsidRDefault="00516A81" w:rsidP="008028C6">
      <w:pPr>
        <w:pStyle w:val="3-BodyText"/>
      </w:pPr>
      <w:r w:rsidRPr="00AB0640">
        <w:t xml:space="preserve">Patients were randomised in a 1:1 ratio to 48 weeks of omaveloxolone (150 mg daily) or placebo. Acknowledging the standard approach of randomisation, the small number of patients per treatment arm (approximately 40 patients per arm in the </w:t>
      </w:r>
      <w:r w:rsidR="00EE1DAF" w:rsidRPr="00AB0640">
        <w:t>FAS</w:t>
      </w:r>
      <w:r w:rsidRPr="00AB0640">
        <w:t xml:space="preserve"> [without pes cavus] and approximately 50 patients per arm in the total randomised population) resulted in some imbalances in baseline characteristics that could potentially confound the comparative efficacy. The overall direction of the impact of confounding </w:t>
      </w:r>
      <w:r w:rsidR="00536481" w:rsidRPr="00AB0640">
        <w:t>wa</w:t>
      </w:r>
      <w:r w:rsidRPr="00AB0640">
        <w:t>s unclear.</w:t>
      </w:r>
    </w:p>
    <w:p w14:paraId="1732553E" w14:textId="095EEF1A" w:rsidR="00516A81" w:rsidRPr="00AB0640" w:rsidRDefault="00483C87" w:rsidP="008028C6">
      <w:pPr>
        <w:pStyle w:val="3-BodyText"/>
      </w:pPr>
      <w:r w:rsidRPr="00AB0640">
        <w:t xml:space="preserve">All patients and investigators involved in the conduct of the study were blinded to treatment assignment. However, the risk of bias due to unblinding, </w:t>
      </w:r>
      <w:proofErr w:type="gramStart"/>
      <w:r w:rsidRPr="00AB0640">
        <w:t>as a result of</w:t>
      </w:r>
      <w:proofErr w:type="gramEnd"/>
      <w:r w:rsidRPr="00AB0640">
        <w:t xml:space="preserve"> adverse events (AEs) that </w:t>
      </w:r>
      <w:r w:rsidR="002A2871" w:rsidRPr="00AB0640">
        <w:t>were</w:t>
      </w:r>
      <w:r w:rsidRPr="00AB0640">
        <w:t xml:space="preserve"> consistent with the known safety profile of omaveloxolone (such as an increase in </w:t>
      </w:r>
      <w:r w:rsidR="00EE1DAF" w:rsidRPr="00AB0640">
        <w:t>alanine aminotransferase [ALT] and aspartate aminotransferase [</w:t>
      </w:r>
      <w:r w:rsidRPr="00AB0640">
        <w:t>AST</w:t>
      </w:r>
      <w:r w:rsidR="00EE1DAF" w:rsidRPr="00AB0640">
        <w:t>]</w:t>
      </w:r>
      <w:r w:rsidRPr="00AB0640">
        <w:t xml:space="preserve"> levels), remain</w:t>
      </w:r>
      <w:r w:rsidR="009776FA" w:rsidRPr="00AB0640">
        <w:t>ed</w:t>
      </w:r>
      <w:r w:rsidRPr="00AB0640">
        <w:t xml:space="preserve"> unclear. Furthermore, the risk of confounding from differential attrition rates was considered potentially high given the higher percentage of missing data in the omaveloxolone arm (15%) compared to </w:t>
      </w:r>
      <w:r w:rsidR="00F00B71" w:rsidRPr="00AB0640">
        <w:t xml:space="preserve">the </w:t>
      </w:r>
      <w:r w:rsidRPr="00AB0640">
        <w:t>placebo arm (2.3%) and the small sample size of the analysis set.</w:t>
      </w:r>
    </w:p>
    <w:p w14:paraId="4033C5B0" w14:textId="60A1201A" w:rsidR="00620C25" w:rsidRPr="00AB0640" w:rsidRDefault="00413FCE" w:rsidP="008028C6">
      <w:pPr>
        <w:pStyle w:val="3-BodyText"/>
      </w:pPr>
      <w:r w:rsidRPr="00AB0640">
        <w:t>M</w:t>
      </w:r>
      <w:r w:rsidR="00483C87" w:rsidRPr="00AB0640">
        <w:t xml:space="preserve">ost patients completed treatment through to Week 48 (91.3%), although there was a higher treatment discontinuation rate in the omaveloxolone arm compared to the placebo arm (13.7% </w:t>
      </w:r>
      <w:r w:rsidR="00F00B71" w:rsidRPr="00AB0640">
        <w:t>v</w:t>
      </w:r>
      <w:r w:rsidR="00530299">
        <w:t>ersu</w:t>
      </w:r>
      <w:r w:rsidR="00F00B71" w:rsidRPr="00AB0640">
        <w:t>s</w:t>
      </w:r>
      <w:r w:rsidR="00483C87" w:rsidRPr="00AB0640">
        <w:t xml:space="preserve"> 3.8%). </w:t>
      </w:r>
      <w:r w:rsidR="00F00B71" w:rsidRPr="00AB0640">
        <w:t>The most common reason for treatment discontinuation was due to an AE (7.8% v</w:t>
      </w:r>
      <w:r w:rsidR="00530299">
        <w:t>ersu</w:t>
      </w:r>
      <w:r w:rsidR="00F00B71" w:rsidRPr="00AB0640">
        <w:t xml:space="preserve">s 3.8%). </w:t>
      </w:r>
    </w:p>
    <w:p w14:paraId="33803B81" w14:textId="5104279B" w:rsidR="00AD2D20" w:rsidRPr="00AB0640" w:rsidRDefault="00AD2D20" w:rsidP="008028C6">
      <w:pPr>
        <w:pStyle w:val="3-BodyText"/>
      </w:pPr>
      <w:r w:rsidRPr="00AB0640">
        <w:t xml:space="preserve">To help inform the longer-term magnitude of benefits with omaveloxolone treatment, the same indirect comparison </w:t>
      </w:r>
      <w:r w:rsidR="003C06DE" w:rsidRPr="00AB0640">
        <w:t xml:space="preserve">as </w:t>
      </w:r>
      <w:r w:rsidRPr="00AB0640">
        <w:t xml:space="preserve">presented in the previous submission was </w:t>
      </w:r>
      <w:r w:rsidRPr="00AB0640">
        <w:lastRenderedPageBreak/>
        <w:t>reproduced in the resubmission. This was a post hoc propensity-matched unanchored indirect comparison analysis of the MOXIe Extension study compared with the natural history FACOMS study.</w:t>
      </w:r>
    </w:p>
    <w:p w14:paraId="4A4FE085" w14:textId="1C5613CC" w:rsidR="00B60939" w:rsidRPr="00AB0640" w:rsidRDefault="00B60939" w:rsidP="008028C6">
      <w:pPr>
        <w:pStyle w:val="4-SubsectionHeading"/>
      </w:pPr>
      <w:bookmarkStart w:id="23" w:name="_Toc22897641"/>
      <w:bookmarkStart w:id="24" w:name="_Toc208932434"/>
      <w:r w:rsidRPr="00AB0640">
        <w:t>Comparative effectiveness</w:t>
      </w:r>
      <w:bookmarkEnd w:id="23"/>
      <w:bookmarkEnd w:id="24"/>
    </w:p>
    <w:p w14:paraId="35318C11" w14:textId="5D765021" w:rsidR="00180A1D" w:rsidRPr="00AB0640" w:rsidRDefault="008F2B6C" w:rsidP="008028C6">
      <w:pPr>
        <w:pStyle w:val="3-BodyText"/>
      </w:pPr>
      <w:r w:rsidRPr="00AB0640">
        <w:t>The primary endpoint in MOXIe Part 2 was the change in mFARS scores from baseline to Week 48</w:t>
      </w:r>
      <w:r w:rsidR="008536C8" w:rsidRPr="00AB0640">
        <w:t xml:space="preserve"> (99-point scale)</w:t>
      </w:r>
      <w:r w:rsidRPr="00AB0640">
        <w:t xml:space="preserve">. </w:t>
      </w:r>
    </w:p>
    <w:p w14:paraId="136CEB73" w14:textId="2DF18465" w:rsidR="008F2B6C" w:rsidRPr="00F770A1" w:rsidRDefault="00180A1D" w:rsidP="008028C6">
      <w:pPr>
        <w:pStyle w:val="3-BodyText"/>
      </w:pPr>
      <w:r w:rsidRPr="00F770A1">
        <w:t xml:space="preserve">As in the previous submission, the resubmission nominated the minimally clinical important difference (MCID) of a change in baseline of less than or equal to -1 point in mFARS (on a 99-point scale). The ESC has previously raised the concern that a change </w:t>
      </w:r>
      <w:r w:rsidR="00F850C4" w:rsidRPr="00F770A1">
        <w:t>from</w:t>
      </w:r>
      <w:r w:rsidRPr="00F770A1">
        <w:t xml:space="preserve"> baseline of less than or equal to -1 point in mFARS on a 99-point scale could be the result of random variation or measurement error</w:t>
      </w:r>
      <w:r w:rsidR="000360E2" w:rsidRPr="00F770A1">
        <w:t xml:space="preserve"> (</w:t>
      </w:r>
      <w:r w:rsidR="00A909D1" w:rsidRPr="00F770A1">
        <w:t xml:space="preserve">paragraph </w:t>
      </w:r>
      <w:r w:rsidR="000360E2" w:rsidRPr="00F770A1">
        <w:t>6.18, omaveloxolone PSD, March 2025 PBAC meeting)</w:t>
      </w:r>
      <w:r w:rsidRPr="00F770A1">
        <w:t>.</w:t>
      </w:r>
      <w:r w:rsidR="00831F54" w:rsidRPr="00F770A1">
        <w:t xml:space="preserve"> </w:t>
      </w:r>
      <w:r w:rsidR="0037366C" w:rsidRPr="00F770A1">
        <w:t xml:space="preserve">In consideration of the resubmission, the ESC noted that the </w:t>
      </w:r>
      <w:r w:rsidR="00FE0013" w:rsidRPr="00F770A1">
        <w:t>Canadian Drug Expert Committee (</w:t>
      </w:r>
      <w:r w:rsidR="0037366C" w:rsidRPr="00F770A1">
        <w:t>CDEC</w:t>
      </w:r>
      <w:r w:rsidR="00FE0013" w:rsidRPr="00F770A1">
        <w:t>)</w:t>
      </w:r>
      <w:r w:rsidR="0037366C" w:rsidRPr="00F770A1">
        <w:t xml:space="preserve"> </w:t>
      </w:r>
      <w:r w:rsidR="00E511BC" w:rsidRPr="00F770A1">
        <w:t xml:space="preserve">had also noted that there was no defined MCID for </w:t>
      </w:r>
      <w:r w:rsidR="00C7727C" w:rsidRPr="00F770A1">
        <w:t>mFARS and therefore there was uncertainty regarding how i</w:t>
      </w:r>
      <w:r w:rsidR="006604AC" w:rsidRPr="00F770A1">
        <w:t>mportant the difference between omaveloxolone and placebo, demonstrated in the MOXIE Part 2 trial</w:t>
      </w:r>
      <w:r w:rsidR="0040410E" w:rsidRPr="00F770A1">
        <w:t>,</w:t>
      </w:r>
      <w:r w:rsidR="006604AC" w:rsidRPr="00F770A1">
        <w:t xml:space="preserve"> was</w:t>
      </w:r>
      <w:r w:rsidR="0040410E" w:rsidRPr="00F770A1">
        <w:t xml:space="preserve"> to patients. Overall, the CDEC noted that although mFARS has limitations, it is </w:t>
      </w:r>
      <w:r w:rsidR="00A87894" w:rsidRPr="00F770A1">
        <w:t>a validated tool for assessing neurologic function across the four domains (bulbar, upper limb coordination, lower limb coordination and upright stability)</w:t>
      </w:r>
      <w:r w:rsidR="00594D10" w:rsidRPr="00F770A1">
        <w:t xml:space="preserve"> and recommended its use for evaluating the response to treatment with omaveloxolone</w:t>
      </w:r>
      <w:r w:rsidR="00C714BD" w:rsidRPr="00F770A1">
        <w:t>.</w:t>
      </w:r>
      <w:r w:rsidR="00990581" w:rsidRPr="00F770A1">
        <w:rPr>
          <w:rStyle w:val="FootnoteReference"/>
        </w:rPr>
        <w:footnoteReference w:id="6"/>
      </w:r>
      <w:r w:rsidR="00280A2C">
        <w:t xml:space="preserve"> The </w:t>
      </w:r>
      <w:r w:rsidR="00AC484B">
        <w:t xml:space="preserve">pre-PBAC response noted that </w:t>
      </w:r>
      <w:r w:rsidR="003A6B5A">
        <w:t xml:space="preserve">clinical experts advised </w:t>
      </w:r>
      <w:r w:rsidR="00AC484B">
        <w:t xml:space="preserve">the CDEC that </w:t>
      </w:r>
      <w:r w:rsidR="009659F7">
        <w:t>“</w:t>
      </w:r>
      <w:r w:rsidR="00AC484B">
        <w:t>a change in 2 points in the mFARS score is considered clinically meaningful</w:t>
      </w:r>
      <w:r w:rsidR="00762670">
        <w:t>, but also that the stabilisation of disease over a long period would be considered beneficial given the progressive nature of FA</w:t>
      </w:r>
      <w:r w:rsidR="009659F7">
        <w:t>”.</w:t>
      </w:r>
      <w:r w:rsidR="009659F7" w:rsidRPr="009659F7">
        <w:rPr>
          <w:vertAlign w:val="superscript"/>
        </w:rPr>
        <w:t>6</w:t>
      </w:r>
    </w:p>
    <w:p w14:paraId="55E5B5A6" w14:textId="4ED281E8" w:rsidR="007A1C4A" w:rsidRPr="00AB0640" w:rsidRDefault="00180A1D" w:rsidP="008028C6">
      <w:pPr>
        <w:pStyle w:val="3-BodyText"/>
      </w:pPr>
      <w:r w:rsidRPr="00F770A1">
        <w:t xml:space="preserve">The primary analysis </w:t>
      </w:r>
      <w:r w:rsidR="00111EA1" w:rsidRPr="00F770A1">
        <w:t xml:space="preserve">was based on the FAS </w:t>
      </w:r>
      <w:r w:rsidR="007A1C4A" w:rsidRPr="00F770A1">
        <w:t>which included</w:t>
      </w:r>
      <w:r w:rsidRPr="00F770A1">
        <w:t xml:space="preserve"> all patients without pes cavus who had at least </w:t>
      </w:r>
      <w:r w:rsidR="00EE1DAF" w:rsidRPr="00F770A1">
        <w:t>one</w:t>
      </w:r>
      <w:r w:rsidRPr="00F770A1">
        <w:t xml:space="preserve"> post-baseline</w:t>
      </w:r>
      <w:r w:rsidRPr="00AB0640">
        <w:t xml:space="preserve"> measurement</w:t>
      </w:r>
      <w:r w:rsidR="007A1C4A" w:rsidRPr="00AB0640">
        <w:t xml:space="preserve">, </w:t>
      </w:r>
      <w:r w:rsidRPr="00AB0640">
        <w:t>irrespective of whether a patient was receiving treatment</w:t>
      </w:r>
      <w:r w:rsidR="008F2B6C" w:rsidRPr="00AB0640">
        <w:t>.</w:t>
      </w:r>
    </w:p>
    <w:p w14:paraId="3CFF4712" w14:textId="75AF06C5" w:rsidR="007A1C4A" w:rsidRPr="00AB0640" w:rsidRDefault="007A1C4A" w:rsidP="008028C6">
      <w:pPr>
        <w:pStyle w:val="3-BodyText"/>
      </w:pPr>
      <w:r w:rsidRPr="00AB0640">
        <w:fldChar w:fldCharType="begin" w:fldLock="1"/>
      </w:r>
      <w:r w:rsidRPr="00AB0640">
        <w:instrText xml:space="preserve"> REF _Ref205375065 \h </w:instrText>
      </w:r>
      <w:r w:rsidR="00BF0410" w:rsidRPr="00AB0640">
        <w:instrText xml:space="preserve"> \* MERGEFORMAT </w:instrText>
      </w:r>
      <w:r w:rsidRPr="00AB0640">
        <w:fldChar w:fldCharType="separate"/>
      </w:r>
      <w:r w:rsidR="00E056AF" w:rsidRPr="00AB0640">
        <w:t xml:space="preserve">Table </w:t>
      </w:r>
      <w:r w:rsidR="00E056AF">
        <w:t>6</w:t>
      </w:r>
      <w:r w:rsidRPr="00AB0640">
        <w:fldChar w:fldCharType="end"/>
      </w:r>
      <w:r w:rsidRPr="00AB0640">
        <w:t xml:space="preserve"> summarises the results for the primary outcome of mean change from baseline in mFARS for the FAS population in the key MOXIe Part 2 trial. </w:t>
      </w:r>
      <w:r w:rsidRPr="00AB0640">
        <w:fldChar w:fldCharType="begin" w:fldLock="1"/>
      </w:r>
      <w:r w:rsidRPr="00AB0640">
        <w:instrText xml:space="preserve"> REF _Ref205375198 \h </w:instrText>
      </w:r>
      <w:r w:rsidR="00BF0410" w:rsidRPr="00AB0640">
        <w:instrText xml:space="preserve"> \* MERGEFORMAT </w:instrText>
      </w:r>
      <w:r w:rsidRPr="00AB0640">
        <w:fldChar w:fldCharType="separate"/>
      </w:r>
      <w:r w:rsidR="00E056AF" w:rsidRPr="00AB0640">
        <w:t xml:space="preserve">Figure </w:t>
      </w:r>
      <w:r w:rsidR="00E056AF">
        <w:t>1</w:t>
      </w:r>
      <w:r w:rsidRPr="00AB0640">
        <w:fldChar w:fldCharType="end"/>
      </w:r>
      <w:r w:rsidRPr="00AB0640">
        <w:t xml:space="preserve"> shows the change from baseline in mFARS over time in the FAS.</w:t>
      </w:r>
    </w:p>
    <w:p w14:paraId="4ABC3BE0" w14:textId="586EFB7C" w:rsidR="007A1C4A" w:rsidRPr="00AB0640" w:rsidRDefault="007A1C4A" w:rsidP="008028C6">
      <w:pPr>
        <w:pStyle w:val="Caption"/>
      </w:pPr>
      <w:bookmarkStart w:id="25" w:name="_Ref205375065"/>
      <w:r w:rsidRPr="00AB0640">
        <w:lastRenderedPageBreak/>
        <w:t xml:space="preserve">Table </w:t>
      </w:r>
      <w:r w:rsidR="00E056AF">
        <w:fldChar w:fldCharType="begin" w:fldLock="1"/>
      </w:r>
      <w:r w:rsidR="00E056AF">
        <w:instrText xml:space="preserve"> SEQ Table \* ARABIC </w:instrText>
      </w:r>
      <w:r w:rsidR="00E056AF">
        <w:fldChar w:fldCharType="separate"/>
      </w:r>
      <w:r w:rsidR="00E056AF">
        <w:rPr>
          <w:noProof/>
        </w:rPr>
        <w:t>6</w:t>
      </w:r>
      <w:r w:rsidR="00E056AF">
        <w:rPr>
          <w:noProof/>
        </w:rPr>
        <w:fldChar w:fldCharType="end"/>
      </w:r>
      <w:bookmarkEnd w:id="25"/>
      <w:r w:rsidRPr="00AB0640">
        <w:t>: Mean change in mFARS score from baseline at Week 48 in MOXIe Part 2 (FAS)-patients without pes cavus</w:t>
      </w:r>
    </w:p>
    <w:tbl>
      <w:tblPr>
        <w:tblStyle w:val="TableGrid"/>
        <w:tblW w:w="5000" w:type="pct"/>
        <w:shd w:val="clear" w:color="auto" w:fill="B8CCE4" w:themeFill="accent1" w:themeFillTint="66"/>
        <w:tblLook w:val="04A0" w:firstRow="1" w:lastRow="0" w:firstColumn="1" w:lastColumn="0" w:noHBand="0" w:noVBand="1"/>
        <w:tblCaption w:val="Table 6: Mean change in mFARS score from baseline at Week 48 in MOXIe Part 2 (FAS)-patients without pes cavus"/>
      </w:tblPr>
      <w:tblGrid>
        <w:gridCol w:w="3005"/>
        <w:gridCol w:w="3004"/>
        <w:gridCol w:w="3008"/>
      </w:tblGrid>
      <w:tr w:rsidR="007A1C4A" w:rsidRPr="00AB0640" w14:paraId="5F16C137" w14:textId="77777777" w:rsidTr="0065379D">
        <w:trPr>
          <w:trHeight w:val="60"/>
          <w:tblHeader/>
        </w:trPr>
        <w:tc>
          <w:tcPr>
            <w:tcW w:w="166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251DE1D" w14:textId="77777777" w:rsidR="007A1C4A" w:rsidRPr="00AB0640" w:rsidRDefault="007A1C4A" w:rsidP="008028C6">
            <w:pPr>
              <w:pStyle w:val="PBACTableText0"/>
              <w:keepNext/>
              <w:keepLines/>
              <w:spacing w:before="0" w:after="0"/>
              <w:rPr>
                <w:b/>
                <w:bCs/>
              </w:rPr>
            </w:pPr>
            <w:r w:rsidRPr="00AB0640">
              <w:rPr>
                <w:b/>
                <w:bCs/>
              </w:rPr>
              <w:t>Measure</w:t>
            </w:r>
          </w:p>
        </w:tc>
        <w:tc>
          <w:tcPr>
            <w:tcW w:w="166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9C2BAEE" w14:textId="77777777" w:rsidR="007A1C4A" w:rsidRPr="00AB0640" w:rsidRDefault="007A1C4A" w:rsidP="008028C6">
            <w:pPr>
              <w:pStyle w:val="PBACTableText0"/>
              <w:keepNext/>
              <w:keepLines/>
              <w:spacing w:before="0" w:after="0"/>
              <w:jc w:val="center"/>
              <w:rPr>
                <w:b/>
                <w:bCs/>
              </w:rPr>
            </w:pPr>
            <w:r w:rsidRPr="00AB0640">
              <w:rPr>
                <w:b/>
                <w:bCs/>
              </w:rPr>
              <w:t>Omaveloxolone 150 mg (N=40)</w:t>
            </w:r>
          </w:p>
        </w:tc>
        <w:tc>
          <w:tcPr>
            <w:tcW w:w="166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E89FF60" w14:textId="77777777" w:rsidR="007A1C4A" w:rsidRPr="00AB0640" w:rsidRDefault="007A1C4A" w:rsidP="008028C6">
            <w:pPr>
              <w:pStyle w:val="PBACTableText0"/>
              <w:keepNext/>
              <w:keepLines/>
              <w:spacing w:before="0" w:after="0"/>
              <w:jc w:val="center"/>
              <w:rPr>
                <w:b/>
                <w:bCs/>
              </w:rPr>
            </w:pPr>
            <w:r w:rsidRPr="00AB0640">
              <w:rPr>
                <w:b/>
                <w:bCs/>
              </w:rPr>
              <w:t>Placebo (N=42)</w:t>
            </w:r>
          </w:p>
        </w:tc>
      </w:tr>
      <w:tr w:rsidR="007A1C4A" w:rsidRPr="00AB0640" w14:paraId="0C8AF510" w14:textId="77777777" w:rsidTr="0065379D">
        <w:tc>
          <w:tcPr>
            <w:tcW w:w="5000" w:type="pct"/>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6FF55CB" w14:textId="77777777" w:rsidR="007A1C4A" w:rsidRPr="00AB0640" w:rsidRDefault="007A1C4A" w:rsidP="008028C6">
            <w:pPr>
              <w:pStyle w:val="PBACTableText0"/>
              <w:keepNext/>
              <w:keepLines/>
              <w:spacing w:before="0" w:after="0"/>
              <w:rPr>
                <w:b/>
                <w:bCs/>
              </w:rPr>
            </w:pPr>
            <w:r w:rsidRPr="00AB0640">
              <w:rPr>
                <w:b/>
                <w:bCs/>
              </w:rPr>
              <w:t>Baseline score</w:t>
            </w:r>
          </w:p>
        </w:tc>
      </w:tr>
      <w:tr w:rsidR="007A1C4A" w:rsidRPr="00AB0640" w14:paraId="6AE91240" w14:textId="77777777" w:rsidTr="0065379D">
        <w:tc>
          <w:tcPr>
            <w:tcW w:w="166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9E80FA6" w14:textId="77777777" w:rsidR="007A1C4A" w:rsidRPr="00AB0640" w:rsidRDefault="007A1C4A" w:rsidP="008028C6">
            <w:pPr>
              <w:pStyle w:val="PBACTableText0"/>
              <w:keepNext/>
              <w:keepLines/>
              <w:spacing w:before="0" w:after="0"/>
            </w:pPr>
            <w:r w:rsidRPr="00AB0640">
              <w:t>N</w:t>
            </w:r>
          </w:p>
        </w:tc>
        <w:tc>
          <w:tcPr>
            <w:tcW w:w="166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6AD2CEB" w14:textId="77777777" w:rsidR="007A1C4A" w:rsidRPr="00AB0640" w:rsidRDefault="007A1C4A" w:rsidP="008028C6">
            <w:pPr>
              <w:pStyle w:val="PBACTableText0"/>
              <w:keepNext/>
              <w:keepLines/>
              <w:spacing w:before="0" w:after="0"/>
              <w:jc w:val="center"/>
            </w:pPr>
            <w:r w:rsidRPr="00AB0640">
              <w:t>40</w:t>
            </w:r>
          </w:p>
        </w:tc>
        <w:tc>
          <w:tcPr>
            <w:tcW w:w="166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CA11681" w14:textId="77777777" w:rsidR="007A1C4A" w:rsidRPr="00AB0640" w:rsidRDefault="007A1C4A" w:rsidP="008028C6">
            <w:pPr>
              <w:pStyle w:val="PBACTableText0"/>
              <w:keepNext/>
              <w:keepLines/>
              <w:spacing w:before="0" w:after="0"/>
              <w:jc w:val="center"/>
            </w:pPr>
            <w:r w:rsidRPr="00AB0640">
              <w:t>42</w:t>
            </w:r>
          </w:p>
        </w:tc>
      </w:tr>
      <w:tr w:rsidR="007A1C4A" w:rsidRPr="00AB0640" w14:paraId="54ABAA49" w14:textId="77777777" w:rsidTr="0065379D">
        <w:tc>
          <w:tcPr>
            <w:tcW w:w="166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A6E14B8" w14:textId="77777777" w:rsidR="007A1C4A" w:rsidRPr="00AB0640" w:rsidRDefault="007A1C4A" w:rsidP="008028C6">
            <w:pPr>
              <w:pStyle w:val="PBACTableText0"/>
              <w:keepNext/>
              <w:keepLines/>
              <w:spacing w:before="0" w:after="0"/>
            </w:pPr>
            <w:r w:rsidRPr="00AB0640">
              <w:t>Mean (SD)</w:t>
            </w:r>
          </w:p>
        </w:tc>
        <w:tc>
          <w:tcPr>
            <w:tcW w:w="166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C1D86E0" w14:textId="77777777" w:rsidR="007A1C4A" w:rsidRPr="00AB0640" w:rsidRDefault="007A1C4A" w:rsidP="008028C6">
            <w:pPr>
              <w:pStyle w:val="PBACTableText0"/>
              <w:keepNext/>
              <w:keepLines/>
              <w:spacing w:before="0" w:after="0"/>
              <w:jc w:val="center"/>
            </w:pPr>
            <w:r w:rsidRPr="00AB0640">
              <w:t>40.94 (10.39)</w:t>
            </w:r>
          </w:p>
        </w:tc>
        <w:tc>
          <w:tcPr>
            <w:tcW w:w="166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3CC0369" w14:textId="77777777" w:rsidR="007A1C4A" w:rsidRPr="00AB0640" w:rsidRDefault="007A1C4A" w:rsidP="008028C6">
            <w:pPr>
              <w:pStyle w:val="PBACTableText0"/>
              <w:keepNext/>
              <w:keepLines/>
              <w:spacing w:before="0" w:after="0"/>
              <w:jc w:val="center"/>
            </w:pPr>
            <w:r w:rsidRPr="00AB0640">
              <w:t>38.77 (11.03)</w:t>
            </w:r>
          </w:p>
        </w:tc>
      </w:tr>
      <w:tr w:rsidR="007A1C4A" w:rsidRPr="00AB0640" w14:paraId="21F7A327" w14:textId="77777777" w:rsidTr="0065379D">
        <w:tc>
          <w:tcPr>
            <w:tcW w:w="166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8B095E0" w14:textId="77777777" w:rsidR="007A1C4A" w:rsidRPr="00AB0640" w:rsidRDefault="007A1C4A" w:rsidP="008028C6">
            <w:pPr>
              <w:pStyle w:val="PBACTableText0"/>
              <w:keepNext/>
              <w:keepLines/>
              <w:spacing w:before="0" w:after="0"/>
            </w:pPr>
            <w:r w:rsidRPr="00AB0640">
              <w:t>Median (range)</w:t>
            </w:r>
          </w:p>
        </w:tc>
        <w:tc>
          <w:tcPr>
            <w:tcW w:w="166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97286AC" w14:textId="274FE765" w:rsidR="007A1C4A" w:rsidRPr="00AB0640" w:rsidRDefault="007A1C4A" w:rsidP="008028C6">
            <w:pPr>
              <w:pStyle w:val="PBACTableText0"/>
              <w:keepNext/>
              <w:keepLines/>
              <w:spacing w:before="0" w:after="0"/>
              <w:jc w:val="center"/>
            </w:pPr>
            <w:r w:rsidRPr="00AB0640">
              <w:t>39.15</w:t>
            </w:r>
          </w:p>
        </w:tc>
        <w:tc>
          <w:tcPr>
            <w:tcW w:w="166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9A5353A" w14:textId="108A2ADF" w:rsidR="007A1C4A" w:rsidRPr="00AB0640" w:rsidRDefault="007A1C4A" w:rsidP="008028C6">
            <w:pPr>
              <w:pStyle w:val="PBACTableText0"/>
              <w:keepNext/>
              <w:keepLines/>
              <w:spacing w:before="0" w:after="0"/>
              <w:jc w:val="center"/>
            </w:pPr>
            <w:r w:rsidRPr="00AB0640">
              <w:t>35.65</w:t>
            </w:r>
          </w:p>
        </w:tc>
      </w:tr>
      <w:tr w:rsidR="007A1C4A" w:rsidRPr="00AB0640" w14:paraId="4D24A74B" w14:textId="77777777" w:rsidTr="0065379D">
        <w:tc>
          <w:tcPr>
            <w:tcW w:w="5000" w:type="pct"/>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43AC1AC" w14:textId="77777777" w:rsidR="007A1C4A" w:rsidRPr="00AB0640" w:rsidRDefault="007A1C4A" w:rsidP="008028C6">
            <w:pPr>
              <w:pStyle w:val="PBACTableText0"/>
              <w:keepNext/>
              <w:keepLines/>
              <w:spacing w:before="0" w:after="0"/>
              <w:rPr>
                <w:b/>
                <w:bCs/>
              </w:rPr>
            </w:pPr>
            <w:r w:rsidRPr="00AB0640">
              <w:rPr>
                <w:b/>
                <w:bCs/>
              </w:rPr>
              <w:t>Week 48 score</w:t>
            </w:r>
          </w:p>
        </w:tc>
      </w:tr>
      <w:tr w:rsidR="007A1C4A" w:rsidRPr="00AB0640" w14:paraId="62A7EDF9" w14:textId="77777777" w:rsidTr="0065379D">
        <w:tc>
          <w:tcPr>
            <w:tcW w:w="166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232D0D9" w14:textId="77777777" w:rsidR="007A1C4A" w:rsidRPr="00AB0640" w:rsidRDefault="007A1C4A" w:rsidP="008028C6">
            <w:pPr>
              <w:pStyle w:val="PBACTableText0"/>
              <w:keepNext/>
              <w:keepLines/>
              <w:spacing w:before="0" w:after="0"/>
            </w:pPr>
            <w:r w:rsidRPr="00AB0640">
              <w:t>N</w:t>
            </w:r>
          </w:p>
        </w:tc>
        <w:tc>
          <w:tcPr>
            <w:tcW w:w="166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282DE30" w14:textId="77777777" w:rsidR="007A1C4A" w:rsidRPr="00AB0640" w:rsidRDefault="007A1C4A" w:rsidP="008028C6">
            <w:pPr>
              <w:pStyle w:val="PBACTableText0"/>
              <w:keepNext/>
              <w:keepLines/>
              <w:spacing w:before="0" w:after="0"/>
              <w:jc w:val="center"/>
            </w:pPr>
            <w:r w:rsidRPr="00AB0640">
              <w:t>34</w:t>
            </w:r>
          </w:p>
        </w:tc>
        <w:tc>
          <w:tcPr>
            <w:tcW w:w="166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192AA9C" w14:textId="77777777" w:rsidR="007A1C4A" w:rsidRPr="00AB0640" w:rsidRDefault="007A1C4A" w:rsidP="008028C6">
            <w:pPr>
              <w:pStyle w:val="PBACTableText0"/>
              <w:keepNext/>
              <w:keepLines/>
              <w:spacing w:before="0" w:after="0"/>
              <w:jc w:val="center"/>
            </w:pPr>
            <w:r w:rsidRPr="00AB0640">
              <w:t>41</w:t>
            </w:r>
          </w:p>
        </w:tc>
      </w:tr>
      <w:tr w:rsidR="007A1C4A" w:rsidRPr="00AB0640" w14:paraId="560EF510" w14:textId="77777777" w:rsidTr="0065379D">
        <w:tc>
          <w:tcPr>
            <w:tcW w:w="166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F615859" w14:textId="77777777" w:rsidR="007A1C4A" w:rsidRPr="00AB0640" w:rsidRDefault="007A1C4A" w:rsidP="008028C6">
            <w:pPr>
              <w:pStyle w:val="PBACTableText0"/>
              <w:keepNext/>
              <w:keepLines/>
              <w:spacing w:before="0" w:after="0"/>
            </w:pPr>
            <w:r w:rsidRPr="00AB0640">
              <w:t>Mean (SD)</w:t>
            </w:r>
          </w:p>
        </w:tc>
        <w:tc>
          <w:tcPr>
            <w:tcW w:w="166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48747F1" w14:textId="77777777" w:rsidR="007A1C4A" w:rsidRPr="00AB0640" w:rsidRDefault="007A1C4A" w:rsidP="008028C6">
            <w:pPr>
              <w:pStyle w:val="PBACTableText0"/>
              <w:keepNext/>
              <w:keepLines/>
              <w:spacing w:before="0" w:after="0"/>
              <w:jc w:val="center"/>
            </w:pPr>
            <w:r w:rsidRPr="00AB0640">
              <w:t>39.17 (10.02)</w:t>
            </w:r>
          </w:p>
        </w:tc>
        <w:tc>
          <w:tcPr>
            <w:tcW w:w="166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4DFBAD2" w14:textId="77777777" w:rsidR="007A1C4A" w:rsidRPr="00AB0640" w:rsidRDefault="007A1C4A" w:rsidP="008028C6">
            <w:pPr>
              <w:pStyle w:val="PBACTableText0"/>
              <w:keepNext/>
              <w:keepLines/>
              <w:spacing w:before="0" w:after="0"/>
              <w:jc w:val="center"/>
            </w:pPr>
            <w:r w:rsidRPr="00AB0640">
              <w:t>39.54 (11.57)</w:t>
            </w:r>
          </w:p>
        </w:tc>
      </w:tr>
      <w:tr w:rsidR="007A1C4A" w:rsidRPr="00AB0640" w14:paraId="66E3F608" w14:textId="77777777" w:rsidTr="0065379D">
        <w:tc>
          <w:tcPr>
            <w:tcW w:w="166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6DC3A6F" w14:textId="77777777" w:rsidR="007A1C4A" w:rsidRPr="00AB0640" w:rsidRDefault="007A1C4A" w:rsidP="008028C6">
            <w:pPr>
              <w:pStyle w:val="PBACTableText0"/>
              <w:keepNext/>
              <w:keepLines/>
              <w:spacing w:before="0" w:after="0"/>
            </w:pPr>
            <w:r w:rsidRPr="00AB0640">
              <w:t>LS mean (SE)</w:t>
            </w:r>
          </w:p>
        </w:tc>
        <w:tc>
          <w:tcPr>
            <w:tcW w:w="166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9BA8314" w14:textId="77777777" w:rsidR="007A1C4A" w:rsidRPr="00AB0640" w:rsidRDefault="007A1C4A" w:rsidP="008028C6">
            <w:pPr>
              <w:pStyle w:val="PBACTableText0"/>
              <w:keepNext/>
              <w:keepLines/>
              <w:spacing w:before="0" w:after="0"/>
              <w:jc w:val="center"/>
            </w:pPr>
            <w:r w:rsidRPr="00AB0640">
              <w:t>-1.55 (0.69)</w:t>
            </w:r>
          </w:p>
        </w:tc>
        <w:tc>
          <w:tcPr>
            <w:tcW w:w="166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3434612" w14:textId="77777777" w:rsidR="007A1C4A" w:rsidRPr="00AB0640" w:rsidRDefault="007A1C4A" w:rsidP="008028C6">
            <w:pPr>
              <w:pStyle w:val="PBACTableText0"/>
              <w:keepNext/>
              <w:keepLines/>
              <w:spacing w:before="0" w:after="0"/>
              <w:jc w:val="center"/>
            </w:pPr>
            <w:r w:rsidRPr="00AB0640">
              <w:t>0.85 (0.64)</w:t>
            </w:r>
          </w:p>
        </w:tc>
      </w:tr>
      <w:tr w:rsidR="007A1C4A" w:rsidRPr="00AB0640" w14:paraId="6E5FF37C" w14:textId="77777777" w:rsidTr="0065379D">
        <w:tc>
          <w:tcPr>
            <w:tcW w:w="166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2627469" w14:textId="77777777" w:rsidR="007A1C4A" w:rsidRPr="00AB0640" w:rsidRDefault="007A1C4A" w:rsidP="008028C6">
            <w:pPr>
              <w:pStyle w:val="PBACTableText0"/>
              <w:keepNext/>
              <w:keepLines/>
              <w:spacing w:before="0" w:after="0"/>
            </w:pPr>
            <w:r w:rsidRPr="00AB0640">
              <w:t>Median (range)</w:t>
            </w:r>
          </w:p>
        </w:tc>
        <w:tc>
          <w:tcPr>
            <w:tcW w:w="166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618C261" w14:textId="66ED3962" w:rsidR="007A1C4A" w:rsidRPr="00AB0640" w:rsidRDefault="007A1C4A" w:rsidP="008028C6">
            <w:pPr>
              <w:pStyle w:val="PBACTableText0"/>
              <w:keepNext/>
              <w:keepLines/>
              <w:spacing w:before="0" w:after="0"/>
              <w:jc w:val="center"/>
            </w:pPr>
            <w:r w:rsidRPr="00AB0640">
              <w:t>38.10</w:t>
            </w:r>
          </w:p>
        </w:tc>
        <w:tc>
          <w:tcPr>
            <w:tcW w:w="166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EE5BBBD" w14:textId="08493E82" w:rsidR="007A1C4A" w:rsidRPr="00AB0640" w:rsidRDefault="007A1C4A" w:rsidP="008028C6">
            <w:pPr>
              <w:pStyle w:val="PBACTableText0"/>
              <w:keepNext/>
              <w:keepLines/>
              <w:spacing w:before="0" w:after="0"/>
              <w:jc w:val="center"/>
            </w:pPr>
            <w:r w:rsidRPr="00AB0640">
              <w:t>38.70</w:t>
            </w:r>
          </w:p>
        </w:tc>
      </w:tr>
      <w:tr w:rsidR="007A1C4A" w:rsidRPr="00AB0640" w14:paraId="3A81243A" w14:textId="77777777" w:rsidTr="0065379D">
        <w:tc>
          <w:tcPr>
            <w:tcW w:w="166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0CD43B" w14:textId="77777777" w:rsidR="007A1C4A" w:rsidRPr="00AB0640" w:rsidRDefault="007A1C4A" w:rsidP="008028C6">
            <w:pPr>
              <w:pStyle w:val="PBACTableText0"/>
              <w:keepNext/>
              <w:keepLines/>
              <w:spacing w:before="0" w:after="0"/>
              <w:rPr>
                <w:b/>
                <w:bCs/>
              </w:rPr>
            </w:pPr>
            <w:r w:rsidRPr="00AB0640">
              <w:rPr>
                <w:b/>
                <w:bCs/>
              </w:rPr>
              <w:t>LS mean difference (SE)</w:t>
            </w:r>
          </w:p>
          <w:p w14:paraId="7136C2C2" w14:textId="77777777" w:rsidR="007A1C4A" w:rsidRPr="00AB0640" w:rsidRDefault="007A1C4A" w:rsidP="008028C6">
            <w:pPr>
              <w:pStyle w:val="PBACTableText0"/>
              <w:keepNext/>
              <w:keepLines/>
              <w:spacing w:before="0" w:after="0"/>
            </w:pPr>
            <w:r w:rsidRPr="00AB0640">
              <w:rPr>
                <w:b/>
                <w:bCs/>
              </w:rPr>
              <w:t>[95% CI]; p-value</w:t>
            </w:r>
          </w:p>
        </w:tc>
        <w:tc>
          <w:tcPr>
            <w:tcW w:w="3334"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CDA78E5" w14:textId="77777777" w:rsidR="007A1C4A" w:rsidRPr="00AB0640" w:rsidRDefault="007A1C4A" w:rsidP="008028C6">
            <w:pPr>
              <w:pStyle w:val="PBACTableText0"/>
              <w:keepNext/>
              <w:keepLines/>
              <w:spacing w:before="0" w:after="0"/>
              <w:jc w:val="center"/>
            </w:pPr>
            <w:r w:rsidRPr="00AB0640">
              <w:t>-2.40 (0.96)</w:t>
            </w:r>
          </w:p>
          <w:p w14:paraId="445CE31A" w14:textId="77777777" w:rsidR="007A1C4A" w:rsidRPr="00AB0640" w:rsidRDefault="007A1C4A" w:rsidP="008028C6">
            <w:pPr>
              <w:pStyle w:val="PBACTableText0"/>
              <w:keepNext/>
              <w:keepLines/>
              <w:spacing w:before="0" w:after="0"/>
              <w:jc w:val="center"/>
            </w:pPr>
            <w:r w:rsidRPr="00AB0640">
              <w:t>[-4.31, -0.50]; 0.0141</w:t>
            </w:r>
          </w:p>
        </w:tc>
      </w:tr>
    </w:tbl>
    <w:p w14:paraId="07579F5D" w14:textId="43ACEE96" w:rsidR="007A1C4A" w:rsidRPr="00AB0640" w:rsidRDefault="007A1C4A" w:rsidP="008028C6">
      <w:pPr>
        <w:pStyle w:val="TableFooter"/>
      </w:pPr>
      <w:r w:rsidRPr="00AB0640">
        <w:t>Source: Table 2</w:t>
      </w:r>
      <w:r w:rsidR="00F850C4" w:rsidRPr="00AB0640">
        <w:t>.</w:t>
      </w:r>
      <w:r w:rsidRPr="00AB0640">
        <w:t>19, p112 of the resubmission.</w:t>
      </w:r>
    </w:p>
    <w:p w14:paraId="4789618A" w14:textId="63F8B583" w:rsidR="007A1C4A" w:rsidRPr="00AB0640" w:rsidRDefault="007A1C4A" w:rsidP="008028C6">
      <w:pPr>
        <w:pStyle w:val="TableFooter"/>
      </w:pPr>
      <w:r w:rsidRPr="00AB0640">
        <w:t>CI</w:t>
      </w:r>
      <w:r w:rsidR="00F850C4" w:rsidRPr="00AB0640">
        <w:t xml:space="preserve"> </w:t>
      </w:r>
      <w:r w:rsidRPr="00AB0640">
        <w:t>=</w:t>
      </w:r>
      <w:r w:rsidR="00F850C4" w:rsidRPr="00AB0640">
        <w:t xml:space="preserve"> </w:t>
      </w:r>
      <w:r w:rsidRPr="00AB0640">
        <w:t>confidence intervals; FAS</w:t>
      </w:r>
      <w:r w:rsidR="00F850C4" w:rsidRPr="00AB0640">
        <w:t xml:space="preserve"> </w:t>
      </w:r>
      <w:r w:rsidRPr="00AB0640">
        <w:t>=</w:t>
      </w:r>
      <w:r w:rsidR="00F850C4" w:rsidRPr="00AB0640">
        <w:t xml:space="preserve"> </w:t>
      </w:r>
      <w:r w:rsidRPr="00AB0640">
        <w:t>full analysis set; LS</w:t>
      </w:r>
      <w:r w:rsidR="00F850C4" w:rsidRPr="00AB0640">
        <w:t xml:space="preserve"> </w:t>
      </w:r>
      <w:r w:rsidRPr="00AB0640">
        <w:t>=</w:t>
      </w:r>
      <w:r w:rsidR="00F850C4" w:rsidRPr="00AB0640">
        <w:t xml:space="preserve"> </w:t>
      </w:r>
      <w:r w:rsidRPr="00AB0640">
        <w:t>least squares; mFARS</w:t>
      </w:r>
      <w:r w:rsidR="00F850C4" w:rsidRPr="00AB0640">
        <w:t xml:space="preserve"> </w:t>
      </w:r>
      <w:r w:rsidRPr="00AB0640">
        <w:t>=</w:t>
      </w:r>
      <w:r w:rsidR="00F850C4" w:rsidRPr="00AB0640">
        <w:t xml:space="preserve"> </w:t>
      </w:r>
      <w:r w:rsidRPr="00AB0640">
        <w:t>modified Friedreich’s ataxia rating scale; N</w:t>
      </w:r>
      <w:r w:rsidR="00F850C4" w:rsidRPr="00AB0640">
        <w:t xml:space="preserve"> </w:t>
      </w:r>
      <w:r w:rsidRPr="00AB0640">
        <w:t>=</w:t>
      </w:r>
      <w:r w:rsidR="00F850C4" w:rsidRPr="00AB0640">
        <w:t xml:space="preserve"> </w:t>
      </w:r>
      <w:r w:rsidRPr="00AB0640">
        <w:t>number of participants in treatment arm/with available data; SD</w:t>
      </w:r>
      <w:r w:rsidR="00F850C4" w:rsidRPr="00AB0640">
        <w:t xml:space="preserve"> </w:t>
      </w:r>
      <w:r w:rsidRPr="00AB0640">
        <w:t>=</w:t>
      </w:r>
      <w:r w:rsidR="00F850C4" w:rsidRPr="00AB0640">
        <w:t xml:space="preserve"> </w:t>
      </w:r>
      <w:r w:rsidRPr="00AB0640">
        <w:t>standard deviation; SE</w:t>
      </w:r>
      <w:r w:rsidR="00F850C4" w:rsidRPr="00AB0640">
        <w:t xml:space="preserve"> </w:t>
      </w:r>
      <w:r w:rsidRPr="00AB0640">
        <w:t>=</w:t>
      </w:r>
      <w:r w:rsidR="00F850C4" w:rsidRPr="00AB0640">
        <w:t xml:space="preserve"> </w:t>
      </w:r>
      <w:r w:rsidRPr="00AB0640">
        <w:t>standard error.</w:t>
      </w:r>
    </w:p>
    <w:p w14:paraId="4A36D5A1" w14:textId="7527E140" w:rsidR="007A1C4A" w:rsidRPr="00AB0640" w:rsidRDefault="007A1C4A" w:rsidP="008028C6">
      <w:pPr>
        <w:pStyle w:val="TableFooter"/>
      </w:pPr>
      <w:r w:rsidRPr="00AB0640">
        <w:t>N</w:t>
      </w:r>
      <w:r w:rsidR="00F850C4" w:rsidRPr="00AB0640">
        <w:t>ote</w:t>
      </w:r>
      <w:r w:rsidRPr="00AB0640">
        <w:t>: LS means calculated from mixed model repeated measures. LS mean difference refers to difference in LS means change from baseline of omaveloxolone – placebo</w:t>
      </w:r>
    </w:p>
    <w:p w14:paraId="1A411DBB" w14:textId="62549DC4" w:rsidR="007977D8" w:rsidRPr="00AB0640" w:rsidRDefault="007977D8" w:rsidP="008028C6">
      <w:r w:rsidRPr="00AB0640">
        <w:rPr>
          <w:rStyle w:val="CommentReference"/>
          <w:b w:val="0"/>
          <w:bCs/>
          <w:sz w:val="18"/>
          <w:szCs w:val="18"/>
          <w:shd w:val="clear" w:color="auto" w:fill="B8CCE4" w:themeFill="accent1" w:themeFillTint="66"/>
        </w:rPr>
        <w:t>Blue shading</w:t>
      </w:r>
      <w:r w:rsidRPr="00AB0640">
        <w:rPr>
          <w:rStyle w:val="CommentReference"/>
          <w:b w:val="0"/>
          <w:bCs/>
          <w:sz w:val="18"/>
          <w:szCs w:val="18"/>
        </w:rPr>
        <w:t xml:space="preserve"> indicates data previously seen by the PBAC.</w:t>
      </w:r>
    </w:p>
    <w:p w14:paraId="4F1E3F90" w14:textId="77777777" w:rsidR="007977D8" w:rsidRPr="00AB0640" w:rsidRDefault="007977D8" w:rsidP="008028C6">
      <w:pPr>
        <w:pStyle w:val="TableFooter"/>
      </w:pPr>
    </w:p>
    <w:p w14:paraId="26FE4DA4" w14:textId="42CB728C" w:rsidR="007A1C4A" w:rsidRPr="00AB0640" w:rsidRDefault="007A1C4A" w:rsidP="008028C6">
      <w:pPr>
        <w:pStyle w:val="Caption"/>
      </w:pPr>
      <w:bookmarkStart w:id="26" w:name="_Ref205375198"/>
      <w:r w:rsidRPr="00AB0640">
        <w:t xml:space="preserve">Figure </w:t>
      </w:r>
      <w:r w:rsidR="00E056AF">
        <w:fldChar w:fldCharType="begin" w:fldLock="1"/>
      </w:r>
      <w:r w:rsidR="00E056AF">
        <w:instrText xml:space="preserve"> SEQ Figure \* ARABIC </w:instrText>
      </w:r>
      <w:r w:rsidR="00E056AF">
        <w:fldChar w:fldCharType="separate"/>
      </w:r>
      <w:r w:rsidR="00E056AF">
        <w:rPr>
          <w:noProof/>
        </w:rPr>
        <w:t>1</w:t>
      </w:r>
      <w:r w:rsidR="00E056AF">
        <w:rPr>
          <w:noProof/>
        </w:rPr>
        <w:fldChar w:fldCharType="end"/>
      </w:r>
      <w:bookmarkEnd w:id="26"/>
      <w:r w:rsidRPr="00AB0640">
        <w:t>: MOXIe Part 2 - Change from baseline over time in mFARS by visit (FAS)</w:t>
      </w:r>
    </w:p>
    <w:p w14:paraId="04F560A7" w14:textId="77777777" w:rsidR="007A1C4A" w:rsidRPr="00AB0640" w:rsidRDefault="007A1C4A" w:rsidP="008028C6">
      <w:r w:rsidRPr="00AB0640">
        <w:rPr>
          <w:noProof/>
        </w:rPr>
        <w:drawing>
          <wp:inline distT="0" distB="0" distL="0" distR="0" wp14:anchorId="55A9B082" wp14:editId="1613F5B3">
            <wp:extent cx="5632938" cy="2590800"/>
            <wp:effectExtent l="0" t="0" r="6350" b="0"/>
            <wp:docPr id="1665418391" name="Picture 1" descr="Figure 1: MOXIe Part 2 - Change from baseline over time in mFARS by visit (F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418391" name="Picture 1" descr="Figure 1: MOXIe Part 2 - Change from baseline over time in mFARS by visit (FAS)"/>
                    <pic:cNvPicPr/>
                  </pic:nvPicPr>
                  <pic:blipFill>
                    <a:blip r:embed="rId11"/>
                    <a:stretch>
                      <a:fillRect/>
                    </a:stretch>
                  </pic:blipFill>
                  <pic:spPr>
                    <a:xfrm>
                      <a:off x="0" y="0"/>
                      <a:ext cx="5644029" cy="2595901"/>
                    </a:xfrm>
                    <a:prstGeom prst="rect">
                      <a:avLst/>
                    </a:prstGeom>
                  </pic:spPr>
                </pic:pic>
              </a:graphicData>
            </a:graphic>
          </wp:inline>
        </w:drawing>
      </w:r>
    </w:p>
    <w:p w14:paraId="5489A981" w14:textId="0F239262" w:rsidR="007A1C4A" w:rsidRPr="00AB0640" w:rsidRDefault="007A1C4A" w:rsidP="008028C6">
      <w:pPr>
        <w:pStyle w:val="TableFooter"/>
      </w:pPr>
      <w:r w:rsidRPr="00AB0640">
        <w:t xml:space="preserve">Source: Figure 2.4, p99 of the </w:t>
      </w:r>
      <w:r w:rsidR="00982235" w:rsidRPr="00AB0640">
        <w:t>re</w:t>
      </w:r>
      <w:r w:rsidRPr="00AB0640">
        <w:t>submission</w:t>
      </w:r>
    </w:p>
    <w:p w14:paraId="0276EA11" w14:textId="59F2A874" w:rsidR="007A1C4A" w:rsidRPr="00AB0640" w:rsidRDefault="00393E7B" w:rsidP="008028C6">
      <w:pPr>
        <w:pStyle w:val="TableFooter"/>
      </w:pPr>
      <w:r w:rsidRPr="00AB0640">
        <w:t xml:space="preserve">FAS = full analysis set; </w:t>
      </w:r>
      <w:r w:rsidR="007A1C4A" w:rsidRPr="00AB0640">
        <w:t>mFARS</w:t>
      </w:r>
      <w:r w:rsidR="00F850C4" w:rsidRPr="00AB0640">
        <w:t xml:space="preserve"> </w:t>
      </w:r>
      <w:r w:rsidR="007A1C4A" w:rsidRPr="00AB0640">
        <w:t>=</w:t>
      </w:r>
      <w:r w:rsidR="00F850C4" w:rsidRPr="00AB0640">
        <w:t xml:space="preserve"> </w:t>
      </w:r>
      <w:r w:rsidR="007A1C4A" w:rsidRPr="00AB0640">
        <w:t>modified Friedreich’s ataxia rating scale; Omav</w:t>
      </w:r>
      <w:r w:rsidR="00F850C4" w:rsidRPr="00AB0640">
        <w:t xml:space="preserve"> </w:t>
      </w:r>
      <w:r w:rsidR="007A1C4A" w:rsidRPr="00AB0640">
        <w:t>=</w:t>
      </w:r>
      <w:r w:rsidR="00F850C4" w:rsidRPr="00AB0640">
        <w:t xml:space="preserve"> </w:t>
      </w:r>
      <w:r w:rsidR="007A1C4A" w:rsidRPr="00AB0640">
        <w:t>omaveloxolone</w:t>
      </w:r>
    </w:p>
    <w:p w14:paraId="4207B438" w14:textId="4D8AA0F2" w:rsidR="007977D8" w:rsidRPr="00AB0640" w:rsidRDefault="007977D8" w:rsidP="008028C6">
      <w:r w:rsidRPr="00AB0640">
        <w:rPr>
          <w:rStyle w:val="CommentReference"/>
          <w:b w:val="0"/>
          <w:bCs/>
          <w:sz w:val="18"/>
          <w:szCs w:val="18"/>
        </w:rPr>
        <w:t>This figure has been previously seen by the PBAC.</w:t>
      </w:r>
    </w:p>
    <w:p w14:paraId="401D6064" w14:textId="77777777" w:rsidR="007977D8" w:rsidRPr="00AB0640" w:rsidRDefault="007977D8" w:rsidP="008028C6">
      <w:pPr>
        <w:pStyle w:val="TableFooter"/>
      </w:pPr>
    </w:p>
    <w:p w14:paraId="6B06BD51" w14:textId="003435F4" w:rsidR="007A1C4A" w:rsidRPr="00AB0640" w:rsidRDefault="007A1C4A" w:rsidP="008028C6">
      <w:pPr>
        <w:pStyle w:val="3-BodyText"/>
      </w:pPr>
      <w:r w:rsidRPr="00AB0640">
        <w:t xml:space="preserve">The study met its primary efficacy objective. For the FAS with no pes cavus (N=82), there was a statistically significant difference of -2.40 points in mFARS at Week 48 (on a scale of 99) favouring the omaveloxolone arm compared to the placebo arm (p=0.0138). Although the difference in mFARS at Week 48 </w:t>
      </w:r>
      <w:r w:rsidR="009845C3" w:rsidRPr="00AB0640">
        <w:t xml:space="preserve">(-2.40 points) </w:t>
      </w:r>
      <w:r w:rsidRPr="00AB0640">
        <w:t xml:space="preserve">between the omaveloxolone and placebo arms was statistically significant, the ESC </w:t>
      </w:r>
      <w:r w:rsidR="009845C3" w:rsidRPr="00AB0640">
        <w:t xml:space="preserve">previously </w:t>
      </w:r>
      <w:r w:rsidR="00B852DF">
        <w:t>considered this was a</w:t>
      </w:r>
      <w:r w:rsidRPr="00AB0640">
        <w:t xml:space="preserve"> small change on a 99-point scale</w:t>
      </w:r>
      <w:r w:rsidR="000360E2" w:rsidRPr="00AB0640">
        <w:t>,</w:t>
      </w:r>
      <w:r w:rsidRPr="00AB0640">
        <w:t xml:space="preserve"> and </w:t>
      </w:r>
      <w:r w:rsidR="00B852DF">
        <w:t xml:space="preserve">considered it was uncertain </w:t>
      </w:r>
      <w:r w:rsidRPr="00AB0640">
        <w:t>whether it would result in benefits in terms of disease outcomes for the patient</w:t>
      </w:r>
      <w:r w:rsidR="000360E2" w:rsidRPr="00AB0640">
        <w:t xml:space="preserve"> (</w:t>
      </w:r>
      <w:r w:rsidR="00A909D1" w:rsidRPr="00AB0640">
        <w:t xml:space="preserve">paragraph </w:t>
      </w:r>
      <w:r w:rsidR="000360E2" w:rsidRPr="00AB0640">
        <w:t>6.21, omaveloxolone PSD, March 2025 PBAC meeting)</w:t>
      </w:r>
      <w:r w:rsidRPr="00AB0640">
        <w:t xml:space="preserve">. </w:t>
      </w:r>
    </w:p>
    <w:p w14:paraId="543AA356" w14:textId="31451171" w:rsidR="003905ED" w:rsidRPr="00AB0640" w:rsidRDefault="003905ED" w:rsidP="008028C6">
      <w:pPr>
        <w:pStyle w:val="3-BodyText"/>
      </w:pPr>
      <w:r w:rsidRPr="00AB0640">
        <w:lastRenderedPageBreak/>
        <w:t>In the total randomised population</w:t>
      </w:r>
      <w:r w:rsidR="00917B4D" w:rsidRPr="00AB0640">
        <w:t xml:space="preserve"> </w:t>
      </w:r>
      <w:r w:rsidR="001D2F9B" w:rsidRPr="00AB0640">
        <w:t xml:space="preserve">(N=103) </w:t>
      </w:r>
      <w:r w:rsidR="00917B4D" w:rsidRPr="00AB0640">
        <w:t>that included patients with pes cavus</w:t>
      </w:r>
      <w:r w:rsidRPr="00AB0640">
        <w:t>, treatment with omaveloxolone significantly improved mFARS by -1.94 points relative to that for placebo (p=0.0331).</w:t>
      </w:r>
    </w:p>
    <w:p w14:paraId="305DD011" w14:textId="188F5106" w:rsidR="007A1C4A" w:rsidRPr="00AB0640" w:rsidRDefault="002E3716" w:rsidP="008028C6">
      <w:pPr>
        <w:pStyle w:val="3-BodyText"/>
      </w:pPr>
      <w:r w:rsidRPr="00AB0640">
        <w:t>W</w:t>
      </w:r>
      <w:r w:rsidR="003905ED" w:rsidRPr="00AB0640">
        <w:t>hilst 52.5% of patients in the omaveloxolone arm compared to 42.8% in the placebo arm showed improvement from baseline in mFARS, the higher percentage of missing data in the omaveloxolone arm compared to the placebo arm (15.0% v</w:t>
      </w:r>
      <w:r w:rsidR="00530299">
        <w:t>ersu</w:t>
      </w:r>
      <w:r w:rsidR="003905ED" w:rsidRPr="00AB0640">
        <w:t>s 2.3%) decrease</w:t>
      </w:r>
      <w:r w:rsidR="00917B4D" w:rsidRPr="00AB0640">
        <w:t>d</w:t>
      </w:r>
      <w:r w:rsidR="003905ED" w:rsidRPr="00AB0640">
        <w:t xml:space="preserve"> confidence in the results. The 15% of patients with missing data in the omaveloxolone arm could fall into either improvement or worsening categories. Overall, based on a worst-case scenario </w:t>
      </w:r>
      <w:r w:rsidR="00B852DF">
        <w:t xml:space="preserve">presented in the resubmission </w:t>
      </w:r>
      <w:r w:rsidR="003905ED" w:rsidRPr="00AB0640">
        <w:t xml:space="preserve">for omaveloxolone where all 15% of patients </w:t>
      </w:r>
      <w:r w:rsidR="00AE0CD8" w:rsidRPr="00AB0640">
        <w:t>were</w:t>
      </w:r>
      <w:r w:rsidR="003905ED" w:rsidRPr="00AB0640">
        <w:t xml:space="preserve"> assumed to have worsened, and recognising the low attrition rate in the placebo arm, the difference in mFARS would remain favourable to omaveloxolone, although the treatment effect would be modest</w:t>
      </w:r>
      <w:r w:rsidRPr="00AB0640">
        <w:t>.</w:t>
      </w:r>
    </w:p>
    <w:p w14:paraId="627EE9FD" w14:textId="6B01EAFE" w:rsidR="0077789A" w:rsidRPr="00AB0640" w:rsidRDefault="0077789A" w:rsidP="008028C6">
      <w:pPr>
        <w:pStyle w:val="3-BodyText"/>
      </w:pPr>
      <w:r w:rsidRPr="00AB0640">
        <w:t xml:space="preserve">Tipping point sensitivity analyses of missing data (also referred to ‘breakdown point’ in robust statistical theory), where various ‘shifts’ of the imputed data in the omaveloxolone group were presented in the MOXIe Part 2 </w:t>
      </w:r>
      <w:r w:rsidR="002E3716" w:rsidRPr="00AB0640">
        <w:t>clinical study report (</w:t>
      </w:r>
      <w:r w:rsidRPr="00AB0640">
        <w:t>CSR</w:t>
      </w:r>
      <w:r w:rsidR="002E3716" w:rsidRPr="00AB0640">
        <w:t>)</w:t>
      </w:r>
      <w:r w:rsidRPr="00AB0640">
        <w:t xml:space="preserve">. The ESC previously noted that generally, tipping point analysis </w:t>
      </w:r>
      <w:r w:rsidR="00AF5A51" w:rsidRPr="00AB0640">
        <w:t xml:space="preserve">was </w:t>
      </w:r>
      <w:r w:rsidRPr="00AB0640">
        <w:t>a reasonable, valid, somewhat subjective and well documented approach</w:t>
      </w:r>
      <w:r w:rsidR="002949D9" w:rsidRPr="00AB0640">
        <w:t xml:space="preserve"> to assess the impact of imputation on analyses</w:t>
      </w:r>
      <w:r w:rsidRPr="00AB0640">
        <w:t xml:space="preserve"> (</w:t>
      </w:r>
      <w:r w:rsidR="00A909D1" w:rsidRPr="00AB0640">
        <w:t xml:space="preserve">paragraph </w:t>
      </w:r>
      <w:r w:rsidRPr="00AB0640">
        <w:t>6.25, omaveloxolone PSD, March 2025 PBAC meeting).</w:t>
      </w:r>
      <w:r w:rsidR="002E3716" w:rsidRPr="00AB0640">
        <w:t xml:space="preserve"> </w:t>
      </w:r>
      <w:r w:rsidRPr="00AB0640">
        <w:t xml:space="preserve">The tipping point for the trial, where the treatment effect loses statistical significance, was a shift of +2 points (worsening) in the imputed data for missing mFARS values in the omaveloxolone arm at Week 48. Recognising that this shift </w:t>
      </w:r>
      <w:r w:rsidR="002E4D31" w:rsidRPr="00AB0640">
        <w:t>wa</w:t>
      </w:r>
      <w:r w:rsidRPr="00AB0640">
        <w:t>s more than twice the magnitude of worsening in the placebo arm (+0.85 points), and that these analyses suggest</w:t>
      </w:r>
      <w:r w:rsidR="002E4D31" w:rsidRPr="00AB0640">
        <w:t>ed</w:t>
      </w:r>
      <w:r w:rsidRPr="00AB0640">
        <w:t xml:space="preserve"> the primary analysis </w:t>
      </w:r>
      <w:r w:rsidR="002E4D31" w:rsidRPr="00AB0640">
        <w:t>might</w:t>
      </w:r>
      <w:r w:rsidRPr="00AB0640">
        <w:t xml:space="preserve"> be robust, </w:t>
      </w:r>
      <w:r w:rsidR="002E3716" w:rsidRPr="00AB0640">
        <w:t>the ESC previous</w:t>
      </w:r>
      <w:r w:rsidR="00C543EB" w:rsidRPr="00AB0640">
        <w:t>ly</w:t>
      </w:r>
      <w:r w:rsidR="002E3716" w:rsidRPr="00AB0640">
        <w:t xml:space="preserve"> agreed with the evaluation that </w:t>
      </w:r>
      <w:r w:rsidRPr="00AB0640">
        <w:t>concerns remain</w:t>
      </w:r>
      <w:r w:rsidR="002E4D31" w:rsidRPr="00AB0640">
        <w:t>ed</w:t>
      </w:r>
      <w:r w:rsidRPr="00AB0640">
        <w:t xml:space="preserve"> as to whether the decreased differences between the treatment arms resulting from worsening shifts for omaveloxolone </w:t>
      </w:r>
      <w:r w:rsidR="002A2871" w:rsidRPr="00AB0640">
        <w:t>were</w:t>
      </w:r>
      <w:r w:rsidRPr="00AB0640">
        <w:t xml:space="preserve"> clinically meaningful</w:t>
      </w:r>
      <w:r w:rsidR="002E3716" w:rsidRPr="00AB0640">
        <w:t xml:space="preserve"> (paragraph 6.25, omaveloxolone PSD, March 2025 PBAC meeting).</w:t>
      </w:r>
    </w:p>
    <w:p w14:paraId="6A450724" w14:textId="48F69727" w:rsidR="00641AE3" w:rsidRPr="00AB0640" w:rsidRDefault="0077789A" w:rsidP="008028C6">
      <w:pPr>
        <w:pStyle w:val="3-BodyText"/>
      </w:pPr>
      <w:r w:rsidRPr="00AB0640">
        <w:t>Treatment with omaveloxolone numerically improved each of the individual components of the mFARS assessment (bulbar, upper</w:t>
      </w:r>
      <w:r w:rsidR="00641AE3" w:rsidRPr="00AB0640">
        <w:t xml:space="preserve">/lower </w:t>
      </w:r>
      <w:r w:rsidRPr="00AB0640">
        <w:t>limb coordination, and upright stability) relative to placebo although the difference for lower limb coordination was not statistically significant. The largest treatment effects were observed for upper limb coordination and upright stability.</w:t>
      </w:r>
      <w:r w:rsidR="00641AE3" w:rsidRPr="00AB0640">
        <w:t xml:space="preserve"> T</w:t>
      </w:r>
      <w:r w:rsidRPr="00AB0640">
        <w:t xml:space="preserve">he </w:t>
      </w:r>
      <w:r w:rsidR="006B6808" w:rsidRPr="00AB0640">
        <w:t>re</w:t>
      </w:r>
      <w:r w:rsidRPr="00AB0640">
        <w:t xml:space="preserve">submission noted that the improvements in upright stability with </w:t>
      </w:r>
      <w:r w:rsidR="00641AE3" w:rsidRPr="00AB0640">
        <w:t>o</w:t>
      </w:r>
      <w:r w:rsidRPr="00AB0640">
        <w:t>maveloxolone</w:t>
      </w:r>
      <w:r w:rsidR="006B6808" w:rsidRPr="00AB0640">
        <w:t>,</w:t>
      </w:r>
      <w:r w:rsidRPr="00AB0640">
        <w:t xml:space="preserve"> relative to those for placebo</w:t>
      </w:r>
      <w:r w:rsidR="006B6808" w:rsidRPr="00AB0640">
        <w:t>,</w:t>
      </w:r>
      <w:r w:rsidRPr="00AB0640">
        <w:t xml:space="preserve"> demonstrate</w:t>
      </w:r>
      <w:r w:rsidR="00EC6F94" w:rsidRPr="00AB0640">
        <w:t>d</w:t>
      </w:r>
      <w:r w:rsidRPr="00AB0640">
        <w:t xml:space="preserve"> an effect on the mFARS component that defines important clinical milestones in FA, including loss of ambulation</w:t>
      </w:r>
      <w:r w:rsidR="006B6808" w:rsidRPr="00AB0640">
        <w:t>.</w:t>
      </w:r>
    </w:p>
    <w:p w14:paraId="2231EA6C" w14:textId="02E8CA35" w:rsidR="00641AE3" w:rsidRPr="00AB0640" w:rsidRDefault="00641AE3" w:rsidP="008028C6">
      <w:pPr>
        <w:pStyle w:val="3-BodyText"/>
      </w:pPr>
      <w:r w:rsidRPr="00AB0640">
        <w:t xml:space="preserve">In the subset of patients with severe pes cavus (n=20), the improvement with omaveloxolone in mFARS relative to placebo was not statistically significant (-1.19 points; p=0.5379). Whilst there </w:t>
      </w:r>
      <w:r w:rsidR="00532F98" w:rsidRPr="00AB0640">
        <w:t>wa</w:t>
      </w:r>
      <w:r w:rsidRPr="00AB0640">
        <w:t xml:space="preserve">s high uncertainty arising from the small sample size of the subset, a potential impact of foot structure on performance </w:t>
      </w:r>
      <w:r w:rsidR="00532F98" w:rsidRPr="00AB0640">
        <w:t xml:space="preserve">could </w:t>
      </w:r>
      <w:r w:rsidRPr="00AB0640">
        <w:t>not be excluded.</w:t>
      </w:r>
    </w:p>
    <w:p w14:paraId="3853A064" w14:textId="28265E6A" w:rsidR="00922247" w:rsidRPr="00AB0640" w:rsidRDefault="00922247" w:rsidP="008028C6">
      <w:pPr>
        <w:pStyle w:val="3-BodyText"/>
      </w:pPr>
      <w:r w:rsidRPr="00AB0640">
        <w:lastRenderedPageBreak/>
        <w:t xml:space="preserve">Analysis of secondary endpoints based on the FAS indicated that the mean </w:t>
      </w:r>
      <w:r w:rsidR="00A2690E" w:rsidRPr="00AB0640">
        <w:t xml:space="preserve">Patient Global Impression of Change (PGIC) and Clinician Global Impression of Change (CGIC) </w:t>
      </w:r>
      <w:r w:rsidRPr="00AB0640">
        <w:t>scores at Week 48 numerically favoured the omaveloxolone arm but were not statistically different from placebo. The least squares mean difference between treatment arms for PGIC was -0.43 (p=0.1300) and for CGIC was -0.13 (p=0.5259). Higher scores in PGIC and CGIC indicate worsening. In the total randomised population, a nominally positive p-value was observed with PGIC (p=0.0282) but not for CGIC (p=0.1328).</w:t>
      </w:r>
    </w:p>
    <w:p w14:paraId="239FA20A" w14:textId="3B2E54CE" w:rsidR="00922247" w:rsidRPr="00AB0640" w:rsidRDefault="0076050C" w:rsidP="008028C6">
      <w:pPr>
        <w:pStyle w:val="3-BodyText"/>
      </w:pPr>
      <w:r w:rsidRPr="00AB0640">
        <w:t>The least squares mean difference between treatment arms f</w:t>
      </w:r>
      <w:r w:rsidR="00922247" w:rsidRPr="00AB0640">
        <w:t xml:space="preserve">or change in </w:t>
      </w:r>
      <w:r w:rsidR="00A2690E" w:rsidRPr="00AB0640">
        <w:t>Activities of Daily Living (</w:t>
      </w:r>
      <w:r w:rsidR="00922247" w:rsidRPr="00AB0640">
        <w:t>ADL</w:t>
      </w:r>
      <w:r w:rsidR="00A2690E" w:rsidRPr="00AB0640">
        <w:t>)</w:t>
      </w:r>
      <w:r w:rsidR="00922247" w:rsidRPr="00AB0640">
        <w:t xml:space="preserve"> scores from baseline at Week 48 was -1.30 points</w:t>
      </w:r>
      <w:r w:rsidRPr="00AB0640">
        <w:t>,</w:t>
      </w:r>
      <w:r w:rsidR="00922247" w:rsidRPr="00AB0640">
        <w:t xml:space="preserve"> favouring omaveloxolone relative to placebo</w:t>
      </w:r>
      <w:r w:rsidRPr="00AB0640">
        <w:t>,</w:t>
      </w:r>
      <w:r w:rsidR="00922247" w:rsidRPr="00AB0640">
        <w:t xml:space="preserve"> which reached nominal statistical significance (p=0.04). These results should be interpreted with caution given the small data sets and lack of adjustment for multiplicity in the statistical analyses.</w:t>
      </w:r>
    </w:p>
    <w:p w14:paraId="739887DF" w14:textId="06E91FD9" w:rsidR="00C43E59" w:rsidRPr="00AB0640" w:rsidRDefault="0076050C" w:rsidP="008028C6">
      <w:pPr>
        <w:pStyle w:val="3-BodyText"/>
      </w:pPr>
      <w:r w:rsidRPr="00AB0640">
        <w:t xml:space="preserve">An </w:t>
      </w:r>
      <w:r w:rsidR="00AD287D" w:rsidRPr="00AB0640">
        <w:t xml:space="preserve">unanchored propensity matched indirect comparison </w:t>
      </w:r>
      <w:r w:rsidRPr="00AB0640">
        <w:t>to help inform the relative longer-term magnitude of benefit with omaveloxolone treatment</w:t>
      </w:r>
      <w:r w:rsidR="00AD287D" w:rsidRPr="00AB0640">
        <w:t xml:space="preserve"> </w:t>
      </w:r>
      <w:r w:rsidRPr="00AB0640">
        <w:t xml:space="preserve">versus BSC was presented in the previous </w:t>
      </w:r>
      <w:r w:rsidR="005C7A42" w:rsidRPr="00AB0640">
        <w:t>submission and</w:t>
      </w:r>
      <w:r w:rsidRPr="00AB0640">
        <w:t xml:space="preserve"> reproduced in the resubmission. The analysis </w:t>
      </w:r>
      <w:r w:rsidR="00AD287D" w:rsidRPr="00AB0640">
        <w:t xml:space="preserve">compared </w:t>
      </w:r>
      <w:r w:rsidR="00C43E59" w:rsidRPr="00AB0640">
        <w:t xml:space="preserve">omaveloxolone treated patients in the MOXIe Extension study and the FACOMS natural history </w:t>
      </w:r>
      <w:r w:rsidRPr="00AB0640">
        <w:t>cohort</w:t>
      </w:r>
      <w:r w:rsidR="00C43E59" w:rsidRPr="00AB0640">
        <w:t>.</w:t>
      </w:r>
      <w:r w:rsidRPr="00AB0640">
        <w:t xml:space="preserve"> </w:t>
      </w:r>
    </w:p>
    <w:p w14:paraId="292E113A" w14:textId="15602F55" w:rsidR="004835B9" w:rsidRPr="00AB0640" w:rsidRDefault="00AD287D" w:rsidP="008028C6">
      <w:pPr>
        <w:pStyle w:val="3-BodyText"/>
      </w:pPr>
      <w:r w:rsidRPr="00AB0640">
        <w:t>A</w:t>
      </w:r>
      <w:r w:rsidR="004835B9" w:rsidRPr="00AB0640">
        <w:t>nalysis of change from baseline in mFARS at Year 3 was based on a mixed model repeated measures (MMRM) model</w:t>
      </w:r>
      <w:r w:rsidRPr="00AB0640">
        <w:t>.</w:t>
      </w:r>
      <w:r w:rsidR="004835B9" w:rsidRPr="00AB0640">
        <w:t xml:space="preserve"> For the propensity-matched analysis, the sample size was based on the 136 patients from the MOXIe Extension study who had post-baseline mFARS assessment </w:t>
      </w:r>
      <w:r w:rsidRPr="00AB0640">
        <w:t>data and</w:t>
      </w:r>
      <w:r w:rsidR="004835B9" w:rsidRPr="00AB0640">
        <w:t xml:space="preserve"> were thus available for matching to 136 patients from the FACOMS natural history </w:t>
      </w:r>
      <w:r w:rsidRPr="00AB0640">
        <w:t>cohort</w:t>
      </w:r>
      <w:r w:rsidR="004835B9" w:rsidRPr="00AB0640">
        <w:t>.</w:t>
      </w:r>
    </w:p>
    <w:p w14:paraId="08D01EF5" w14:textId="4B75EDFE" w:rsidR="004835B9" w:rsidRPr="00AB0640" w:rsidRDefault="004835B9" w:rsidP="008028C6">
      <w:pPr>
        <w:pStyle w:val="3-BodyText"/>
      </w:pPr>
      <w:r w:rsidRPr="00AB0640">
        <w:t>The median treatment duration in MOXIe Extension (exclusive of treatment duration in Part 1 or Part 2) was 2.76 years</w:t>
      </w:r>
      <w:r w:rsidR="00AD287D" w:rsidRPr="00AB0640">
        <w:t>.</w:t>
      </w:r>
      <w:r w:rsidRPr="00AB0640">
        <w:t xml:space="preserve"> The 136 patients matched from FACOMS had a median follow-up duration of 2.92 years.</w:t>
      </w:r>
    </w:p>
    <w:p w14:paraId="605B744B" w14:textId="1276F47F" w:rsidR="00202AE4" w:rsidRDefault="004835B9" w:rsidP="008028C6">
      <w:pPr>
        <w:pStyle w:val="3-BodyText"/>
      </w:pPr>
      <w:r w:rsidRPr="00AB0640">
        <w:t xml:space="preserve">Demographics and baseline FACOMS covariates </w:t>
      </w:r>
      <w:r w:rsidR="00221E60" w:rsidRPr="00AB0640">
        <w:t xml:space="preserve">which were </w:t>
      </w:r>
      <w:r w:rsidRPr="00AB0640">
        <w:t>matched to MOXIe Extension for propensity score calculation are summarised in</w:t>
      </w:r>
      <w:r w:rsidR="00AB41C1" w:rsidRPr="00AB0640">
        <w:t xml:space="preserve"> </w:t>
      </w:r>
      <w:r w:rsidR="00AB41C1" w:rsidRPr="00AB0640">
        <w:fldChar w:fldCharType="begin" w:fldLock="1"/>
      </w:r>
      <w:r w:rsidR="00AB41C1" w:rsidRPr="00AB0640">
        <w:instrText xml:space="preserve"> REF _Ref205466464 \h </w:instrText>
      </w:r>
      <w:r w:rsidR="00BF0410" w:rsidRPr="00AB0640">
        <w:instrText xml:space="preserve"> \* MERGEFORMAT </w:instrText>
      </w:r>
      <w:r w:rsidR="00AB41C1" w:rsidRPr="00AB0640">
        <w:fldChar w:fldCharType="separate"/>
      </w:r>
      <w:r w:rsidR="00E056AF" w:rsidRPr="00AB0640">
        <w:t xml:space="preserve">Table </w:t>
      </w:r>
      <w:r w:rsidR="00E056AF">
        <w:t>7</w:t>
      </w:r>
      <w:r w:rsidR="00AB41C1" w:rsidRPr="00AB0640">
        <w:fldChar w:fldCharType="end"/>
      </w:r>
      <w:r w:rsidR="00AB41C1" w:rsidRPr="00AB0640">
        <w:t>.</w:t>
      </w:r>
    </w:p>
    <w:p w14:paraId="788E68D3" w14:textId="77777777" w:rsidR="00202AE4" w:rsidRDefault="00202AE4" w:rsidP="008028C6">
      <w:pPr>
        <w:jc w:val="left"/>
        <w:rPr>
          <w:rFonts w:asciiTheme="minorHAnsi" w:eastAsiaTheme="minorHAnsi" w:hAnsiTheme="minorHAnsi" w:cstheme="minorBidi"/>
          <w:szCs w:val="22"/>
        </w:rPr>
      </w:pPr>
      <w:r>
        <w:br w:type="page"/>
      </w:r>
    </w:p>
    <w:p w14:paraId="4652FC9B" w14:textId="0B414100" w:rsidR="00AB41C1" w:rsidRPr="00AB0640" w:rsidRDefault="00AB41C1" w:rsidP="008028C6">
      <w:pPr>
        <w:pStyle w:val="Caption"/>
      </w:pPr>
      <w:bookmarkStart w:id="27" w:name="_Ref205466464"/>
      <w:r w:rsidRPr="00AB0640">
        <w:lastRenderedPageBreak/>
        <w:t xml:space="preserve">Table </w:t>
      </w:r>
      <w:r w:rsidR="00E056AF">
        <w:fldChar w:fldCharType="begin" w:fldLock="1"/>
      </w:r>
      <w:r w:rsidR="00E056AF">
        <w:instrText xml:space="preserve"> SEQ Table \* ARABIC </w:instrText>
      </w:r>
      <w:r w:rsidR="00E056AF">
        <w:fldChar w:fldCharType="separate"/>
      </w:r>
      <w:r w:rsidR="00E056AF">
        <w:rPr>
          <w:noProof/>
        </w:rPr>
        <w:t>7</w:t>
      </w:r>
      <w:r w:rsidR="00E056AF">
        <w:rPr>
          <w:noProof/>
        </w:rPr>
        <w:fldChar w:fldCharType="end"/>
      </w:r>
      <w:bookmarkEnd w:id="27"/>
      <w:r w:rsidRPr="00AB0640">
        <w:t>: Demographics and baseline FACOMS covariates matched to MOXIe Extension for propensity score calculation</w:t>
      </w:r>
    </w:p>
    <w:tbl>
      <w:tblPr>
        <w:tblStyle w:val="TableGrid"/>
        <w:tblW w:w="5000" w:type="pct"/>
        <w:shd w:val="clear" w:color="auto" w:fill="B8CCE4" w:themeFill="accent1" w:themeFillTint="66"/>
        <w:tblLook w:val="04A0" w:firstRow="1" w:lastRow="0" w:firstColumn="1" w:lastColumn="0" w:noHBand="0" w:noVBand="1"/>
        <w:tblCaption w:val="Table 7: Demographics and baseline FACOMS covariates matched to MOXIe Extension for propensity score calculation"/>
      </w:tblPr>
      <w:tblGrid>
        <w:gridCol w:w="3955"/>
        <w:gridCol w:w="2671"/>
        <w:gridCol w:w="2391"/>
      </w:tblGrid>
      <w:tr w:rsidR="00AB41C1" w:rsidRPr="00AB0640" w14:paraId="66771F37" w14:textId="77777777" w:rsidTr="0065379D">
        <w:trPr>
          <w:cantSplit/>
        </w:trPr>
        <w:tc>
          <w:tcPr>
            <w:tcW w:w="219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8B1956E" w14:textId="77777777" w:rsidR="00AB41C1" w:rsidRPr="00AB0640" w:rsidRDefault="00AB41C1" w:rsidP="008028C6">
            <w:pPr>
              <w:pStyle w:val="PBACTableText0"/>
              <w:keepNext/>
              <w:keepLines/>
              <w:spacing w:before="0" w:after="0"/>
              <w:rPr>
                <w:b/>
              </w:rPr>
            </w:pPr>
          </w:p>
        </w:tc>
        <w:tc>
          <w:tcPr>
            <w:tcW w:w="1481"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FBE95F8" w14:textId="77777777" w:rsidR="00AB41C1" w:rsidRPr="00AB0640" w:rsidRDefault="00AB41C1" w:rsidP="008028C6">
            <w:pPr>
              <w:pStyle w:val="PBACTableText0"/>
              <w:keepNext/>
              <w:keepLines/>
              <w:spacing w:before="0" w:after="0"/>
              <w:rPr>
                <w:b/>
              </w:rPr>
            </w:pPr>
            <w:r w:rsidRPr="00AB0640">
              <w:rPr>
                <w:b/>
              </w:rPr>
              <w:t>Matched FACOMS (n=136)</w:t>
            </w:r>
          </w:p>
        </w:tc>
        <w:tc>
          <w:tcPr>
            <w:tcW w:w="132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D8C326B" w14:textId="77777777" w:rsidR="00AB41C1" w:rsidRPr="00AB0640" w:rsidRDefault="00AB41C1" w:rsidP="008028C6">
            <w:pPr>
              <w:pStyle w:val="PBACTableText0"/>
              <w:keepNext/>
              <w:keepLines/>
              <w:spacing w:before="0" w:after="0"/>
              <w:rPr>
                <w:b/>
                <w:bCs/>
              </w:rPr>
            </w:pPr>
            <w:r w:rsidRPr="00AB0640">
              <w:rPr>
                <w:b/>
                <w:bCs/>
              </w:rPr>
              <w:t>MOXIe Extension (N=136)</w:t>
            </w:r>
          </w:p>
        </w:tc>
      </w:tr>
      <w:tr w:rsidR="00AB41C1" w:rsidRPr="00AB0640" w14:paraId="1D6A10C5" w14:textId="77777777" w:rsidTr="0065379D">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2F573D9" w14:textId="77777777" w:rsidR="00AB41C1" w:rsidRPr="00AB0640" w:rsidRDefault="00AB41C1" w:rsidP="008028C6">
            <w:pPr>
              <w:pStyle w:val="PBACTableText0"/>
              <w:keepNext/>
              <w:keepLines/>
              <w:spacing w:before="0" w:after="0"/>
              <w:rPr>
                <w:b/>
                <w:bCs/>
              </w:rPr>
            </w:pPr>
            <w:r w:rsidRPr="00AB0640">
              <w:rPr>
                <w:b/>
                <w:bCs/>
              </w:rPr>
              <w:t>Covariates</w:t>
            </w:r>
          </w:p>
        </w:tc>
      </w:tr>
      <w:tr w:rsidR="00AB41C1" w:rsidRPr="00AB0640" w14:paraId="09CB889B" w14:textId="77777777" w:rsidTr="0065379D">
        <w:trPr>
          <w:cantSplit/>
        </w:trPr>
        <w:tc>
          <w:tcPr>
            <w:tcW w:w="219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9120D3F" w14:textId="77777777" w:rsidR="00AB41C1" w:rsidRPr="00AB0640" w:rsidRDefault="00AB41C1" w:rsidP="008028C6">
            <w:pPr>
              <w:pStyle w:val="PBACTableText0"/>
              <w:keepNext/>
              <w:keepLines/>
              <w:spacing w:before="0" w:after="0"/>
            </w:pPr>
            <w:r w:rsidRPr="00AB0640">
              <w:t>Age in years, mean (SD)</w:t>
            </w:r>
          </w:p>
        </w:tc>
        <w:tc>
          <w:tcPr>
            <w:tcW w:w="1481"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492CC6F" w14:textId="77777777" w:rsidR="00AB41C1" w:rsidRPr="00AB0640" w:rsidRDefault="00AB41C1" w:rsidP="008028C6">
            <w:pPr>
              <w:pStyle w:val="PBACTableText0"/>
              <w:keepNext/>
              <w:keepLines/>
              <w:spacing w:before="0" w:after="0"/>
            </w:pPr>
            <w:r w:rsidRPr="00AB0640">
              <w:t>26.2 (13.7)</w:t>
            </w:r>
          </w:p>
        </w:tc>
        <w:tc>
          <w:tcPr>
            <w:tcW w:w="132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EB967AF" w14:textId="77777777" w:rsidR="00AB41C1" w:rsidRPr="00AB0640" w:rsidRDefault="00AB41C1" w:rsidP="008028C6">
            <w:pPr>
              <w:pStyle w:val="PBACTableText0"/>
              <w:keepNext/>
              <w:keepLines/>
              <w:spacing w:before="0" w:after="0"/>
            </w:pPr>
            <w:r w:rsidRPr="00AB0640">
              <w:t>26.6 (7.3)</w:t>
            </w:r>
          </w:p>
        </w:tc>
      </w:tr>
      <w:tr w:rsidR="00AB41C1" w:rsidRPr="00AB0640" w14:paraId="7705936B" w14:textId="77777777" w:rsidTr="0065379D">
        <w:trPr>
          <w:cantSplit/>
        </w:trPr>
        <w:tc>
          <w:tcPr>
            <w:tcW w:w="219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0446897" w14:textId="77777777" w:rsidR="00AB41C1" w:rsidRPr="00AB0640" w:rsidRDefault="00AB41C1" w:rsidP="008028C6">
            <w:pPr>
              <w:pStyle w:val="PBACTableText0"/>
              <w:keepNext/>
              <w:keepLines/>
              <w:spacing w:before="0" w:after="0"/>
            </w:pPr>
            <w:r w:rsidRPr="00AB0640">
              <w:t>Age at FA onset in years, mean (SD)</w:t>
            </w:r>
          </w:p>
        </w:tc>
        <w:tc>
          <w:tcPr>
            <w:tcW w:w="1481"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B6D513B" w14:textId="77777777" w:rsidR="00AB41C1" w:rsidRPr="00AB0640" w:rsidRDefault="00AB41C1" w:rsidP="008028C6">
            <w:pPr>
              <w:pStyle w:val="PBACTableText0"/>
              <w:keepNext/>
              <w:keepLines/>
              <w:spacing w:before="0" w:after="0"/>
            </w:pPr>
            <w:r w:rsidRPr="00AB0640">
              <w:t>15.2 (10.2)</w:t>
            </w:r>
          </w:p>
        </w:tc>
        <w:tc>
          <w:tcPr>
            <w:tcW w:w="132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BD21F3F" w14:textId="77777777" w:rsidR="00AB41C1" w:rsidRPr="00AB0640" w:rsidRDefault="00AB41C1" w:rsidP="008028C6">
            <w:pPr>
              <w:pStyle w:val="PBACTableText0"/>
              <w:keepNext/>
              <w:keepLines/>
              <w:spacing w:before="0" w:after="0"/>
            </w:pPr>
            <w:r w:rsidRPr="00AB0640">
              <w:t>15.5 (5.3)</w:t>
            </w:r>
          </w:p>
        </w:tc>
      </w:tr>
      <w:tr w:rsidR="00AB41C1" w:rsidRPr="00AB0640" w14:paraId="757583D5" w14:textId="77777777" w:rsidTr="0065379D">
        <w:trPr>
          <w:cantSplit/>
        </w:trPr>
        <w:tc>
          <w:tcPr>
            <w:tcW w:w="219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BF5607D" w14:textId="77777777" w:rsidR="00AB41C1" w:rsidRPr="00AB0640" w:rsidRDefault="00AB41C1" w:rsidP="008028C6">
            <w:pPr>
              <w:pStyle w:val="PBACTableText0"/>
              <w:keepNext/>
              <w:keepLines/>
              <w:spacing w:before="0" w:after="0"/>
            </w:pPr>
            <w:r w:rsidRPr="00AB0640">
              <w:t>Sex, n (%)</w:t>
            </w:r>
          </w:p>
        </w:tc>
        <w:tc>
          <w:tcPr>
            <w:tcW w:w="1481"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F83758C" w14:textId="77777777" w:rsidR="00AB41C1" w:rsidRPr="00AB0640" w:rsidRDefault="00AB41C1" w:rsidP="008028C6">
            <w:pPr>
              <w:pStyle w:val="PBACTableText0"/>
              <w:keepNext/>
              <w:keepLines/>
              <w:spacing w:before="0" w:after="0"/>
            </w:pPr>
            <w:r w:rsidRPr="00AB0640">
              <w:t xml:space="preserve">70 (51.5%) </w:t>
            </w:r>
          </w:p>
        </w:tc>
        <w:tc>
          <w:tcPr>
            <w:tcW w:w="132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1416967" w14:textId="77777777" w:rsidR="00AB41C1" w:rsidRPr="00AB0640" w:rsidRDefault="00AB41C1" w:rsidP="008028C6">
            <w:pPr>
              <w:pStyle w:val="PBACTableText0"/>
              <w:keepNext/>
              <w:keepLines/>
              <w:spacing w:before="0" w:after="0"/>
            </w:pPr>
            <w:r w:rsidRPr="00AB0640">
              <w:t>70 (51.5%)</w:t>
            </w:r>
          </w:p>
        </w:tc>
      </w:tr>
      <w:tr w:rsidR="00AB41C1" w:rsidRPr="00AB0640" w14:paraId="4454E4F2" w14:textId="77777777" w:rsidTr="0065379D">
        <w:trPr>
          <w:cantSplit/>
        </w:trPr>
        <w:tc>
          <w:tcPr>
            <w:tcW w:w="219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84F867A" w14:textId="77777777" w:rsidR="00AB41C1" w:rsidRPr="00AB0640" w:rsidRDefault="00AB41C1" w:rsidP="008028C6">
            <w:pPr>
              <w:pStyle w:val="PBACTableText0"/>
              <w:keepNext/>
              <w:keepLines/>
              <w:spacing w:before="0" w:after="0"/>
            </w:pPr>
            <w:r w:rsidRPr="00AB0640">
              <w:t>mFARS</w:t>
            </w:r>
          </w:p>
        </w:tc>
        <w:tc>
          <w:tcPr>
            <w:tcW w:w="1481"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DE6D926" w14:textId="77777777" w:rsidR="00AB41C1" w:rsidRPr="00AB0640" w:rsidRDefault="00AB41C1" w:rsidP="008028C6">
            <w:pPr>
              <w:pStyle w:val="PBACTableText0"/>
              <w:keepNext/>
              <w:keepLines/>
              <w:spacing w:before="0" w:after="0"/>
            </w:pPr>
            <w:r w:rsidRPr="00AB0640">
              <w:t xml:space="preserve">41.0 (16.1) </w:t>
            </w:r>
          </w:p>
        </w:tc>
        <w:tc>
          <w:tcPr>
            <w:tcW w:w="132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25770B" w14:textId="77777777" w:rsidR="00AB41C1" w:rsidRPr="00AB0640" w:rsidRDefault="00AB41C1" w:rsidP="008028C6">
            <w:pPr>
              <w:pStyle w:val="PBACTableText0"/>
              <w:keepNext/>
              <w:keepLines/>
              <w:spacing w:before="0" w:after="0"/>
            </w:pPr>
            <w:r w:rsidRPr="00AB0640">
              <w:t>42.2 (12.6)</w:t>
            </w:r>
          </w:p>
        </w:tc>
      </w:tr>
      <w:tr w:rsidR="00AB41C1" w:rsidRPr="00AB0640" w14:paraId="66D20EFC" w14:textId="77777777" w:rsidTr="0065379D">
        <w:trPr>
          <w:cantSplit/>
        </w:trPr>
        <w:tc>
          <w:tcPr>
            <w:tcW w:w="219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7DFECD0" w14:textId="77777777" w:rsidR="00AB41C1" w:rsidRPr="00AB0640" w:rsidRDefault="00AB41C1" w:rsidP="008028C6">
            <w:pPr>
              <w:pStyle w:val="PBACTableText0"/>
              <w:keepNext/>
              <w:keepLines/>
              <w:spacing w:before="0" w:after="0"/>
            </w:pPr>
            <w:r w:rsidRPr="00AB0640">
              <w:t>Gait</w:t>
            </w:r>
            <w:r w:rsidRPr="00AB0640">
              <w:rPr>
                <w:vertAlign w:val="superscript"/>
              </w:rPr>
              <w:t>a</w:t>
            </w:r>
          </w:p>
        </w:tc>
        <w:tc>
          <w:tcPr>
            <w:tcW w:w="1481"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48C9352" w14:textId="77777777" w:rsidR="00AB41C1" w:rsidRPr="00AB0640" w:rsidRDefault="00AB41C1" w:rsidP="008028C6">
            <w:pPr>
              <w:pStyle w:val="PBACTableText0"/>
              <w:keepNext/>
              <w:keepLines/>
              <w:spacing w:before="0" w:after="0"/>
            </w:pPr>
            <w:r w:rsidRPr="00AB0640">
              <w:t>2.7 (1.69)</w:t>
            </w:r>
          </w:p>
        </w:tc>
        <w:tc>
          <w:tcPr>
            <w:tcW w:w="132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FFC8DA1" w14:textId="77777777" w:rsidR="00AB41C1" w:rsidRPr="00AB0640" w:rsidRDefault="00AB41C1" w:rsidP="008028C6">
            <w:pPr>
              <w:pStyle w:val="PBACTableText0"/>
              <w:keepNext/>
              <w:keepLines/>
              <w:spacing w:before="0" w:after="0"/>
            </w:pPr>
            <w:r w:rsidRPr="00AB0640">
              <w:t>2.8 (1.36)</w:t>
            </w:r>
          </w:p>
        </w:tc>
      </w:tr>
      <w:tr w:rsidR="00AB41C1" w:rsidRPr="00AB0640" w14:paraId="450940DB" w14:textId="77777777" w:rsidTr="0065379D">
        <w:trPr>
          <w:cantSplit/>
        </w:trPr>
        <w:tc>
          <w:tcPr>
            <w:tcW w:w="5000" w:type="pct"/>
            <w:gridSpan w:val="3"/>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395CDEA" w14:textId="77777777" w:rsidR="00AB41C1" w:rsidRPr="00AB0640" w:rsidRDefault="00AB41C1" w:rsidP="008028C6">
            <w:pPr>
              <w:pStyle w:val="PBACTableText0"/>
              <w:keepNext/>
              <w:keepLines/>
              <w:spacing w:before="0" w:after="0"/>
              <w:rPr>
                <w:b/>
              </w:rPr>
            </w:pPr>
            <w:r w:rsidRPr="00AB0640">
              <w:rPr>
                <w:b/>
                <w:bCs/>
              </w:rPr>
              <w:t xml:space="preserve">Other characteristics </w:t>
            </w:r>
            <w:r w:rsidRPr="00AB0640">
              <w:rPr>
                <w:b/>
                <w:bCs/>
                <w:vertAlign w:val="superscript"/>
              </w:rPr>
              <w:t>b</w:t>
            </w:r>
          </w:p>
        </w:tc>
      </w:tr>
      <w:tr w:rsidR="00AB41C1" w:rsidRPr="00AB0640" w14:paraId="6C624089" w14:textId="77777777" w:rsidTr="0065379D">
        <w:trPr>
          <w:cantSplit/>
        </w:trPr>
        <w:tc>
          <w:tcPr>
            <w:tcW w:w="219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F09E9E7" w14:textId="77777777" w:rsidR="00AB41C1" w:rsidRPr="00AB0640" w:rsidRDefault="00AB41C1" w:rsidP="008028C6">
            <w:pPr>
              <w:pStyle w:val="PBACTableText0"/>
              <w:keepNext/>
              <w:keepLines/>
              <w:spacing w:before="0" w:after="0"/>
            </w:pPr>
            <w:r w:rsidRPr="00AB0640">
              <w:t>White n (%)</w:t>
            </w:r>
          </w:p>
        </w:tc>
        <w:tc>
          <w:tcPr>
            <w:tcW w:w="1481"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A5EFC51" w14:textId="77777777" w:rsidR="00AB41C1" w:rsidRPr="00AB0640" w:rsidRDefault="00AB41C1" w:rsidP="008028C6">
            <w:pPr>
              <w:pStyle w:val="PBACTableText0"/>
              <w:keepNext/>
              <w:keepLines/>
              <w:spacing w:before="0" w:after="0"/>
            </w:pPr>
            <w:r w:rsidRPr="00AB0640">
              <w:t>125 (96.2%)</w:t>
            </w:r>
          </w:p>
        </w:tc>
        <w:tc>
          <w:tcPr>
            <w:tcW w:w="132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9026825" w14:textId="77777777" w:rsidR="00AB41C1" w:rsidRPr="00AB0640" w:rsidRDefault="00AB41C1" w:rsidP="008028C6">
            <w:pPr>
              <w:pStyle w:val="PBACTableText0"/>
              <w:keepNext/>
              <w:keepLines/>
              <w:spacing w:before="0" w:after="0"/>
            </w:pPr>
            <w:r w:rsidRPr="00AB0640">
              <w:t>133 (97.8%)</w:t>
            </w:r>
          </w:p>
        </w:tc>
      </w:tr>
      <w:tr w:rsidR="00AB41C1" w:rsidRPr="00AB0640" w14:paraId="3F71DE34" w14:textId="77777777" w:rsidTr="0065379D">
        <w:trPr>
          <w:cantSplit/>
        </w:trPr>
        <w:tc>
          <w:tcPr>
            <w:tcW w:w="219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052B398" w14:textId="77777777" w:rsidR="00AB41C1" w:rsidRPr="00AB0640" w:rsidRDefault="00AB41C1" w:rsidP="008028C6">
            <w:pPr>
              <w:pStyle w:val="PBACTableText0"/>
              <w:keepNext/>
              <w:keepLines/>
              <w:spacing w:before="0" w:after="0"/>
            </w:pPr>
            <w:r w:rsidRPr="00AB0640">
              <w:t>BMI (kg/m</w:t>
            </w:r>
            <w:r w:rsidRPr="00AB0640">
              <w:rPr>
                <w:vertAlign w:val="superscript"/>
              </w:rPr>
              <w:t>2</w:t>
            </w:r>
            <w:r w:rsidRPr="00AB0640">
              <w:t>)</w:t>
            </w:r>
          </w:p>
        </w:tc>
        <w:tc>
          <w:tcPr>
            <w:tcW w:w="1481"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FC09061" w14:textId="77777777" w:rsidR="00AB41C1" w:rsidRPr="00AB0640" w:rsidRDefault="00AB41C1" w:rsidP="008028C6">
            <w:pPr>
              <w:pStyle w:val="PBACTableText0"/>
              <w:keepNext/>
              <w:keepLines/>
              <w:spacing w:before="0" w:after="0"/>
            </w:pPr>
            <w:r w:rsidRPr="00AB0640">
              <w:t>22.0 (5.7)</w:t>
            </w:r>
          </w:p>
        </w:tc>
        <w:tc>
          <w:tcPr>
            <w:tcW w:w="132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96FC1FD" w14:textId="77777777" w:rsidR="00AB41C1" w:rsidRPr="00AB0640" w:rsidRDefault="00AB41C1" w:rsidP="008028C6">
            <w:pPr>
              <w:pStyle w:val="PBACTableText0"/>
              <w:keepNext/>
              <w:keepLines/>
              <w:spacing w:before="0" w:after="0"/>
            </w:pPr>
            <w:r w:rsidRPr="00AB0640">
              <w:t>24.0 (5.2)</w:t>
            </w:r>
          </w:p>
        </w:tc>
      </w:tr>
      <w:tr w:rsidR="00AB41C1" w:rsidRPr="00AB0640" w14:paraId="545D70E7" w14:textId="77777777" w:rsidTr="0065379D">
        <w:trPr>
          <w:cantSplit/>
        </w:trPr>
        <w:tc>
          <w:tcPr>
            <w:tcW w:w="219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E663BD3" w14:textId="118C0B7E" w:rsidR="00AB41C1" w:rsidRPr="00AB0640" w:rsidRDefault="00AB41C1" w:rsidP="008028C6">
            <w:pPr>
              <w:pStyle w:val="PBACTableText0"/>
              <w:keepNext/>
              <w:keepLines/>
              <w:spacing w:before="0" w:after="0"/>
            </w:pPr>
            <w:r w:rsidRPr="00AB0640">
              <w:t xml:space="preserve">ADL </w:t>
            </w:r>
            <w:r w:rsidR="00592FD4" w:rsidRPr="00AB0640">
              <w:t>t</w:t>
            </w:r>
            <w:r w:rsidRPr="00AB0640">
              <w:t xml:space="preserve">otal </w:t>
            </w:r>
            <w:r w:rsidR="00592FD4" w:rsidRPr="00AB0640">
              <w:t>s</w:t>
            </w:r>
            <w:r w:rsidRPr="00AB0640">
              <w:t>core</w:t>
            </w:r>
          </w:p>
        </w:tc>
        <w:tc>
          <w:tcPr>
            <w:tcW w:w="1481"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311B358" w14:textId="77777777" w:rsidR="00AB41C1" w:rsidRPr="00AB0640" w:rsidRDefault="00AB41C1" w:rsidP="008028C6">
            <w:pPr>
              <w:pStyle w:val="PBACTableText0"/>
              <w:keepNext/>
              <w:keepLines/>
              <w:spacing w:before="0" w:after="0"/>
            </w:pPr>
            <w:r w:rsidRPr="00AB0640">
              <w:t>11.8 (5.9)</w:t>
            </w:r>
          </w:p>
        </w:tc>
        <w:tc>
          <w:tcPr>
            <w:tcW w:w="132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919F874" w14:textId="77777777" w:rsidR="00AB41C1" w:rsidRPr="00AB0640" w:rsidRDefault="00AB41C1" w:rsidP="008028C6">
            <w:pPr>
              <w:pStyle w:val="PBACTableText0"/>
              <w:keepNext/>
              <w:keepLines/>
              <w:spacing w:before="0" w:after="0"/>
            </w:pPr>
            <w:r w:rsidRPr="00AB0640">
              <w:t>12.5 (4.9)</w:t>
            </w:r>
          </w:p>
        </w:tc>
      </w:tr>
      <w:tr w:rsidR="00AB41C1" w:rsidRPr="00AB0640" w14:paraId="0538C64D" w14:textId="77777777" w:rsidTr="0065379D">
        <w:trPr>
          <w:cantSplit/>
        </w:trPr>
        <w:tc>
          <w:tcPr>
            <w:tcW w:w="219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FC13AF1" w14:textId="3B827AC9" w:rsidR="00AB41C1" w:rsidRPr="00AB0640" w:rsidRDefault="00AB41C1" w:rsidP="008028C6">
            <w:pPr>
              <w:pStyle w:val="PBACTableText0"/>
              <w:keepNext/>
              <w:keepLines/>
              <w:spacing w:before="0" w:after="0"/>
            </w:pPr>
            <w:r w:rsidRPr="00AB0640">
              <w:t xml:space="preserve">GAA1 </w:t>
            </w:r>
            <w:r w:rsidR="00592FD4" w:rsidRPr="00AB0640">
              <w:t>r</w:t>
            </w:r>
            <w:r w:rsidRPr="00AB0640">
              <w:t xml:space="preserve">epeat </w:t>
            </w:r>
            <w:r w:rsidR="00592FD4" w:rsidRPr="00AB0640">
              <w:t>l</w:t>
            </w:r>
            <w:r w:rsidRPr="00AB0640">
              <w:t>ength</w:t>
            </w:r>
          </w:p>
        </w:tc>
        <w:tc>
          <w:tcPr>
            <w:tcW w:w="1481"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2FEEE0A" w14:textId="77777777" w:rsidR="00AB41C1" w:rsidRPr="00AB0640" w:rsidRDefault="00AB41C1" w:rsidP="008028C6">
            <w:pPr>
              <w:pStyle w:val="PBACTableText0"/>
              <w:keepNext/>
              <w:keepLines/>
              <w:spacing w:before="0" w:after="0"/>
            </w:pPr>
            <w:r w:rsidRPr="00AB0640">
              <w:t>589.7 (245.5)</w:t>
            </w:r>
          </w:p>
        </w:tc>
        <w:tc>
          <w:tcPr>
            <w:tcW w:w="132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8FEE235" w14:textId="77777777" w:rsidR="00AB41C1" w:rsidRPr="00AB0640" w:rsidRDefault="00AB41C1" w:rsidP="008028C6">
            <w:pPr>
              <w:pStyle w:val="PBACTableText0"/>
              <w:keepNext/>
              <w:keepLines/>
              <w:spacing w:before="0" w:after="0"/>
            </w:pPr>
            <w:r w:rsidRPr="00AB0640">
              <w:t>720.9 (269.6)</w:t>
            </w:r>
          </w:p>
        </w:tc>
      </w:tr>
      <w:tr w:rsidR="00AB41C1" w:rsidRPr="00AB0640" w14:paraId="12BFFA61" w14:textId="77777777" w:rsidTr="0065379D">
        <w:trPr>
          <w:cantSplit/>
        </w:trPr>
        <w:tc>
          <w:tcPr>
            <w:tcW w:w="219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E1C308B" w14:textId="193D802B" w:rsidR="00AB41C1" w:rsidRPr="00AB0640" w:rsidRDefault="00AB41C1" w:rsidP="008028C6">
            <w:pPr>
              <w:pStyle w:val="PBACTableText0"/>
              <w:keepNext/>
              <w:keepLines/>
              <w:spacing w:before="0" w:after="0"/>
            </w:pPr>
            <w:r w:rsidRPr="00AB0640">
              <w:t xml:space="preserve">GAA2 </w:t>
            </w:r>
            <w:r w:rsidR="00592FD4" w:rsidRPr="00AB0640">
              <w:t>r</w:t>
            </w:r>
            <w:r w:rsidRPr="00AB0640">
              <w:t xml:space="preserve">epeat </w:t>
            </w:r>
            <w:r w:rsidR="00592FD4" w:rsidRPr="00AB0640">
              <w:t>l</w:t>
            </w:r>
            <w:r w:rsidRPr="00AB0640">
              <w:t>ength</w:t>
            </w:r>
          </w:p>
        </w:tc>
        <w:tc>
          <w:tcPr>
            <w:tcW w:w="1481"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A7F23A8" w14:textId="77777777" w:rsidR="00AB41C1" w:rsidRPr="00AB0640" w:rsidRDefault="00AB41C1" w:rsidP="008028C6">
            <w:pPr>
              <w:pStyle w:val="PBACTableText0"/>
              <w:keepNext/>
              <w:keepLines/>
              <w:spacing w:before="0" w:after="0"/>
            </w:pPr>
            <w:r w:rsidRPr="00AB0640">
              <w:t>862.8 (232.4)</w:t>
            </w:r>
          </w:p>
        </w:tc>
        <w:tc>
          <w:tcPr>
            <w:tcW w:w="1326"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A87B1E3" w14:textId="77777777" w:rsidR="00AB41C1" w:rsidRPr="00AB0640" w:rsidRDefault="00AB41C1" w:rsidP="008028C6">
            <w:pPr>
              <w:pStyle w:val="PBACTableText0"/>
              <w:keepNext/>
              <w:keepLines/>
              <w:spacing w:before="0" w:after="0"/>
            </w:pPr>
            <w:r w:rsidRPr="00AB0640">
              <w:t>727.6 (296.9)</w:t>
            </w:r>
          </w:p>
        </w:tc>
      </w:tr>
    </w:tbl>
    <w:p w14:paraId="69F51575" w14:textId="3335D6E7" w:rsidR="00AB41C1" w:rsidRPr="00AB0640" w:rsidRDefault="00AB41C1" w:rsidP="008028C6">
      <w:pPr>
        <w:pStyle w:val="TableFooter"/>
      </w:pPr>
      <w:r w:rsidRPr="00AB0640">
        <w:t xml:space="preserve">Source: </w:t>
      </w:r>
      <w:r w:rsidR="00F850C4" w:rsidRPr="00AB0640">
        <w:t>Table 2.</w:t>
      </w:r>
      <w:r w:rsidRPr="00AB0640">
        <w:t>44, p157 of the resubmission.</w:t>
      </w:r>
    </w:p>
    <w:p w14:paraId="7A450882" w14:textId="1508091A" w:rsidR="00AB41C1" w:rsidRPr="00AB0640" w:rsidRDefault="00AB41C1" w:rsidP="008028C6">
      <w:pPr>
        <w:pStyle w:val="TableFooter"/>
      </w:pPr>
      <w:r w:rsidRPr="00AB0640">
        <w:rPr>
          <w:rStyle w:val="TableFigureFooterChar"/>
        </w:rPr>
        <w:t>BMI=body mass index; FA=</w:t>
      </w:r>
      <w:r w:rsidRPr="00AB0640">
        <w:rPr>
          <w:snapToGrid w:val="0"/>
        </w:rPr>
        <w:t xml:space="preserve">Friedreich’s ataxia; </w:t>
      </w:r>
      <w:r w:rsidRPr="00AB0640">
        <w:rPr>
          <w:rStyle w:val="TableFigureFooterChar"/>
        </w:rPr>
        <w:t>FACOMS=</w:t>
      </w:r>
      <w:r w:rsidRPr="00AB0640">
        <w:rPr>
          <w:rFonts w:eastAsiaTheme="minorEastAsia" w:cstheme="minorBidi"/>
          <w:sz w:val="22"/>
          <w:szCs w:val="22"/>
          <w:lang w:eastAsia="en-US"/>
        </w:rPr>
        <w:t xml:space="preserve"> </w:t>
      </w:r>
      <w:r w:rsidRPr="00AB0640">
        <w:rPr>
          <w:snapToGrid w:val="0"/>
        </w:rPr>
        <w:t>Friedreich's Ataxia Clinical Outcome Measures Study; GAA=</w:t>
      </w:r>
      <w:r w:rsidRPr="00AB0640">
        <w:rPr>
          <w:rFonts w:eastAsiaTheme="minorEastAsia" w:cstheme="minorBidi"/>
          <w:sz w:val="22"/>
          <w:szCs w:val="22"/>
          <w:lang w:eastAsia="en-US"/>
        </w:rPr>
        <w:t xml:space="preserve"> </w:t>
      </w:r>
      <w:r w:rsidRPr="00AB0640">
        <w:rPr>
          <w:snapToGrid w:val="0"/>
        </w:rPr>
        <w:t>guanosine adenosine adenosine; mFARS=</w:t>
      </w:r>
      <w:r w:rsidRPr="00AB0640">
        <w:rPr>
          <w:rFonts w:eastAsiaTheme="minorEastAsia" w:cstheme="minorBidi"/>
          <w:sz w:val="22"/>
          <w:szCs w:val="22"/>
          <w:lang w:eastAsia="en-US"/>
        </w:rPr>
        <w:t xml:space="preserve"> </w:t>
      </w:r>
      <w:r w:rsidRPr="00AB0640">
        <w:rPr>
          <w:snapToGrid w:val="0"/>
        </w:rPr>
        <w:t>modified Friedreich’s ataxia rating scale</w:t>
      </w:r>
      <w:r w:rsidR="00592FD4" w:rsidRPr="00AB0640">
        <w:rPr>
          <w:snapToGrid w:val="0"/>
        </w:rPr>
        <w:t>; SD = standard deviation</w:t>
      </w:r>
    </w:p>
    <w:p w14:paraId="45646FB8" w14:textId="77777777" w:rsidR="00AB41C1" w:rsidRPr="00AB0640" w:rsidRDefault="00AB41C1" w:rsidP="008028C6">
      <w:pPr>
        <w:pStyle w:val="TableFooter"/>
      </w:pPr>
      <w:r w:rsidRPr="00AB0640">
        <w:rPr>
          <w:vertAlign w:val="superscript"/>
        </w:rPr>
        <w:t>a</w:t>
      </w:r>
      <w:r w:rsidRPr="00AB0640">
        <w:t xml:space="preserve"> Assessment in FARS subsection E-Upright stability</w:t>
      </w:r>
    </w:p>
    <w:p w14:paraId="0DA97A28" w14:textId="391EAF80" w:rsidR="00AB41C1" w:rsidRPr="00AB0640" w:rsidRDefault="00AB41C1" w:rsidP="008028C6">
      <w:pPr>
        <w:pStyle w:val="TableFooter"/>
      </w:pPr>
      <w:r w:rsidRPr="00AB0640">
        <w:rPr>
          <w:vertAlign w:val="superscript"/>
        </w:rPr>
        <w:t xml:space="preserve">b </w:t>
      </w:r>
      <w:r w:rsidRPr="00AB0640">
        <w:t>Note number of patients in either cohort varied across other characteristics due to missing data</w:t>
      </w:r>
    </w:p>
    <w:p w14:paraId="1EF921F5" w14:textId="77777777" w:rsidR="000F17C4" w:rsidRPr="00AB0640" w:rsidRDefault="000F17C4" w:rsidP="008028C6">
      <w:r w:rsidRPr="00AB0640">
        <w:rPr>
          <w:rStyle w:val="CommentReference"/>
          <w:b w:val="0"/>
          <w:bCs/>
          <w:sz w:val="18"/>
          <w:szCs w:val="18"/>
          <w:shd w:val="clear" w:color="auto" w:fill="B8CCE4" w:themeFill="accent1" w:themeFillTint="66"/>
        </w:rPr>
        <w:t>Blue shading</w:t>
      </w:r>
      <w:r w:rsidRPr="00AB0640">
        <w:rPr>
          <w:rStyle w:val="CommentReference"/>
          <w:b w:val="0"/>
          <w:bCs/>
          <w:sz w:val="18"/>
          <w:szCs w:val="18"/>
        </w:rPr>
        <w:t xml:space="preserve"> indicates data previously seen by the PBAC.</w:t>
      </w:r>
    </w:p>
    <w:p w14:paraId="240CED52" w14:textId="77777777" w:rsidR="000F17C4" w:rsidRPr="00AB0640" w:rsidRDefault="000F17C4" w:rsidP="008028C6">
      <w:pPr>
        <w:pStyle w:val="TableFooter"/>
      </w:pPr>
    </w:p>
    <w:p w14:paraId="5966C80E" w14:textId="57547209" w:rsidR="00AB41C1" w:rsidRPr="00AB0640" w:rsidRDefault="00AB41C1" w:rsidP="008028C6">
      <w:pPr>
        <w:pStyle w:val="3-BodyText"/>
      </w:pPr>
      <w:r w:rsidRPr="00AB0640">
        <w:t>Covariates for determining the propensity scores (mFARS, Gait, and ADL) appeared balanced between the FACOMS and MOXIe Extension groups. However, the resubmission noted that prognostic covariates such as GAA1 repeat length and pes cavus were considered but not included for matching due to incomplete GAA1 data for all patients and differences in the method of evaluation of pes cavus</w:t>
      </w:r>
      <w:r w:rsidRPr="00AB0640">
        <w:rPr>
          <w:rStyle w:val="FootnoteReference"/>
        </w:rPr>
        <w:footnoteReference w:id="7"/>
      </w:r>
      <w:r w:rsidRPr="00AB0640">
        <w:t xml:space="preserve"> between studies.</w:t>
      </w:r>
    </w:p>
    <w:p w14:paraId="2D287FAB" w14:textId="209243BC" w:rsidR="00AB41C1" w:rsidRPr="00AB0640" w:rsidRDefault="00AB41C1" w:rsidP="008028C6">
      <w:pPr>
        <w:pStyle w:val="3-BodyText"/>
      </w:pPr>
      <w:r w:rsidRPr="00AB0640">
        <w:t>Results from the propensity score matched analysis for change in mFARS from baseline at 3 years are summarised in</w:t>
      </w:r>
      <w:r w:rsidR="00BD6329" w:rsidRPr="00AB0640">
        <w:t xml:space="preserve"> </w:t>
      </w:r>
      <w:r w:rsidR="00BD6329" w:rsidRPr="00AB0640">
        <w:fldChar w:fldCharType="begin" w:fldLock="1"/>
      </w:r>
      <w:r w:rsidR="00BD6329" w:rsidRPr="00AB0640">
        <w:instrText xml:space="preserve"> REF _Ref205467066 \h </w:instrText>
      </w:r>
      <w:r w:rsidR="00BD6329" w:rsidRPr="00AB0640">
        <w:fldChar w:fldCharType="separate"/>
      </w:r>
      <w:r w:rsidR="00E056AF" w:rsidRPr="00AB0640">
        <w:t xml:space="preserve">Table </w:t>
      </w:r>
      <w:r w:rsidR="00E056AF">
        <w:rPr>
          <w:noProof/>
        </w:rPr>
        <w:t>8</w:t>
      </w:r>
      <w:r w:rsidR="00BD6329" w:rsidRPr="00AB0640">
        <w:fldChar w:fldCharType="end"/>
      </w:r>
      <w:r w:rsidR="00BD6329" w:rsidRPr="00AB0640">
        <w:t>.</w:t>
      </w:r>
    </w:p>
    <w:p w14:paraId="63C378B5" w14:textId="5AF233D5" w:rsidR="00AB41C1" w:rsidRPr="00AB0640" w:rsidRDefault="00AB41C1" w:rsidP="008028C6">
      <w:pPr>
        <w:pStyle w:val="Caption"/>
      </w:pPr>
      <w:bookmarkStart w:id="28" w:name="_Ref205467066"/>
      <w:r w:rsidRPr="00AB0640">
        <w:t xml:space="preserve">Table </w:t>
      </w:r>
      <w:r w:rsidR="00E056AF">
        <w:fldChar w:fldCharType="begin" w:fldLock="1"/>
      </w:r>
      <w:r w:rsidR="00E056AF">
        <w:instrText xml:space="preserve"> SEQ Table \* ARABIC </w:instrText>
      </w:r>
      <w:r w:rsidR="00E056AF">
        <w:fldChar w:fldCharType="separate"/>
      </w:r>
      <w:r w:rsidR="00E056AF">
        <w:rPr>
          <w:noProof/>
        </w:rPr>
        <w:t>8</w:t>
      </w:r>
      <w:r w:rsidR="00E056AF">
        <w:rPr>
          <w:noProof/>
        </w:rPr>
        <w:fldChar w:fldCharType="end"/>
      </w:r>
      <w:bookmarkEnd w:id="28"/>
      <w:r w:rsidRPr="00AB0640">
        <w:t>: Change from baseline in mFARS at 3 years: PSMA</w:t>
      </w:r>
    </w:p>
    <w:tbl>
      <w:tblPr>
        <w:tblStyle w:val="TableGrid"/>
        <w:tblW w:w="5000" w:type="pct"/>
        <w:shd w:val="clear" w:color="auto" w:fill="B8CCE4" w:themeFill="accent1" w:themeFillTint="66"/>
        <w:tblLook w:val="04A0" w:firstRow="1" w:lastRow="0" w:firstColumn="1" w:lastColumn="0" w:noHBand="0" w:noVBand="1"/>
        <w:tblCaption w:val="Table 8: Change from baseline in mFARS at 3 years: PSMA"/>
      </w:tblPr>
      <w:tblGrid>
        <w:gridCol w:w="4344"/>
        <w:gridCol w:w="2417"/>
        <w:gridCol w:w="2256"/>
      </w:tblGrid>
      <w:tr w:rsidR="00AB41C1" w:rsidRPr="00AB0640" w14:paraId="6932E8B1" w14:textId="77777777" w:rsidTr="0065379D">
        <w:tc>
          <w:tcPr>
            <w:tcW w:w="2409"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CFAA539" w14:textId="77777777" w:rsidR="00AB41C1" w:rsidRPr="00AB0640" w:rsidRDefault="00AB41C1" w:rsidP="008028C6">
            <w:pPr>
              <w:pStyle w:val="PBACTableText0"/>
              <w:keepNext/>
              <w:keepLines/>
              <w:spacing w:before="0" w:after="0"/>
              <w:rPr>
                <w:b/>
                <w:bCs/>
              </w:rPr>
            </w:pPr>
          </w:p>
        </w:tc>
        <w:tc>
          <w:tcPr>
            <w:tcW w:w="1340"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6A16403" w14:textId="77777777" w:rsidR="00AB41C1" w:rsidRPr="00AB0640" w:rsidRDefault="00AB41C1" w:rsidP="008028C6">
            <w:pPr>
              <w:pStyle w:val="PBACTableText0"/>
              <w:keepNext/>
              <w:keepLines/>
              <w:spacing w:before="0" w:after="0"/>
              <w:jc w:val="center"/>
              <w:rPr>
                <w:b/>
                <w:bCs/>
              </w:rPr>
            </w:pPr>
            <w:r w:rsidRPr="00AB0640">
              <w:rPr>
                <w:b/>
                <w:bCs/>
              </w:rPr>
              <w:t>Matched FACOMS (N=136)</w:t>
            </w:r>
          </w:p>
        </w:tc>
        <w:tc>
          <w:tcPr>
            <w:tcW w:w="1251"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8867492" w14:textId="77777777" w:rsidR="00AB41C1" w:rsidRPr="00AB0640" w:rsidRDefault="00AB41C1" w:rsidP="008028C6">
            <w:pPr>
              <w:pStyle w:val="PBACTableText0"/>
              <w:keepNext/>
              <w:keepLines/>
              <w:spacing w:before="0" w:after="0"/>
              <w:jc w:val="center"/>
              <w:rPr>
                <w:b/>
                <w:bCs/>
              </w:rPr>
            </w:pPr>
            <w:r w:rsidRPr="00AB0640">
              <w:rPr>
                <w:b/>
                <w:bCs/>
              </w:rPr>
              <w:t>MOXIe Extension (N=136)</w:t>
            </w:r>
          </w:p>
        </w:tc>
      </w:tr>
      <w:tr w:rsidR="00AB41C1" w:rsidRPr="00AB0640" w14:paraId="437700BA" w14:textId="77777777" w:rsidTr="0065379D">
        <w:tc>
          <w:tcPr>
            <w:tcW w:w="2409"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115BE77" w14:textId="77777777" w:rsidR="00AB41C1" w:rsidRPr="00AB0640" w:rsidRDefault="00AB41C1" w:rsidP="008028C6">
            <w:pPr>
              <w:pStyle w:val="PBACTableText0"/>
              <w:keepNext/>
              <w:keepLines/>
              <w:spacing w:before="0" w:after="0"/>
            </w:pPr>
            <w:r w:rsidRPr="00AB0640">
              <w:t>Baseline, mean (SD)</w:t>
            </w:r>
          </w:p>
        </w:tc>
        <w:tc>
          <w:tcPr>
            <w:tcW w:w="1340"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A38D837" w14:textId="77777777" w:rsidR="00AB41C1" w:rsidRPr="00AB0640" w:rsidRDefault="00AB41C1" w:rsidP="008028C6">
            <w:pPr>
              <w:pStyle w:val="PBACTableText0"/>
              <w:keepNext/>
              <w:keepLines/>
              <w:spacing w:before="0" w:after="0"/>
              <w:jc w:val="center"/>
            </w:pPr>
            <w:r w:rsidRPr="00AB0640">
              <w:t>41.0 (16.1)</w:t>
            </w:r>
          </w:p>
        </w:tc>
        <w:tc>
          <w:tcPr>
            <w:tcW w:w="1251"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1CB688F" w14:textId="77777777" w:rsidR="00AB41C1" w:rsidRPr="00AB0640" w:rsidRDefault="00AB41C1" w:rsidP="008028C6">
            <w:pPr>
              <w:pStyle w:val="PBACTableText0"/>
              <w:keepNext/>
              <w:keepLines/>
              <w:spacing w:before="0" w:after="0"/>
              <w:jc w:val="center"/>
            </w:pPr>
            <w:r w:rsidRPr="00AB0640">
              <w:t>42.2 (12.6)</w:t>
            </w:r>
          </w:p>
        </w:tc>
      </w:tr>
      <w:tr w:rsidR="00AB41C1" w:rsidRPr="00AB0640" w14:paraId="35D95F72" w14:textId="77777777" w:rsidTr="0065379D">
        <w:tc>
          <w:tcPr>
            <w:tcW w:w="2409"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763C40D" w14:textId="43850322" w:rsidR="00AB41C1" w:rsidRPr="00AB0640" w:rsidRDefault="00AB41C1" w:rsidP="008028C6">
            <w:pPr>
              <w:pStyle w:val="PBACTableText0"/>
              <w:keepNext/>
              <w:keepLines/>
              <w:spacing w:before="0" w:after="0"/>
            </w:pPr>
            <w:r w:rsidRPr="00AB0640">
              <w:t>mFARS change from baseline</w:t>
            </w:r>
            <w:r w:rsidR="003C06DE" w:rsidRPr="00AB0640">
              <w:t xml:space="preserve"> at Year 3, </w:t>
            </w:r>
            <w:r w:rsidRPr="00AB0640">
              <w:t xml:space="preserve">LS mean </w:t>
            </w:r>
            <w:r w:rsidR="003C06DE" w:rsidRPr="00AB0640">
              <w:t>(</w:t>
            </w:r>
            <w:r w:rsidRPr="00AB0640">
              <w:t xml:space="preserve">SE) </w:t>
            </w:r>
          </w:p>
        </w:tc>
        <w:tc>
          <w:tcPr>
            <w:tcW w:w="1340"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964F073" w14:textId="77777777" w:rsidR="00AB41C1" w:rsidRPr="00AB0640" w:rsidRDefault="00AB41C1" w:rsidP="008028C6">
            <w:pPr>
              <w:pStyle w:val="PBACTableText0"/>
              <w:keepNext/>
              <w:keepLines/>
              <w:spacing w:before="0" w:after="0"/>
              <w:jc w:val="center"/>
            </w:pPr>
            <w:r w:rsidRPr="00AB0640">
              <w:t>6.61 (0.65)</w:t>
            </w:r>
          </w:p>
        </w:tc>
        <w:tc>
          <w:tcPr>
            <w:tcW w:w="1251"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06961CB" w14:textId="77777777" w:rsidR="00AB41C1" w:rsidRPr="00AB0640" w:rsidRDefault="00AB41C1" w:rsidP="008028C6">
            <w:pPr>
              <w:pStyle w:val="PBACTableText0"/>
              <w:keepNext/>
              <w:keepLines/>
              <w:spacing w:before="0" w:after="0"/>
              <w:jc w:val="center"/>
            </w:pPr>
            <w:r w:rsidRPr="00AB0640">
              <w:t>3.00 (0.66)</w:t>
            </w:r>
          </w:p>
        </w:tc>
      </w:tr>
      <w:tr w:rsidR="00AB41C1" w:rsidRPr="00AB0640" w14:paraId="7045096E" w14:textId="77777777" w:rsidTr="0065379D">
        <w:tc>
          <w:tcPr>
            <w:tcW w:w="2409"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F2F62D1" w14:textId="0BCFC9A2" w:rsidR="00AB41C1" w:rsidRPr="00AB0640" w:rsidRDefault="00AB41C1" w:rsidP="008028C6">
            <w:pPr>
              <w:pStyle w:val="PBACTableText0"/>
              <w:keepNext/>
              <w:keepLines/>
              <w:spacing w:before="0" w:after="0"/>
            </w:pPr>
            <w:r w:rsidRPr="00AB0640">
              <w:t xml:space="preserve">Differences at </w:t>
            </w:r>
            <w:r w:rsidR="003C06DE" w:rsidRPr="00AB0640">
              <w:t>Y</w:t>
            </w:r>
            <w:r w:rsidRPr="00AB0640">
              <w:t>ear 3</w:t>
            </w:r>
          </w:p>
        </w:tc>
        <w:tc>
          <w:tcPr>
            <w:tcW w:w="2591"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7EED3EE" w14:textId="77777777" w:rsidR="00AB41C1" w:rsidRPr="00AB0640" w:rsidRDefault="00AB41C1" w:rsidP="008028C6">
            <w:pPr>
              <w:pStyle w:val="PBACTableText0"/>
              <w:keepNext/>
              <w:keepLines/>
              <w:spacing w:before="0" w:after="0"/>
              <w:jc w:val="center"/>
            </w:pPr>
            <w:r w:rsidRPr="00AB0640">
              <w:t>-3.61 (0.93); p=0.0001</w:t>
            </w:r>
          </w:p>
        </w:tc>
      </w:tr>
    </w:tbl>
    <w:p w14:paraId="0716A441" w14:textId="6103DA37" w:rsidR="00BD6329" w:rsidRPr="00AB0640" w:rsidRDefault="00BD6329" w:rsidP="008028C6">
      <w:pPr>
        <w:pStyle w:val="TableFooter"/>
      </w:pPr>
      <w:r w:rsidRPr="00AB0640">
        <w:t>Source: Table 2.45, p158 of the resubmission.</w:t>
      </w:r>
    </w:p>
    <w:p w14:paraId="3862539E" w14:textId="75940C93" w:rsidR="00AB41C1" w:rsidRPr="00AB0640" w:rsidRDefault="00AB41C1" w:rsidP="008028C6">
      <w:pPr>
        <w:pStyle w:val="TableFooter"/>
      </w:pPr>
      <w:r w:rsidRPr="00AB0640">
        <w:t>FACOMS</w:t>
      </w:r>
      <w:r w:rsidR="00592FD4" w:rsidRPr="00AB0640">
        <w:t xml:space="preserve"> </w:t>
      </w:r>
      <w:r w:rsidRPr="00AB0640">
        <w:t>=</w:t>
      </w:r>
      <w:r w:rsidRPr="00AB0640">
        <w:rPr>
          <w:rFonts w:eastAsiaTheme="minorEastAsia" w:cstheme="minorBidi"/>
          <w:sz w:val="22"/>
          <w:szCs w:val="22"/>
          <w:lang w:eastAsia="en-US"/>
        </w:rPr>
        <w:t xml:space="preserve"> </w:t>
      </w:r>
      <w:r w:rsidRPr="00AB0640">
        <w:t>Friedreich's Ataxia Clinical Outcome Measures Study; LS</w:t>
      </w:r>
      <w:r w:rsidR="00592FD4" w:rsidRPr="00AB0640">
        <w:t xml:space="preserve"> </w:t>
      </w:r>
      <w:r w:rsidRPr="00AB0640">
        <w:t>=</w:t>
      </w:r>
      <w:r w:rsidR="00592FD4" w:rsidRPr="00AB0640">
        <w:t xml:space="preserve"> </w:t>
      </w:r>
      <w:r w:rsidRPr="00AB0640">
        <w:t>least squares; mFARS</w:t>
      </w:r>
      <w:r w:rsidR="00592FD4" w:rsidRPr="00AB0640">
        <w:t xml:space="preserve"> </w:t>
      </w:r>
      <w:r w:rsidRPr="00AB0640">
        <w:t>=</w:t>
      </w:r>
      <w:r w:rsidR="00592FD4" w:rsidRPr="00AB0640">
        <w:t xml:space="preserve"> </w:t>
      </w:r>
      <w:r w:rsidRPr="00AB0640">
        <w:t>modified Friedreich’s ataxia rating scale; PSMA</w:t>
      </w:r>
      <w:r w:rsidR="00592FD4" w:rsidRPr="00AB0640">
        <w:t xml:space="preserve"> </w:t>
      </w:r>
      <w:r w:rsidRPr="00AB0640">
        <w:t>=</w:t>
      </w:r>
      <w:r w:rsidR="00592FD4" w:rsidRPr="00AB0640">
        <w:t xml:space="preserve"> </w:t>
      </w:r>
      <w:r w:rsidRPr="00AB0640">
        <w:t>propensity-score matched analysis; SD</w:t>
      </w:r>
      <w:r w:rsidR="00592FD4" w:rsidRPr="00AB0640">
        <w:t xml:space="preserve"> </w:t>
      </w:r>
      <w:r w:rsidRPr="00AB0640">
        <w:t>=</w:t>
      </w:r>
      <w:r w:rsidR="00592FD4" w:rsidRPr="00AB0640">
        <w:t xml:space="preserve"> </w:t>
      </w:r>
      <w:r w:rsidRPr="00AB0640">
        <w:t>standard deviation; SE</w:t>
      </w:r>
      <w:r w:rsidR="00592FD4" w:rsidRPr="00AB0640">
        <w:t xml:space="preserve"> </w:t>
      </w:r>
      <w:r w:rsidRPr="00AB0640">
        <w:t>=</w:t>
      </w:r>
      <w:r w:rsidR="00592FD4" w:rsidRPr="00AB0640">
        <w:t xml:space="preserve"> </w:t>
      </w:r>
      <w:r w:rsidRPr="00AB0640">
        <w:t>standard error</w:t>
      </w:r>
    </w:p>
    <w:p w14:paraId="16FCAA90" w14:textId="77777777" w:rsidR="000F17C4" w:rsidRPr="00AB0640" w:rsidRDefault="000F17C4" w:rsidP="008028C6">
      <w:r w:rsidRPr="00AB0640">
        <w:rPr>
          <w:rStyle w:val="CommentReference"/>
          <w:b w:val="0"/>
          <w:bCs/>
          <w:sz w:val="18"/>
          <w:szCs w:val="18"/>
          <w:shd w:val="clear" w:color="auto" w:fill="B8CCE4" w:themeFill="accent1" w:themeFillTint="66"/>
        </w:rPr>
        <w:t>Blue shading</w:t>
      </w:r>
      <w:r w:rsidRPr="00AB0640">
        <w:rPr>
          <w:rStyle w:val="CommentReference"/>
          <w:b w:val="0"/>
          <w:bCs/>
          <w:sz w:val="18"/>
          <w:szCs w:val="18"/>
        </w:rPr>
        <w:t xml:space="preserve"> indicates data previously seen by the PBAC.</w:t>
      </w:r>
    </w:p>
    <w:p w14:paraId="307BC336" w14:textId="77777777" w:rsidR="000F17C4" w:rsidRPr="00AB0640" w:rsidRDefault="000F17C4" w:rsidP="008028C6">
      <w:pPr>
        <w:pStyle w:val="TableFooter"/>
      </w:pPr>
    </w:p>
    <w:p w14:paraId="239F1D87" w14:textId="77777777" w:rsidR="00472D72" w:rsidRPr="00AB0640" w:rsidRDefault="00BD6329" w:rsidP="008028C6">
      <w:pPr>
        <w:pStyle w:val="3-BodyText"/>
      </w:pPr>
      <w:r w:rsidRPr="00AB0640">
        <w:t xml:space="preserve">Whilst the matched FACOMS patients progressed 6.6 mFARS points after three years, patients treated with omaveloxolone in MOXIe Extension progressed 3.0 points (difference in LS means (SD) </w:t>
      </w:r>
      <w:r w:rsidR="000F17C4" w:rsidRPr="00AB0640">
        <w:t>-</w:t>
      </w:r>
      <w:r w:rsidRPr="00AB0640">
        <w:t>3.6 (0.66) points; nominal p=0.0001). Progression in mFARS was reduced by 55% in the omaveloxolone treatment arm compared to the matched control arm.</w:t>
      </w:r>
      <w:r w:rsidR="00C4605D" w:rsidRPr="00AB0640">
        <w:t xml:space="preserve"> </w:t>
      </w:r>
    </w:p>
    <w:p w14:paraId="5AEBFD8B" w14:textId="56CF3097" w:rsidR="00BD6329" w:rsidRPr="00F770A1" w:rsidRDefault="00C4605D" w:rsidP="008028C6">
      <w:pPr>
        <w:pStyle w:val="3-BodyText"/>
      </w:pPr>
      <w:r w:rsidRPr="00F770A1">
        <w:lastRenderedPageBreak/>
        <w:t xml:space="preserve">The PSCR presented </w:t>
      </w:r>
      <w:r w:rsidR="00CC5E33" w:rsidRPr="00F770A1">
        <w:t>updated</w:t>
      </w:r>
      <w:r w:rsidR="00E4582A" w:rsidRPr="00F770A1">
        <w:t xml:space="preserve"> data from the propensity score matched analysis that </w:t>
      </w:r>
      <w:r w:rsidR="00F35D8B" w:rsidRPr="00F770A1">
        <w:t>demonstrated that there was a</w:t>
      </w:r>
      <w:r w:rsidR="001C15C1">
        <w:t>n</w:t>
      </w:r>
      <w:r w:rsidR="00F35D8B" w:rsidRPr="00F770A1">
        <w:t xml:space="preserve"> 8-point difference, which was equivalent to a </w:t>
      </w:r>
      <w:r w:rsidR="000567A3" w:rsidRPr="00F770A1">
        <w:t>67% reduction in cumulative mFARS progression</w:t>
      </w:r>
      <w:r w:rsidR="00CC5E33" w:rsidRPr="00F770A1">
        <w:t>,</w:t>
      </w:r>
      <w:r w:rsidR="000567A3" w:rsidRPr="00F770A1">
        <w:t xml:space="preserve"> </w:t>
      </w:r>
      <w:r w:rsidR="00CC5E33" w:rsidRPr="00F770A1">
        <w:t xml:space="preserve">at </w:t>
      </w:r>
      <w:r w:rsidR="000567A3" w:rsidRPr="00F770A1">
        <w:t>5 years.</w:t>
      </w:r>
      <w:r w:rsidR="00427BD4" w:rsidRPr="00F770A1">
        <w:t xml:space="preserve"> The ESC noted that this </w:t>
      </w:r>
      <w:r w:rsidR="00772883" w:rsidRPr="00F770A1">
        <w:t>analysis was based on a smaller group of patients receiving omaveloxolone (43 versus 136)</w:t>
      </w:r>
      <w:r w:rsidR="00A947BE" w:rsidRPr="00F770A1">
        <w:t xml:space="preserve"> and that no </w:t>
      </w:r>
      <w:r w:rsidR="00164F15" w:rsidRPr="00F770A1">
        <w:t>absolute values at baseline were presented</w:t>
      </w:r>
      <w:r w:rsidR="00C35612" w:rsidRPr="00F770A1">
        <w:t>.</w:t>
      </w:r>
      <w:r w:rsidR="008D6815" w:rsidRPr="00F770A1">
        <w:t xml:space="preserve"> </w:t>
      </w:r>
      <w:r w:rsidR="002A177A" w:rsidRPr="00F770A1">
        <w:t>In addition</w:t>
      </w:r>
      <w:r w:rsidR="008D6815" w:rsidRPr="00F770A1">
        <w:t xml:space="preserve">, the ESC considered that the updated data </w:t>
      </w:r>
      <w:r w:rsidR="00C57933" w:rsidRPr="00F770A1">
        <w:t xml:space="preserve">had the same potential limitations as the original 3-year analysis (see paragraph </w:t>
      </w:r>
      <w:r w:rsidR="00744AE4">
        <w:fldChar w:fldCharType="begin" w:fldLock="1"/>
      </w:r>
      <w:r w:rsidR="00744AE4">
        <w:instrText xml:space="preserve"> REF _Ref207798075 \r \h </w:instrText>
      </w:r>
      <w:r w:rsidR="00744AE4">
        <w:fldChar w:fldCharType="separate"/>
      </w:r>
      <w:r w:rsidR="0015086A">
        <w:t>6.37</w:t>
      </w:r>
      <w:r w:rsidR="00744AE4">
        <w:fldChar w:fldCharType="end"/>
      </w:r>
      <w:r w:rsidR="00C57933" w:rsidRPr="00F770A1">
        <w:t>).</w:t>
      </w:r>
      <w:r w:rsidR="00FE4647">
        <w:t xml:space="preserve"> The pre-PBAC response stated that </w:t>
      </w:r>
      <w:r w:rsidR="005A6293">
        <w:t xml:space="preserve">the 43 patients included in the 5 year follow up data </w:t>
      </w:r>
      <w:r w:rsidR="008A3468">
        <w:t>had received omaveloxolone in the MOXIE Part 2 trial as well as the open label extension</w:t>
      </w:r>
      <w:r w:rsidR="00CF191C">
        <w:t xml:space="preserve"> and </w:t>
      </w:r>
      <w:r w:rsidR="00DF0E97">
        <w:t>reflected real-world clinical outcomes.</w:t>
      </w:r>
    </w:p>
    <w:p w14:paraId="096F53F8" w14:textId="336D5961" w:rsidR="00BD6329" w:rsidRPr="00AB0640" w:rsidRDefault="00AD287D" w:rsidP="008028C6">
      <w:pPr>
        <w:pStyle w:val="3-BodyText"/>
      </w:pPr>
      <w:bookmarkStart w:id="29" w:name="_Ref207798075"/>
      <w:r w:rsidRPr="00AB0640">
        <w:t>T</w:t>
      </w:r>
      <w:r w:rsidR="00221E60" w:rsidRPr="00AB0640">
        <w:t>he following issues</w:t>
      </w:r>
      <w:r w:rsidRPr="00AB0640">
        <w:t xml:space="preserve"> with the indirect comparison</w:t>
      </w:r>
      <w:r w:rsidR="004D0EBE">
        <w:t>s</w:t>
      </w:r>
      <w:r w:rsidR="00340E79" w:rsidRPr="00AB0640">
        <w:t xml:space="preserve"> were identified in the March 2025 evaluation</w:t>
      </w:r>
      <w:r w:rsidRPr="00AB0640">
        <w:t xml:space="preserve"> </w:t>
      </w:r>
      <w:r w:rsidR="00221E60" w:rsidRPr="00AB0640">
        <w:t>(paragraphs 6.46, omaveloxolone PSD, March 2025 PBAC meeting)</w:t>
      </w:r>
      <w:r w:rsidR="00BD6329" w:rsidRPr="00AB0640">
        <w:t>:</w:t>
      </w:r>
      <w:bookmarkEnd w:id="29"/>
    </w:p>
    <w:p w14:paraId="0EF51355" w14:textId="4E010704" w:rsidR="00BD6329" w:rsidRPr="00AB0640" w:rsidRDefault="00340E79" w:rsidP="008028C6">
      <w:pPr>
        <w:pStyle w:val="Bulletpoints"/>
        <w:ind w:left="1080"/>
        <w:jc w:val="both"/>
      </w:pPr>
      <w:r w:rsidRPr="00AB0640">
        <w:t xml:space="preserve">Additional </w:t>
      </w:r>
      <w:r w:rsidR="00BD6329" w:rsidRPr="00AB0640">
        <w:t>important prognostic covariates such as GAA1 repeat length and pes cavus were not included due to incomplete data and differences in the method of evaluation</w:t>
      </w:r>
      <w:r w:rsidR="00AD287D" w:rsidRPr="00AB0640">
        <w:t>, respectively.</w:t>
      </w:r>
    </w:p>
    <w:p w14:paraId="17B269F8" w14:textId="1876FD3F" w:rsidR="00BD6329" w:rsidRPr="00AB0640" w:rsidRDefault="00340E79" w:rsidP="008028C6">
      <w:pPr>
        <w:pStyle w:val="Bulletpoints"/>
        <w:ind w:left="1080"/>
        <w:jc w:val="both"/>
      </w:pPr>
      <w:r w:rsidRPr="00AB0640">
        <w:t xml:space="preserve">There </w:t>
      </w:r>
      <w:r w:rsidR="00BD6329" w:rsidRPr="00AB0640">
        <w:t xml:space="preserve">was no indication that differences in the collection of data regarding concomitant medications were adjusted for. Recognising there are no approved treatments for FA, there was use of antioxidants, vitamins, and/or minerals in both studies, administered as BSC </w:t>
      </w:r>
      <w:proofErr w:type="gramStart"/>
      <w:r w:rsidR="00BD6329" w:rsidRPr="00AB0640">
        <w:t>in an attempt to</w:t>
      </w:r>
      <w:proofErr w:type="gramEnd"/>
      <w:r w:rsidR="00BD6329" w:rsidRPr="00AB0640">
        <w:t xml:space="preserve"> slow symptoms of disease progression.</w:t>
      </w:r>
      <w:r w:rsidR="00EF6B9E" w:rsidRPr="00AB0640">
        <w:t xml:space="preserve"> T</w:t>
      </w:r>
      <w:r w:rsidR="00BD6329" w:rsidRPr="00AB0640">
        <w:t>he comparability of clinical care of patients including physical therapy and training exercise, occupational therapy, routine orthopaedic care, gait aid provisions etc., between the MOXIe Extension study and the FACOMS registry was unknown.</w:t>
      </w:r>
    </w:p>
    <w:p w14:paraId="32981A8C" w14:textId="1CBC7EF4" w:rsidR="00BD6329" w:rsidRPr="00AB0640" w:rsidRDefault="00E50DC4" w:rsidP="008028C6">
      <w:pPr>
        <w:pStyle w:val="Bulletpoints"/>
        <w:ind w:left="1080"/>
        <w:jc w:val="both"/>
      </w:pPr>
      <w:r w:rsidRPr="00AB0640">
        <w:t>There was potential s</w:t>
      </w:r>
      <w:r w:rsidR="00340E79" w:rsidRPr="00AB0640">
        <w:t xml:space="preserve">election </w:t>
      </w:r>
      <w:r w:rsidR="00BD6329" w:rsidRPr="00AB0640">
        <w:t>bias</w:t>
      </w:r>
      <w:r w:rsidRPr="00AB0640">
        <w:t>.</w:t>
      </w:r>
      <w:r w:rsidR="00BD6329" w:rsidRPr="00AB0640">
        <w:t xml:space="preserve"> MOXIe Extension patients may have been healthier at baseline or responded better to omaveloxolone than those who did not participate in the extension study, which would bias measures of association towards a beneficial effect of omaveloxolone. Another concern </w:t>
      </w:r>
      <w:r w:rsidR="00F06556" w:rsidRPr="00AB0640">
        <w:t>wa</w:t>
      </w:r>
      <w:r w:rsidR="00BD6329" w:rsidRPr="00AB0640">
        <w:t xml:space="preserve">s that the natural history study </w:t>
      </w:r>
      <w:r w:rsidR="00F06556" w:rsidRPr="00AB0640">
        <w:t>wa</w:t>
      </w:r>
      <w:r w:rsidR="00BD6329" w:rsidRPr="00AB0640">
        <w:t xml:space="preserve">s likely to have less stringent inclusion and exclusion criteria, thus </w:t>
      </w:r>
      <w:r w:rsidR="00EF6B9E" w:rsidRPr="00AB0640">
        <w:t xml:space="preserve">the included </w:t>
      </w:r>
      <w:r w:rsidR="00BD6329" w:rsidRPr="00AB0640">
        <w:t>patients m</w:t>
      </w:r>
      <w:r w:rsidR="00F06556" w:rsidRPr="00AB0640">
        <w:t>ight</w:t>
      </w:r>
      <w:r w:rsidR="00BD6329" w:rsidRPr="00AB0640">
        <w:t xml:space="preserve"> be more likely to have severe FA, which would bias associations away from the null favouring omaveloxolone.</w:t>
      </w:r>
    </w:p>
    <w:p w14:paraId="103F4354" w14:textId="587A345F" w:rsidR="00BD6329" w:rsidRPr="00AB0640" w:rsidRDefault="00E50DC4" w:rsidP="008028C6">
      <w:pPr>
        <w:pStyle w:val="Bulletpoints"/>
        <w:ind w:left="1080"/>
        <w:jc w:val="both"/>
      </w:pPr>
      <w:r w:rsidRPr="00AB0640">
        <w:t>S</w:t>
      </w:r>
      <w:r w:rsidR="00BD6329" w:rsidRPr="00AB0640">
        <w:t xml:space="preserve">tudy participants in MOXIe Extension were excluded if they had a history of clinically significant cardiac disease, uncontrolled diabetes, B-type natriuretic peptide value </w:t>
      </w:r>
      <w:r w:rsidR="00202AE4">
        <w:t xml:space="preserve">&gt; </w:t>
      </w:r>
      <w:r w:rsidR="00BD6329" w:rsidRPr="00AB0640">
        <w:t>200 pg/mL, and cognitive impairment that may preclude ability to comply with study procedures. Thus, participants in the extension study were likely healthier and more able to comply with completion of mFARS assessments compared to the FACOMS study patients. This would bias associations away from the null and possibly favour omaveloxolone.</w:t>
      </w:r>
    </w:p>
    <w:p w14:paraId="6606B884" w14:textId="52D815FF" w:rsidR="00BD6329" w:rsidRPr="00AB0640" w:rsidRDefault="00E50DC4" w:rsidP="008028C6">
      <w:pPr>
        <w:pStyle w:val="Bulletpoints"/>
        <w:ind w:left="1080"/>
        <w:jc w:val="both"/>
      </w:pPr>
      <w:r w:rsidRPr="00AB0640">
        <w:t xml:space="preserve">Study </w:t>
      </w:r>
      <w:r w:rsidR="00BD6329" w:rsidRPr="00AB0640">
        <w:t>participants and researchers were not blinded to treatment status and the data collection processes differed between the two studies. Thus, there could be differences in the way study staff measured or recorded outcomes that biased the study effect estimates. The main outcome (mFARS) is a clinician-observed/performance-based outcome with standardised instructions. Misclassification remain</w:t>
      </w:r>
      <w:r w:rsidR="000A01D8" w:rsidRPr="00AB0640">
        <w:t>ed</w:t>
      </w:r>
      <w:r w:rsidR="00BD6329" w:rsidRPr="00AB0640">
        <w:t xml:space="preserve"> a concern.</w:t>
      </w:r>
    </w:p>
    <w:p w14:paraId="2AE19957" w14:textId="519C8B51" w:rsidR="00BD6329" w:rsidRPr="00AB0640" w:rsidRDefault="00E50DC4" w:rsidP="008028C6">
      <w:pPr>
        <w:pStyle w:val="Bulletpoints"/>
        <w:ind w:left="1080"/>
        <w:jc w:val="both"/>
      </w:pPr>
      <w:r w:rsidRPr="00AB0640">
        <w:lastRenderedPageBreak/>
        <w:t xml:space="preserve">The </w:t>
      </w:r>
      <w:r w:rsidR="00BD6329" w:rsidRPr="00AB0640">
        <w:t xml:space="preserve">impact of differences in frequency of mFARS assessment between the two studies </w:t>
      </w:r>
      <w:r w:rsidR="000A01D8" w:rsidRPr="00AB0640">
        <w:t>remained</w:t>
      </w:r>
      <w:r w:rsidR="00BD6329" w:rsidRPr="00AB0640">
        <w:t xml:space="preserve"> unknown. In the FACOMS natural history study, mFARS assessment was conducted on an annual basis, whereas mFARS was scheduled to be performed every 24 weeks in MOXIe Extension.</w:t>
      </w:r>
    </w:p>
    <w:p w14:paraId="2698285A" w14:textId="632316C6" w:rsidR="00934988" w:rsidRPr="00AB0640" w:rsidRDefault="00E50DC4" w:rsidP="008028C6">
      <w:pPr>
        <w:pStyle w:val="Bulletpoints"/>
        <w:ind w:left="1080"/>
        <w:jc w:val="both"/>
      </w:pPr>
      <w:r w:rsidRPr="00AB0640">
        <w:t xml:space="preserve">The </w:t>
      </w:r>
      <w:r w:rsidR="00BD6329" w:rsidRPr="00AB0640">
        <w:rPr>
          <w:i/>
          <w:iCs/>
        </w:rPr>
        <w:t>post-hoc</w:t>
      </w:r>
      <w:r w:rsidR="00BD6329" w:rsidRPr="00AB0640">
        <w:t xml:space="preserve"> nature of the analysis</w:t>
      </w:r>
      <w:r w:rsidR="00221E60" w:rsidRPr="00AB0640">
        <w:t>.</w:t>
      </w:r>
    </w:p>
    <w:p w14:paraId="1452C351" w14:textId="0D19F1B0" w:rsidR="00B60939" w:rsidRPr="00AB0640" w:rsidRDefault="00B60939" w:rsidP="008028C6">
      <w:pPr>
        <w:pStyle w:val="4-SubsectionHeading"/>
      </w:pPr>
      <w:bookmarkStart w:id="30" w:name="_Toc22897642"/>
      <w:bookmarkStart w:id="31" w:name="_Toc208932435"/>
      <w:r w:rsidRPr="00AB0640">
        <w:t>Comparative harms</w:t>
      </w:r>
      <w:bookmarkEnd w:id="30"/>
      <w:bookmarkEnd w:id="31"/>
    </w:p>
    <w:p w14:paraId="570EE024" w14:textId="608F6192" w:rsidR="00EF6B9E" w:rsidRPr="00AB0640" w:rsidRDefault="00EF6B9E" w:rsidP="008028C6">
      <w:pPr>
        <w:pStyle w:val="3-BodyText"/>
      </w:pPr>
      <w:r w:rsidRPr="00AB0640">
        <w:t xml:space="preserve">AEs and </w:t>
      </w:r>
      <w:r w:rsidR="000F17C4" w:rsidRPr="00AB0640">
        <w:t xml:space="preserve">common </w:t>
      </w:r>
      <w:r w:rsidRPr="00AB0640">
        <w:t>treatment</w:t>
      </w:r>
      <w:r w:rsidR="000F17C4" w:rsidRPr="00AB0640">
        <w:t>-</w:t>
      </w:r>
      <w:r w:rsidRPr="00AB0640">
        <w:t xml:space="preserve">emergent AEs (TEAEs) </w:t>
      </w:r>
      <w:r w:rsidR="00EB4771" w:rsidRPr="00AB0640">
        <w:t>from</w:t>
      </w:r>
      <w:r w:rsidRPr="00AB0640">
        <w:t xml:space="preserve"> MOXIe Part 2 are summarised in </w:t>
      </w:r>
      <w:r w:rsidRPr="00AB0640">
        <w:fldChar w:fldCharType="begin" w:fldLock="1"/>
      </w:r>
      <w:r w:rsidRPr="00AB0640">
        <w:instrText xml:space="preserve"> REF _Ref205471878 \h </w:instrText>
      </w:r>
      <w:r w:rsidRPr="00AB0640">
        <w:fldChar w:fldCharType="separate"/>
      </w:r>
      <w:r w:rsidR="00E056AF" w:rsidRPr="00AB0640">
        <w:t xml:space="preserve">Table </w:t>
      </w:r>
      <w:r w:rsidR="00E056AF">
        <w:rPr>
          <w:noProof/>
        </w:rPr>
        <w:t>9</w:t>
      </w:r>
      <w:r w:rsidRPr="00AB0640">
        <w:fldChar w:fldCharType="end"/>
      </w:r>
      <w:r w:rsidRPr="00AB0640">
        <w:t xml:space="preserve">. </w:t>
      </w:r>
    </w:p>
    <w:p w14:paraId="67D06AF5" w14:textId="0BBC173E" w:rsidR="00EF6B9E" w:rsidRPr="00AB0640" w:rsidRDefault="00EF6B9E" w:rsidP="008028C6">
      <w:pPr>
        <w:pStyle w:val="Caption"/>
      </w:pPr>
      <w:bookmarkStart w:id="32" w:name="_Ref205471878"/>
      <w:r w:rsidRPr="00AB0640">
        <w:t xml:space="preserve">Table </w:t>
      </w:r>
      <w:r w:rsidR="00E056AF">
        <w:fldChar w:fldCharType="begin" w:fldLock="1"/>
      </w:r>
      <w:r w:rsidR="00E056AF">
        <w:instrText xml:space="preserve"> SEQ Table \* ARABIC </w:instrText>
      </w:r>
      <w:r w:rsidR="00E056AF">
        <w:fldChar w:fldCharType="separate"/>
      </w:r>
      <w:r w:rsidR="00E056AF">
        <w:rPr>
          <w:noProof/>
        </w:rPr>
        <w:t>9</w:t>
      </w:r>
      <w:r w:rsidR="00E056AF">
        <w:rPr>
          <w:noProof/>
        </w:rPr>
        <w:fldChar w:fldCharType="end"/>
      </w:r>
      <w:bookmarkEnd w:id="32"/>
      <w:r w:rsidRPr="00AB0640">
        <w:t xml:space="preserve">: Overall AEs and TEAEs in MOXIE Part 2 (Safety population) </w:t>
      </w:r>
    </w:p>
    <w:tbl>
      <w:tblPr>
        <w:tblStyle w:val="TableGrid"/>
        <w:tblW w:w="5000" w:type="pct"/>
        <w:shd w:val="clear" w:color="auto" w:fill="B8CCE4" w:themeFill="accent1" w:themeFillTint="66"/>
        <w:tblLook w:val="04A0" w:firstRow="1" w:lastRow="0" w:firstColumn="1" w:lastColumn="0" w:noHBand="0" w:noVBand="1"/>
        <w:tblCaption w:val="Table 9: Overall AEs and TEAEs in MOXIE Part 2 (Safety population) "/>
      </w:tblPr>
      <w:tblGrid>
        <w:gridCol w:w="3475"/>
        <w:gridCol w:w="2160"/>
        <w:gridCol w:w="1800"/>
        <w:gridCol w:w="1582"/>
      </w:tblGrid>
      <w:tr w:rsidR="00EF6B9E" w:rsidRPr="00AB0640" w14:paraId="7E6AA24A" w14:textId="77777777" w:rsidTr="0065379D">
        <w:trPr>
          <w:cantSplit/>
          <w:trHeight w:val="326"/>
        </w:trPr>
        <w:tc>
          <w:tcPr>
            <w:tcW w:w="192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1A41803" w14:textId="77777777" w:rsidR="00EF6B9E" w:rsidRPr="00AB0640" w:rsidRDefault="00EF6B9E" w:rsidP="008028C6">
            <w:pPr>
              <w:pStyle w:val="PBACTabletext"/>
              <w:spacing w:before="0" w:after="0"/>
              <w:rPr>
                <w:b/>
                <w:bCs/>
              </w:rPr>
            </w:pPr>
            <w:r w:rsidRPr="00AB0640">
              <w:rPr>
                <w:b/>
                <w:bCs/>
              </w:rPr>
              <w:t>AE</w:t>
            </w:r>
          </w:p>
        </w:tc>
        <w:tc>
          <w:tcPr>
            <w:tcW w:w="119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F3A1137" w14:textId="77777777" w:rsidR="00EF6B9E" w:rsidRPr="00AB0640" w:rsidRDefault="00EF6B9E" w:rsidP="008028C6">
            <w:pPr>
              <w:pStyle w:val="PBACTabletext"/>
              <w:spacing w:before="0" w:after="0"/>
              <w:jc w:val="center"/>
              <w:rPr>
                <w:b/>
                <w:bCs/>
              </w:rPr>
            </w:pPr>
            <w:r w:rsidRPr="00AB0640">
              <w:rPr>
                <w:b/>
                <w:bCs/>
              </w:rPr>
              <w:t>Omaveloxolone 150 mg</w:t>
            </w:r>
          </w:p>
          <w:p w14:paraId="01B35AED" w14:textId="77777777" w:rsidR="00EF6B9E" w:rsidRPr="00AB0640" w:rsidRDefault="00EF6B9E" w:rsidP="008028C6">
            <w:pPr>
              <w:pStyle w:val="PBACTabletext"/>
              <w:spacing w:before="0" w:after="0"/>
              <w:jc w:val="center"/>
              <w:rPr>
                <w:b/>
                <w:bCs/>
              </w:rPr>
            </w:pPr>
            <w:r w:rsidRPr="00AB0640">
              <w:rPr>
                <w:b/>
                <w:bCs/>
              </w:rPr>
              <w:t>(N=51)</w:t>
            </w:r>
          </w:p>
        </w:tc>
        <w:tc>
          <w:tcPr>
            <w:tcW w:w="99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8B3F7CF" w14:textId="77777777" w:rsidR="00EF6B9E" w:rsidRPr="00AB0640" w:rsidRDefault="00EF6B9E" w:rsidP="008028C6">
            <w:pPr>
              <w:pStyle w:val="PBACTabletext"/>
              <w:spacing w:before="0" w:after="0"/>
              <w:jc w:val="center"/>
              <w:rPr>
                <w:b/>
                <w:bCs/>
              </w:rPr>
            </w:pPr>
            <w:r w:rsidRPr="00AB0640">
              <w:rPr>
                <w:b/>
                <w:bCs/>
              </w:rPr>
              <w:t>Placebo</w:t>
            </w:r>
          </w:p>
          <w:p w14:paraId="0B36A582" w14:textId="77777777" w:rsidR="00EF6B9E" w:rsidRPr="00AB0640" w:rsidRDefault="00EF6B9E" w:rsidP="008028C6">
            <w:pPr>
              <w:pStyle w:val="PBACTabletext"/>
              <w:spacing w:before="0" w:after="0"/>
              <w:jc w:val="center"/>
              <w:rPr>
                <w:b/>
                <w:bCs/>
              </w:rPr>
            </w:pPr>
            <w:r w:rsidRPr="00AB0640">
              <w:rPr>
                <w:b/>
                <w:bCs/>
              </w:rPr>
              <w:t>(N=52)</w:t>
            </w:r>
          </w:p>
        </w:tc>
        <w:tc>
          <w:tcPr>
            <w:tcW w:w="87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A782685" w14:textId="77777777" w:rsidR="00EF6B9E" w:rsidRPr="00AB0640" w:rsidRDefault="00EF6B9E" w:rsidP="008028C6">
            <w:pPr>
              <w:pStyle w:val="PBACTabletext"/>
              <w:spacing w:before="0" w:after="0"/>
              <w:jc w:val="center"/>
              <w:rPr>
                <w:b/>
                <w:bCs/>
              </w:rPr>
            </w:pPr>
            <w:r w:rsidRPr="00AB0640">
              <w:rPr>
                <w:b/>
                <w:bCs/>
              </w:rPr>
              <w:t>RD (95% CI)</w:t>
            </w:r>
          </w:p>
        </w:tc>
      </w:tr>
      <w:tr w:rsidR="00EF6B9E" w:rsidRPr="00AB0640" w14:paraId="3434AEE1" w14:textId="77777777" w:rsidTr="0065379D">
        <w:trPr>
          <w:cantSplit/>
        </w:trPr>
        <w:tc>
          <w:tcPr>
            <w:tcW w:w="192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BE0F940" w14:textId="77777777" w:rsidR="00EF6B9E" w:rsidRPr="00AB0640" w:rsidRDefault="00EF6B9E" w:rsidP="008028C6">
            <w:pPr>
              <w:pStyle w:val="PBACTabletext"/>
              <w:spacing w:before="0" w:after="0"/>
            </w:pPr>
            <w:r w:rsidRPr="00AB0640">
              <w:t>Patients with at least one AE</w:t>
            </w:r>
          </w:p>
        </w:tc>
        <w:tc>
          <w:tcPr>
            <w:tcW w:w="119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0C6FC91" w14:textId="77777777" w:rsidR="00EF6B9E" w:rsidRPr="00AB0640" w:rsidRDefault="00EF6B9E" w:rsidP="008028C6">
            <w:pPr>
              <w:pStyle w:val="PBACTabletext"/>
              <w:spacing w:before="0" w:after="0"/>
              <w:jc w:val="center"/>
            </w:pPr>
            <w:r w:rsidRPr="00AB0640">
              <w:t>51/51 (100%)</w:t>
            </w:r>
          </w:p>
        </w:tc>
        <w:tc>
          <w:tcPr>
            <w:tcW w:w="99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CD42B3B" w14:textId="77777777" w:rsidR="00EF6B9E" w:rsidRPr="00AB0640" w:rsidRDefault="00EF6B9E" w:rsidP="008028C6">
            <w:pPr>
              <w:pStyle w:val="PBACTabletext"/>
              <w:spacing w:before="0" w:after="0"/>
              <w:jc w:val="center"/>
            </w:pPr>
            <w:r w:rsidRPr="00AB0640">
              <w:t>52/52 (100%)</w:t>
            </w:r>
          </w:p>
        </w:tc>
        <w:tc>
          <w:tcPr>
            <w:tcW w:w="87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28B4723" w14:textId="77777777" w:rsidR="00EF6B9E" w:rsidRPr="00AB0640" w:rsidRDefault="00EF6B9E" w:rsidP="008028C6">
            <w:pPr>
              <w:pStyle w:val="PBACTabletext"/>
              <w:spacing w:before="0" w:after="0"/>
              <w:jc w:val="center"/>
            </w:pPr>
            <w:r w:rsidRPr="00AB0640">
              <w:t>0.00 (0.00, 0.00)</w:t>
            </w:r>
          </w:p>
        </w:tc>
      </w:tr>
      <w:tr w:rsidR="00EF6B9E" w:rsidRPr="00AB0640" w14:paraId="65A55A7C" w14:textId="77777777" w:rsidTr="0065379D">
        <w:trPr>
          <w:cantSplit/>
        </w:trPr>
        <w:tc>
          <w:tcPr>
            <w:tcW w:w="192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425CB2D" w14:textId="77777777" w:rsidR="00EF6B9E" w:rsidRPr="00AB0640" w:rsidRDefault="00EF6B9E" w:rsidP="008028C6">
            <w:pPr>
              <w:pStyle w:val="PBACTabletext"/>
              <w:spacing w:before="0" w:after="0"/>
            </w:pPr>
            <w:r w:rsidRPr="00AB0640">
              <w:t>Patients with at least one drug-related AE</w:t>
            </w:r>
          </w:p>
        </w:tc>
        <w:tc>
          <w:tcPr>
            <w:tcW w:w="119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8F05B3C" w14:textId="77777777" w:rsidR="00EF6B9E" w:rsidRPr="00AB0640" w:rsidRDefault="00EF6B9E" w:rsidP="008028C6">
            <w:pPr>
              <w:pStyle w:val="PBACTabletext"/>
              <w:spacing w:before="0" w:after="0"/>
              <w:jc w:val="center"/>
            </w:pPr>
            <w:r w:rsidRPr="00AB0640">
              <w:t>37/51 (72.6%)</w:t>
            </w:r>
          </w:p>
        </w:tc>
        <w:tc>
          <w:tcPr>
            <w:tcW w:w="99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7E8D720" w14:textId="77777777" w:rsidR="00EF6B9E" w:rsidRPr="00AB0640" w:rsidRDefault="00EF6B9E" w:rsidP="008028C6">
            <w:pPr>
              <w:pStyle w:val="PBACTabletext"/>
              <w:spacing w:before="0" w:after="0"/>
              <w:jc w:val="center"/>
            </w:pPr>
            <w:r w:rsidRPr="00AB0640">
              <w:t>19/52 (36.5%)</w:t>
            </w:r>
          </w:p>
        </w:tc>
        <w:tc>
          <w:tcPr>
            <w:tcW w:w="87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A91C7A9" w14:textId="77777777" w:rsidR="00EF6B9E" w:rsidRPr="00AB0640" w:rsidRDefault="00EF6B9E" w:rsidP="008028C6">
            <w:pPr>
              <w:pStyle w:val="PBACTabletext"/>
              <w:spacing w:before="0" w:after="0"/>
              <w:jc w:val="center"/>
            </w:pPr>
            <w:r w:rsidRPr="00AB0640">
              <w:t>0.36 (0.17, 0.55)</w:t>
            </w:r>
          </w:p>
        </w:tc>
      </w:tr>
      <w:tr w:rsidR="00EF6B9E" w:rsidRPr="00AB0640" w14:paraId="2A0A92B2" w14:textId="77777777" w:rsidTr="0065379D">
        <w:trPr>
          <w:cantSplit/>
        </w:trPr>
        <w:tc>
          <w:tcPr>
            <w:tcW w:w="192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38D3AD0" w14:textId="77777777" w:rsidR="00EF6B9E" w:rsidRPr="00AB0640" w:rsidRDefault="00EF6B9E" w:rsidP="008028C6">
            <w:pPr>
              <w:pStyle w:val="PBACTabletext"/>
              <w:spacing w:before="0" w:after="0"/>
            </w:pPr>
            <w:r w:rsidRPr="00AB0640">
              <w:t>Patients with at least one severe AE</w:t>
            </w:r>
          </w:p>
        </w:tc>
        <w:tc>
          <w:tcPr>
            <w:tcW w:w="119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C160964" w14:textId="77777777" w:rsidR="00EF6B9E" w:rsidRPr="00AB0640" w:rsidRDefault="00EF6B9E" w:rsidP="008028C6">
            <w:pPr>
              <w:pStyle w:val="PBACTabletext"/>
              <w:spacing w:before="0" w:after="0"/>
              <w:jc w:val="center"/>
            </w:pPr>
            <w:r w:rsidRPr="00AB0640">
              <w:t>5/51 (9.8%)</w:t>
            </w:r>
          </w:p>
        </w:tc>
        <w:tc>
          <w:tcPr>
            <w:tcW w:w="99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4731446" w14:textId="77777777" w:rsidR="00EF6B9E" w:rsidRPr="00AB0640" w:rsidRDefault="00EF6B9E" w:rsidP="008028C6">
            <w:pPr>
              <w:pStyle w:val="PBACTabletext"/>
              <w:spacing w:before="0" w:after="0"/>
              <w:jc w:val="center"/>
            </w:pPr>
            <w:r w:rsidRPr="00AB0640">
              <w:t>0/52 (0%)</w:t>
            </w:r>
          </w:p>
        </w:tc>
        <w:tc>
          <w:tcPr>
            <w:tcW w:w="87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DDD9E31" w14:textId="77777777" w:rsidR="00EF6B9E" w:rsidRPr="00AB0640" w:rsidRDefault="00EF6B9E" w:rsidP="008028C6">
            <w:pPr>
              <w:pStyle w:val="PBACTabletext"/>
              <w:spacing w:before="0" w:after="0"/>
              <w:jc w:val="center"/>
            </w:pPr>
            <w:r w:rsidRPr="00AB0640">
              <w:t>0.10 [0.02, 0.18)</w:t>
            </w:r>
          </w:p>
        </w:tc>
      </w:tr>
      <w:tr w:rsidR="00EF6B9E" w:rsidRPr="00AB0640" w14:paraId="09E7F1E7" w14:textId="77777777" w:rsidTr="0065379D">
        <w:trPr>
          <w:cantSplit/>
        </w:trPr>
        <w:tc>
          <w:tcPr>
            <w:tcW w:w="192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AA88C8" w14:textId="77777777" w:rsidR="00EF6B9E" w:rsidRPr="00AB0640" w:rsidRDefault="00EF6B9E" w:rsidP="008028C6">
            <w:pPr>
              <w:pStyle w:val="PBACTabletext"/>
              <w:spacing w:before="0" w:after="0"/>
            </w:pPr>
            <w:r w:rsidRPr="00AB0640">
              <w:t>Patients with at least one SAE</w:t>
            </w:r>
          </w:p>
        </w:tc>
        <w:tc>
          <w:tcPr>
            <w:tcW w:w="119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34E63DC" w14:textId="77777777" w:rsidR="00EF6B9E" w:rsidRPr="00AB0640" w:rsidRDefault="00EF6B9E" w:rsidP="008028C6">
            <w:pPr>
              <w:pStyle w:val="PBACTabletext"/>
              <w:spacing w:before="0" w:after="0"/>
              <w:jc w:val="center"/>
            </w:pPr>
            <w:r w:rsidRPr="00AB0640">
              <w:t>5/51 (9.8%)</w:t>
            </w:r>
          </w:p>
        </w:tc>
        <w:tc>
          <w:tcPr>
            <w:tcW w:w="99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159A47F" w14:textId="77777777" w:rsidR="00EF6B9E" w:rsidRPr="00AB0640" w:rsidRDefault="00EF6B9E" w:rsidP="008028C6">
            <w:pPr>
              <w:pStyle w:val="PBACTabletext"/>
              <w:spacing w:before="0" w:after="0"/>
              <w:jc w:val="center"/>
            </w:pPr>
            <w:r w:rsidRPr="00AB0640">
              <w:t>3/52 (5.8%)</w:t>
            </w:r>
          </w:p>
        </w:tc>
        <w:tc>
          <w:tcPr>
            <w:tcW w:w="87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708711B" w14:textId="77777777" w:rsidR="00EF6B9E" w:rsidRPr="00AB0640" w:rsidRDefault="00EF6B9E" w:rsidP="008028C6">
            <w:pPr>
              <w:pStyle w:val="PBACTabletext"/>
              <w:spacing w:before="0" w:after="0"/>
              <w:jc w:val="center"/>
            </w:pPr>
            <w:r w:rsidRPr="00AB0640">
              <w:t>0.04 (-0.06, 0.14)</w:t>
            </w:r>
          </w:p>
        </w:tc>
      </w:tr>
      <w:tr w:rsidR="00EF6B9E" w:rsidRPr="00AB0640" w14:paraId="1E1EE39F" w14:textId="77777777" w:rsidTr="0065379D">
        <w:trPr>
          <w:cantSplit/>
        </w:trPr>
        <w:tc>
          <w:tcPr>
            <w:tcW w:w="192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237DD46" w14:textId="77777777" w:rsidR="00EF6B9E" w:rsidRPr="00AB0640" w:rsidRDefault="00EF6B9E" w:rsidP="008028C6">
            <w:pPr>
              <w:pStyle w:val="PBACTabletext"/>
              <w:spacing w:before="0" w:after="0"/>
            </w:pPr>
            <w:r w:rsidRPr="00AB0640">
              <w:t>Patients with at least one drug-related SAE</w:t>
            </w:r>
          </w:p>
        </w:tc>
        <w:tc>
          <w:tcPr>
            <w:tcW w:w="119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4307C4D" w14:textId="77777777" w:rsidR="00EF6B9E" w:rsidRPr="00AB0640" w:rsidRDefault="00EF6B9E" w:rsidP="008028C6">
            <w:pPr>
              <w:pStyle w:val="PBACTabletext"/>
              <w:spacing w:before="0" w:after="0"/>
              <w:jc w:val="center"/>
            </w:pPr>
            <w:r w:rsidRPr="00AB0640">
              <w:t>1/51 (2.0%)</w:t>
            </w:r>
          </w:p>
        </w:tc>
        <w:tc>
          <w:tcPr>
            <w:tcW w:w="99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31D86D0" w14:textId="77777777" w:rsidR="00EF6B9E" w:rsidRPr="00AB0640" w:rsidRDefault="00EF6B9E" w:rsidP="008028C6">
            <w:pPr>
              <w:pStyle w:val="PBACTabletext"/>
              <w:spacing w:before="0" w:after="0"/>
              <w:jc w:val="center"/>
            </w:pPr>
            <w:r w:rsidRPr="00AB0640">
              <w:t>0/52 (0%)</w:t>
            </w:r>
          </w:p>
        </w:tc>
        <w:tc>
          <w:tcPr>
            <w:tcW w:w="87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EC9C887" w14:textId="77777777" w:rsidR="00EF6B9E" w:rsidRPr="00AB0640" w:rsidRDefault="00EF6B9E" w:rsidP="008028C6">
            <w:pPr>
              <w:pStyle w:val="PBACTabletext"/>
              <w:spacing w:before="0" w:after="0"/>
              <w:jc w:val="center"/>
            </w:pPr>
            <w:r w:rsidRPr="00AB0640">
              <w:t>0.02 (-0.02, 0.06)</w:t>
            </w:r>
          </w:p>
        </w:tc>
      </w:tr>
      <w:tr w:rsidR="00EF6B9E" w:rsidRPr="00AB0640" w14:paraId="4CA7E8DC" w14:textId="77777777" w:rsidTr="0065379D">
        <w:trPr>
          <w:cantSplit/>
        </w:trPr>
        <w:tc>
          <w:tcPr>
            <w:tcW w:w="192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20F18EA" w14:textId="77777777" w:rsidR="00EF6B9E" w:rsidRPr="00AB0640" w:rsidRDefault="00EF6B9E" w:rsidP="008028C6">
            <w:pPr>
              <w:pStyle w:val="PBACTabletext"/>
              <w:spacing w:before="0" w:after="0"/>
            </w:pPr>
            <w:r w:rsidRPr="00AB0640">
              <w:t>Patients with AEs leading to permanent treatment discontinuation</w:t>
            </w:r>
          </w:p>
        </w:tc>
        <w:tc>
          <w:tcPr>
            <w:tcW w:w="119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83B8DCB" w14:textId="77777777" w:rsidR="00EF6B9E" w:rsidRPr="00AB0640" w:rsidRDefault="00EF6B9E" w:rsidP="008028C6">
            <w:pPr>
              <w:pStyle w:val="PBACTabletext"/>
              <w:spacing w:before="0" w:after="0"/>
              <w:jc w:val="center"/>
            </w:pPr>
            <w:r w:rsidRPr="00AB0640">
              <w:t>4/51 (7.8%)</w:t>
            </w:r>
          </w:p>
        </w:tc>
        <w:tc>
          <w:tcPr>
            <w:tcW w:w="99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FBB74D8" w14:textId="7A9E5171" w:rsidR="00EF6B9E" w:rsidRPr="00AB0640" w:rsidRDefault="00EF6B9E" w:rsidP="008028C6">
            <w:pPr>
              <w:pStyle w:val="PBACTabletext"/>
              <w:spacing w:before="0" w:after="0"/>
              <w:jc w:val="center"/>
            </w:pPr>
            <w:r w:rsidRPr="00AB0640">
              <w:t>2/52 (3.</w:t>
            </w:r>
            <w:r w:rsidR="00E644E7" w:rsidRPr="00AB0640">
              <w:t>8</w:t>
            </w:r>
            <w:r w:rsidRPr="00AB0640">
              <w:t>%)</w:t>
            </w:r>
          </w:p>
        </w:tc>
        <w:tc>
          <w:tcPr>
            <w:tcW w:w="87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57E62FA" w14:textId="77777777" w:rsidR="00EF6B9E" w:rsidRPr="00AB0640" w:rsidRDefault="00EF6B9E" w:rsidP="008028C6">
            <w:pPr>
              <w:pStyle w:val="PBACTabletext"/>
              <w:spacing w:before="0" w:after="0"/>
              <w:jc w:val="center"/>
            </w:pPr>
            <w:r w:rsidRPr="00AB0640">
              <w:t>0.04 (-0.05, 0.13)</w:t>
            </w:r>
          </w:p>
        </w:tc>
      </w:tr>
      <w:tr w:rsidR="00EF6B9E" w:rsidRPr="00AB0640" w14:paraId="0867A331" w14:textId="77777777" w:rsidTr="0065379D">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09D2A2B" w14:textId="77777777" w:rsidR="00EF6B9E" w:rsidRPr="00AB0640" w:rsidRDefault="00EF6B9E" w:rsidP="008028C6">
            <w:pPr>
              <w:pStyle w:val="PBACTabletext"/>
              <w:spacing w:before="0" w:after="0"/>
              <w:rPr>
                <w:b/>
                <w:bCs/>
              </w:rPr>
            </w:pPr>
            <w:r w:rsidRPr="00AB0640">
              <w:rPr>
                <w:b/>
                <w:bCs/>
              </w:rPr>
              <w:t>TEAEs ≥ 20% of patients in either treatment arm</w:t>
            </w:r>
          </w:p>
        </w:tc>
      </w:tr>
      <w:tr w:rsidR="00EF6B9E" w:rsidRPr="00AB0640" w14:paraId="51285E1D" w14:textId="77777777" w:rsidTr="0065379D">
        <w:trPr>
          <w:cantSplit/>
        </w:trPr>
        <w:tc>
          <w:tcPr>
            <w:tcW w:w="192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AEC540A" w14:textId="77777777" w:rsidR="00EF6B9E" w:rsidRPr="00AB0640" w:rsidRDefault="00EF6B9E" w:rsidP="008028C6">
            <w:pPr>
              <w:pStyle w:val="PBACTabletext"/>
              <w:spacing w:before="0" w:after="0"/>
            </w:pPr>
            <w:r w:rsidRPr="00AB0640">
              <w:t>Nausea</w:t>
            </w:r>
          </w:p>
        </w:tc>
        <w:tc>
          <w:tcPr>
            <w:tcW w:w="119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760B0D1" w14:textId="77777777" w:rsidR="00EF6B9E" w:rsidRPr="00AB0640" w:rsidRDefault="00EF6B9E" w:rsidP="008028C6">
            <w:pPr>
              <w:pStyle w:val="PBACTabletext"/>
              <w:spacing w:before="0" w:after="0"/>
              <w:jc w:val="center"/>
            </w:pPr>
            <w:r w:rsidRPr="00AB0640">
              <w:t>17/51 (33.3%)</w:t>
            </w:r>
          </w:p>
        </w:tc>
        <w:tc>
          <w:tcPr>
            <w:tcW w:w="99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36C09B5" w14:textId="77777777" w:rsidR="00EF6B9E" w:rsidRPr="00AB0640" w:rsidRDefault="00EF6B9E" w:rsidP="008028C6">
            <w:pPr>
              <w:pStyle w:val="PBACTabletext"/>
              <w:spacing w:before="0" w:after="0"/>
              <w:jc w:val="center"/>
            </w:pPr>
            <w:r w:rsidRPr="00AB0640">
              <w:t>7/52 (13.5%)</w:t>
            </w:r>
          </w:p>
        </w:tc>
        <w:tc>
          <w:tcPr>
            <w:tcW w:w="87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2BD3F0B" w14:textId="77777777" w:rsidR="00EF6B9E" w:rsidRPr="00AB0640" w:rsidRDefault="00EF6B9E" w:rsidP="008028C6">
            <w:pPr>
              <w:pStyle w:val="PBACTabletext"/>
              <w:spacing w:before="0" w:after="0"/>
              <w:jc w:val="center"/>
            </w:pPr>
            <w:r w:rsidRPr="00AB0640">
              <w:t>0.20 (0.04, 0.36)</w:t>
            </w:r>
          </w:p>
        </w:tc>
      </w:tr>
      <w:tr w:rsidR="00EF6B9E" w:rsidRPr="00AB0640" w14:paraId="5A9E2604" w14:textId="77777777" w:rsidTr="0065379D">
        <w:trPr>
          <w:cantSplit/>
        </w:trPr>
        <w:tc>
          <w:tcPr>
            <w:tcW w:w="192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4AF6591" w14:textId="77777777" w:rsidR="00EF6B9E" w:rsidRPr="00AB0640" w:rsidRDefault="00EF6B9E" w:rsidP="008028C6">
            <w:pPr>
              <w:pStyle w:val="PBACTabletext"/>
              <w:spacing w:before="0" w:after="0"/>
            </w:pPr>
            <w:r w:rsidRPr="00AB0640">
              <w:t>Abdominal pain</w:t>
            </w:r>
          </w:p>
        </w:tc>
        <w:tc>
          <w:tcPr>
            <w:tcW w:w="119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7D815CA" w14:textId="77777777" w:rsidR="00EF6B9E" w:rsidRPr="00AB0640" w:rsidRDefault="00EF6B9E" w:rsidP="008028C6">
            <w:pPr>
              <w:pStyle w:val="PBACTabletext"/>
              <w:spacing w:before="0" w:after="0"/>
              <w:jc w:val="center"/>
            </w:pPr>
            <w:r w:rsidRPr="00AB0640">
              <w:t>11/51 (21.6%)</w:t>
            </w:r>
          </w:p>
        </w:tc>
        <w:tc>
          <w:tcPr>
            <w:tcW w:w="99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7C89D02" w14:textId="77777777" w:rsidR="00EF6B9E" w:rsidRPr="00AB0640" w:rsidRDefault="00EF6B9E" w:rsidP="008028C6">
            <w:pPr>
              <w:pStyle w:val="PBACTabletext"/>
              <w:spacing w:before="0" w:after="0"/>
              <w:jc w:val="center"/>
            </w:pPr>
            <w:r w:rsidRPr="00AB0640">
              <w:t>3/52 (5.8%)</w:t>
            </w:r>
          </w:p>
        </w:tc>
        <w:tc>
          <w:tcPr>
            <w:tcW w:w="87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63C1929" w14:textId="77777777" w:rsidR="00EF6B9E" w:rsidRPr="00AB0640" w:rsidRDefault="00EF6B9E" w:rsidP="008028C6">
            <w:pPr>
              <w:pStyle w:val="PBACTabletext"/>
              <w:spacing w:before="0" w:after="0"/>
              <w:jc w:val="center"/>
            </w:pPr>
            <w:r w:rsidRPr="00AB0640">
              <w:t>0.16 (0.03, 0.29)</w:t>
            </w:r>
          </w:p>
        </w:tc>
      </w:tr>
      <w:tr w:rsidR="00EF6B9E" w:rsidRPr="00AB0640" w14:paraId="0199F666" w14:textId="77777777" w:rsidTr="0065379D">
        <w:trPr>
          <w:cantSplit/>
        </w:trPr>
        <w:tc>
          <w:tcPr>
            <w:tcW w:w="192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025456B" w14:textId="77777777" w:rsidR="00EF6B9E" w:rsidRPr="00AB0640" w:rsidRDefault="00EF6B9E" w:rsidP="008028C6">
            <w:pPr>
              <w:pStyle w:val="PBACTabletext"/>
              <w:spacing w:before="0" w:after="0"/>
            </w:pPr>
            <w:r w:rsidRPr="00AB0640">
              <w:t>Diarrhoea</w:t>
            </w:r>
          </w:p>
        </w:tc>
        <w:tc>
          <w:tcPr>
            <w:tcW w:w="119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0E4C4CE" w14:textId="77777777" w:rsidR="00EF6B9E" w:rsidRPr="00AB0640" w:rsidRDefault="00EF6B9E" w:rsidP="008028C6">
            <w:pPr>
              <w:pStyle w:val="PBACTabletext"/>
              <w:spacing w:before="0" w:after="0"/>
              <w:jc w:val="center"/>
            </w:pPr>
            <w:r w:rsidRPr="00AB0640">
              <w:t>10/51 (19.6%)</w:t>
            </w:r>
          </w:p>
        </w:tc>
        <w:tc>
          <w:tcPr>
            <w:tcW w:w="99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35EEFBF" w14:textId="77777777" w:rsidR="00EF6B9E" w:rsidRPr="00AB0640" w:rsidRDefault="00EF6B9E" w:rsidP="008028C6">
            <w:pPr>
              <w:pStyle w:val="PBACTabletext"/>
              <w:spacing w:before="0" w:after="0"/>
              <w:jc w:val="center"/>
            </w:pPr>
            <w:r w:rsidRPr="00AB0640">
              <w:t>5/52 (9.6%)</w:t>
            </w:r>
          </w:p>
        </w:tc>
        <w:tc>
          <w:tcPr>
            <w:tcW w:w="87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20639A" w14:textId="77777777" w:rsidR="00EF6B9E" w:rsidRPr="00AB0640" w:rsidRDefault="00EF6B9E" w:rsidP="008028C6">
            <w:pPr>
              <w:pStyle w:val="PBACTabletext"/>
              <w:spacing w:before="0" w:after="0"/>
              <w:jc w:val="center"/>
            </w:pPr>
            <w:r w:rsidRPr="00AB0640">
              <w:t>0.10 (-0.04, 0.24)</w:t>
            </w:r>
          </w:p>
        </w:tc>
      </w:tr>
      <w:tr w:rsidR="00EF6B9E" w:rsidRPr="00AB0640" w14:paraId="08CFF719" w14:textId="77777777" w:rsidTr="0065379D">
        <w:trPr>
          <w:cantSplit/>
        </w:trPr>
        <w:tc>
          <w:tcPr>
            <w:tcW w:w="192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A8E4674" w14:textId="77777777" w:rsidR="00EF6B9E" w:rsidRPr="00AB0640" w:rsidRDefault="00EF6B9E" w:rsidP="008028C6">
            <w:pPr>
              <w:pStyle w:val="PBACTabletext"/>
              <w:spacing w:before="0" w:after="0"/>
            </w:pPr>
            <w:r w:rsidRPr="00AB0640">
              <w:t>Fatigue</w:t>
            </w:r>
          </w:p>
        </w:tc>
        <w:tc>
          <w:tcPr>
            <w:tcW w:w="119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F3187BE" w14:textId="77777777" w:rsidR="00EF6B9E" w:rsidRPr="00AB0640" w:rsidRDefault="00EF6B9E" w:rsidP="008028C6">
            <w:pPr>
              <w:pStyle w:val="PBACTabletext"/>
              <w:spacing w:before="0" w:after="0"/>
              <w:jc w:val="center"/>
            </w:pPr>
            <w:r w:rsidRPr="00AB0640">
              <w:t>11/51 (21.6%)</w:t>
            </w:r>
          </w:p>
        </w:tc>
        <w:tc>
          <w:tcPr>
            <w:tcW w:w="99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A313A75" w14:textId="77777777" w:rsidR="00EF6B9E" w:rsidRPr="00AB0640" w:rsidRDefault="00EF6B9E" w:rsidP="008028C6">
            <w:pPr>
              <w:pStyle w:val="PBACTabletext"/>
              <w:spacing w:before="0" w:after="0"/>
              <w:jc w:val="center"/>
            </w:pPr>
            <w:r w:rsidRPr="00AB0640">
              <w:t>7/52 (13.5%)</w:t>
            </w:r>
          </w:p>
        </w:tc>
        <w:tc>
          <w:tcPr>
            <w:tcW w:w="87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D9C8610" w14:textId="77777777" w:rsidR="00EF6B9E" w:rsidRPr="00AB0640" w:rsidRDefault="00EF6B9E" w:rsidP="008028C6">
            <w:pPr>
              <w:pStyle w:val="PBACTabletext"/>
              <w:spacing w:before="0" w:after="0"/>
              <w:jc w:val="center"/>
            </w:pPr>
            <w:r w:rsidRPr="00AB0640">
              <w:t>0.08 (-0.07, 0.23)</w:t>
            </w:r>
          </w:p>
        </w:tc>
      </w:tr>
      <w:tr w:rsidR="00EF6B9E" w:rsidRPr="00AB0640" w14:paraId="49388AD2" w14:textId="77777777" w:rsidTr="0065379D">
        <w:trPr>
          <w:cantSplit/>
        </w:trPr>
        <w:tc>
          <w:tcPr>
            <w:tcW w:w="192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D47210C" w14:textId="77777777" w:rsidR="00EF6B9E" w:rsidRPr="00AB0640" w:rsidRDefault="00EF6B9E" w:rsidP="008028C6">
            <w:pPr>
              <w:pStyle w:val="PBACTabletext"/>
              <w:spacing w:before="0" w:after="0"/>
            </w:pPr>
            <w:r w:rsidRPr="00AB0640">
              <w:t>ALT increased</w:t>
            </w:r>
          </w:p>
        </w:tc>
        <w:tc>
          <w:tcPr>
            <w:tcW w:w="119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CCB8E39" w14:textId="77777777" w:rsidR="00EF6B9E" w:rsidRPr="00AB0640" w:rsidRDefault="00EF6B9E" w:rsidP="008028C6">
            <w:pPr>
              <w:pStyle w:val="PBACTabletext"/>
              <w:spacing w:before="0" w:after="0"/>
              <w:jc w:val="center"/>
            </w:pPr>
            <w:r w:rsidRPr="00AB0640">
              <w:t>19/51 (37.3%)</w:t>
            </w:r>
          </w:p>
        </w:tc>
        <w:tc>
          <w:tcPr>
            <w:tcW w:w="99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81BD169" w14:textId="77777777" w:rsidR="00EF6B9E" w:rsidRPr="00AB0640" w:rsidRDefault="00EF6B9E" w:rsidP="008028C6">
            <w:pPr>
              <w:pStyle w:val="PBACTabletext"/>
              <w:spacing w:before="0" w:after="0"/>
              <w:jc w:val="center"/>
            </w:pPr>
            <w:r w:rsidRPr="00AB0640">
              <w:t>1/52 (1.9%)</w:t>
            </w:r>
          </w:p>
        </w:tc>
        <w:tc>
          <w:tcPr>
            <w:tcW w:w="87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E3D8587" w14:textId="77777777" w:rsidR="00EF6B9E" w:rsidRPr="00AB0640" w:rsidRDefault="00EF6B9E" w:rsidP="008028C6">
            <w:pPr>
              <w:pStyle w:val="PBACTabletext"/>
              <w:spacing w:before="0" w:after="0"/>
              <w:jc w:val="center"/>
            </w:pPr>
            <w:r w:rsidRPr="00AB0640">
              <w:t>0.35 (0.20, 0.51)</w:t>
            </w:r>
          </w:p>
        </w:tc>
      </w:tr>
      <w:tr w:rsidR="00EF6B9E" w:rsidRPr="00AB0640" w14:paraId="1FEF181C" w14:textId="77777777" w:rsidTr="0065379D">
        <w:trPr>
          <w:cantSplit/>
        </w:trPr>
        <w:tc>
          <w:tcPr>
            <w:tcW w:w="192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9328105" w14:textId="77777777" w:rsidR="00EF6B9E" w:rsidRPr="00AB0640" w:rsidRDefault="00EF6B9E" w:rsidP="008028C6">
            <w:pPr>
              <w:pStyle w:val="PBACTabletext"/>
              <w:spacing w:before="0" w:after="0"/>
            </w:pPr>
            <w:r w:rsidRPr="00AB0640">
              <w:t>AST increased</w:t>
            </w:r>
          </w:p>
        </w:tc>
        <w:tc>
          <w:tcPr>
            <w:tcW w:w="119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18C516B" w14:textId="77777777" w:rsidR="00EF6B9E" w:rsidRPr="00AB0640" w:rsidRDefault="00EF6B9E" w:rsidP="008028C6">
            <w:pPr>
              <w:pStyle w:val="PBACTabletext"/>
              <w:spacing w:before="0" w:after="0"/>
              <w:jc w:val="center"/>
            </w:pPr>
            <w:r w:rsidRPr="00AB0640">
              <w:t>11/51 (21.6%)</w:t>
            </w:r>
          </w:p>
        </w:tc>
        <w:tc>
          <w:tcPr>
            <w:tcW w:w="99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F1C3CFA" w14:textId="77777777" w:rsidR="00EF6B9E" w:rsidRPr="00AB0640" w:rsidRDefault="00EF6B9E" w:rsidP="008028C6">
            <w:pPr>
              <w:pStyle w:val="PBACTabletext"/>
              <w:spacing w:before="0" w:after="0"/>
              <w:jc w:val="center"/>
            </w:pPr>
            <w:r w:rsidRPr="00AB0640">
              <w:t>1/52 (1.9%)</w:t>
            </w:r>
          </w:p>
        </w:tc>
        <w:tc>
          <w:tcPr>
            <w:tcW w:w="87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95C2B1F" w14:textId="77777777" w:rsidR="00EF6B9E" w:rsidRPr="00AB0640" w:rsidRDefault="00EF6B9E" w:rsidP="008028C6">
            <w:pPr>
              <w:pStyle w:val="PBACTabletext"/>
              <w:spacing w:before="0" w:after="0"/>
              <w:jc w:val="center"/>
            </w:pPr>
            <w:r w:rsidRPr="00AB0640">
              <w:t>0.20 (0.07, 0.32)</w:t>
            </w:r>
          </w:p>
        </w:tc>
      </w:tr>
      <w:tr w:rsidR="00EF6B9E" w:rsidRPr="00AB0640" w14:paraId="778D028E" w14:textId="77777777" w:rsidTr="0065379D">
        <w:trPr>
          <w:cantSplit/>
        </w:trPr>
        <w:tc>
          <w:tcPr>
            <w:tcW w:w="192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27CA777" w14:textId="77777777" w:rsidR="00EF6B9E" w:rsidRPr="00AB0640" w:rsidRDefault="00EF6B9E" w:rsidP="008028C6">
            <w:pPr>
              <w:pStyle w:val="PBACTabletext"/>
              <w:spacing w:before="0" w:after="0"/>
            </w:pPr>
            <w:r w:rsidRPr="00AB0640">
              <w:t>Headache</w:t>
            </w:r>
          </w:p>
        </w:tc>
        <w:tc>
          <w:tcPr>
            <w:tcW w:w="119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3314A08" w14:textId="77777777" w:rsidR="00EF6B9E" w:rsidRPr="00AB0640" w:rsidRDefault="00EF6B9E" w:rsidP="008028C6">
            <w:pPr>
              <w:pStyle w:val="PBACTabletext"/>
              <w:spacing w:before="0" w:after="0"/>
              <w:jc w:val="center"/>
            </w:pPr>
            <w:r w:rsidRPr="00AB0640">
              <w:t>19/51 (37.3%)</w:t>
            </w:r>
          </w:p>
        </w:tc>
        <w:tc>
          <w:tcPr>
            <w:tcW w:w="998"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4F211E3" w14:textId="77777777" w:rsidR="00EF6B9E" w:rsidRPr="00AB0640" w:rsidRDefault="00EF6B9E" w:rsidP="008028C6">
            <w:pPr>
              <w:pStyle w:val="PBACTabletext"/>
              <w:spacing w:before="0" w:after="0"/>
              <w:jc w:val="center"/>
            </w:pPr>
            <w:r w:rsidRPr="00AB0640">
              <w:t>13/52 (25.0%)</w:t>
            </w:r>
          </w:p>
        </w:tc>
        <w:tc>
          <w:tcPr>
            <w:tcW w:w="877"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5A50A68" w14:textId="77777777" w:rsidR="00EF6B9E" w:rsidRPr="00AB0640" w:rsidRDefault="00EF6B9E" w:rsidP="008028C6">
            <w:pPr>
              <w:pStyle w:val="PBACTabletext"/>
              <w:spacing w:before="0" w:after="0"/>
              <w:jc w:val="center"/>
            </w:pPr>
            <w:r w:rsidRPr="00AB0640">
              <w:t>0.12 (-0.06, 0.30)</w:t>
            </w:r>
          </w:p>
        </w:tc>
      </w:tr>
    </w:tbl>
    <w:p w14:paraId="77A80C6D" w14:textId="177EFE0F" w:rsidR="00EF6B9E" w:rsidRPr="00AB0640" w:rsidRDefault="00EF6B9E" w:rsidP="008028C6">
      <w:pPr>
        <w:pStyle w:val="TableFooter"/>
      </w:pPr>
      <w:r w:rsidRPr="00AB0640">
        <w:t xml:space="preserve">Source: Summarised from </w:t>
      </w:r>
      <w:r w:rsidR="00F850C4" w:rsidRPr="00AB0640">
        <w:t>Table 2.</w:t>
      </w:r>
      <w:r w:rsidRPr="00AB0640">
        <w:t>34, p136 of the resubmission.</w:t>
      </w:r>
    </w:p>
    <w:p w14:paraId="7E43A741" w14:textId="6FF46FF2" w:rsidR="005D26B4" w:rsidRPr="00AB0640" w:rsidRDefault="00EF6B9E" w:rsidP="008028C6">
      <w:pPr>
        <w:pStyle w:val="TableFooter"/>
      </w:pPr>
      <w:r w:rsidRPr="00AB0640">
        <w:t>AE</w:t>
      </w:r>
      <w:r w:rsidR="004D7017" w:rsidRPr="00AB0640">
        <w:t xml:space="preserve"> </w:t>
      </w:r>
      <w:r w:rsidRPr="00AB0640">
        <w:t>=</w:t>
      </w:r>
      <w:r w:rsidR="004D7017" w:rsidRPr="00AB0640">
        <w:t xml:space="preserve"> </w:t>
      </w:r>
      <w:r w:rsidRPr="00AB0640">
        <w:t>adverse event; ALT</w:t>
      </w:r>
      <w:r w:rsidR="004D7017" w:rsidRPr="00AB0640">
        <w:t xml:space="preserve"> </w:t>
      </w:r>
      <w:r w:rsidRPr="00AB0640">
        <w:t>=</w:t>
      </w:r>
      <w:r w:rsidR="004D7017" w:rsidRPr="00AB0640">
        <w:t xml:space="preserve"> </w:t>
      </w:r>
      <w:r w:rsidRPr="00AB0640">
        <w:t>alanine aminotransferase; AST</w:t>
      </w:r>
      <w:r w:rsidR="004D7017" w:rsidRPr="00AB0640">
        <w:t xml:space="preserve"> </w:t>
      </w:r>
      <w:r w:rsidRPr="00AB0640">
        <w:t>=</w:t>
      </w:r>
      <w:r w:rsidR="004D7017" w:rsidRPr="00AB0640">
        <w:t xml:space="preserve"> </w:t>
      </w:r>
      <w:r w:rsidRPr="00AB0640">
        <w:t>aspartate aminotransferase; CI</w:t>
      </w:r>
      <w:r w:rsidR="004D7017" w:rsidRPr="00AB0640">
        <w:t xml:space="preserve"> </w:t>
      </w:r>
      <w:r w:rsidRPr="00AB0640">
        <w:t>=</w:t>
      </w:r>
      <w:r w:rsidR="004D7017" w:rsidRPr="00AB0640">
        <w:t xml:space="preserve"> </w:t>
      </w:r>
      <w:r w:rsidRPr="00AB0640">
        <w:t>confidence intervals; RD</w:t>
      </w:r>
      <w:r w:rsidR="004D7017" w:rsidRPr="00AB0640">
        <w:t xml:space="preserve"> </w:t>
      </w:r>
      <w:r w:rsidRPr="00AB0640">
        <w:t>=</w:t>
      </w:r>
      <w:r w:rsidR="004D7017" w:rsidRPr="00AB0640">
        <w:t xml:space="preserve"> </w:t>
      </w:r>
      <w:r w:rsidRPr="00AB0640">
        <w:t>risk difference; SAE</w:t>
      </w:r>
      <w:r w:rsidR="004D7017" w:rsidRPr="00AB0640">
        <w:t xml:space="preserve"> </w:t>
      </w:r>
      <w:r w:rsidRPr="00AB0640">
        <w:t>=</w:t>
      </w:r>
      <w:r w:rsidR="004D7017" w:rsidRPr="00AB0640">
        <w:t xml:space="preserve"> </w:t>
      </w:r>
      <w:r w:rsidRPr="00AB0640">
        <w:t>serious adverse event; TEAE</w:t>
      </w:r>
      <w:r w:rsidR="004D7017" w:rsidRPr="00AB0640">
        <w:t xml:space="preserve"> </w:t>
      </w:r>
      <w:r w:rsidRPr="00AB0640">
        <w:t>=</w:t>
      </w:r>
      <w:r w:rsidR="004D7017" w:rsidRPr="00AB0640">
        <w:t xml:space="preserve"> </w:t>
      </w:r>
      <w:r w:rsidRPr="00AB0640">
        <w:t>treatment-emergent adverse event.</w:t>
      </w:r>
    </w:p>
    <w:p w14:paraId="6A002BBD" w14:textId="77777777" w:rsidR="000F17C4" w:rsidRPr="00AB0640" w:rsidRDefault="000F17C4" w:rsidP="008028C6">
      <w:r w:rsidRPr="00AB0640">
        <w:rPr>
          <w:rStyle w:val="CommentReference"/>
          <w:b w:val="0"/>
          <w:bCs/>
          <w:sz w:val="18"/>
          <w:szCs w:val="18"/>
          <w:shd w:val="clear" w:color="auto" w:fill="B8CCE4" w:themeFill="accent1" w:themeFillTint="66"/>
        </w:rPr>
        <w:t>Blue shading</w:t>
      </w:r>
      <w:r w:rsidRPr="00AB0640">
        <w:rPr>
          <w:rStyle w:val="CommentReference"/>
          <w:b w:val="0"/>
          <w:bCs/>
          <w:sz w:val="18"/>
          <w:szCs w:val="18"/>
        </w:rPr>
        <w:t xml:space="preserve"> indicates data previously seen by the PBAC.</w:t>
      </w:r>
    </w:p>
    <w:p w14:paraId="77949C33" w14:textId="77777777" w:rsidR="00EF6B9E" w:rsidRPr="00AB0640" w:rsidRDefault="00EF6B9E" w:rsidP="008028C6"/>
    <w:p w14:paraId="230EC489" w14:textId="78635FA5" w:rsidR="00EF6B9E" w:rsidRPr="00AB0640" w:rsidRDefault="00E644E7" w:rsidP="008028C6">
      <w:pPr>
        <w:pStyle w:val="3-BodyText"/>
      </w:pPr>
      <w:r w:rsidRPr="00AB0640">
        <w:t>The incidence of drug-related TEAEs (72.6% v</w:t>
      </w:r>
      <w:r w:rsidR="00530299">
        <w:t>ersu</w:t>
      </w:r>
      <w:r w:rsidRPr="00AB0640">
        <w:t>s 36.5%), serious TEAEs (9.8% v</w:t>
      </w:r>
      <w:r w:rsidR="00530299">
        <w:t>ersu</w:t>
      </w:r>
      <w:r w:rsidRPr="00AB0640">
        <w:t>s 5.8%), and TEAEs leading to permanent treatment discontinuation (7.8% v</w:t>
      </w:r>
      <w:r w:rsidR="00530299">
        <w:t>ersu</w:t>
      </w:r>
      <w:r w:rsidRPr="00AB0640">
        <w:t xml:space="preserve">s 3.8%) was consistently higher in the omaveloxolone arm than in the placebo arm. </w:t>
      </w:r>
      <w:r w:rsidR="00EF6B9E" w:rsidRPr="00AB0640">
        <w:t>TEAEs were mostly mild or moderate in severity in both treatment arms (</w:t>
      </w:r>
      <w:r w:rsidR="00202AE4">
        <w:t xml:space="preserve">&gt; </w:t>
      </w:r>
      <w:r w:rsidR="00EF6B9E" w:rsidRPr="00AB0640">
        <w:t xml:space="preserve">90%) and most TEAEs </w:t>
      </w:r>
      <w:r w:rsidR="00C20A5F" w:rsidRPr="00AB0640">
        <w:t xml:space="preserve">subsequently </w:t>
      </w:r>
      <w:r w:rsidR="00EF6B9E" w:rsidRPr="00AB0640">
        <w:t>resolved within 2 months of the event start date.</w:t>
      </w:r>
      <w:r w:rsidR="006E1AE8" w:rsidRPr="00AB0640">
        <w:t xml:space="preserve"> No deaths were reported in either treatment arm of MOXIe Part 2.</w:t>
      </w:r>
    </w:p>
    <w:p w14:paraId="0EBACF9D" w14:textId="25B36D8F" w:rsidR="00EF6B9E" w:rsidRPr="00AB0640" w:rsidRDefault="00EF6B9E" w:rsidP="008028C6">
      <w:pPr>
        <w:pStyle w:val="3-BodyText"/>
      </w:pPr>
      <w:r w:rsidRPr="00AB0640">
        <w:t>The most common TEAEs (≥ 20% incidence in either treatment arm) with ≥ 5% difference in incidence in the omaveloxolone arm compared with the placebo arm were increased ALT (37.3% v</w:t>
      </w:r>
      <w:r w:rsidR="00530299">
        <w:t>ersu</w:t>
      </w:r>
      <w:r w:rsidRPr="00AB0640">
        <w:t xml:space="preserve">s 1.9%), </w:t>
      </w:r>
      <w:r w:rsidR="00C20A5F" w:rsidRPr="00AB0640">
        <w:t xml:space="preserve">increased AST (21.6% </w:t>
      </w:r>
      <w:r w:rsidR="00530299" w:rsidRPr="00AB0640">
        <w:t>v</w:t>
      </w:r>
      <w:r w:rsidR="00530299">
        <w:t>ersu</w:t>
      </w:r>
      <w:r w:rsidR="00530299" w:rsidRPr="00AB0640">
        <w:t>s</w:t>
      </w:r>
      <w:r w:rsidR="00C20A5F" w:rsidRPr="00AB0640">
        <w:t xml:space="preserve"> 1.9%), </w:t>
      </w:r>
      <w:r w:rsidRPr="00AB0640">
        <w:t xml:space="preserve">headache (37.3% </w:t>
      </w:r>
      <w:r w:rsidR="00530299" w:rsidRPr="00AB0640">
        <w:t>v</w:t>
      </w:r>
      <w:r w:rsidR="00530299">
        <w:t>ersu</w:t>
      </w:r>
      <w:r w:rsidR="00530299" w:rsidRPr="00AB0640">
        <w:t>s</w:t>
      </w:r>
      <w:r w:rsidRPr="00AB0640">
        <w:t xml:space="preserve"> 25.0%), nausea (33.3% </w:t>
      </w:r>
      <w:r w:rsidR="00530299" w:rsidRPr="00AB0640">
        <w:t>v</w:t>
      </w:r>
      <w:r w:rsidR="00530299">
        <w:t>ersu</w:t>
      </w:r>
      <w:r w:rsidR="00530299" w:rsidRPr="00AB0640">
        <w:t>s</w:t>
      </w:r>
      <w:r w:rsidRPr="00AB0640">
        <w:t xml:space="preserve"> 13.5%), fatigue (21.6% </w:t>
      </w:r>
      <w:r w:rsidR="00530299" w:rsidRPr="00AB0640">
        <w:t>v</w:t>
      </w:r>
      <w:r w:rsidR="00530299">
        <w:t>ersu</w:t>
      </w:r>
      <w:r w:rsidR="00530299" w:rsidRPr="00AB0640">
        <w:t>s</w:t>
      </w:r>
      <w:r w:rsidRPr="00AB0640">
        <w:t xml:space="preserve"> 13.5%), </w:t>
      </w:r>
      <w:r w:rsidR="00C20A5F" w:rsidRPr="00AB0640">
        <w:t xml:space="preserve">and </w:t>
      </w:r>
      <w:r w:rsidRPr="00AB0640">
        <w:t xml:space="preserve">abdominal pain (21.6% </w:t>
      </w:r>
      <w:r w:rsidR="00530299" w:rsidRPr="00AB0640">
        <w:t>v</w:t>
      </w:r>
      <w:r w:rsidR="00530299">
        <w:t>ersu</w:t>
      </w:r>
      <w:r w:rsidR="00530299" w:rsidRPr="00AB0640">
        <w:t>s</w:t>
      </w:r>
      <w:r w:rsidRPr="00AB0640">
        <w:t xml:space="preserve"> 5.8%). Increased ALT, increased AST, and headache were considered by the investigators to be related to omaveloxolone.</w:t>
      </w:r>
      <w:r w:rsidR="00C20A5F" w:rsidRPr="00AB0640">
        <w:t xml:space="preserve"> </w:t>
      </w:r>
      <w:r w:rsidRPr="00AB0640">
        <w:t xml:space="preserve">A peak of mean absolute ALT and AST levels was observed at Week 2 in the omaveloxolone treatment arm with a subsequent decrease in values through </w:t>
      </w:r>
      <w:r w:rsidR="00C20A5F" w:rsidRPr="00AB0640">
        <w:t>W</w:t>
      </w:r>
      <w:r w:rsidRPr="00AB0640">
        <w:t xml:space="preserve">eek 48 toward baseline. </w:t>
      </w:r>
    </w:p>
    <w:p w14:paraId="44AA0928" w14:textId="58D9EDB2" w:rsidR="00EF6B9E" w:rsidRPr="00AB0640" w:rsidRDefault="00EF6B9E" w:rsidP="008028C6">
      <w:pPr>
        <w:pStyle w:val="3-BodyText"/>
      </w:pPr>
      <w:r w:rsidRPr="00AB0640">
        <w:lastRenderedPageBreak/>
        <w:t>Within the Cardiac disorders</w:t>
      </w:r>
      <w:r w:rsidR="00C20A5F" w:rsidRPr="00AB0640">
        <w:t xml:space="preserve"> category,</w:t>
      </w:r>
      <w:r w:rsidRPr="00AB0640">
        <w:t xml:space="preserve"> </w:t>
      </w:r>
      <w:r w:rsidR="006E1AE8" w:rsidRPr="00AB0640">
        <w:t xml:space="preserve">three </w:t>
      </w:r>
      <w:r w:rsidRPr="00AB0640">
        <w:t xml:space="preserve">(5.9%) omaveloxolone treated patients and one (1.9%) placebo treated patient experienced serious TEAEs. Small mean increases in </w:t>
      </w:r>
      <w:r w:rsidR="00C20A5F" w:rsidRPr="00AB0640">
        <w:t>B-type natriuretic peptide (</w:t>
      </w:r>
      <w:r w:rsidRPr="00AB0640">
        <w:t>BNP</w:t>
      </w:r>
      <w:r w:rsidR="00C20A5F" w:rsidRPr="00AB0640">
        <w:t>)</w:t>
      </w:r>
      <w:r w:rsidRPr="00AB0640">
        <w:t xml:space="preserve"> were observed with omaveloxolone treatment relative to placebo and </w:t>
      </w:r>
      <w:r w:rsidR="006E1AE8" w:rsidRPr="00AB0640">
        <w:t xml:space="preserve">two </w:t>
      </w:r>
      <w:r w:rsidRPr="00AB0640">
        <w:t>(3.9%) patients had BNP values that exceeded</w:t>
      </w:r>
      <w:r w:rsidR="00284C34" w:rsidRPr="00AB0640">
        <w:t xml:space="preserve"> </w:t>
      </w:r>
      <w:r w:rsidRPr="00AB0640">
        <w:t>200 pg/mL.</w:t>
      </w:r>
    </w:p>
    <w:p w14:paraId="4A2E2D1B" w14:textId="0FC2B065" w:rsidR="00EF6B9E" w:rsidRPr="00AB0640" w:rsidRDefault="00EF6B9E" w:rsidP="008028C6">
      <w:pPr>
        <w:pStyle w:val="3-BodyText"/>
      </w:pPr>
      <w:r w:rsidRPr="00AB0640">
        <w:t xml:space="preserve">The </w:t>
      </w:r>
      <w:r w:rsidR="00F90829" w:rsidRPr="00AB0640">
        <w:t>re</w:t>
      </w:r>
      <w:r w:rsidRPr="00AB0640">
        <w:t xml:space="preserve">submission </w:t>
      </w:r>
      <w:r w:rsidR="00D01391" w:rsidRPr="00AB0640">
        <w:t xml:space="preserve">noted that the clinical circumstances underlying the increased frequency of heart failure events observed in patients with Stage 4 chronic kidney disease (CKD) and cardiac diastolic dysfunction treated with </w:t>
      </w:r>
      <w:r w:rsidRPr="00AB0640">
        <w:t>bardoxolone</w:t>
      </w:r>
      <w:r w:rsidR="00D01391" w:rsidRPr="00AB0640">
        <w:t>,</w:t>
      </w:r>
      <w:r w:rsidRPr="00AB0640">
        <w:t xml:space="preserve"> another Nrf2 modulator</w:t>
      </w:r>
      <w:r w:rsidR="00D01391" w:rsidRPr="00AB0640">
        <w:t xml:space="preserve">, in the </w:t>
      </w:r>
      <w:r w:rsidR="003B6233" w:rsidRPr="00AB0640">
        <w:t>BEACON study</w:t>
      </w:r>
      <w:r w:rsidR="003B6233" w:rsidRPr="00AB0640">
        <w:rPr>
          <w:vertAlign w:val="superscript"/>
        </w:rPr>
        <w:footnoteReference w:id="8"/>
      </w:r>
      <w:r w:rsidR="003B6233" w:rsidRPr="00AB0640">
        <w:t xml:space="preserve"> </w:t>
      </w:r>
      <w:r w:rsidR="00C00573" w:rsidRPr="00AB0640">
        <w:t>were</w:t>
      </w:r>
      <w:r w:rsidR="003B6233" w:rsidRPr="00AB0640">
        <w:t xml:space="preserve"> unlikely to apply to the FA patient population who have low risk for advanced CKD and diastolic dysfunction. </w:t>
      </w:r>
      <w:r w:rsidR="00D01391" w:rsidRPr="00AB0640">
        <w:t>T</w:t>
      </w:r>
      <w:r w:rsidR="008C1AE6" w:rsidRPr="00AB0640">
        <w:t xml:space="preserve">he EMA assessment report noted that available non-clinical data suggest that the pharmacology and safety profiles of omaveloxolone and other Nrf2 activators are similar </w:t>
      </w:r>
      <w:r w:rsidR="008C1AE6" w:rsidRPr="00425988">
        <w:t>(</w:t>
      </w:r>
      <w:r w:rsidR="008C1AE6" w:rsidRPr="00AB0640">
        <w:t>Committee for Medicinal Products for Human Use [CHMP] report for omaveloxolone, EMA/CHMP/535977/2023). Considering this, in addition to the observations of congestive heart failure in the bardoxolone study and the cardiovascular risk in FA patients, cardiotoxicity remain</w:t>
      </w:r>
      <w:r w:rsidR="000A01D8" w:rsidRPr="00AB0640">
        <w:t>ed</w:t>
      </w:r>
      <w:r w:rsidR="008C1AE6" w:rsidRPr="00AB0640">
        <w:t xml:space="preserve"> a safety concern with omaveloxolone. </w:t>
      </w:r>
    </w:p>
    <w:p w14:paraId="04908C7F" w14:textId="415B9B7D" w:rsidR="007F1017" w:rsidRPr="00AB0640" w:rsidRDefault="007F1017" w:rsidP="008028C6">
      <w:pPr>
        <w:pStyle w:val="4-SubsectionHeading"/>
      </w:pPr>
      <w:bookmarkStart w:id="33" w:name="_Toc22897643"/>
      <w:bookmarkStart w:id="34" w:name="_Toc208932436"/>
      <w:r w:rsidRPr="00AB0640">
        <w:t>Benefits/harms</w:t>
      </w:r>
      <w:bookmarkEnd w:id="33"/>
      <w:bookmarkEnd w:id="34"/>
    </w:p>
    <w:p w14:paraId="2A9BD1BA" w14:textId="2A6FAF34" w:rsidR="0074765C" w:rsidRPr="00AB0640" w:rsidRDefault="0074765C" w:rsidP="008028C6">
      <w:pPr>
        <w:pStyle w:val="3-BodyText"/>
      </w:pPr>
      <w:r w:rsidRPr="00AB0640">
        <w:t xml:space="preserve">A summary of the comparative benefits and harms for omaveloxolone versus placebo (proxy for BSC) is presented in </w:t>
      </w:r>
      <w:r w:rsidRPr="00AB0640">
        <w:fldChar w:fldCharType="begin" w:fldLock="1"/>
      </w:r>
      <w:r w:rsidRPr="00AB0640">
        <w:instrText xml:space="preserve"> REF _Ref205542825 \h </w:instrText>
      </w:r>
      <w:r w:rsidR="00BF0410" w:rsidRPr="00AB0640">
        <w:instrText xml:space="preserve"> \* MERGEFORMAT </w:instrText>
      </w:r>
      <w:r w:rsidRPr="00AB0640">
        <w:fldChar w:fldCharType="separate"/>
      </w:r>
      <w:r w:rsidR="00E056AF" w:rsidRPr="00AB0640">
        <w:t xml:space="preserve">Table </w:t>
      </w:r>
      <w:r w:rsidR="00E056AF">
        <w:t>10</w:t>
      </w:r>
      <w:r w:rsidRPr="00AB0640">
        <w:fldChar w:fldCharType="end"/>
      </w:r>
      <w:r w:rsidRPr="00AB0640">
        <w:t>.</w:t>
      </w:r>
    </w:p>
    <w:p w14:paraId="25FB1EF6" w14:textId="534DCE13" w:rsidR="0074765C" w:rsidRPr="00AB0640" w:rsidRDefault="0074765C" w:rsidP="008028C6">
      <w:pPr>
        <w:pStyle w:val="Caption"/>
        <w:pageBreakBefore/>
        <w:rPr>
          <w:vertAlign w:val="superscript"/>
        </w:rPr>
      </w:pPr>
      <w:bookmarkStart w:id="35" w:name="_Ref205542825"/>
      <w:r w:rsidRPr="00AB0640">
        <w:lastRenderedPageBreak/>
        <w:t xml:space="preserve">Table </w:t>
      </w:r>
      <w:r w:rsidR="00E056AF">
        <w:fldChar w:fldCharType="begin" w:fldLock="1"/>
      </w:r>
      <w:r w:rsidR="00E056AF">
        <w:instrText xml:space="preserve"> SEQ Table \* ARABIC </w:instrText>
      </w:r>
      <w:r w:rsidR="00E056AF">
        <w:fldChar w:fldCharType="separate"/>
      </w:r>
      <w:r w:rsidR="00E056AF">
        <w:rPr>
          <w:noProof/>
        </w:rPr>
        <w:t>10</w:t>
      </w:r>
      <w:r w:rsidR="00E056AF">
        <w:rPr>
          <w:noProof/>
        </w:rPr>
        <w:fldChar w:fldCharType="end"/>
      </w:r>
      <w:bookmarkEnd w:id="35"/>
      <w:r w:rsidRPr="00AB0640">
        <w:t xml:space="preserve">: Summary of the comparative benefits and harms for omaveloxolone versus placebo (proxy for best supportive care) – MOXIe Part 2 </w:t>
      </w:r>
    </w:p>
    <w:tbl>
      <w:tblPr>
        <w:tblStyle w:val="TableGrid"/>
        <w:tblpPr w:leftFromText="180" w:rightFromText="180" w:vertAnchor="text" w:horzAnchor="margin" w:tblpY="35"/>
        <w:tblW w:w="5000" w:type="pct"/>
        <w:shd w:val="clear" w:color="auto" w:fill="B8CCE4" w:themeFill="accent1" w:themeFillTint="66"/>
        <w:tblCellMar>
          <w:left w:w="28" w:type="dxa"/>
          <w:right w:w="28" w:type="dxa"/>
        </w:tblCellMar>
        <w:tblLook w:val="04A0" w:firstRow="1" w:lastRow="0" w:firstColumn="1" w:lastColumn="0" w:noHBand="0" w:noVBand="1"/>
        <w:tblCaption w:val="Table 10: Summary of the comparative benefits and harms for omaveloxolone versus placebo (proxy for best supportive care) – MOXIe Part 2 "/>
      </w:tblPr>
      <w:tblGrid>
        <w:gridCol w:w="3955"/>
        <w:gridCol w:w="1441"/>
        <w:gridCol w:w="1322"/>
        <w:gridCol w:w="2299"/>
      </w:tblGrid>
      <w:tr w:rsidR="0074765C" w:rsidRPr="00AB0640" w14:paraId="73828FBF" w14:textId="77777777" w:rsidTr="0065379D">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DF8874" w14:textId="77777777" w:rsidR="0074765C" w:rsidRPr="00AB0640" w:rsidRDefault="0074765C" w:rsidP="008028C6">
            <w:pPr>
              <w:pStyle w:val="TableText1"/>
              <w:keepNext/>
              <w:keepLines/>
              <w:spacing w:after="0"/>
              <w:rPr>
                <w:b/>
                <w:bCs/>
              </w:rPr>
            </w:pPr>
            <w:r w:rsidRPr="00AB0640">
              <w:rPr>
                <w:b/>
                <w:bCs/>
              </w:rPr>
              <w:t>Benefits</w:t>
            </w:r>
          </w:p>
        </w:tc>
      </w:tr>
      <w:tr w:rsidR="0074765C" w:rsidRPr="00AB0640" w14:paraId="6B78ED77" w14:textId="77777777" w:rsidTr="0065379D">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2D188C5" w14:textId="77777777" w:rsidR="0074765C" w:rsidRPr="00AB0640" w:rsidRDefault="0074765C" w:rsidP="008028C6">
            <w:pPr>
              <w:pStyle w:val="TableText1"/>
              <w:keepNext/>
              <w:keepLines/>
              <w:spacing w:after="0"/>
              <w:rPr>
                <w:b/>
                <w:bCs/>
              </w:rPr>
            </w:pPr>
            <w:r w:rsidRPr="00AB0640">
              <w:rPr>
                <w:b/>
                <w:bCs/>
              </w:rPr>
              <w:t>(Full Analysis Set) - patients without pes cavus</w:t>
            </w:r>
          </w:p>
        </w:tc>
      </w:tr>
      <w:tr w:rsidR="0074765C" w:rsidRPr="00AB0640" w14:paraId="6877154C" w14:textId="77777777" w:rsidTr="0065379D">
        <w:trPr>
          <w:cantSplit/>
          <w:trHeight w:val="466"/>
        </w:trPr>
        <w:tc>
          <w:tcPr>
            <w:tcW w:w="219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93AF0D5" w14:textId="77777777" w:rsidR="0074765C" w:rsidRPr="00AB0640" w:rsidRDefault="0074765C" w:rsidP="008028C6">
            <w:pPr>
              <w:pStyle w:val="TableText1"/>
              <w:keepNext/>
              <w:keepLines/>
              <w:spacing w:after="0"/>
              <w:rPr>
                <w:b/>
                <w:bCs/>
              </w:rPr>
            </w:pPr>
          </w:p>
        </w:tc>
        <w:tc>
          <w:tcPr>
            <w:tcW w:w="79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35E5F0" w14:textId="77777777" w:rsidR="0074765C" w:rsidRPr="00AB0640" w:rsidRDefault="0074765C" w:rsidP="008028C6">
            <w:pPr>
              <w:pStyle w:val="TableText1"/>
              <w:keepNext/>
              <w:keepLines/>
              <w:spacing w:after="0"/>
              <w:jc w:val="center"/>
              <w:rPr>
                <w:b/>
                <w:bCs/>
              </w:rPr>
            </w:pPr>
            <w:r w:rsidRPr="00AB0640">
              <w:rPr>
                <w:b/>
                <w:bCs/>
              </w:rPr>
              <w:t>Oma 150 mg</w:t>
            </w:r>
          </w:p>
          <w:p w14:paraId="7FC2D165" w14:textId="77777777" w:rsidR="0074765C" w:rsidRPr="00AB0640" w:rsidRDefault="0074765C" w:rsidP="008028C6">
            <w:pPr>
              <w:pStyle w:val="TableText1"/>
              <w:keepNext/>
              <w:keepLines/>
              <w:spacing w:after="0"/>
              <w:jc w:val="center"/>
              <w:rPr>
                <w:b/>
                <w:bCs/>
              </w:rPr>
            </w:pPr>
            <w:r w:rsidRPr="00AB0640">
              <w:rPr>
                <w:b/>
                <w:bCs/>
              </w:rPr>
              <w:t>N=40</w:t>
            </w:r>
          </w:p>
        </w:tc>
        <w:tc>
          <w:tcPr>
            <w:tcW w:w="73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FE80C25" w14:textId="77777777" w:rsidR="0074765C" w:rsidRPr="00AB0640" w:rsidRDefault="0074765C" w:rsidP="008028C6">
            <w:pPr>
              <w:pStyle w:val="TableText1"/>
              <w:keepNext/>
              <w:keepLines/>
              <w:spacing w:after="0"/>
              <w:jc w:val="center"/>
              <w:rPr>
                <w:b/>
                <w:bCs/>
              </w:rPr>
            </w:pPr>
            <w:r w:rsidRPr="00AB0640">
              <w:rPr>
                <w:b/>
                <w:bCs/>
              </w:rPr>
              <w:t>Placebo</w:t>
            </w:r>
          </w:p>
          <w:p w14:paraId="3426DC68" w14:textId="77777777" w:rsidR="0074765C" w:rsidRPr="00AB0640" w:rsidRDefault="0074765C" w:rsidP="008028C6">
            <w:pPr>
              <w:pStyle w:val="TableText1"/>
              <w:keepNext/>
              <w:keepLines/>
              <w:spacing w:after="0"/>
              <w:jc w:val="center"/>
              <w:rPr>
                <w:b/>
                <w:bCs/>
              </w:rPr>
            </w:pPr>
            <w:r w:rsidRPr="00AB0640">
              <w:rPr>
                <w:b/>
                <w:bCs/>
              </w:rPr>
              <w:t>N=42</w:t>
            </w:r>
          </w:p>
        </w:tc>
        <w:tc>
          <w:tcPr>
            <w:tcW w:w="127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1E24A16" w14:textId="77777777" w:rsidR="0074765C" w:rsidRPr="00AB0640" w:rsidRDefault="0074765C" w:rsidP="008028C6">
            <w:pPr>
              <w:pStyle w:val="TableText1"/>
              <w:keepNext/>
              <w:keepLines/>
              <w:spacing w:after="0"/>
              <w:jc w:val="center"/>
              <w:rPr>
                <w:b/>
                <w:bCs/>
              </w:rPr>
            </w:pPr>
            <w:r w:rsidRPr="00AB0640">
              <w:rPr>
                <w:b/>
                <w:bCs/>
              </w:rPr>
              <w:t>LS mean difference (SE)</w:t>
            </w:r>
          </w:p>
          <w:p w14:paraId="714112B1" w14:textId="77777777" w:rsidR="0074765C" w:rsidRPr="00AB0640" w:rsidRDefault="0074765C" w:rsidP="008028C6">
            <w:pPr>
              <w:pStyle w:val="TableText1"/>
              <w:keepNext/>
              <w:keepLines/>
              <w:spacing w:after="0"/>
              <w:jc w:val="center"/>
              <w:rPr>
                <w:b/>
                <w:bCs/>
              </w:rPr>
            </w:pPr>
            <w:r w:rsidRPr="00AB0640">
              <w:rPr>
                <w:b/>
                <w:bCs/>
              </w:rPr>
              <w:t>Oma minus placebo</w:t>
            </w:r>
          </w:p>
        </w:tc>
      </w:tr>
      <w:tr w:rsidR="0074765C" w:rsidRPr="00AB0640" w14:paraId="295C1809" w14:textId="77777777" w:rsidTr="0065379D">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B78EE55" w14:textId="77777777" w:rsidR="0074765C" w:rsidRPr="00AB0640" w:rsidRDefault="0074765C" w:rsidP="008028C6">
            <w:pPr>
              <w:pStyle w:val="TableText1"/>
              <w:keepNext/>
              <w:keepLines/>
              <w:spacing w:after="0"/>
              <w:rPr>
                <w:b/>
                <w:bCs/>
              </w:rPr>
            </w:pPr>
            <w:r w:rsidRPr="00AB0640">
              <w:rPr>
                <w:b/>
                <w:bCs/>
              </w:rPr>
              <w:t>Mean change in mFARS from baseline at Week 48</w:t>
            </w:r>
          </w:p>
        </w:tc>
      </w:tr>
      <w:tr w:rsidR="0074765C" w:rsidRPr="00AB0640" w14:paraId="524C5238" w14:textId="77777777" w:rsidTr="0065379D">
        <w:trPr>
          <w:cantSplit/>
        </w:trPr>
        <w:tc>
          <w:tcPr>
            <w:tcW w:w="219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D12CCFD" w14:textId="77777777" w:rsidR="0074765C" w:rsidRPr="00AB0640" w:rsidRDefault="0074765C" w:rsidP="008028C6">
            <w:pPr>
              <w:pStyle w:val="TableText1"/>
              <w:keepNext/>
              <w:keepLines/>
              <w:spacing w:after="0"/>
            </w:pPr>
            <w:r w:rsidRPr="00AB0640">
              <w:t>Mean score (SD) at baseline</w:t>
            </w:r>
          </w:p>
        </w:tc>
        <w:tc>
          <w:tcPr>
            <w:tcW w:w="799"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54ED6D5" w14:textId="77777777" w:rsidR="0074765C" w:rsidRPr="00AB0640" w:rsidRDefault="0074765C" w:rsidP="008028C6">
            <w:pPr>
              <w:pStyle w:val="TableText1"/>
              <w:keepNext/>
              <w:keepLines/>
              <w:spacing w:after="0"/>
              <w:jc w:val="center"/>
            </w:pPr>
            <w:r w:rsidRPr="00AB0640">
              <w:t>40.94 (10.39)</w:t>
            </w:r>
          </w:p>
        </w:tc>
        <w:tc>
          <w:tcPr>
            <w:tcW w:w="73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C9489D0" w14:textId="77777777" w:rsidR="0074765C" w:rsidRPr="00AB0640" w:rsidRDefault="0074765C" w:rsidP="008028C6">
            <w:pPr>
              <w:pStyle w:val="TableText1"/>
              <w:keepNext/>
              <w:keepLines/>
              <w:spacing w:after="0"/>
              <w:jc w:val="center"/>
            </w:pPr>
            <w:r w:rsidRPr="00AB0640">
              <w:t>38.77 (39.3)</w:t>
            </w:r>
          </w:p>
        </w:tc>
        <w:tc>
          <w:tcPr>
            <w:tcW w:w="1275" w:type="pct"/>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977C1A3" w14:textId="77777777" w:rsidR="0074765C" w:rsidRPr="00AB0640" w:rsidRDefault="0074765C" w:rsidP="008028C6">
            <w:pPr>
              <w:pStyle w:val="TableText1"/>
              <w:keepNext/>
              <w:keepLines/>
              <w:spacing w:after="0"/>
              <w:jc w:val="center"/>
              <w:rPr>
                <w:vertAlign w:val="superscript"/>
              </w:rPr>
            </w:pPr>
            <w:r w:rsidRPr="00AB0640">
              <w:t>–2.40 (0.96)</w:t>
            </w:r>
            <w:r w:rsidRPr="00AB0640">
              <w:rPr>
                <w:vertAlign w:val="superscript"/>
              </w:rPr>
              <w:t>a</w:t>
            </w:r>
          </w:p>
        </w:tc>
      </w:tr>
      <w:tr w:rsidR="0074765C" w:rsidRPr="00AB0640" w14:paraId="6800AA3B" w14:textId="77777777" w:rsidTr="0065379D">
        <w:trPr>
          <w:cantSplit/>
        </w:trPr>
        <w:tc>
          <w:tcPr>
            <w:tcW w:w="219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4FB1D89" w14:textId="77777777" w:rsidR="0074765C" w:rsidRPr="00AB0640" w:rsidRDefault="0074765C" w:rsidP="008028C6">
            <w:pPr>
              <w:pStyle w:val="TableText1"/>
              <w:keepNext/>
              <w:keepLines/>
              <w:spacing w:after="0"/>
            </w:pPr>
            <w:r w:rsidRPr="00AB0640">
              <w:t>Mean score (SD) at Week 48</w:t>
            </w:r>
          </w:p>
        </w:tc>
        <w:tc>
          <w:tcPr>
            <w:tcW w:w="799"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0A8FFE3" w14:textId="77777777" w:rsidR="0074765C" w:rsidRPr="00AB0640" w:rsidRDefault="0074765C" w:rsidP="008028C6">
            <w:pPr>
              <w:pStyle w:val="TableText1"/>
              <w:keepNext/>
              <w:keepLines/>
              <w:spacing w:after="0"/>
              <w:jc w:val="center"/>
              <w:rPr>
                <w:rFonts w:cs="Times New Roman"/>
              </w:rPr>
            </w:pPr>
            <w:r w:rsidRPr="00AB0640">
              <w:rPr>
                <w:rFonts w:cs="Times New Roman"/>
              </w:rPr>
              <w:t>39.17 (10.02)</w:t>
            </w:r>
          </w:p>
        </w:tc>
        <w:tc>
          <w:tcPr>
            <w:tcW w:w="73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E6D8F9E" w14:textId="77777777" w:rsidR="0074765C" w:rsidRPr="00AB0640" w:rsidRDefault="0074765C" w:rsidP="008028C6">
            <w:pPr>
              <w:pStyle w:val="TableText1"/>
              <w:keepNext/>
              <w:keepLines/>
              <w:spacing w:after="0"/>
              <w:jc w:val="center"/>
              <w:rPr>
                <w:rFonts w:cs="Times New Roman"/>
              </w:rPr>
            </w:pPr>
            <w:r w:rsidRPr="00AB0640">
              <w:t>39.54 (11.57)</w:t>
            </w:r>
          </w:p>
        </w:tc>
        <w:tc>
          <w:tcPr>
            <w:tcW w:w="1275" w:type="pct"/>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C2B664F" w14:textId="77777777" w:rsidR="0074765C" w:rsidRPr="00AB0640" w:rsidRDefault="0074765C" w:rsidP="008028C6">
            <w:pPr>
              <w:keepNext/>
              <w:keepLines/>
              <w:jc w:val="left"/>
              <w:rPr>
                <w:rFonts w:ascii="Arial Narrow" w:eastAsiaTheme="minorHAnsi" w:hAnsi="Arial Narrow" w:cstheme="minorBidi"/>
                <w:sz w:val="20"/>
                <w:szCs w:val="20"/>
                <w:vertAlign w:val="superscript"/>
                <w:lang w:eastAsia="en-US"/>
              </w:rPr>
            </w:pPr>
          </w:p>
        </w:tc>
      </w:tr>
      <w:tr w:rsidR="0074765C" w:rsidRPr="00AB0640" w14:paraId="2981F0DB" w14:textId="77777777" w:rsidTr="0065379D">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8F88D9" w14:textId="77777777" w:rsidR="0074765C" w:rsidRPr="00AB0640" w:rsidRDefault="0074765C" w:rsidP="008028C6">
            <w:pPr>
              <w:pStyle w:val="TableText1"/>
              <w:keepNext/>
              <w:keepLines/>
              <w:spacing w:after="0"/>
              <w:rPr>
                <w:b/>
                <w:bCs/>
              </w:rPr>
            </w:pPr>
            <w:r w:rsidRPr="00AB0640">
              <w:rPr>
                <w:b/>
                <w:bCs/>
              </w:rPr>
              <w:t>Mean change in PGIC from baseline at Week 48</w:t>
            </w:r>
          </w:p>
        </w:tc>
      </w:tr>
      <w:tr w:rsidR="0074765C" w:rsidRPr="00AB0640" w14:paraId="7002D93B" w14:textId="77777777" w:rsidTr="0065379D">
        <w:trPr>
          <w:cantSplit/>
        </w:trPr>
        <w:tc>
          <w:tcPr>
            <w:tcW w:w="219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901DD7E" w14:textId="77777777" w:rsidR="0074765C" w:rsidRPr="00AB0640" w:rsidRDefault="0074765C" w:rsidP="008028C6">
            <w:pPr>
              <w:pStyle w:val="TableText1"/>
              <w:keepNext/>
              <w:keepLines/>
              <w:spacing w:after="0"/>
            </w:pPr>
            <w:r w:rsidRPr="00AB0640">
              <w:t>LS mean change from baseline at Week 48</w:t>
            </w:r>
          </w:p>
        </w:tc>
        <w:tc>
          <w:tcPr>
            <w:tcW w:w="799" w:type="pct"/>
            <w:tcBorders>
              <w:top w:val="dotted" w:sz="4" w:space="0" w:color="auto"/>
              <w:left w:val="single" w:sz="4" w:space="0" w:color="auto"/>
              <w:bottom w:val="dotted" w:sz="4" w:space="0" w:color="auto"/>
              <w:right w:val="single" w:sz="4" w:space="0" w:color="auto"/>
            </w:tcBorders>
            <w:shd w:val="clear" w:color="auto" w:fill="B8CCE4" w:themeFill="accent1" w:themeFillTint="66"/>
            <w:hideMark/>
          </w:tcPr>
          <w:p w14:paraId="579B261B" w14:textId="77777777" w:rsidR="0074765C" w:rsidRPr="00AB0640" w:rsidRDefault="0074765C" w:rsidP="008028C6">
            <w:pPr>
              <w:pStyle w:val="TableText1"/>
              <w:keepNext/>
              <w:keepLines/>
              <w:spacing w:after="0"/>
              <w:jc w:val="center"/>
              <w:rPr>
                <w:rFonts w:cs="Times New Roman"/>
              </w:rPr>
            </w:pPr>
            <w:r w:rsidRPr="00AB0640">
              <w:t>3.89</w:t>
            </w:r>
          </w:p>
        </w:tc>
        <w:tc>
          <w:tcPr>
            <w:tcW w:w="733" w:type="pct"/>
            <w:tcBorders>
              <w:top w:val="dotted" w:sz="4" w:space="0" w:color="auto"/>
              <w:left w:val="single" w:sz="4" w:space="0" w:color="auto"/>
              <w:bottom w:val="dotted" w:sz="4" w:space="0" w:color="auto"/>
              <w:right w:val="single" w:sz="4" w:space="0" w:color="auto"/>
            </w:tcBorders>
            <w:shd w:val="clear" w:color="auto" w:fill="B8CCE4" w:themeFill="accent1" w:themeFillTint="66"/>
            <w:hideMark/>
          </w:tcPr>
          <w:p w14:paraId="7611B30C" w14:textId="77777777" w:rsidR="0074765C" w:rsidRPr="00AB0640" w:rsidRDefault="0074765C" w:rsidP="008028C6">
            <w:pPr>
              <w:pStyle w:val="TableText1"/>
              <w:keepNext/>
              <w:keepLines/>
              <w:spacing w:after="0"/>
              <w:jc w:val="center"/>
            </w:pPr>
            <w:r w:rsidRPr="00AB0640">
              <w:t>4.32</w:t>
            </w:r>
          </w:p>
        </w:tc>
        <w:tc>
          <w:tcPr>
            <w:tcW w:w="127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00EBA03" w14:textId="77777777" w:rsidR="0074765C" w:rsidRPr="00AB0640" w:rsidRDefault="0074765C" w:rsidP="008028C6">
            <w:pPr>
              <w:pStyle w:val="TableText1"/>
              <w:keepNext/>
              <w:keepLines/>
              <w:spacing w:after="0"/>
              <w:jc w:val="center"/>
            </w:pPr>
            <w:r w:rsidRPr="00AB0640">
              <w:t>–0.43 (p=0.13)</w:t>
            </w:r>
          </w:p>
        </w:tc>
      </w:tr>
      <w:tr w:rsidR="0074765C" w:rsidRPr="00AB0640" w14:paraId="2355DC34" w14:textId="77777777" w:rsidTr="0065379D">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854ABF6" w14:textId="77777777" w:rsidR="0074765C" w:rsidRPr="00AB0640" w:rsidRDefault="0074765C" w:rsidP="008028C6">
            <w:pPr>
              <w:pStyle w:val="TableText1"/>
              <w:keepNext/>
              <w:keepLines/>
              <w:spacing w:after="0"/>
              <w:rPr>
                <w:b/>
                <w:bCs/>
              </w:rPr>
            </w:pPr>
            <w:r w:rsidRPr="00AB0640">
              <w:rPr>
                <w:b/>
                <w:bCs/>
              </w:rPr>
              <w:t>Mean change ADL from baseline at Week 48</w:t>
            </w:r>
          </w:p>
        </w:tc>
      </w:tr>
      <w:tr w:rsidR="0074765C" w:rsidRPr="00AB0640" w14:paraId="4A1D1896" w14:textId="77777777" w:rsidTr="0065379D">
        <w:trPr>
          <w:cantSplit/>
        </w:trPr>
        <w:tc>
          <w:tcPr>
            <w:tcW w:w="219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FED7695" w14:textId="77777777" w:rsidR="0074765C" w:rsidRPr="00AB0640" w:rsidRDefault="0074765C" w:rsidP="008028C6">
            <w:pPr>
              <w:pStyle w:val="TableText1"/>
              <w:keepNext/>
              <w:keepLines/>
              <w:spacing w:after="0"/>
            </w:pPr>
            <w:r w:rsidRPr="00AB0640">
              <w:t>LS mean change from baseline at Week 48</w:t>
            </w:r>
          </w:p>
        </w:tc>
        <w:tc>
          <w:tcPr>
            <w:tcW w:w="799"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3EAF4BE" w14:textId="77777777" w:rsidR="0074765C" w:rsidRPr="00AB0640" w:rsidRDefault="0074765C" w:rsidP="008028C6">
            <w:pPr>
              <w:pStyle w:val="TableText1"/>
              <w:keepNext/>
              <w:keepLines/>
              <w:spacing w:after="0"/>
              <w:jc w:val="center"/>
              <w:rPr>
                <w:rFonts w:cs="Times New Roman"/>
              </w:rPr>
            </w:pPr>
            <w:r w:rsidRPr="00AB0640">
              <w:rPr>
                <w:rFonts w:cs="Times New Roman"/>
              </w:rPr>
              <w:t>-0.17</w:t>
            </w:r>
          </w:p>
        </w:tc>
        <w:tc>
          <w:tcPr>
            <w:tcW w:w="73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7BBE2DC" w14:textId="77777777" w:rsidR="0074765C" w:rsidRPr="00AB0640" w:rsidRDefault="0074765C" w:rsidP="008028C6">
            <w:pPr>
              <w:pStyle w:val="TableText1"/>
              <w:keepNext/>
              <w:keepLines/>
              <w:spacing w:after="0"/>
              <w:jc w:val="center"/>
            </w:pPr>
            <w:r w:rsidRPr="00AB0640">
              <w:t>1.14</w:t>
            </w:r>
          </w:p>
        </w:tc>
        <w:tc>
          <w:tcPr>
            <w:tcW w:w="127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DFAD07C" w14:textId="77777777" w:rsidR="0074765C" w:rsidRPr="00AB0640" w:rsidRDefault="0074765C" w:rsidP="008028C6">
            <w:pPr>
              <w:pStyle w:val="TableText1"/>
              <w:keepNext/>
              <w:keepLines/>
              <w:spacing w:after="0"/>
              <w:jc w:val="center"/>
            </w:pPr>
            <w:r w:rsidRPr="00AB0640">
              <w:t>–1.3 (nominal p=0.04)</w:t>
            </w:r>
          </w:p>
        </w:tc>
      </w:tr>
      <w:tr w:rsidR="0074765C" w:rsidRPr="00AB0640" w14:paraId="4980E458" w14:textId="77777777" w:rsidTr="0065379D">
        <w:trPr>
          <w:cantSplit/>
        </w:trPr>
        <w:tc>
          <w:tcPr>
            <w:tcW w:w="5000" w:type="pct"/>
            <w:gridSpan w:val="4"/>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9450FED" w14:textId="77777777" w:rsidR="0074765C" w:rsidRPr="00AB0640" w:rsidRDefault="0074765C" w:rsidP="008028C6">
            <w:pPr>
              <w:pStyle w:val="TableText1"/>
              <w:keepNext/>
              <w:keepLines/>
              <w:spacing w:after="0"/>
              <w:rPr>
                <w:b/>
                <w:bCs/>
              </w:rPr>
            </w:pPr>
            <w:r w:rsidRPr="00AB0640">
              <w:rPr>
                <w:b/>
                <w:bCs/>
              </w:rPr>
              <w:t>Patients with pes cavus</w:t>
            </w:r>
          </w:p>
        </w:tc>
      </w:tr>
      <w:tr w:rsidR="0074765C" w:rsidRPr="00AB0640" w14:paraId="31C52900" w14:textId="77777777" w:rsidTr="0065379D">
        <w:trPr>
          <w:cantSplit/>
        </w:trPr>
        <w:tc>
          <w:tcPr>
            <w:tcW w:w="2193" w:type="pc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C4D75C" w14:textId="77777777" w:rsidR="0074765C" w:rsidRPr="00AB0640" w:rsidRDefault="0074765C" w:rsidP="008028C6">
            <w:pPr>
              <w:pStyle w:val="TableText1"/>
              <w:keepNext/>
              <w:keepLines/>
              <w:spacing w:after="0"/>
              <w:rPr>
                <w:b/>
                <w:bCs/>
              </w:rPr>
            </w:pPr>
          </w:p>
        </w:tc>
        <w:tc>
          <w:tcPr>
            <w:tcW w:w="799"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A86EAFE" w14:textId="77777777" w:rsidR="0074765C" w:rsidRPr="00AB0640" w:rsidRDefault="0074765C" w:rsidP="008028C6">
            <w:pPr>
              <w:pStyle w:val="TableText1"/>
              <w:keepNext/>
              <w:keepLines/>
              <w:spacing w:after="0"/>
              <w:jc w:val="center"/>
              <w:rPr>
                <w:rFonts w:cs="Times New Roman"/>
                <w:b/>
                <w:bCs/>
              </w:rPr>
            </w:pPr>
            <w:r w:rsidRPr="00AB0640">
              <w:rPr>
                <w:rFonts w:cs="Times New Roman"/>
                <w:b/>
                <w:bCs/>
              </w:rPr>
              <w:t>Oma 150 mg</w:t>
            </w:r>
          </w:p>
          <w:p w14:paraId="34F1F4CE" w14:textId="77777777" w:rsidR="0074765C" w:rsidRPr="00AB0640" w:rsidRDefault="0074765C" w:rsidP="008028C6">
            <w:pPr>
              <w:pStyle w:val="TableText1"/>
              <w:keepNext/>
              <w:keepLines/>
              <w:spacing w:after="0"/>
              <w:jc w:val="center"/>
              <w:rPr>
                <w:rFonts w:cs="Times New Roman"/>
                <w:b/>
                <w:bCs/>
              </w:rPr>
            </w:pPr>
            <w:r w:rsidRPr="00AB0640">
              <w:rPr>
                <w:rFonts w:cs="Times New Roman"/>
                <w:b/>
                <w:bCs/>
              </w:rPr>
              <w:t>N=10</w:t>
            </w:r>
          </w:p>
        </w:tc>
        <w:tc>
          <w:tcPr>
            <w:tcW w:w="73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1495735" w14:textId="77777777" w:rsidR="0074765C" w:rsidRPr="00AB0640" w:rsidRDefault="0074765C" w:rsidP="008028C6">
            <w:pPr>
              <w:pStyle w:val="TableText1"/>
              <w:keepNext/>
              <w:keepLines/>
              <w:spacing w:after="0"/>
              <w:jc w:val="center"/>
              <w:rPr>
                <w:b/>
                <w:bCs/>
              </w:rPr>
            </w:pPr>
            <w:r w:rsidRPr="00AB0640">
              <w:rPr>
                <w:b/>
                <w:bCs/>
              </w:rPr>
              <w:t>Placebo</w:t>
            </w:r>
          </w:p>
          <w:p w14:paraId="35A353F6" w14:textId="77777777" w:rsidR="0074765C" w:rsidRPr="00AB0640" w:rsidRDefault="0074765C" w:rsidP="008028C6">
            <w:pPr>
              <w:pStyle w:val="TableText1"/>
              <w:keepNext/>
              <w:keepLines/>
              <w:spacing w:after="0"/>
              <w:jc w:val="center"/>
              <w:rPr>
                <w:b/>
                <w:bCs/>
              </w:rPr>
            </w:pPr>
            <w:r w:rsidRPr="00AB0640">
              <w:rPr>
                <w:b/>
                <w:bCs/>
              </w:rPr>
              <w:t>N=10</w:t>
            </w:r>
          </w:p>
        </w:tc>
        <w:tc>
          <w:tcPr>
            <w:tcW w:w="127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5D8D7B0" w14:textId="77777777" w:rsidR="0074765C" w:rsidRPr="00AB0640" w:rsidRDefault="0074765C" w:rsidP="008028C6">
            <w:pPr>
              <w:pStyle w:val="TableText1"/>
              <w:keepNext/>
              <w:keepLines/>
              <w:spacing w:after="0"/>
              <w:jc w:val="center"/>
              <w:rPr>
                <w:b/>
                <w:bCs/>
              </w:rPr>
            </w:pPr>
            <w:r w:rsidRPr="00AB0640">
              <w:rPr>
                <w:b/>
                <w:bCs/>
              </w:rPr>
              <w:t>LS mean difference (95% CI)</w:t>
            </w:r>
          </w:p>
          <w:p w14:paraId="7AD7542D" w14:textId="77777777" w:rsidR="0074765C" w:rsidRPr="00AB0640" w:rsidRDefault="0074765C" w:rsidP="008028C6">
            <w:pPr>
              <w:pStyle w:val="TableText1"/>
              <w:keepNext/>
              <w:keepLines/>
              <w:spacing w:after="0"/>
              <w:jc w:val="center"/>
            </w:pPr>
            <w:r w:rsidRPr="00AB0640">
              <w:rPr>
                <w:b/>
                <w:bCs/>
              </w:rPr>
              <w:t>Oma minus placebo</w:t>
            </w:r>
          </w:p>
        </w:tc>
      </w:tr>
      <w:tr w:rsidR="0074765C" w:rsidRPr="00AB0640" w14:paraId="504780F6" w14:textId="77777777" w:rsidTr="0065379D">
        <w:trPr>
          <w:cantSplit/>
        </w:trPr>
        <w:tc>
          <w:tcPr>
            <w:tcW w:w="219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3C2B924" w14:textId="77777777" w:rsidR="0074765C" w:rsidRPr="00AB0640" w:rsidRDefault="0074765C" w:rsidP="008028C6">
            <w:pPr>
              <w:pStyle w:val="TableText1"/>
              <w:keepNext/>
              <w:keepLines/>
              <w:spacing w:after="0"/>
            </w:pPr>
            <w:r w:rsidRPr="00AB0640">
              <w:t>LS mean change in mFARS from baseline at Week 48</w:t>
            </w:r>
          </w:p>
        </w:tc>
        <w:tc>
          <w:tcPr>
            <w:tcW w:w="799"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045999C" w14:textId="77777777" w:rsidR="0074765C" w:rsidRPr="00AB0640" w:rsidRDefault="0074765C" w:rsidP="008028C6">
            <w:pPr>
              <w:pStyle w:val="TableText1"/>
              <w:keepNext/>
              <w:keepLines/>
              <w:spacing w:after="0"/>
              <w:jc w:val="center"/>
              <w:rPr>
                <w:rFonts w:cs="Times New Roman"/>
              </w:rPr>
            </w:pPr>
            <w:r w:rsidRPr="00AB0640">
              <w:t>0.15 (-2.62, 2.91)</w:t>
            </w:r>
          </w:p>
        </w:tc>
        <w:tc>
          <w:tcPr>
            <w:tcW w:w="73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922AF24" w14:textId="77777777" w:rsidR="0074765C" w:rsidRPr="00AB0640" w:rsidRDefault="0074765C" w:rsidP="008028C6">
            <w:pPr>
              <w:pStyle w:val="TableText1"/>
              <w:keepNext/>
              <w:keepLines/>
              <w:spacing w:after="0"/>
              <w:jc w:val="center"/>
            </w:pPr>
            <w:r w:rsidRPr="00AB0640">
              <w:t>1.33 (-1.29, 3.96)</w:t>
            </w:r>
          </w:p>
        </w:tc>
        <w:tc>
          <w:tcPr>
            <w:tcW w:w="127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2A5DE22" w14:textId="77777777" w:rsidR="0074765C" w:rsidRPr="00AB0640" w:rsidRDefault="0074765C" w:rsidP="008028C6">
            <w:pPr>
              <w:pStyle w:val="TableText1"/>
              <w:keepNext/>
              <w:keepLines/>
              <w:spacing w:after="0"/>
              <w:jc w:val="center"/>
            </w:pPr>
            <w:r w:rsidRPr="00AB0640">
              <w:t>-1.19 (-5.19, 2.82)</w:t>
            </w:r>
          </w:p>
        </w:tc>
      </w:tr>
      <w:tr w:rsidR="0074765C" w:rsidRPr="00AB0640" w14:paraId="31B1FE3E" w14:textId="77777777" w:rsidTr="0065379D">
        <w:trPr>
          <w:cantSplit/>
        </w:trPr>
        <w:tc>
          <w:tcPr>
            <w:tcW w:w="5000" w:type="pct"/>
            <w:gridSpan w:val="4"/>
            <w:tcBorders>
              <w:top w:val="double" w:sz="4" w:space="0" w:color="auto"/>
              <w:left w:val="single" w:sz="4" w:space="0" w:color="auto"/>
              <w:bottom w:val="single" w:sz="4" w:space="0" w:color="auto"/>
              <w:right w:val="single" w:sz="4" w:space="0" w:color="auto"/>
            </w:tcBorders>
            <w:shd w:val="clear" w:color="auto" w:fill="B8CCE4" w:themeFill="accent1" w:themeFillTint="66"/>
            <w:hideMark/>
          </w:tcPr>
          <w:p w14:paraId="622B4990" w14:textId="77777777" w:rsidR="0074765C" w:rsidRPr="00AB0640" w:rsidRDefault="0074765C" w:rsidP="008028C6">
            <w:pPr>
              <w:pStyle w:val="TableText1"/>
              <w:keepNext/>
              <w:keepLines/>
              <w:spacing w:after="0"/>
              <w:rPr>
                <w:b/>
                <w:bCs/>
              </w:rPr>
            </w:pPr>
            <w:r w:rsidRPr="00AB0640">
              <w:rPr>
                <w:b/>
              </w:rPr>
              <w:t>Harms</w:t>
            </w:r>
            <w:r w:rsidRPr="00AB0640">
              <w:t xml:space="preserve"> </w:t>
            </w:r>
            <w:r w:rsidRPr="00AB0640">
              <w:rPr>
                <w:b/>
              </w:rPr>
              <w:t>(Safety population – all randomised patients)</w:t>
            </w:r>
          </w:p>
        </w:tc>
      </w:tr>
      <w:tr w:rsidR="0074765C" w:rsidRPr="00AB0640" w14:paraId="144B6257" w14:textId="77777777" w:rsidTr="0065379D">
        <w:trPr>
          <w:cantSplit/>
          <w:trHeight w:val="227"/>
        </w:trPr>
        <w:tc>
          <w:tcPr>
            <w:tcW w:w="219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4735DB4" w14:textId="77777777" w:rsidR="0074765C" w:rsidRPr="00AB0640" w:rsidRDefault="0074765C" w:rsidP="008028C6">
            <w:pPr>
              <w:pStyle w:val="TableText1"/>
              <w:keepNext/>
              <w:keepLines/>
              <w:spacing w:after="0"/>
              <w:rPr>
                <w:b/>
                <w:bCs/>
              </w:rPr>
            </w:pPr>
            <w:r w:rsidRPr="00AB0640">
              <w:rPr>
                <w:b/>
              </w:rPr>
              <w:t>Event</w:t>
            </w:r>
          </w:p>
        </w:tc>
        <w:tc>
          <w:tcPr>
            <w:tcW w:w="799"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8DE7951" w14:textId="77777777" w:rsidR="0074765C" w:rsidRPr="00AB0640" w:rsidRDefault="0074765C" w:rsidP="008028C6">
            <w:pPr>
              <w:pStyle w:val="TableText1"/>
              <w:keepNext/>
              <w:keepLines/>
              <w:spacing w:after="0"/>
              <w:jc w:val="center"/>
              <w:rPr>
                <w:b/>
                <w:bCs/>
              </w:rPr>
            </w:pPr>
            <w:r w:rsidRPr="00AB0640">
              <w:rPr>
                <w:b/>
                <w:bCs/>
              </w:rPr>
              <w:t xml:space="preserve">Oma 150 mg, </w:t>
            </w:r>
            <w:r w:rsidRPr="00AB0640">
              <w:rPr>
                <w:b/>
                <w:bCs/>
              </w:rPr>
              <w:br/>
              <w:t>n/N</w:t>
            </w:r>
          </w:p>
        </w:tc>
        <w:tc>
          <w:tcPr>
            <w:tcW w:w="73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9E0D15E" w14:textId="77777777" w:rsidR="0074765C" w:rsidRPr="00AB0640" w:rsidRDefault="0074765C" w:rsidP="008028C6">
            <w:pPr>
              <w:pStyle w:val="TableText1"/>
              <w:keepNext/>
              <w:keepLines/>
              <w:spacing w:after="0"/>
              <w:jc w:val="center"/>
            </w:pPr>
            <w:r w:rsidRPr="00AB0640">
              <w:rPr>
                <w:b/>
              </w:rPr>
              <w:t xml:space="preserve">Placebo, </w:t>
            </w:r>
            <w:r w:rsidRPr="00AB0640">
              <w:rPr>
                <w:b/>
              </w:rPr>
              <w:br/>
              <w:t>n/N</w:t>
            </w:r>
          </w:p>
        </w:tc>
        <w:tc>
          <w:tcPr>
            <w:tcW w:w="127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0CD0526" w14:textId="77777777" w:rsidR="0074765C" w:rsidRPr="00AB0640" w:rsidRDefault="0074765C" w:rsidP="008028C6">
            <w:pPr>
              <w:pStyle w:val="TableText1"/>
              <w:keepNext/>
              <w:keepLines/>
              <w:spacing w:after="0"/>
              <w:jc w:val="center"/>
              <w:rPr>
                <w:b/>
                <w:bCs/>
              </w:rPr>
            </w:pPr>
            <w:r w:rsidRPr="00AB0640">
              <w:rPr>
                <w:b/>
              </w:rPr>
              <w:t xml:space="preserve">Risk difference (95% CI) Oma minus placebo </w:t>
            </w:r>
          </w:p>
        </w:tc>
      </w:tr>
      <w:tr w:rsidR="0074765C" w:rsidRPr="00AB0640" w14:paraId="5AABC2A6" w14:textId="77777777" w:rsidTr="0065379D">
        <w:trPr>
          <w:cantSplit/>
        </w:trPr>
        <w:tc>
          <w:tcPr>
            <w:tcW w:w="219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B086DC9" w14:textId="77777777" w:rsidR="0074765C" w:rsidRPr="00AB0640" w:rsidRDefault="0074765C" w:rsidP="008028C6">
            <w:pPr>
              <w:pStyle w:val="TableText1"/>
              <w:keepNext/>
              <w:keepLines/>
              <w:spacing w:after="0"/>
            </w:pPr>
            <w:r w:rsidRPr="00AB0640">
              <w:t>Patients with at least one severe AE</w:t>
            </w:r>
          </w:p>
        </w:tc>
        <w:tc>
          <w:tcPr>
            <w:tcW w:w="799"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D688B1D" w14:textId="77777777" w:rsidR="0074765C" w:rsidRPr="00AB0640" w:rsidRDefault="0074765C" w:rsidP="008028C6">
            <w:pPr>
              <w:pStyle w:val="TableText1"/>
              <w:keepNext/>
              <w:keepLines/>
              <w:spacing w:after="0"/>
              <w:jc w:val="center"/>
            </w:pPr>
            <w:r w:rsidRPr="00AB0640">
              <w:t>5/51</w:t>
            </w:r>
          </w:p>
        </w:tc>
        <w:tc>
          <w:tcPr>
            <w:tcW w:w="73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EADC23C" w14:textId="77777777" w:rsidR="0074765C" w:rsidRPr="00AB0640" w:rsidRDefault="0074765C" w:rsidP="008028C6">
            <w:pPr>
              <w:pStyle w:val="TableText1"/>
              <w:keepNext/>
              <w:keepLines/>
              <w:spacing w:after="0"/>
              <w:jc w:val="center"/>
            </w:pPr>
            <w:r w:rsidRPr="00AB0640">
              <w:t>0/52</w:t>
            </w:r>
          </w:p>
        </w:tc>
        <w:tc>
          <w:tcPr>
            <w:tcW w:w="127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B014472" w14:textId="77777777" w:rsidR="0074765C" w:rsidRPr="00AB0640" w:rsidRDefault="0074765C" w:rsidP="008028C6">
            <w:pPr>
              <w:pStyle w:val="TableText1"/>
              <w:keepNext/>
              <w:keepLines/>
              <w:spacing w:after="0"/>
              <w:jc w:val="center"/>
            </w:pPr>
            <w:r w:rsidRPr="00AB0640">
              <w:t>0.10 (0.02, 0.18)</w:t>
            </w:r>
          </w:p>
        </w:tc>
      </w:tr>
      <w:tr w:rsidR="0074765C" w:rsidRPr="00AB0640" w14:paraId="50B355FA" w14:textId="77777777" w:rsidTr="0065379D">
        <w:trPr>
          <w:cantSplit/>
        </w:trPr>
        <w:tc>
          <w:tcPr>
            <w:tcW w:w="219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A57301A" w14:textId="77777777" w:rsidR="0074765C" w:rsidRPr="00AB0640" w:rsidRDefault="0074765C" w:rsidP="008028C6">
            <w:pPr>
              <w:pStyle w:val="TableText1"/>
              <w:keepNext/>
              <w:keepLines/>
              <w:spacing w:after="0"/>
            </w:pPr>
            <w:r w:rsidRPr="00AB0640">
              <w:t>ALT increased</w:t>
            </w:r>
          </w:p>
        </w:tc>
        <w:tc>
          <w:tcPr>
            <w:tcW w:w="799"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DDD0819" w14:textId="77777777" w:rsidR="0074765C" w:rsidRPr="00AB0640" w:rsidRDefault="0074765C" w:rsidP="008028C6">
            <w:pPr>
              <w:pStyle w:val="TableText1"/>
              <w:keepNext/>
              <w:keepLines/>
              <w:spacing w:after="0"/>
              <w:jc w:val="center"/>
            </w:pPr>
            <w:r w:rsidRPr="00AB0640">
              <w:t>19/51</w:t>
            </w:r>
          </w:p>
        </w:tc>
        <w:tc>
          <w:tcPr>
            <w:tcW w:w="73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38C78D4" w14:textId="77777777" w:rsidR="0074765C" w:rsidRPr="00AB0640" w:rsidRDefault="0074765C" w:rsidP="008028C6">
            <w:pPr>
              <w:pStyle w:val="TableText1"/>
              <w:keepNext/>
              <w:keepLines/>
              <w:spacing w:after="0"/>
              <w:jc w:val="center"/>
            </w:pPr>
            <w:r w:rsidRPr="00AB0640">
              <w:t>1/52</w:t>
            </w:r>
          </w:p>
        </w:tc>
        <w:tc>
          <w:tcPr>
            <w:tcW w:w="127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F043D60" w14:textId="77777777" w:rsidR="0074765C" w:rsidRPr="00AB0640" w:rsidRDefault="0074765C" w:rsidP="008028C6">
            <w:pPr>
              <w:pStyle w:val="TableText1"/>
              <w:keepNext/>
              <w:keepLines/>
              <w:spacing w:after="0"/>
              <w:jc w:val="center"/>
            </w:pPr>
            <w:r w:rsidRPr="00AB0640">
              <w:t>0.35 (0.20, 0.51)</w:t>
            </w:r>
          </w:p>
        </w:tc>
      </w:tr>
      <w:tr w:rsidR="0074765C" w:rsidRPr="00AB0640" w14:paraId="07A2A113" w14:textId="77777777" w:rsidTr="0065379D">
        <w:trPr>
          <w:cantSplit/>
        </w:trPr>
        <w:tc>
          <w:tcPr>
            <w:tcW w:w="219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AF64A50" w14:textId="77777777" w:rsidR="0074765C" w:rsidRPr="00AB0640" w:rsidRDefault="0074765C" w:rsidP="008028C6">
            <w:pPr>
              <w:pStyle w:val="TableText1"/>
              <w:keepNext/>
              <w:keepLines/>
              <w:spacing w:after="0"/>
            </w:pPr>
            <w:r w:rsidRPr="00AB0640">
              <w:t>AST increased</w:t>
            </w:r>
          </w:p>
        </w:tc>
        <w:tc>
          <w:tcPr>
            <w:tcW w:w="799"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58DA785" w14:textId="77777777" w:rsidR="0074765C" w:rsidRPr="00AB0640" w:rsidRDefault="0074765C" w:rsidP="008028C6">
            <w:pPr>
              <w:pStyle w:val="TableText1"/>
              <w:keepNext/>
              <w:keepLines/>
              <w:spacing w:after="0"/>
              <w:jc w:val="center"/>
            </w:pPr>
            <w:r w:rsidRPr="00AB0640">
              <w:t>11/51</w:t>
            </w:r>
          </w:p>
        </w:tc>
        <w:tc>
          <w:tcPr>
            <w:tcW w:w="73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6606598" w14:textId="77777777" w:rsidR="0074765C" w:rsidRPr="00AB0640" w:rsidRDefault="0074765C" w:rsidP="008028C6">
            <w:pPr>
              <w:pStyle w:val="TableText1"/>
              <w:keepNext/>
              <w:keepLines/>
              <w:spacing w:after="0"/>
              <w:jc w:val="center"/>
            </w:pPr>
            <w:r w:rsidRPr="00AB0640">
              <w:t>1/52</w:t>
            </w:r>
          </w:p>
        </w:tc>
        <w:tc>
          <w:tcPr>
            <w:tcW w:w="127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B264E9C" w14:textId="77777777" w:rsidR="0074765C" w:rsidRPr="00AB0640" w:rsidRDefault="0074765C" w:rsidP="008028C6">
            <w:pPr>
              <w:pStyle w:val="TableText1"/>
              <w:keepNext/>
              <w:keepLines/>
              <w:spacing w:after="0"/>
              <w:jc w:val="center"/>
            </w:pPr>
            <w:r w:rsidRPr="00AB0640">
              <w:t>0.20 (0.07, 0.32)</w:t>
            </w:r>
          </w:p>
        </w:tc>
      </w:tr>
    </w:tbl>
    <w:p w14:paraId="050A06AF" w14:textId="7E2710E4" w:rsidR="0074765C" w:rsidRPr="00AB0640" w:rsidRDefault="0074765C" w:rsidP="008028C6">
      <w:pPr>
        <w:pStyle w:val="TableFooter"/>
        <w:keepNext/>
        <w:keepLines/>
      </w:pPr>
      <w:r w:rsidRPr="00AB0640">
        <w:t xml:space="preserve">Source: </w:t>
      </w:r>
      <w:r w:rsidR="00A826BB" w:rsidRPr="00AB0640">
        <w:t>Paragraph 6.56, Table 14, p25, omaveloxolone PSD, March 2025 PBAC Meeting</w:t>
      </w:r>
    </w:p>
    <w:p w14:paraId="6CAF2490" w14:textId="7EFB009A" w:rsidR="0074765C" w:rsidRPr="00AB0640" w:rsidRDefault="0074765C" w:rsidP="008028C6">
      <w:pPr>
        <w:pStyle w:val="TableFooter"/>
        <w:keepNext/>
        <w:keepLines/>
      </w:pPr>
      <w:r w:rsidRPr="00AB0640">
        <w:t>ADL</w:t>
      </w:r>
      <w:r w:rsidR="00CF171C" w:rsidRPr="00AB0640">
        <w:t xml:space="preserve"> </w:t>
      </w:r>
      <w:r w:rsidRPr="00AB0640">
        <w:t>=</w:t>
      </w:r>
      <w:r w:rsidR="00CF171C" w:rsidRPr="00AB0640">
        <w:t xml:space="preserve"> </w:t>
      </w:r>
      <w:r w:rsidRPr="00AB0640">
        <w:t>activities of daily living; AE</w:t>
      </w:r>
      <w:r w:rsidR="00CF171C" w:rsidRPr="00AB0640">
        <w:t xml:space="preserve"> </w:t>
      </w:r>
      <w:r w:rsidRPr="00AB0640">
        <w:t>=</w:t>
      </w:r>
      <w:r w:rsidR="00CF171C" w:rsidRPr="00AB0640">
        <w:t xml:space="preserve"> </w:t>
      </w:r>
      <w:r w:rsidRPr="00AB0640">
        <w:t>adverse event; ALT</w:t>
      </w:r>
      <w:r w:rsidR="00CF171C" w:rsidRPr="00AB0640">
        <w:t xml:space="preserve"> </w:t>
      </w:r>
      <w:r w:rsidRPr="00AB0640">
        <w:t>=</w:t>
      </w:r>
      <w:r w:rsidR="00CF171C" w:rsidRPr="00AB0640">
        <w:t xml:space="preserve"> </w:t>
      </w:r>
      <w:r w:rsidRPr="00AB0640">
        <w:t>alanine aminotransferase; AST</w:t>
      </w:r>
      <w:r w:rsidR="00CF171C" w:rsidRPr="00AB0640">
        <w:t xml:space="preserve"> </w:t>
      </w:r>
      <w:r w:rsidRPr="00AB0640">
        <w:t>=</w:t>
      </w:r>
      <w:r w:rsidR="00CF171C" w:rsidRPr="00AB0640">
        <w:t xml:space="preserve"> </w:t>
      </w:r>
      <w:r w:rsidRPr="00AB0640">
        <w:t>aspartate aminotransferase; CI = confidence interval; LS</w:t>
      </w:r>
      <w:r w:rsidR="00CF171C" w:rsidRPr="00AB0640">
        <w:t xml:space="preserve"> </w:t>
      </w:r>
      <w:r w:rsidRPr="00AB0640">
        <w:t>=</w:t>
      </w:r>
      <w:r w:rsidR="00CF171C" w:rsidRPr="00AB0640">
        <w:t xml:space="preserve"> </w:t>
      </w:r>
      <w:r w:rsidRPr="00AB0640">
        <w:t xml:space="preserve">least squares; </w:t>
      </w:r>
      <w:r w:rsidR="00A826BB" w:rsidRPr="00AB0640">
        <w:t>mFARS</w:t>
      </w:r>
      <w:r w:rsidR="00CF171C" w:rsidRPr="00AB0640">
        <w:t xml:space="preserve"> </w:t>
      </w:r>
      <w:r w:rsidR="00A826BB" w:rsidRPr="00AB0640">
        <w:t>=</w:t>
      </w:r>
      <w:r w:rsidR="00CF171C" w:rsidRPr="00AB0640">
        <w:t xml:space="preserve"> </w:t>
      </w:r>
      <w:r w:rsidR="00654617" w:rsidRPr="00AB0640">
        <w:t>m</w:t>
      </w:r>
      <w:r w:rsidR="00A826BB" w:rsidRPr="00AB0640">
        <w:t xml:space="preserve">odified Friedreich’s </w:t>
      </w:r>
      <w:r w:rsidR="00654617" w:rsidRPr="00AB0640">
        <w:t>a</w:t>
      </w:r>
      <w:r w:rsidR="00A826BB" w:rsidRPr="00AB0640">
        <w:t xml:space="preserve">taxia </w:t>
      </w:r>
      <w:r w:rsidR="00654617" w:rsidRPr="00AB0640">
        <w:t>r</w:t>
      </w:r>
      <w:r w:rsidR="00A826BB" w:rsidRPr="00AB0640">
        <w:t xml:space="preserve">ating </w:t>
      </w:r>
      <w:r w:rsidR="00654617" w:rsidRPr="00AB0640">
        <w:t>s</w:t>
      </w:r>
      <w:r w:rsidR="00A826BB" w:rsidRPr="00AB0640">
        <w:t xml:space="preserve">cale; </w:t>
      </w:r>
      <w:r w:rsidRPr="00AB0640">
        <w:t>Oma</w:t>
      </w:r>
      <w:r w:rsidR="001C576A" w:rsidRPr="00AB0640">
        <w:t xml:space="preserve"> </w:t>
      </w:r>
      <w:r w:rsidRPr="00AB0640">
        <w:t>=</w:t>
      </w:r>
      <w:r w:rsidR="001C576A" w:rsidRPr="00AB0640">
        <w:t xml:space="preserve"> </w:t>
      </w:r>
      <w:r w:rsidRPr="00AB0640">
        <w:t>omaveloxolone; PGIC</w:t>
      </w:r>
      <w:r w:rsidR="001C576A" w:rsidRPr="00AB0640">
        <w:t xml:space="preserve"> </w:t>
      </w:r>
      <w:r w:rsidRPr="00AB0640">
        <w:t>=</w:t>
      </w:r>
      <w:r w:rsidR="001C576A" w:rsidRPr="00AB0640">
        <w:t xml:space="preserve"> </w:t>
      </w:r>
      <w:r w:rsidRPr="00AB0640">
        <w:t>patient global impression of change</w:t>
      </w:r>
      <w:r w:rsidR="00A826BB" w:rsidRPr="00AB0640">
        <w:t>; PSD</w:t>
      </w:r>
      <w:r w:rsidR="00CF171C" w:rsidRPr="00AB0640">
        <w:t xml:space="preserve"> </w:t>
      </w:r>
      <w:r w:rsidR="00A826BB" w:rsidRPr="00AB0640">
        <w:t>=</w:t>
      </w:r>
      <w:r w:rsidR="00CF171C" w:rsidRPr="00AB0640">
        <w:t xml:space="preserve"> </w:t>
      </w:r>
      <w:r w:rsidR="00A826BB" w:rsidRPr="00AB0640">
        <w:t>Public Summary Document; SD</w:t>
      </w:r>
      <w:r w:rsidR="00CF171C" w:rsidRPr="00AB0640">
        <w:t xml:space="preserve"> </w:t>
      </w:r>
      <w:r w:rsidR="00A826BB" w:rsidRPr="00AB0640">
        <w:t>=</w:t>
      </w:r>
      <w:r w:rsidR="00CF171C" w:rsidRPr="00AB0640">
        <w:t xml:space="preserve"> </w:t>
      </w:r>
      <w:r w:rsidR="00A826BB" w:rsidRPr="00AB0640">
        <w:t>standard deviation.</w:t>
      </w:r>
    </w:p>
    <w:p w14:paraId="1146A616" w14:textId="7E530442" w:rsidR="0074765C" w:rsidRPr="00AB0640" w:rsidRDefault="0074765C" w:rsidP="008028C6">
      <w:pPr>
        <w:pStyle w:val="TableFooter"/>
        <w:keepNext/>
        <w:keepLines/>
      </w:pPr>
      <w:r w:rsidRPr="00AB0640">
        <w:rPr>
          <w:vertAlign w:val="superscript"/>
        </w:rPr>
        <w:t>a</w:t>
      </w:r>
      <w:r w:rsidR="001C576A" w:rsidRPr="00AB0640">
        <w:rPr>
          <w:vertAlign w:val="superscript"/>
        </w:rPr>
        <w:t xml:space="preserve"> </w:t>
      </w:r>
      <w:r w:rsidRPr="00AB0640">
        <w:t>In the subset of patients with severe pes cavus (n=20), the improvement with omaveloxolone in mFARS relative to placebo was not statistically significant (-1.19 points; p = 0.5379)</w:t>
      </w:r>
    </w:p>
    <w:p w14:paraId="4EA7A67A" w14:textId="1C3DA507" w:rsidR="00B77310" w:rsidRPr="00AB0640" w:rsidRDefault="00B77310" w:rsidP="008028C6">
      <w:pPr>
        <w:keepNext/>
        <w:keepLines/>
      </w:pPr>
      <w:r w:rsidRPr="00AB0640">
        <w:rPr>
          <w:rStyle w:val="CommentReference"/>
          <w:b w:val="0"/>
          <w:bCs/>
          <w:sz w:val="18"/>
          <w:szCs w:val="18"/>
          <w:shd w:val="clear" w:color="auto" w:fill="B8CCE4" w:themeFill="accent1" w:themeFillTint="66"/>
        </w:rPr>
        <w:t>Blue shading</w:t>
      </w:r>
      <w:r w:rsidRPr="00AB0640">
        <w:rPr>
          <w:rStyle w:val="CommentReference"/>
          <w:b w:val="0"/>
          <w:bCs/>
          <w:sz w:val="18"/>
          <w:szCs w:val="18"/>
        </w:rPr>
        <w:t xml:space="preserve"> indicates data previously seen by the PBAC.</w:t>
      </w:r>
    </w:p>
    <w:p w14:paraId="4C3BDE4D" w14:textId="3FD8CEB7" w:rsidR="00A826BB" w:rsidRPr="00AB0640" w:rsidRDefault="00A826BB" w:rsidP="008028C6">
      <w:pPr>
        <w:pStyle w:val="3-BodyText"/>
      </w:pPr>
      <w:proofErr w:type="gramStart"/>
      <w:r w:rsidRPr="00AB0640">
        <w:t>On the basis of</w:t>
      </w:r>
      <w:proofErr w:type="gramEnd"/>
      <w:r w:rsidRPr="00AB0640">
        <w:t xml:space="preserve"> direct evidence presented in the resubmission</w:t>
      </w:r>
      <w:r w:rsidR="00DA1BC3" w:rsidRPr="00AB0640">
        <w:t>, after 48 weeks of treatment</w:t>
      </w:r>
      <w:r w:rsidRPr="00AB0640">
        <w:t>:</w:t>
      </w:r>
    </w:p>
    <w:p w14:paraId="2FCC1C3F" w14:textId="5F0F00AF" w:rsidR="00A826BB" w:rsidRPr="00AB0640" w:rsidRDefault="00A826BB" w:rsidP="008028C6">
      <w:pPr>
        <w:pStyle w:val="Bulletpoints"/>
        <w:ind w:left="1134"/>
        <w:jc w:val="both"/>
      </w:pPr>
      <w:r w:rsidRPr="00AB0640">
        <w:t xml:space="preserve">omaveloxolone significantly improved mFARS (mean difference of -2.4, p=0.014) and ADL (mean difference of -1.3, p=0.04) relative to placebo in patients without pes cavus (n = 82, FAS). There </w:t>
      </w:r>
      <w:r w:rsidR="00C00573" w:rsidRPr="00AB0640">
        <w:t>wa</w:t>
      </w:r>
      <w:r w:rsidRPr="00AB0640">
        <w:t>s some uncertainty regarding the clinical meaningfulness of these changes.</w:t>
      </w:r>
    </w:p>
    <w:p w14:paraId="4464626C" w14:textId="1BFB3969" w:rsidR="00A826BB" w:rsidRPr="00AB0640" w:rsidRDefault="00A826BB" w:rsidP="008028C6">
      <w:pPr>
        <w:pStyle w:val="Bulletpoints"/>
        <w:ind w:left="1134"/>
        <w:jc w:val="both"/>
      </w:pPr>
      <w:r w:rsidRPr="00AB0640">
        <w:t xml:space="preserve">in patients with pes cavus (n=20), the improvement with omaveloxolone in mFARS relative to placebo was not statistically significant (-1.19 points; p = 0.5379). </w:t>
      </w:r>
    </w:p>
    <w:p w14:paraId="5A20924A" w14:textId="490D0420" w:rsidR="00A826BB" w:rsidRPr="00AB0640" w:rsidRDefault="00A826BB" w:rsidP="008028C6">
      <w:pPr>
        <w:pStyle w:val="Bulletpoints"/>
        <w:ind w:left="1134"/>
        <w:jc w:val="both"/>
      </w:pPr>
      <w:r w:rsidRPr="00AB0640">
        <w:t xml:space="preserve">there was a trend favouring omaveloxolone compared to placebo in terms of PGIC, but the improvement was not </w:t>
      </w:r>
      <w:r w:rsidR="001C576A" w:rsidRPr="00AB0640">
        <w:t xml:space="preserve">statistically </w:t>
      </w:r>
      <w:r w:rsidRPr="00AB0640">
        <w:t>significant.</w:t>
      </w:r>
    </w:p>
    <w:p w14:paraId="33696279" w14:textId="087421EC" w:rsidR="006B7256" w:rsidRPr="00AB0640" w:rsidRDefault="00A826BB" w:rsidP="008028C6">
      <w:pPr>
        <w:pStyle w:val="Bulletpoints"/>
        <w:ind w:left="1134"/>
        <w:jc w:val="both"/>
      </w:pPr>
      <w:r w:rsidRPr="00AB0640">
        <w:t xml:space="preserve">for every 100 FA patients treated with omaveloxolone in comparison with placebo, 10 additional patients will experience a </w:t>
      </w:r>
      <w:r w:rsidR="001C576A" w:rsidRPr="00AB0640">
        <w:t xml:space="preserve">serious </w:t>
      </w:r>
      <w:r w:rsidRPr="00AB0640">
        <w:t>AE, 35 additional patients will experience an increase in ALT levels above normal, and 20 additional patients will experience an increase in AST levels above normal.</w:t>
      </w:r>
      <w:r w:rsidR="0074765C" w:rsidRPr="00AB0640">
        <w:t xml:space="preserve"> </w:t>
      </w:r>
    </w:p>
    <w:p w14:paraId="7A1772B6" w14:textId="128C170E" w:rsidR="00B60939" w:rsidRPr="00AB0640" w:rsidRDefault="00B60939" w:rsidP="008028C6">
      <w:pPr>
        <w:pStyle w:val="4-SubsectionHeading"/>
      </w:pPr>
      <w:bookmarkStart w:id="36" w:name="_Toc22897644"/>
      <w:bookmarkStart w:id="37" w:name="_Toc208932437"/>
      <w:r w:rsidRPr="00AB0640">
        <w:t>Clinical claim</w:t>
      </w:r>
      <w:bookmarkEnd w:id="36"/>
      <w:bookmarkEnd w:id="37"/>
    </w:p>
    <w:p w14:paraId="191B4F49" w14:textId="4F92F4F4" w:rsidR="00B77310" w:rsidRPr="00F770A1" w:rsidRDefault="006B7256" w:rsidP="008028C6">
      <w:pPr>
        <w:pStyle w:val="3-BodyText"/>
      </w:pPr>
      <w:r w:rsidRPr="00F770A1">
        <w:t xml:space="preserve">The </w:t>
      </w:r>
      <w:r w:rsidR="00433707" w:rsidRPr="00F770A1">
        <w:t>re</w:t>
      </w:r>
      <w:r w:rsidRPr="00F770A1">
        <w:t xml:space="preserve">submission </w:t>
      </w:r>
      <w:r w:rsidR="007074C5" w:rsidRPr="00F770A1">
        <w:t xml:space="preserve">again </w:t>
      </w:r>
      <w:r w:rsidRPr="00F770A1">
        <w:t xml:space="preserve">described omaveloxolone as superior in terms of effectiveness and inferior in terms of safety compared to BSC. </w:t>
      </w:r>
    </w:p>
    <w:p w14:paraId="65C039E7" w14:textId="1B205218" w:rsidR="006B7256" w:rsidRPr="00F770A1" w:rsidRDefault="00DF6D78" w:rsidP="008028C6">
      <w:pPr>
        <w:pStyle w:val="3-BodyText"/>
      </w:pPr>
      <w:r w:rsidRPr="00F770A1">
        <w:lastRenderedPageBreak/>
        <w:t xml:space="preserve">Overall, </w:t>
      </w:r>
      <w:r w:rsidR="00DD3C20" w:rsidRPr="00F770A1">
        <w:t>while</w:t>
      </w:r>
      <w:r w:rsidR="00AD45EA" w:rsidRPr="00F770A1">
        <w:t xml:space="preserve"> noting </w:t>
      </w:r>
      <w:r w:rsidR="00575ACC" w:rsidRPr="00F770A1">
        <w:t xml:space="preserve">the rarity and severity of the condition and the absence of clinically effective alternatives, </w:t>
      </w:r>
      <w:r w:rsidR="00DD3C20" w:rsidRPr="00F770A1">
        <w:t xml:space="preserve">the ESC </w:t>
      </w:r>
      <w:r w:rsidR="00AD45EA" w:rsidRPr="00F770A1">
        <w:t xml:space="preserve">considered </w:t>
      </w:r>
      <w:r w:rsidR="00575ACC" w:rsidRPr="00F770A1">
        <w:t>that the available evidence suggest</w:t>
      </w:r>
      <w:r w:rsidR="00AD45EA" w:rsidRPr="00F770A1">
        <w:t>ed</w:t>
      </w:r>
      <w:r w:rsidR="00575ACC" w:rsidRPr="00F770A1">
        <w:t xml:space="preserve"> that omaveloxolone </w:t>
      </w:r>
      <w:r w:rsidR="00AD45EA" w:rsidRPr="00F770A1">
        <w:t>potentially</w:t>
      </w:r>
      <w:r w:rsidR="00575ACC" w:rsidRPr="00F770A1">
        <w:t xml:space="preserve"> slow</w:t>
      </w:r>
      <w:r w:rsidR="00AD45EA" w:rsidRPr="00F770A1">
        <w:t>ed</w:t>
      </w:r>
      <w:r w:rsidR="00575ACC" w:rsidRPr="00F770A1">
        <w:t xml:space="preserve"> disease progression.</w:t>
      </w:r>
      <w:r w:rsidR="004953A1" w:rsidRPr="00F770A1">
        <w:t xml:space="preserve"> </w:t>
      </w:r>
      <w:r w:rsidR="00AD45EA" w:rsidRPr="00F770A1">
        <w:t>However, the</w:t>
      </w:r>
      <w:r w:rsidR="004953A1" w:rsidRPr="00F770A1">
        <w:t xml:space="preserve"> </w:t>
      </w:r>
      <w:r w:rsidR="00013265" w:rsidRPr="00F770A1">
        <w:t>ESC noted</w:t>
      </w:r>
      <w:r w:rsidR="004953A1" w:rsidRPr="00F770A1">
        <w:t xml:space="preserve"> that t</w:t>
      </w:r>
      <w:r w:rsidR="00B77310" w:rsidRPr="00F770A1">
        <w:t xml:space="preserve">he following </w:t>
      </w:r>
      <w:r w:rsidR="004953A1" w:rsidRPr="00F770A1">
        <w:t xml:space="preserve">uncertainties </w:t>
      </w:r>
      <w:r w:rsidR="00B77310" w:rsidRPr="00F770A1">
        <w:t xml:space="preserve">regarding the clinical evidence </w:t>
      </w:r>
      <w:r w:rsidR="004953A1" w:rsidRPr="00F770A1">
        <w:t>identified in the March 2025 submission</w:t>
      </w:r>
      <w:r w:rsidR="00B77310" w:rsidRPr="00F770A1">
        <w:t xml:space="preserve"> </w:t>
      </w:r>
      <w:r w:rsidR="009B4B28" w:rsidRPr="00F770A1">
        <w:t xml:space="preserve">remained </w:t>
      </w:r>
      <w:r w:rsidR="00B77310" w:rsidRPr="00F770A1">
        <w:t>(paragraph 6.58, omaveloxolone PSD, March 2025 PBAC meeting):</w:t>
      </w:r>
    </w:p>
    <w:p w14:paraId="1A7A4795" w14:textId="2853FBBD" w:rsidR="006B7256" w:rsidRPr="00F770A1" w:rsidRDefault="006B7256" w:rsidP="008028C6">
      <w:pPr>
        <w:pStyle w:val="Bulletpoints"/>
        <w:ind w:left="1080"/>
        <w:jc w:val="both"/>
      </w:pPr>
      <w:r w:rsidRPr="00F770A1">
        <w:t>Acknowledging the rarity of the condition, the patient numbers were small, making the efficacy results imprecise. Comparative superiority can only be concluded within the short time frame of 48 weeks in the key MOXIe Part 2 trial.</w:t>
      </w:r>
    </w:p>
    <w:p w14:paraId="6018F1D9" w14:textId="3C01FBAD" w:rsidR="006B7256" w:rsidRPr="00F770A1" w:rsidRDefault="006B7256" w:rsidP="008028C6">
      <w:pPr>
        <w:pStyle w:val="Bulletpoints"/>
        <w:ind w:left="1080"/>
        <w:jc w:val="both"/>
      </w:pPr>
      <w:r w:rsidRPr="00F770A1">
        <w:t xml:space="preserve">The </w:t>
      </w:r>
      <w:r w:rsidR="0030641C" w:rsidRPr="00F770A1">
        <w:t xml:space="preserve">difference in change from baseline in mFARS at Week 48 (-2.40 points) favoured omaveloxolone over placebo (as a proxy for BSC) which was statistically significant. However, </w:t>
      </w:r>
      <w:r w:rsidRPr="00F770A1">
        <w:t xml:space="preserve">the </w:t>
      </w:r>
      <w:r w:rsidR="00244954" w:rsidRPr="00F770A1">
        <w:t>precision of the measured</w:t>
      </w:r>
      <w:r w:rsidRPr="00F770A1">
        <w:t xml:space="preserve"> change (</w:t>
      </w:r>
      <w:r w:rsidR="00450081" w:rsidRPr="00F770A1">
        <w:t xml:space="preserve">-2.40 </w:t>
      </w:r>
      <w:r w:rsidRPr="00F770A1">
        <w:t>point</w:t>
      </w:r>
      <w:r w:rsidR="00450081" w:rsidRPr="00F770A1">
        <w:t>s</w:t>
      </w:r>
      <w:r w:rsidRPr="00F770A1">
        <w:t>) and whether it would result in benefits in terms of disease outcomes for the patient</w:t>
      </w:r>
      <w:r w:rsidR="0030641C" w:rsidRPr="00F770A1">
        <w:t xml:space="preserve"> </w:t>
      </w:r>
      <w:r w:rsidR="00BF2964" w:rsidRPr="00F770A1">
        <w:t xml:space="preserve">remained </w:t>
      </w:r>
      <w:r w:rsidR="00450081" w:rsidRPr="00F770A1">
        <w:t xml:space="preserve">somewhat </w:t>
      </w:r>
      <w:r w:rsidR="0030641C" w:rsidRPr="00F770A1">
        <w:t>uncertain</w:t>
      </w:r>
      <w:r w:rsidRPr="00F770A1">
        <w:t>.</w:t>
      </w:r>
    </w:p>
    <w:p w14:paraId="3803000D" w14:textId="6DE7C091" w:rsidR="006B7256" w:rsidRPr="00F770A1" w:rsidRDefault="006B7256" w:rsidP="008028C6">
      <w:pPr>
        <w:pStyle w:val="Bulletpoints"/>
        <w:ind w:left="1080"/>
        <w:jc w:val="both"/>
      </w:pPr>
      <w:r w:rsidRPr="00F770A1">
        <w:t xml:space="preserve">The higher percentage of missing data in the omaveloxolone arm compared to the placebo arm for the </w:t>
      </w:r>
      <w:r w:rsidR="00723A0F" w:rsidRPr="00F770A1">
        <w:t xml:space="preserve">mFARS </w:t>
      </w:r>
      <w:r w:rsidRPr="00F770A1">
        <w:t xml:space="preserve">primary endpoint (15.0% </w:t>
      </w:r>
      <w:r w:rsidR="00530299" w:rsidRPr="00AB0640">
        <w:t>v</w:t>
      </w:r>
      <w:r w:rsidR="00530299">
        <w:t>ersu</w:t>
      </w:r>
      <w:r w:rsidR="00530299" w:rsidRPr="00AB0640">
        <w:t>s</w:t>
      </w:r>
      <w:r w:rsidRPr="00F770A1">
        <w:t xml:space="preserve"> 2.3%) decrease</w:t>
      </w:r>
      <w:r w:rsidR="00AE0CD8" w:rsidRPr="00F770A1">
        <w:t>d</w:t>
      </w:r>
      <w:r w:rsidRPr="00F770A1">
        <w:t xml:space="preserve"> confidence in the primary results as they </w:t>
      </w:r>
      <w:proofErr w:type="gramStart"/>
      <w:r w:rsidRPr="00F770A1">
        <w:t>were based on the assumption</w:t>
      </w:r>
      <w:proofErr w:type="gramEnd"/>
      <w:r w:rsidRPr="00F770A1">
        <w:t xml:space="preserve"> that data were missing at random. The impact of the missing data could mean that the difference between omaveloxolone and placebo was smaller than presented.</w:t>
      </w:r>
    </w:p>
    <w:p w14:paraId="6625D3FA" w14:textId="166F19CB" w:rsidR="006B7256" w:rsidRPr="00F770A1" w:rsidRDefault="006B7256" w:rsidP="008028C6">
      <w:pPr>
        <w:pStyle w:val="Bulletpoints"/>
        <w:ind w:left="1080"/>
        <w:jc w:val="both"/>
      </w:pPr>
      <w:r w:rsidRPr="00F770A1">
        <w:t>Although the trial was double</w:t>
      </w:r>
      <w:r w:rsidR="00FE14EF">
        <w:t>-</w:t>
      </w:r>
      <w:r w:rsidRPr="00F770A1">
        <w:t>blinded, there was a high risk of unblinding due to AEs associated with omaveloxolone such as an increase in transaminase levels. This could have further biased the results away from the null towards favouring omaveloxolone over placebo.</w:t>
      </w:r>
    </w:p>
    <w:p w14:paraId="5442152E" w14:textId="3DBC93ED" w:rsidR="006B7256" w:rsidRPr="00F770A1" w:rsidRDefault="006B7256" w:rsidP="008028C6">
      <w:pPr>
        <w:pStyle w:val="Bulletpoints"/>
        <w:ind w:left="1080"/>
        <w:jc w:val="both"/>
      </w:pPr>
      <w:r w:rsidRPr="00F770A1">
        <w:t>Results for the key secondary outcomes of PGIC and CGIC were only directionally favourable for omaveloxolone and not statistically significant. These results did not provide strong support for the results of the primary outcome.</w:t>
      </w:r>
    </w:p>
    <w:p w14:paraId="7DEDBE7C" w14:textId="59E1E332" w:rsidR="006B7256" w:rsidRPr="00F770A1" w:rsidRDefault="006B7256" w:rsidP="008028C6">
      <w:pPr>
        <w:pStyle w:val="Bulletpoints"/>
        <w:ind w:left="1080"/>
        <w:jc w:val="both"/>
      </w:pPr>
      <w:r w:rsidRPr="00F770A1">
        <w:t>In the subset of patients with severe pes cavus (n=20), the improvement with omaveloxolone in mFARS relative to placebo was not statistically significant</w:t>
      </w:r>
      <w:r w:rsidR="00723A0F" w:rsidRPr="00F770A1">
        <w:t xml:space="preserve"> </w:t>
      </w:r>
      <w:r w:rsidRPr="00F770A1">
        <w:t xml:space="preserve">(-1.19 points; p=0.5379). Whilst there </w:t>
      </w:r>
      <w:r w:rsidR="00AE0CD8" w:rsidRPr="00F770A1">
        <w:t>was</w:t>
      </w:r>
      <w:r w:rsidRPr="00F770A1">
        <w:t xml:space="preserve"> high uncertainty arising from unreliability of the small sample size of the subset, an impact of foot structure on performance </w:t>
      </w:r>
      <w:r w:rsidR="00AE0CD8" w:rsidRPr="00F770A1">
        <w:t xml:space="preserve">could </w:t>
      </w:r>
      <w:r w:rsidRPr="00F770A1">
        <w:t>not be excluded.</w:t>
      </w:r>
    </w:p>
    <w:p w14:paraId="24B189CB" w14:textId="2943921C" w:rsidR="006B7256" w:rsidRDefault="006B7256" w:rsidP="008028C6">
      <w:pPr>
        <w:pStyle w:val="Bulletpoints"/>
        <w:ind w:left="1080"/>
        <w:jc w:val="both"/>
      </w:pPr>
      <w:r w:rsidRPr="00F770A1">
        <w:t xml:space="preserve">The </w:t>
      </w:r>
      <w:r w:rsidR="00BF3C6C" w:rsidRPr="00F770A1">
        <w:t xml:space="preserve">3-year follow up data </w:t>
      </w:r>
      <w:r w:rsidRPr="00F770A1">
        <w:t>presented to support the longer-term comparative effectiveness of omaveloxolone versus BSC was based on an unanchored propensity matched indirect comparison between the MOXIe Extension single arm study and the FACOMS registry data. There were several limitations associated with the indirect comparison analyses and caution should be excised in the interpretation of the results. These limitations included the residual high risk of confounding that could arise from measured and non-measured important covariates and biases arising from the selection of patients for the indirect comparison.</w:t>
      </w:r>
      <w:r w:rsidR="00631C0C" w:rsidRPr="00F770A1">
        <w:t xml:space="preserve"> </w:t>
      </w:r>
      <w:r w:rsidR="00C1692D" w:rsidRPr="00F770A1">
        <w:t>The ESC</w:t>
      </w:r>
      <w:r w:rsidR="00535A16" w:rsidRPr="00F770A1">
        <w:t>, noting the updated 5-year data presented in the PSCR,</w:t>
      </w:r>
      <w:r w:rsidR="00C1692D" w:rsidRPr="00F770A1">
        <w:t xml:space="preserve"> considered</w:t>
      </w:r>
      <w:r w:rsidR="00C3099F" w:rsidRPr="00F770A1">
        <w:t xml:space="preserve"> </w:t>
      </w:r>
      <w:r w:rsidR="00CA63BF" w:rsidRPr="00F770A1">
        <w:t xml:space="preserve">that uncertainty </w:t>
      </w:r>
      <w:r w:rsidR="00C1692D" w:rsidRPr="00F770A1">
        <w:t xml:space="preserve">in long term effects remained, </w:t>
      </w:r>
      <w:r w:rsidR="00CA63BF" w:rsidRPr="00F770A1">
        <w:t>because</w:t>
      </w:r>
      <w:r w:rsidR="00535A16" w:rsidRPr="00F770A1">
        <w:t>,</w:t>
      </w:r>
      <w:r w:rsidR="00CA63BF" w:rsidRPr="00F770A1">
        <w:t xml:space="preserve"> </w:t>
      </w:r>
      <w:r w:rsidR="00C1692D" w:rsidRPr="00F770A1">
        <w:t xml:space="preserve">as for the 3-year analysis, it </w:t>
      </w:r>
      <w:r w:rsidR="00C3099F" w:rsidRPr="00F770A1">
        <w:t>compar</w:t>
      </w:r>
      <w:r w:rsidR="00CA63BF" w:rsidRPr="00F770A1">
        <w:t>ed</w:t>
      </w:r>
      <w:r w:rsidR="00C3099F" w:rsidRPr="00F770A1">
        <w:t xml:space="preserve"> omaveloxolone-treated patients in the MOXIe Extension single arm study with a comparator arm derived from registry data</w:t>
      </w:r>
      <w:r w:rsidR="00631C0C" w:rsidRPr="00F770A1">
        <w:t>.</w:t>
      </w:r>
    </w:p>
    <w:p w14:paraId="05433A86" w14:textId="234F2F79" w:rsidR="00D15275" w:rsidRPr="008338A6" w:rsidRDefault="00D15275" w:rsidP="008028C6">
      <w:pPr>
        <w:pStyle w:val="3-BodyText"/>
      </w:pPr>
      <w:r w:rsidRPr="00F770A1">
        <w:lastRenderedPageBreak/>
        <w:t xml:space="preserve">The PBAC previously </w:t>
      </w:r>
      <w:r w:rsidRPr="00D15275">
        <w:t>considered</w:t>
      </w:r>
      <w:r w:rsidRPr="00F770A1">
        <w:t xml:space="preserve"> that the data did not convincingly support the claims of superior comparative effectiveness. In particular, the PBAC noted the uncertainty </w:t>
      </w:r>
      <w:r w:rsidRPr="008338A6">
        <w:t xml:space="preserve">in </w:t>
      </w:r>
      <w:r w:rsidR="00E17CF6" w:rsidRPr="008338A6">
        <w:t xml:space="preserve">the </w:t>
      </w:r>
      <w:r w:rsidRPr="008338A6">
        <w:t>magnitude</w:t>
      </w:r>
      <w:r w:rsidR="00E17CF6" w:rsidRPr="008338A6">
        <w:t xml:space="preserve"> of the clinical benefit</w:t>
      </w:r>
      <w:r w:rsidRPr="008338A6">
        <w:t xml:space="preserve"> and duration of improvement (paragraph 6.59, omaveloxolone PSD, March 2025 PBAC meeting).</w:t>
      </w:r>
    </w:p>
    <w:p w14:paraId="7E1750A0" w14:textId="4E2275F1" w:rsidR="00D965CE" w:rsidRPr="008338A6" w:rsidRDefault="00D15275" w:rsidP="008028C6">
      <w:pPr>
        <w:pStyle w:val="3-BodyText"/>
        <w:rPr>
          <w:snapToGrid w:val="0"/>
        </w:rPr>
      </w:pPr>
      <w:bookmarkStart w:id="38" w:name="_Hlk76376200"/>
      <w:r w:rsidRPr="008338A6">
        <w:rPr>
          <w:iCs/>
          <w:snapToGrid w:val="0"/>
        </w:rPr>
        <w:t xml:space="preserve">In consideration of the resubmission, the PBAC </w:t>
      </w:r>
      <w:r w:rsidR="00E77DD6" w:rsidRPr="008338A6">
        <w:rPr>
          <w:iCs/>
          <w:snapToGrid w:val="0"/>
        </w:rPr>
        <w:t xml:space="preserve">considered that </w:t>
      </w:r>
      <w:r w:rsidR="00B0557B" w:rsidRPr="008338A6">
        <w:rPr>
          <w:iCs/>
          <w:snapToGrid w:val="0"/>
        </w:rPr>
        <w:t>omaveloxolone was likely to be clinically superior compared to BSC</w:t>
      </w:r>
      <w:r w:rsidR="00FE14EF" w:rsidRPr="008338A6">
        <w:rPr>
          <w:iCs/>
          <w:snapToGrid w:val="0"/>
        </w:rPr>
        <w:t>. The PBAC considered that a 2-point change in mFARS score was likely to be clinically meaningful in the context of the proposed use</w:t>
      </w:r>
      <w:r w:rsidR="00AF6185" w:rsidRPr="008338A6">
        <w:rPr>
          <w:iCs/>
          <w:snapToGrid w:val="0"/>
        </w:rPr>
        <w:t xml:space="preserve">. </w:t>
      </w:r>
      <w:r w:rsidR="008338A6" w:rsidRPr="008338A6">
        <w:rPr>
          <w:iCs/>
          <w:snapToGrid w:val="0"/>
        </w:rPr>
        <w:t>Further, t</w:t>
      </w:r>
      <w:r w:rsidR="00C72D30" w:rsidRPr="008338A6">
        <w:rPr>
          <w:iCs/>
          <w:snapToGrid w:val="0"/>
        </w:rPr>
        <w:t xml:space="preserve">he PBAC noted the </w:t>
      </w:r>
      <w:r w:rsidR="006E19B4" w:rsidRPr="008338A6">
        <w:rPr>
          <w:iCs/>
          <w:snapToGrid w:val="0"/>
        </w:rPr>
        <w:t>3- and</w:t>
      </w:r>
      <w:r w:rsidR="00E443B5" w:rsidRPr="008338A6">
        <w:rPr>
          <w:iCs/>
          <w:snapToGrid w:val="0"/>
        </w:rPr>
        <w:t xml:space="preserve"> 5-year data and considered that it provided </w:t>
      </w:r>
      <w:r w:rsidR="000B0536">
        <w:rPr>
          <w:iCs/>
          <w:snapToGrid w:val="0"/>
        </w:rPr>
        <w:t xml:space="preserve">some </w:t>
      </w:r>
      <w:r w:rsidR="00E443B5" w:rsidRPr="008338A6">
        <w:rPr>
          <w:iCs/>
          <w:snapToGrid w:val="0"/>
        </w:rPr>
        <w:t xml:space="preserve">evidence of </w:t>
      </w:r>
      <w:r w:rsidR="006761B6" w:rsidRPr="008338A6">
        <w:rPr>
          <w:iCs/>
          <w:snapToGrid w:val="0"/>
        </w:rPr>
        <w:t xml:space="preserve">a duration of effect for some patients. </w:t>
      </w:r>
      <w:r w:rsidR="00271B6E" w:rsidRPr="008338A6">
        <w:rPr>
          <w:iCs/>
          <w:snapToGrid w:val="0"/>
        </w:rPr>
        <w:t xml:space="preserve">The PBAC considered that given the progressive nature of FA, any stabilisation of disease would </w:t>
      </w:r>
      <w:r w:rsidR="000A5269">
        <w:rPr>
          <w:iCs/>
          <w:snapToGrid w:val="0"/>
        </w:rPr>
        <w:t xml:space="preserve">likely </w:t>
      </w:r>
      <w:r w:rsidR="00271B6E" w:rsidRPr="008338A6">
        <w:rPr>
          <w:iCs/>
          <w:snapToGrid w:val="0"/>
        </w:rPr>
        <w:t xml:space="preserve">be beneficial for patients and their </w:t>
      </w:r>
      <w:r w:rsidR="003A54EB" w:rsidRPr="008338A6">
        <w:rPr>
          <w:iCs/>
          <w:snapToGrid w:val="0"/>
        </w:rPr>
        <w:t>careg</w:t>
      </w:r>
      <w:r w:rsidR="003A54EB">
        <w:rPr>
          <w:iCs/>
          <w:snapToGrid w:val="0"/>
        </w:rPr>
        <w:t>ivers</w:t>
      </w:r>
      <w:r w:rsidR="00271B6E" w:rsidRPr="008338A6">
        <w:rPr>
          <w:iCs/>
          <w:snapToGrid w:val="0"/>
        </w:rPr>
        <w:t xml:space="preserve">. </w:t>
      </w:r>
    </w:p>
    <w:p w14:paraId="7EF9382B" w14:textId="605A0D96" w:rsidR="00D965CE" w:rsidRDefault="00D965CE" w:rsidP="008028C6">
      <w:pPr>
        <w:pStyle w:val="3-BodyText"/>
      </w:pPr>
      <w:r w:rsidRPr="008338A6">
        <w:rPr>
          <w:snapToGrid w:val="0"/>
        </w:rPr>
        <w:t xml:space="preserve">The PBAC </w:t>
      </w:r>
      <w:r w:rsidR="006761B6" w:rsidRPr="008338A6">
        <w:rPr>
          <w:snapToGrid w:val="0"/>
        </w:rPr>
        <w:t xml:space="preserve">again </w:t>
      </w:r>
      <w:r w:rsidRPr="008338A6">
        <w:rPr>
          <w:snapToGrid w:val="0"/>
        </w:rPr>
        <w:t>considered that the claim of inferior comparative safety was reasonable.</w:t>
      </w:r>
      <w:bookmarkEnd w:id="38"/>
    </w:p>
    <w:p w14:paraId="74A1172E" w14:textId="128C170E" w:rsidR="00B60939" w:rsidRPr="00AB0640" w:rsidRDefault="00B60939" w:rsidP="008028C6">
      <w:pPr>
        <w:pStyle w:val="4-SubsectionHeading"/>
      </w:pPr>
      <w:bookmarkStart w:id="39" w:name="_Toc22897645"/>
      <w:bookmarkStart w:id="40" w:name="_Toc208932438"/>
      <w:r w:rsidRPr="00AB0640">
        <w:t>Economic analysis</w:t>
      </w:r>
      <w:bookmarkEnd w:id="39"/>
      <w:bookmarkEnd w:id="40"/>
      <w:r w:rsidR="00491B3A" w:rsidRPr="00AB0640">
        <w:t xml:space="preserve"> </w:t>
      </w:r>
    </w:p>
    <w:p w14:paraId="48A9429E" w14:textId="38FA2AB8" w:rsidR="007A40AC" w:rsidRPr="00AB0640" w:rsidRDefault="007A40AC" w:rsidP="008028C6">
      <w:pPr>
        <w:pStyle w:val="3-BodyText"/>
      </w:pPr>
      <w:bookmarkStart w:id="41" w:name="_Toc22897646"/>
      <w:bookmarkStart w:id="42" w:name="_Toc187925092"/>
      <w:bookmarkStart w:id="43" w:name="_Toc22897647"/>
      <w:r w:rsidRPr="00AB0640">
        <w:t xml:space="preserve">The </w:t>
      </w:r>
      <w:r w:rsidR="00433707" w:rsidRPr="00AB0640">
        <w:t>re</w:t>
      </w:r>
      <w:r w:rsidRPr="00AB0640">
        <w:t xml:space="preserve">submission presented an economic evaluation that compared treatment with omaveloxolone + BSC to BSC only, in patients diagnosed with FA and aged over 16 years. The type of economic evaluation presented was a cost-utility analysis and the key components are summarised in </w:t>
      </w:r>
      <w:r w:rsidRPr="00AB0640">
        <w:fldChar w:fldCharType="begin" w:fldLock="1"/>
      </w:r>
      <w:r w:rsidRPr="00AB0640">
        <w:instrText xml:space="preserve"> REF _Ref207531946 \h </w:instrText>
      </w:r>
      <w:r w:rsidRPr="00AB0640">
        <w:fldChar w:fldCharType="separate"/>
      </w:r>
      <w:r w:rsidR="00E056AF" w:rsidRPr="00AB0640">
        <w:t xml:space="preserve">Table </w:t>
      </w:r>
      <w:r w:rsidR="00E056AF">
        <w:rPr>
          <w:noProof/>
        </w:rPr>
        <w:t>11</w:t>
      </w:r>
      <w:r w:rsidRPr="00AB0640">
        <w:fldChar w:fldCharType="end"/>
      </w:r>
      <w:r w:rsidRPr="00AB0640">
        <w:t xml:space="preserve">. </w:t>
      </w:r>
    </w:p>
    <w:p w14:paraId="206D7314" w14:textId="5EC4F873" w:rsidR="007A40AC" w:rsidRPr="00AB0640" w:rsidRDefault="007A40AC" w:rsidP="008028C6">
      <w:pPr>
        <w:pStyle w:val="TableFigureHeading"/>
        <w:rPr>
          <w:rStyle w:val="CommentReference"/>
          <w:b/>
          <w:szCs w:val="24"/>
        </w:rPr>
      </w:pPr>
      <w:bookmarkStart w:id="44" w:name="_Ref207531946"/>
      <w:r w:rsidRPr="00AB0640">
        <w:lastRenderedPageBreak/>
        <w:t xml:space="preserve">Table </w:t>
      </w:r>
      <w:r w:rsidR="00E056AF">
        <w:fldChar w:fldCharType="begin" w:fldLock="1"/>
      </w:r>
      <w:r w:rsidR="00E056AF">
        <w:instrText xml:space="preserve"> SEQ Table \* ARABIC </w:instrText>
      </w:r>
      <w:r w:rsidR="00E056AF">
        <w:fldChar w:fldCharType="separate"/>
      </w:r>
      <w:r w:rsidR="00E056AF">
        <w:rPr>
          <w:noProof/>
        </w:rPr>
        <w:t>11</w:t>
      </w:r>
      <w:r w:rsidR="00E056AF">
        <w:rPr>
          <w:noProof/>
        </w:rPr>
        <w:fldChar w:fldCharType="end"/>
      </w:r>
      <w:bookmarkEnd w:id="44"/>
      <w:r w:rsidRPr="00AB0640">
        <w:t>:</w:t>
      </w:r>
      <w:r w:rsidRPr="00AB0640">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1: Summary of model structure, key inputs and rationale"/>
      </w:tblPr>
      <w:tblGrid>
        <w:gridCol w:w="1555"/>
        <w:gridCol w:w="7462"/>
      </w:tblGrid>
      <w:tr w:rsidR="007A40AC" w:rsidRPr="008871BC" w14:paraId="77383377" w14:textId="77777777" w:rsidTr="0065379D">
        <w:trPr>
          <w:tblHeader/>
        </w:trPr>
        <w:tc>
          <w:tcPr>
            <w:tcW w:w="862" w:type="pct"/>
            <w:vAlign w:val="center"/>
          </w:tcPr>
          <w:p w14:paraId="21E48B47" w14:textId="77777777" w:rsidR="007A40AC" w:rsidRPr="008871BC" w:rsidRDefault="007A40AC" w:rsidP="008028C6">
            <w:pPr>
              <w:pStyle w:val="In-tableHeading"/>
              <w:rPr>
                <w:lang w:val="en-AU"/>
              </w:rPr>
            </w:pPr>
            <w:r w:rsidRPr="008871BC">
              <w:rPr>
                <w:lang w:val="en-AU"/>
              </w:rPr>
              <w:t>Component</w:t>
            </w:r>
          </w:p>
        </w:tc>
        <w:tc>
          <w:tcPr>
            <w:tcW w:w="4138" w:type="pct"/>
            <w:vAlign w:val="center"/>
          </w:tcPr>
          <w:p w14:paraId="57BFE16F" w14:textId="77777777" w:rsidR="007A40AC" w:rsidRPr="008871BC" w:rsidRDefault="007A40AC" w:rsidP="008028C6">
            <w:pPr>
              <w:pStyle w:val="In-tableHeading"/>
              <w:rPr>
                <w:lang w:val="en-AU"/>
              </w:rPr>
            </w:pPr>
            <w:r w:rsidRPr="008871BC">
              <w:rPr>
                <w:lang w:val="en-AU"/>
              </w:rPr>
              <w:t>Summary</w:t>
            </w:r>
          </w:p>
        </w:tc>
      </w:tr>
      <w:tr w:rsidR="007A40AC" w:rsidRPr="008871BC" w14:paraId="31EB19C1" w14:textId="77777777" w:rsidTr="0065379D">
        <w:tc>
          <w:tcPr>
            <w:tcW w:w="862" w:type="pct"/>
            <w:vAlign w:val="center"/>
          </w:tcPr>
          <w:p w14:paraId="421B5BC2" w14:textId="77777777" w:rsidR="007A40AC" w:rsidRPr="008871BC" w:rsidRDefault="007A40AC" w:rsidP="008028C6">
            <w:pPr>
              <w:pStyle w:val="TableText0"/>
            </w:pPr>
            <w:r w:rsidRPr="008871BC">
              <w:t>Cohorts modelled</w:t>
            </w:r>
          </w:p>
        </w:tc>
        <w:tc>
          <w:tcPr>
            <w:tcW w:w="4138" w:type="pct"/>
            <w:shd w:val="clear" w:color="auto" w:fill="B8CCE4" w:themeFill="accent1" w:themeFillTint="66"/>
            <w:vAlign w:val="center"/>
          </w:tcPr>
          <w:p w14:paraId="2E9C0150" w14:textId="7F35B36C" w:rsidR="007A40AC" w:rsidRPr="008871BC" w:rsidRDefault="007A40AC" w:rsidP="008028C6">
            <w:pPr>
              <w:pStyle w:val="TableText0"/>
            </w:pPr>
            <w:r w:rsidRPr="008871BC">
              <w:t>Four cohorts were modelled depending on the age of symptom onset</w:t>
            </w:r>
            <w:r w:rsidR="00202AE4">
              <w:t xml:space="preserve"> </w:t>
            </w:r>
            <w:r w:rsidRPr="008871BC">
              <w:t xml:space="preserve">(≤7 years, 8 – 14 years, 15 – 24 years and </w:t>
            </w:r>
            <w:r w:rsidR="00202AE4">
              <w:t xml:space="preserve">&gt; </w:t>
            </w:r>
            <w:r w:rsidRPr="008871BC">
              <w:t>24 years).</w:t>
            </w:r>
          </w:p>
        </w:tc>
      </w:tr>
      <w:tr w:rsidR="007A40AC" w:rsidRPr="008871BC" w14:paraId="2CAD6059" w14:textId="77777777" w:rsidTr="0065379D">
        <w:tc>
          <w:tcPr>
            <w:tcW w:w="862" w:type="pct"/>
            <w:vAlign w:val="center"/>
          </w:tcPr>
          <w:p w14:paraId="2347C3BA" w14:textId="77777777" w:rsidR="007A40AC" w:rsidRPr="008871BC" w:rsidRDefault="007A40AC" w:rsidP="008028C6">
            <w:pPr>
              <w:pStyle w:val="TableText0"/>
            </w:pPr>
            <w:r w:rsidRPr="008871BC">
              <w:t>Outcomes</w:t>
            </w:r>
          </w:p>
        </w:tc>
        <w:tc>
          <w:tcPr>
            <w:tcW w:w="4138" w:type="pct"/>
            <w:shd w:val="clear" w:color="auto" w:fill="B8CCE4" w:themeFill="accent1" w:themeFillTint="66"/>
            <w:vAlign w:val="center"/>
          </w:tcPr>
          <w:p w14:paraId="132C7C68" w14:textId="77777777" w:rsidR="007A40AC" w:rsidRPr="008871BC" w:rsidRDefault="007A40AC" w:rsidP="008028C6">
            <w:pPr>
              <w:pStyle w:val="TableText0"/>
            </w:pPr>
            <w:r w:rsidRPr="008871BC">
              <w:t xml:space="preserve">Life years and QALYs. </w:t>
            </w:r>
          </w:p>
        </w:tc>
      </w:tr>
      <w:tr w:rsidR="007A40AC" w:rsidRPr="008871BC" w14:paraId="65AFD3E6" w14:textId="77777777" w:rsidTr="0065379D">
        <w:tc>
          <w:tcPr>
            <w:tcW w:w="862" w:type="pct"/>
            <w:vAlign w:val="center"/>
          </w:tcPr>
          <w:p w14:paraId="12560383" w14:textId="77777777" w:rsidR="007A40AC" w:rsidRPr="008871BC" w:rsidRDefault="007A40AC" w:rsidP="008028C6">
            <w:pPr>
              <w:pStyle w:val="TableText0"/>
            </w:pPr>
            <w:r w:rsidRPr="008871BC">
              <w:t>Time horizon</w:t>
            </w:r>
          </w:p>
        </w:tc>
        <w:tc>
          <w:tcPr>
            <w:tcW w:w="4138" w:type="pct"/>
            <w:vAlign w:val="center"/>
          </w:tcPr>
          <w:p w14:paraId="08D16F84" w14:textId="7F8E1D01" w:rsidR="007A40AC" w:rsidRPr="008871BC" w:rsidRDefault="007A40AC" w:rsidP="008028C6">
            <w:pPr>
              <w:pStyle w:val="TableText0"/>
            </w:pPr>
            <w:r w:rsidRPr="008871BC">
              <w:rPr>
                <w:shd w:val="clear" w:color="auto" w:fill="B8CCE4" w:themeFill="accent1" w:themeFillTint="66"/>
              </w:rPr>
              <w:t>Lifetime time horizon (84 years) v</w:t>
            </w:r>
            <w:r w:rsidR="00530299">
              <w:rPr>
                <w:shd w:val="clear" w:color="auto" w:fill="B8CCE4" w:themeFill="accent1" w:themeFillTint="66"/>
              </w:rPr>
              <w:t>ersu</w:t>
            </w:r>
            <w:r w:rsidRPr="008871BC">
              <w:rPr>
                <w:shd w:val="clear" w:color="auto" w:fill="B8CCE4" w:themeFill="accent1" w:themeFillTint="66"/>
              </w:rPr>
              <w:t>s 4 years of follow-up in the omaveloxolone arm and 13 years follow up in the BSC arm.</w:t>
            </w:r>
            <w:r w:rsidRPr="008871BC">
              <w:t xml:space="preserve"> Given the relatively short duration of follow up, immature trial data and average life expectance of FA patients, the ESC previously noted that a shorter time horizon may be more appropriate. The </w:t>
            </w:r>
            <w:r w:rsidR="0090603C" w:rsidRPr="008871BC">
              <w:t xml:space="preserve">ESC noted that the </w:t>
            </w:r>
            <w:r w:rsidRPr="008871BC">
              <w:t xml:space="preserve">alternate approach utilised for modelling mortality meant that the economic model presented in the resubmission was less sensitive to shorter time horizons. </w:t>
            </w:r>
          </w:p>
        </w:tc>
      </w:tr>
      <w:tr w:rsidR="007A40AC" w:rsidRPr="008871BC" w14:paraId="694F128C" w14:textId="77777777" w:rsidTr="0065379D">
        <w:tc>
          <w:tcPr>
            <w:tcW w:w="862" w:type="pct"/>
            <w:vAlign w:val="center"/>
          </w:tcPr>
          <w:p w14:paraId="2560FA32" w14:textId="77777777" w:rsidR="007A40AC" w:rsidRPr="008871BC" w:rsidRDefault="007A40AC" w:rsidP="008028C6">
            <w:pPr>
              <w:pStyle w:val="TableText0"/>
            </w:pPr>
            <w:r w:rsidRPr="008871BC">
              <w:t>Methods used to generate results</w:t>
            </w:r>
          </w:p>
        </w:tc>
        <w:tc>
          <w:tcPr>
            <w:tcW w:w="4138" w:type="pct"/>
            <w:shd w:val="clear" w:color="auto" w:fill="B8CCE4" w:themeFill="accent1" w:themeFillTint="66"/>
            <w:vAlign w:val="center"/>
          </w:tcPr>
          <w:p w14:paraId="146B0943" w14:textId="5B8109C3" w:rsidR="007A40AC" w:rsidRPr="008871BC" w:rsidRDefault="007A40AC" w:rsidP="008028C6">
            <w:pPr>
              <w:pStyle w:val="TableText0"/>
            </w:pPr>
            <w:r w:rsidRPr="008871BC">
              <w:t>Regression based analysis which relates disease progression (measured as mFARS in the model) to costs and outcomes.</w:t>
            </w:r>
            <w:r w:rsidR="00202AE4">
              <w:t xml:space="preserve"> </w:t>
            </w:r>
          </w:p>
        </w:tc>
      </w:tr>
      <w:tr w:rsidR="007A40AC" w:rsidRPr="008871BC" w14:paraId="71C85C43" w14:textId="77777777" w:rsidTr="0065379D">
        <w:tc>
          <w:tcPr>
            <w:tcW w:w="862" w:type="pct"/>
            <w:vAlign w:val="center"/>
          </w:tcPr>
          <w:p w14:paraId="19878271" w14:textId="77777777" w:rsidR="007A40AC" w:rsidRPr="008871BC" w:rsidRDefault="007A40AC" w:rsidP="008028C6">
            <w:pPr>
              <w:pStyle w:val="TableText0"/>
            </w:pPr>
            <w:r w:rsidRPr="008871BC">
              <w:rPr>
                <w:snapToGrid w:val="0"/>
              </w:rPr>
              <w:t>Health states</w:t>
            </w:r>
          </w:p>
        </w:tc>
        <w:tc>
          <w:tcPr>
            <w:tcW w:w="4138" w:type="pct"/>
            <w:shd w:val="clear" w:color="auto" w:fill="B8CCE4" w:themeFill="accent1" w:themeFillTint="66"/>
            <w:vAlign w:val="center"/>
          </w:tcPr>
          <w:p w14:paraId="7EA3ED02" w14:textId="77777777" w:rsidR="007A40AC" w:rsidRPr="008871BC" w:rsidRDefault="007A40AC" w:rsidP="008028C6">
            <w:pPr>
              <w:pStyle w:val="TableText0"/>
            </w:pPr>
            <w:r w:rsidRPr="008871BC">
              <w:rPr>
                <w:snapToGrid w:val="0"/>
              </w:rPr>
              <w:t>Patients were either alive or dead, with no other health states defined. Operationally, in the omaveloxolone arm, alive patients were divided into ‘on treatment’ and ‘off treatment’ for the purposes of assigning costs and treatment effect.</w:t>
            </w:r>
          </w:p>
        </w:tc>
      </w:tr>
      <w:tr w:rsidR="007A40AC" w:rsidRPr="008871BC" w14:paraId="7CFE72BE" w14:textId="77777777" w:rsidTr="0065379D">
        <w:tc>
          <w:tcPr>
            <w:tcW w:w="862" w:type="pct"/>
            <w:vAlign w:val="center"/>
          </w:tcPr>
          <w:p w14:paraId="2E885DF8" w14:textId="77777777" w:rsidR="007A40AC" w:rsidRPr="008871BC" w:rsidRDefault="007A40AC" w:rsidP="008028C6">
            <w:pPr>
              <w:pStyle w:val="TableText0"/>
            </w:pPr>
            <w:r w:rsidRPr="008871BC">
              <w:t>Cycle length</w:t>
            </w:r>
          </w:p>
        </w:tc>
        <w:tc>
          <w:tcPr>
            <w:tcW w:w="4138" w:type="pct"/>
            <w:shd w:val="clear" w:color="auto" w:fill="B8CCE4" w:themeFill="accent1" w:themeFillTint="66"/>
            <w:vAlign w:val="center"/>
          </w:tcPr>
          <w:p w14:paraId="4089AEA9" w14:textId="77777777" w:rsidR="007A40AC" w:rsidRPr="008871BC" w:rsidRDefault="007A40AC" w:rsidP="008028C6">
            <w:pPr>
              <w:pStyle w:val="TableText0"/>
            </w:pPr>
            <w:r w:rsidRPr="008871BC">
              <w:t>1 year</w:t>
            </w:r>
          </w:p>
        </w:tc>
      </w:tr>
      <w:tr w:rsidR="007A40AC" w:rsidRPr="008871BC" w14:paraId="7C5D3164" w14:textId="77777777" w:rsidTr="0065379D">
        <w:tc>
          <w:tcPr>
            <w:tcW w:w="862" w:type="pct"/>
            <w:vAlign w:val="center"/>
          </w:tcPr>
          <w:p w14:paraId="4884CBB3" w14:textId="77777777" w:rsidR="007A40AC" w:rsidRPr="008871BC" w:rsidRDefault="007A40AC" w:rsidP="008028C6">
            <w:pPr>
              <w:pStyle w:val="TableText0"/>
            </w:pPr>
            <w:r w:rsidRPr="008871BC">
              <w:rPr>
                <w:snapToGrid w:val="0"/>
              </w:rPr>
              <w:t>Transition probabilities</w:t>
            </w:r>
          </w:p>
        </w:tc>
        <w:tc>
          <w:tcPr>
            <w:tcW w:w="4138" w:type="pct"/>
            <w:vAlign w:val="center"/>
          </w:tcPr>
          <w:p w14:paraId="2987626D" w14:textId="77777777" w:rsidR="007A40AC" w:rsidRPr="008871BC" w:rsidRDefault="007A40AC" w:rsidP="008028C6">
            <w:pPr>
              <w:pStyle w:val="TableText0"/>
              <w:keepNext w:val="0"/>
              <w:shd w:val="clear" w:color="auto" w:fill="B8CCE4" w:themeFill="accent1" w:themeFillTint="66"/>
              <w:rPr>
                <w:snapToGrid w:val="0"/>
              </w:rPr>
            </w:pPr>
            <w:r w:rsidRPr="008871BC">
              <w:rPr>
                <w:snapToGrid w:val="0"/>
              </w:rPr>
              <w:t>Disease progression transition probabilities were based on a regression analysis of natural history registry data. In the BSC arm these were applied directly.</w:t>
            </w:r>
          </w:p>
          <w:p w14:paraId="49D7C59D" w14:textId="77777777" w:rsidR="007A40AC" w:rsidRPr="008871BC" w:rsidRDefault="007A40AC" w:rsidP="008028C6">
            <w:pPr>
              <w:pStyle w:val="TableText0"/>
              <w:keepNext w:val="0"/>
              <w:shd w:val="clear" w:color="auto" w:fill="B8CCE4" w:themeFill="accent1" w:themeFillTint="66"/>
              <w:rPr>
                <w:snapToGrid w:val="0"/>
              </w:rPr>
            </w:pPr>
            <w:r w:rsidRPr="008871BC">
              <w:rPr>
                <w:snapToGrid w:val="0"/>
              </w:rPr>
              <w:t>In the omaveloxolone arm, a treatment effect (relative risk) was applied to the transition probabilities, derived from a propensity matched analysis (which compared patients in the MOXIe extension study to matched patients enrolled in the FACOMS registry).</w:t>
            </w:r>
          </w:p>
          <w:p w14:paraId="75C505F4" w14:textId="77777777" w:rsidR="007A40AC" w:rsidRPr="008871BC" w:rsidRDefault="007A40AC" w:rsidP="008028C6">
            <w:pPr>
              <w:pStyle w:val="TableText0"/>
              <w:keepNext w:val="0"/>
              <w:rPr>
                <w:snapToGrid w:val="0"/>
              </w:rPr>
            </w:pPr>
          </w:p>
          <w:p w14:paraId="22824D64" w14:textId="77777777" w:rsidR="007A40AC" w:rsidRPr="008871BC" w:rsidRDefault="007A40AC" w:rsidP="008028C6">
            <w:pPr>
              <w:pStyle w:val="TableText0"/>
              <w:keepNext w:val="0"/>
              <w:rPr>
                <w:snapToGrid w:val="0"/>
              </w:rPr>
            </w:pPr>
            <w:r w:rsidRPr="008871BC">
              <w:rPr>
                <w:snapToGrid w:val="0"/>
              </w:rPr>
              <w:t xml:space="preserve">Mortality was related to disease progression (not treatment status) and was modelled by applying HRs due to FA, based on disability stage to general population mortality curves for each age of onset cohort. </w:t>
            </w:r>
          </w:p>
          <w:p w14:paraId="7BDFB098" w14:textId="77777777" w:rsidR="007A40AC" w:rsidRPr="008871BC" w:rsidRDefault="007A40AC" w:rsidP="008028C6">
            <w:pPr>
              <w:pStyle w:val="TableText0"/>
              <w:keepNext w:val="0"/>
              <w:rPr>
                <w:snapToGrid w:val="0"/>
              </w:rPr>
            </w:pPr>
          </w:p>
          <w:p w14:paraId="4F86AB0F" w14:textId="77777777" w:rsidR="007A40AC" w:rsidRPr="008871BC" w:rsidRDefault="007A40AC" w:rsidP="008028C6">
            <w:pPr>
              <w:pStyle w:val="TableText0"/>
            </w:pPr>
            <w:r w:rsidRPr="008871BC">
              <w:rPr>
                <w:snapToGrid w:val="0"/>
                <w:shd w:val="clear" w:color="auto" w:fill="B8CCE4" w:themeFill="accent1" w:themeFillTint="66"/>
              </w:rPr>
              <w:t>Patients on treatment were modelled through a TTD curve based on the proportion of patients remaining on treatment in the MOXIe part 2 trial (13%) in the first year and a 5.6% discontinuation rate in subsequent years based on the annual TTD rate in years 2 – 4 of the MOXIe extension trial.</w:t>
            </w:r>
            <w:r w:rsidRPr="008871BC">
              <w:rPr>
                <w:snapToGrid w:val="0"/>
              </w:rPr>
              <w:t xml:space="preserve"> </w:t>
            </w:r>
          </w:p>
        </w:tc>
      </w:tr>
      <w:tr w:rsidR="007A40AC" w:rsidRPr="008871BC" w14:paraId="45901222" w14:textId="77777777" w:rsidTr="0065379D">
        <w:tc>
          <w:tcPr>
            <w:tcW w:w="862" w:type="pct"/>
            <w:vAlign w:val="center"/>
          </w:tcPr>
          <w:p w14:paraId="1E3CCC74" w14:textId="77777777" w:rsidR="007A40AC" w:rsidRPr="008871BC" w:rsidRDefault="007A40AC" w:rsidP="008028C6">
            <w:pPr>
              <w:pStyle w:val="TableText0"/>
            </w:pPr>
            <w:r w:rsidRPr="008871BC">
              <w:t xml:space="preserve">Treatment effect </w:t>
            </w:r>
          </w:p>
        </w:tc>
        <w:tc>
          <w:tcPr>
            <w:tcW w:w="4138" w:type="pct"/>
            <w:vAlign w:val="center"/>
          </w:tcPr>
          <w:p w14:paraId="1D7C5330" w14:textId="7045AB4F" w:rsidR="007A40AC" w:rsidRPr="008871BC" w:rsidRDefault="007A40AC" w:rsidP="008028C6">
            <w:pPr>
              <w:pStyle w:val="TableText0"/>
            </w:pPr>
            <w:r w:rsidRPr="008871BC">
              <w:rPr>
                <w:snapToGrid w:val="0"/>
              </w:rPr>
              <w:t xml:space="preserve">The treatment effect of omaveloxolone (derived from the propensity matched analysis) was applied to all omaveloxolone patients while on treatment with no on-treatment waning for the duration of the model. Once patients cease treatment, omaveloxolone has no further treatment effect. In March 2025, the ESC noted that treatment effect waning may be reasonable due to insufficient evidence to justify a constant treatment effect. However, treatment effect, applied as a rate ratio, remained unchanged from the previous submission. Further, it may have been more reasonable to calculate the rate ratio based on available data for changes in mFARS score for each of the first 3 years instead of a rate ratio based on a cumulative change in mFARS score over 3 years. The rate ratio calculated in Year 3 could then be extrapolated over the lifetime of the model. </w:t>
            </w:r>
            <w:r w:rsidR="00BF6751" w:rsidRPr="008871BC">
              <w:rPr>
                <w:snapToGrid w:val="0"/>
              </w:rPr>
              <w:t xml:space="preserve">The ESC noted that the </w:t>
            </w:r>
            <w:r w:rsidR="003770F6" w:rsidRPr="008871BC">
              <w:rPr>
                <w:snapToGrid w:val="0"/>
              </w:rPr>
              <w:t xml:space="preserve">individual </w:t>
            </w:r>
            <w:r w:rsidR="00D03DBC" w:rsidRPr="008871BC">
              <w:rPr>
                <w:snapToGrid w:val="0"/>
              </w:rPr>
              <w:t xml:space="preserve">rate ratios derived from the updated 5-year data were highly variable and did not follow a </w:t>
            </w:r>
            <w:r w:rsidR="005C13A7" w:rsidRPr="008871BC">
              <w:rPr>
                <w:snapToGrid w:val="0"/>
              </w:rPr>
              <w:t>particular trend</w:t>
            </w:r>
            <w:r w:rsidR="00955E8B" w:rsidRPr="008871BC">
              <w:rPr>
                <w:snapToGrid w:val="0"/>
              </w:rPr>
              <w:t xml:space="preserve">. The ESC considered that this </w:t>
            </w:r>
            <w:r w:rsidR="003137E7" w:rsidRPr="008871BC">
              <w:rPr>
                <w:snapToGrid w:val="0"/>
              </w:rPr>
              <w:t>may be</w:t>
            </w:r>
            <w:r w:rsidR="00955E8B" w:rsidRPr="008871BC">
              <w:rPr>
                <w:snapToGrid w:val="0"/>
              </w:rPr>
              <w:t xml:space="preserve"> due to th</w:t>
            </w:r>
            <w:r w:rsidR="003137E7" w:rsidRPr="008871BC">
              <w:rPr>
                <w:snapToGrid w:val="0"/>
              </w:rPr>
              <w:t>e</w:t>
            </w:r>
            <w:r w:rsidR="00955E8B" w:rsidRPr="008871BC">
              <w:rPr>
                <w:snapToGrid w:val="0"/>
              </w:rPr>
              <w:t xml:space="preserve"> small number of patients receiving omaveloxolone </w:t>
            </w:r>
            <w:r w:rsidR="005C13A7" w:rsidRPr="008871BC">
              <w:rPr>
                <w:snapToGrid w:val="0"/>
              </w:rPr>
              <w:t>(</w:t>
            </w:r>
            <w:r w:rsidR="00955E8B" w:rsidRPr="008871BC">
              <w:rPr>
                <w:snapToGrid w:val="0"/>
              </w:rPr>
              <w:t>n</w:t>
            </w:r>
            <w:r w:rsidR="005C13A7" w:rsidRPr="008871BC">
              <w:rPr>
                <w:snapToGrid w:val="0"/>
              </w:rPr>
              <w:t xml:space="preserve"> = 43).</w:t>
            </w:r>
          </w:p>
        </w:tc>
      </w:tr>
      <w:tr w:rsidR="007A40AC" w:rsidRPr="008871BC" w14:paraId="16E84801" w14:textId="77777777" w:rsidTr="0065379D">
        <w:tc>
          <w:tcPr>
            <w:tcW w:w="862" w:type="pct"/>
            <w:vAlign w:val="center"/>
          </w:tcPr>
          <w:p w14:paraId="431476F2" w14:textId="77777777" w:rsidR="007A40AC" w:rsidRPr="008871BC" w:rsidRDefault="007A40AC" w:rsidP="008028C6">
            <w:pPr>
              <w:pStyle w:val="TableText0"/>
            </w:pPr>
            <w:r w:rsidRPr="008871BC">
              <w:rPr>
                <w:snapToGrid w:val="0"/>
              </w:rPr>
              <w:t>HRQoL</w:t>
            </w:r>
          </w:p>
        </w:tc>
        <w:tc>
          <w:tcPr>
            <w:tcW w:w="4138" w:type="pct"/>
            <w:vAlign w:val="center"/>
          </w:tcPr>
          <w:p w14:paraId="0323FE88" w14:textId="77777777" w:rsidR="007A40AC" w:rsidRPr="008871BC" w:rsidRDefault="007A40AC" w:rsidP="008028C6">
            <w:pPr>
              <w:pStyle w:val="TableText0"/>
            </w:pPr>
            <w:r w:rsidRPr="008871BC">
              <w:rPr>
                <w:snapToGrid w:val="0"/>
              </w:rPr>
              <w:t xml:space="preserve">Utility values, based on mFARS score ranges, derived from a time-trade-off (TTO) study conducted in December 2024, were applied in the base case analysis. </w:t>
            </w:r>
          </w:p>
        </w:tc>
      </w:tr>
      <w:tr w:rsidR="007A40AC" w:rsidRPr="008871BC" w14:paraId="14511738" w14:textId="77777777" w:rsidTr="0065379D">
        <w:tc>
          <w:tcPr>
            <w:tcW w:w="862" w:type="pct"/>
            <w:vAlign w:val="center"/>
          </w:tcPr>
          <w:p w14:paraId="681F025D" w14:textId="77777777" w:rsidR="007A40AC" w:rsidRPr="008871BC" w:rsidRDefault="007A40AC" w:rsidP="008028C6">
            <w:pPr>
              <w:pStyle w:val="TableText0"/>
            </w:pPr>
            <w:r w:rsidRPr="008871BC">
              <w:t>Costs</w:t>
            </w:r>
          </w:p>
        </w:tc>
        <w:tc>
          <w:tcPr>
            <w:tcW w:w="4138" w:type="pct"/>
            <w:shd w:val="clear" w:color="auto" w:fill="B8CCE4" w:themeFill="accent1" w:themeFillTint="66"/>
            <w:vAlign w:val="center"/>
          </w:tcPr>
          <w:p w14:paraId="08AA9CE1" w14:textId="77777777" w:rsidR="007A40AC" w:rsidRPr="008871BC" w:rsidRDefault="007A40AC" w:rsidP="008028C6">
            <w:pPr>
              <w:pStyle w:val="TableText0"/>
            </w:pPr>
            <w:r w:rsidRPr="008871BC">
              <w:t xml:space="preserve">Costs include omaveloxolone acquisition costs, medical appointments, hospitalisation, home modifications, medical devices, AE management costs and carer costs. As noted by the ESC previously, the inclusion of costs for carer, home modification and certain medical aids (walker, wheelchairs, specialised mattress, electric beds) may not be reasonable in the base case analysis as the PBAC guidelines specify to only include direct medical costs. </w:t>
            </w:r>
          </w:p>
        </w:tc>
      </w:tr>
    </w:tbl>
    <w:p w14:paraId="05F46AA8" w14:textId="77777777" w:rsidR="007A40AC" w:rsidRPr="00AB0640" w:rsidRDefault="007A40AC" w:rsidP="008028C6">
      <w:pPr>
        <w:pStyle w:val="TableFigureFooter"/>
      </w:pPr>
      <w:r w:rsidRPr="00AB0640">
        <w:t xml:space="preserve">Source: tabulated during the evaluation. </w:t>
      </w:r>
    </w:p>
    <w:p w14:paraId="0CAC6210" w14:textId="77777777" w:rsidR="007A40AC" w:rsidRPr="00AB0640" w:rsidRDefault="007A40AC" w:rsidP="008028C6">
      <w:pPr>
        <w:pStyle w:val="TableFigureFooter"/>
      </w:pPr>
      <w:r w:rsidRPr="00AB0640">
        <w:t>AE = adverse event; BSC = best supportive care; ESC = Economics sub-committee; FACOMS = Friedreich's Ataxia Clinical Outcomes Measures Study; HRQoL = Health related quality-of-life; HRs = hazard ratios; mFARS = modified Friedreich Ataxia Rating Scale; QALYs = quality-adjusted life-years; TTD = time to treatment discontinuation; TTO = time-trade-off</w:t>
      </w:r>
    </w:p>
    <w:p w14:paraId="4C3AA7AD" w14:textId="77777777" w:rsidR="007A40AC" w:rsidRPr="00AB0640" w:rsidRDefault="007A40AC" w:rsidP="008028C6">
      <w:pPr>
        <w:pStyle w:val="TableFigureFooter"/>
      </w:pPr>
      <w:r w:rsidRPr="00AB0640">
        <w:rPr>
          <w:shd w:val="clear" w:color="auto" w:fill="B8CCE4" w:themeFill="accent1" w:themeFillTint="66"/>
        </w:rPr>
        <w:t>Blue</w:t>
      </w:r>
      <w:r w:rsidRPr="00AB0640">
        <w:rPr>
          <w:shd w:val="clear" w:color="auto" w:fill="C6D9F1" w:themeFill="text2" w:themeFillTint="33"/>
        </w:rPr>
        <w:t xml:space="preserve"> </w:t>
      </w:r>
      <w:r w:rsidRPr="00AB0640">
        <w:t>shading represents results previously considered by the PBAC.</w:t>
      </w:r>
    </w:p>
    <w:p w14:paraId="013F639B" w14:textId="74392593" w:rsidR="007A40AC" w:rsidRPr="00C65FBB" w:rsidRDefault="007A40AC" w:rsidP="008028C6">
      <w:pPr>
        <w:pStyle w:val="3-BodyText"/>
      </w:pPr>
      <w:r w:rsidRPr="00C65FBB">
        <w:lastRenderedPageBreak/>
        <w:t xml:space="preserve">The structure of the model and lifetime time horizon nominated in the base case analysis remained unchanged from the previous submission. While the structure was deemed </w:t>
      </w:r>
      <w:r w:rsidR="00C74ABB">
        <w:t>reasonable</w:t>
      </w:r>
      <w:r w:rsidR="00C74ABB" w:rsidRPr="00C65FBB">
        <w:t xml:space="preserve"> </w:t>
      </w:r>
      <w:r w:rsidRPr="00C65FBB">
        <w:t xml:space="preserve">for decision making, the ESC </w:t>
      </w:r>
      <w:r w:rsidR="00F47382" w:rsidRPr="00C65FBB">
        <w:t xml:space="preserve">previously </w:t>
      </w:r>
      <w:r w:rsidRPr="00C65FBB">
        <w:t xml:space="preserve">noted that a shorter time horizon may be more appropriate due to the overall uncertainty in the economic analysis and </w:t>
      </w:r>
      <w:r w:rsidR="00EE0270">
        <w:t>because</w:t>
      </w:r>
      <w:r w:rsidR="00EE0270" w:rsidRPr="00C65FBB">
        <w:t xml:space="preserve"> </w:t>
      </w:r>
      <w:r w:rsidRPr="00C65FBB">
        <w:t>the time horizon exceeds the average life expectancy of a patient with FA which is approximately 35-40 years (paragraph 6.62, omaveloxolone PSD, March 2025 PBAC meeting). However, due to the approach utilised to model mortality</w:t>
      </w:r>
      <w:r w:rsidR="0060603E">
        <w:t>,</w:t>
      </w:r>
      <w:r w:rsidRPr="00C65FBB">
        <w:t xml:space="preserve"> the </w:t>
      </w:r>
      <w:r w:rsidR="0090603C" w:rsidRPr="00C65FBB">
        <w:t xml:space="preserve">ESC noted that the </w:t>
      </w:r>
      <w:r w:rsidRPr="00C65FBB">
        <w:t xml:space="preserve">economic model presented in the resubmission </w:t>
      </w:r>
      <w:r w:rsidR="007C0C09" w:rsidRPr="00C65FBB">
        <w:t>wa</w:t>
      </w:r>
      <w:r w:rsidRPr="00C65FBB">
        <w:t>s not sensitive to shorter time horizons. The economic model also revised the utility values applied and proposed an effective price for omaveloxolone.</w:t>
      </w:r>
    </w:p>
    <w:p w14:paraId="77DCD6EB" w14:textId="40D1C570" w:rsidR="007A40AC" w:rsidRPr="00C65FBB" w:rsidRDefault="007A40AC" w:rsidP="008028C6">
      <w:pPr>
        <w:pStyle w:val="3-BodyText"/>
      </w:pPr>
      <w:r w:rsidRPr="00C65FBB">
        <w:t xml:space="preserve">Patients were assigned into one of 4 cohorts based on the age of onset of FA symptoms: ≤7 years, 8 – 14 years, 15 – 24 years and </w:t>
      </w:r>
      <w:r w:rsidR="00202AE4">
        <w:t xml:space="preserve">&gt; </w:t>
      </w:r>
      <w:r w:rsidRPr="00C65FBB">
        <w:t xml:space="preserve">24 years. The distribution of patients in each of these cohorts (27%, 45%, 18% and 11%, respectively) was based on the proportion of Australian patients in each of these cohorts in the Friedreich's Ataxia Clinical Outcome Measures (FACOMS) registry. </w:t>
      </w:r>
    </w:p>
    <w:p w14:paraId="6E2DFC9E" w14:textId="5A6F3684" w:rsidR="007A40AC" w:rsidRPr="00C65FBB" w:rsidRDefault="007A40AC" w:rsidP="008028C6">
      <w:pPr>
        <w:pStyle w:val="3-BodyText"/>
      </w:pPr>
      <w:r w:rsidRPr="00C65FBB">
        <w:t xml:space="preserve">The transition probabilities in the economic model related to progression of FA (as measured by mFARS scores) and mortality. A treatment effect associated with omaveloxolone treatment was applied to model the progression of mFARS score. </w:t>
      </w:r>
    </w:p>
    <w:p w14:paraId="75411987" w14:textId="38D93ECD" w:rsidR="007A40AC" w:rsidRPr="00C65FBB" w:rsidRDefault="007A40AC" w:rsidP="008028C6">
      <w:pPr>
        <w:pStyle w:val="3-BodyText"/>
        <w:rPr>
          <w:lang w:eastAsia="en-US"/>
        </w:rPr>
      </w:pPr>
      <w:r w:rsidRPr="00C65FBB">
        <w:t xml:space="preserve">In the BSC arm, the trajectory for mFARS progression was based on 13 years of natural history data for mFARS progression for each age of symptom onset cohort as observed in the FACOMS registry. The observed data was not used directly in the model. Instead, a multivariate regression model, based on 13 years of observed data, was employed to extrapolate the observed data over the modelled lifetime time horizon. A linear model was fitted to the observed data in the base case analysis based on goodness of fit using AIC/BIC values and visual inspection. Other than linear extrapolations, alternative extrapolation distributions were not provided or tested in the </w:t>
      </w:r>
      <w:r w:rsidR="00433707" w:rsidRPr="00C65FBB">
        <w:t>re</w:t>
      </w:r>
      <w:r w:rsidRPr="00C65FBB">
        <w:t xml:space="preserve">submission. Beyond 13 years, a logistic model was employed for extrapolation of data based on clinician input which was not adequately justified in the </w:t>
      </w:r>
      <w:r w:rsidR="00433707" w:rsidRPr="00C65FBB">
        <w:t>re</w:t>
      </w:r>
      <w:r w:rsidRPr="00C65FBB">
        <w:t xml:space="preserve">submission. </w:t>
      </w:r>
      <w:r w:rsidRPr="00C65FBB">
        <w:rPr>
          <w:lang w:eastAsia="en-US"/>
        </w:rPr>
        <w:t xml:space="preserve">Overall, the modelled curves provided a reasonably good fit to the observed data, noting that the </w:t>
      </w:r>
      <w:r w:rsidR="00433707" w:rsidRPr="00C65FBB">
        <w:rPr>
          <w:lang w:eastAsia="en-US"/>
        </w:rPr>
        <w:t>re</w:t>
      </w:r>
      <w:r w:rsidRPr="00C65FBB">
        <w:rPr>
          <w:lang w:eastAsia="en-US"/>
        </w:rPr>
        <w:t xml:space="preserve">submission did not provide the regression equation utilised in the multivariate regression model. </w:t>
      </w:r>
    </w:p>
    <w:p w14:paraId="5D7D520B" w14:textId="2CB91B05" w:rsidR="007A40AC" w:rsidRPr="00C65FBB" w:rsidRDefault="007A40AC" w:rsidP="008028C6">
      <w:pPr>
        <w:pStyle w:val="3-BodyText"/>
        <w:rPr>
          <w:bCs/>
        </w:rPr>
      </w:pPr>
      <w:r w:rsidRPr="00C65FBB">
        <w:t>The mFARS progression trajectory for patients in the omaveloxolone + BSC arm was estimated by applying a treatment effect to the mFARS progression trajectory in the BSC arm. The treatment effect was applied as a rate ratio, which was based on the average relative reduction in mFARS scores from a propensity match analysis (PSMA)</w:t>
      </w:r>
      <w:r w:rsidR="007C0C09" w:rsidRPr="00C65FBB">
        <w:rPr>
          <w:rStyle w:val="FootnoteReference"/>
        </w:rPr>
        <w:footnoteReference w:id="9"/>
      </w:r>
      <w:r w:rsidR="007C0C09" w:rsidRPr="00C65FBB">
        <w:t xml:space="preserve"> </w:t>
      </w:r>
      <w:r w:rsidRPr="00C65FBB">
        <w:t xml:space="preserve">which compared patients in the MOXIe extension study (which had 3 years of follow-up data) to those in the FACOMS registry. The limitations of the indirect comparison and issues raised by the ESC in March 2025 are noted in paragraph </w:t>
      </w:r>
      <w:r w:rsidRPr="00C65FBB">
        <w:fldChar w:fldCharType="begin" w:fldLock="1"/>
      </w:r>
      <w:r w:rsidRPr="00C65FBB">
        <w:instrText xml:space="preserve"> REF _Ref207798075 \r \h </w:instrText>
      </w:r>
      <w:r w:rsidR="00BF0410" w:rsidRPr="00C65FBB">
        <w:instrText xml:space="preserve"> \* MERGEFORMAT </w:instrText>
      </w:r>
      <w:r w:rsidRPr="00C65FBB">
        <w:fldChar w:fldCharType="separate"/>
      </w:r>
      <w:r w:rsidR="0015086A">
        <w:t>6.37</w:t>
      </w:r>
      <w:r w:rsidRPr="00C65FBB">
        <w:fldChar w:fldCharType="end"/>
      </w:r>
      <w:r w:rsidRPr="00C65FBB">
        <w:t>.</w:t>
      </w:r>
      <w:r w:rsidRPr="00C65FBB">
        <w:rPr>
          <w:bCs/>
        </w:rPr>
        <w:t xml:space="preserve"> </w:t>
      </w:r>
    </w:p>
    <w:p w14:paraId="2BC14F88" w14:textId="0E4F3A83" w:rsidR="007A40AC" w:rsidRPr="00C65FBB" w:rsidRDefault="007A40AC" w:rsidP="008028C6">
      <w:pPr>
        <w:pStyle w:val="3-BodyText"/>
      </w:pPr>
      <w:r>
        <w:lastRenderedPageBreak/>
        <w:t xml:space="preserve">The </w:t>
      </w:r>
      <w:r w:rsidR="00006027">
        <w:t>re</w:t>
      </w:r>
      <w:r>
        <w:t xml:space="preserve">submission applied a </w:t>
      </w:r>
      <w:r w:rsidR="00006042">
        <w:t xml:space="preserve">constant </w:t>
      </w:r>
      <w:r>
        <w:t xml:space="preserve">rate ratio of 0.454, based on the cumulative change in mFARS score over 3 years. The rate ratio was derived by comparing mFARS progression across the treatment arms over 3 years. However, differences across the arms in terms of mFARS progression reduced considerably within the 3 years of observed data. In the final year (Year 3), mFARS progression in the omaveloxolone arm was 90% of that in the BSC arm (or a rate ratio of 0.9). Applying individual rate ratios for each </w:t>
      </w:r>
      <w:r w:rsidR="007974A6">
        <w:t>year and</w:t>
      </w:r>
      <w:r>
        <w:t xml:space="preserve"> extrapolating the rate ratio observed in Year 3 across the lifetime of the model (</w:t>
      </w:r>
      <w:r w:rsidR="00953B44">
        <w:t xml:space="preserve">assuming no </w:t>
      </w:r>
      <w:r>
        <w:t xml:space="preserve">treatment effect waning), increased the ICER by </w:t>
      </w:r>
      <w:r w:rsidR="001F43CD" w:rsidRPr="001F43CD">
        <w:rPr>
          <w:highlight w:val="black"/>
        </w:rPr>
        <w:t>@@@@</w:t>
      </w:r>
      <w:r>
        <w:t>%, from the base case ICER of $</w:t>
      </w:r>
      <w:r w:rsidR="2A33F06F">
        <w:t xml:space="preserve"> </w:t>
      </w:r>
      <w:r w:rsidR="00202AE4">
        <w:t xml:space="preserve">&gt; </w:t>
      </w:r>
      <w:r w:rsidR="2A33F06F">
        <w:t xml:space="preserve">$1,055,000 </w:t>
      </w:r>
      <w:r>
        <w:t>/ QALY gained to $</w:t>
      </w:r>
      <w:r w:rsidR="00202AE4">
        <w:t xml:space="preserve">&gt; </w:t>
      </w:r>
      <w:r w:rsidR="3F8D5A38">
        <w:t xml:space="preserve">$1,055,000 </w:t>
      </w:r>
      <w:r>
        <w:t>/QALY gained.</w:t>
      </w:r>
      <w:r w:rsidR="00202AE4">
        <w:t xml:space="preserve"> </w:t>
      </w:r>
    </w:p>
    <w:p w14:paraId="65ABF396" w14:textId="64653B5A" w:rsidR="007A40AC" w:rsidRPr="00C65FBB" w:rsidRDefault="007A40AC" w:rsidP="008028C6">
      <w:pPr>
        <w:pStyle w:val="3-BodyText"/>
      </w:pPr>
      <w:r>
        <w:t xml:space="preserve">The </w:t>
      </w:r>
      <w:r w:rsidR="001349F3">
        <w:t>re</w:t>
      </w:r>
      <w:r>
        <w:t xml:space="preserve">submission applied </w:t>
      </w:r>
      <w:r w:rsidR="00006042">
        <w:t>the</w:t>
      </w:r>
      <w:r>
        <w:t xml:space="preserve"> constant treatment effect of 0.454 over the modelled time horizon. However, treatment effect waning was observed over the first 3 years as evident from the mFARS progression data. The ESC previously noted that patients in the economic model are on treatment for a mean duration of 16 years (13.1 years if survival is </w:t>
      </w:r>
      <w:r w:rsidR="007C0C09">
        <w:t>accounted for)</w:t>
      </w:r>
      <w:r>
        <w:t xml:space="preserve"> and compared to the relatively short duration of follow up of 4 years in the MOXIe extension study. The assumption that the full treatment effect is maintained indefinitely while patients remained on treatment was not adequately justified. The ESC previously noted that some waning is likely to be expected (paragraph 6.65, omaveloxolone PSD, March 2025 PBAC meeting) and the application of a linear waning of treatment effect from year 4 to 18 increased the ICER by </w:t>
      </w:r>
      <w:r w:rsidR="001F43CD" w:rsidRPr="001F43CD">
        <w:rPr>
          <w:highlight w:val="black"/>
        </w:rPr>
        <w:t>@@@@</w:t>
      </w:r>
      <w:r>
        <w:t>% to $</w:t>
      </w:r>
      <w:r w:rsidR="00202AE4">
        <w:t xml:space="preserve">&gt; </w:t>
      </w:r>
      <w:r w:rsidR="76F0D639">
        <w:t>$1,055,000</w:t>
      </w:r>
      <w:r>
        <w:t xml:space="preserve">/QALY. Treatment effect waning has a minimal impact on the ICER when the alternate rate ratios calculated in the evaluation are used. </w:t>
      </w:r>
    </w:p>
    <w:p w14:paraId="2C6A8519" w14:textId="3BE899B9" w:rsidR="00B07139" w:rsidRPr="00C65FBB" w:rsidRDefault="00B07139" w:rsidP="008028C6">
      <w:pPr>
        <w:pStyle w:val="3-BodyText"/>
      </w:pPr>
      <w:r w:rsidRPr="00C65FBB">
        <w:t xml:space="preserve">The PSCR </w:t>
      </w:r>
      <w:r w:rsidR="000D624A" w:rsidRPr="00C65FBB">
        <w:t xml:space="preserve">stated that the updated 5-year data resulted in a rate ratio of 0.321, and that the </w:t>
      </w:r>
      <w:r w:rsidR="002244EB" w:rsidRPr="00C65FBB">
        <w:t xml:space="preserve">updated data indicated that the treatment effect applied in the resubmission (RR = 0.454) was conservative and </w:t>
      </w:r>
      <w:r w:rsidR="00300555" w:rsidRPr="00C65FBB">
        <w:t xml:space="preserve">potentially underestimated the treatment effect of omaveloxolone. The ESC noted that the </w:t>
      </w:r>
      <w:r w:rsidR="00993E1B" w:rsidRPr="00C65FBB">
        <w:t xml:space="preserve">individual rate ratios </w:t>
      </w:r>
      <w:r w:rsidR="00915905" w:rsidRPr="00C65FBB">
        <w:t>for each year for the updated data were highly variable and did not follow a particular trend</w:t>
      </w:r>
      <w:r w:rsidR="007C6A25" w:rsidRPr="00C65FBB">
        <w:t xml:space="preserve"> (see </w:t>
      </w:r>
      <w:r w:rsidR="00452796" w:rsidRPr="00C65FBB">
        <w:fldChar w:fldCharType="begin" w:fldLock="1"/>
      </w:r>
      <w:r w:rsidR="00452796" w:rsidRPr="00C65FBB">
        <w:instrText xml:space="preserve"> REF _Ref210836989 \h  \* MERGEFORMAT </w:instrText>
      </w:r>
      <w:r w:rsidR="00452796" w:rsidRPr="00C65FBB">
        <w:fldChar w:fldCharType="separate"/>
      </w:r>
      <w:r w:rsidR="00E056AF" w:rsidRPr="008871BC">
        <w:t xml:space="preserve">Table </w:t>
      </w:r>
      <w:r w:rsidR="00E056AF">
        <w:t>12</w:t>
      </w:r>
      <w:r w:rsidR="00452796" w:rsidRPr="00C65FBB">
        <w:fldChar w:fldCharType="end"/>
      </w:r>
      <w:r w:rsidR="007C6A25" w:rsidRPr="00C65FBB">
        <w:t>)</w:t>
      </w:r>
      <w:r w:rsidR="00D040CC" w:rsidRPr="00C65FBB">
        <w:t xml:space="preserve">, which </w:t>
      </w:r>
      <w:r w:rsidR="005C074B" w:rsidRPr="00C65FBB">
        <w:t>may be due</w:t>
      </w:r>
      <w:r w:rsidR="00D040CC" w:rsidRPr="00C65FBB">
        <w:t xml:space="preserve"> to the small sample size</w:t>
      </w:r>
      <w:r w:rsidR="00736C69" w:rsidRPr="00C65FBB">
        <w:t xml:space="preserve"> of patients receiving omaveloxolone</w:t>
      </w:r>
      <w:r w:rsidR="00D040CC" w:rsidRPr="00C65FBB">
        <w:t xml:space="preserve"> </w:t>
      </w:r>
      <w:r w:rsidR="00BA0155">
        <w:br/>
      </w:r>
      <w:r w:rsidR="00D040CC" w:rsidRPr="00C65FBB">
        <w:t>(</w:t>
      </w:r>
      <w:r w:rsidR="00736C69" w:rsidRPr="00C65FBB">
        <w:t xml:space="preserve">n </w:t>
      </w:r>
      <w:r w:rsidR="00D040CC" w:rsidRPr="00C65FBB">
        <w:t>= 43)</w:t>
      </w:r>
      <w:r w:rsidR="007C6A25" w:rsidRPr="00C65FBB">
        <w:t xml:space="preserve">. </w:t>
      </w:r>
      <w:r w:rsidR="00375D2E" w:rsidRPr="00C65FBB">
        <w:t xml:space="preserve">The ESC considered that </w:t>
      </w:r>
      <w:r w:rsidR="003D7645" w:rsidRPr="00C65FBB">
        <w:t>applying the individual rate ratios and assuming the treatment effect observed in Year 5</w:t>
      </w:r>
      <w:r w:rsidR="00893A2B" w:rsidRPr="00C65FBB">
        <w:t xml:space="preserve"> </w:t>
      </w:r>
      <w:r w:rsidR="00452796" w:rsidRPr="00C65FBB">
        <w:t xml:space="preserve">would be maintained across the modelled time horizon </w:t>
      </w:r>
      <w:r w:rsidR="001B5527" w:rsidRPr="00C65FBB">
        <w:t>would</w:t>
      </w:r>
      <w:r w:rsidR="00452796" w:rsidRPr="00C65FBB">
        <w:t xml:space="preserve"> not be reasonable</w:t>
      </w:r>
      <w:r w:rsidR="001B5527" w:rsidRPr="00C65FBB">
        <w:t xml:space="preserve"> due to the </w:t>
      </w:r>
      <w:r w:rsidR="00221957" w:rsidRPr="00C65FBB">
        <w:t>variability of the data</w:t>
      </w:r>
      <w:r w:rsidR="00C94220" w:rsidRPr="00C65FBB">
        <w:t xml:space="preserve">. The ESC considered that application of the 3-year </w:t>
      </w:r>
      <w:r w:rsidR="009A15BA" w:rsidRPr="00C65FBB">
        <w:t>individual rate ratios</w:t>
      </w:r>
      <w:r w:rsidR="008F03A0" w:rsidRPr="00C65FBB">
        <w:t xml:space="preserve">, the data for which included </w:t>
      </w:r>
      <w:r w:rsidR="006C43EA">
        <w:t xml:space="preserve">substantially </w:t>
      </w:r>
      <w:r w:rsidR="008F03A0" w:rsidRPr="00C65FBB">
        <w:t xml:space="preserve">more </w:t>
      </w:r>
      <w:r w:rsidR="00736C69" w:rsidRPr="00C65FBB">
        <w:t xml:space="preserve">omaveloxolone </w:t>
      </w:r>
      <w:r w:rsidR="008F03A0" w:rsidRPr="00C65FBB">
        <w:t>patients</w:t>
      </w:r>
      <w:r w:rsidR="00206BB2" w:rsidRPr="00C65FBB">
        <w:t xml:space="preserve"> (</w:t>
      </w:r>
      <w:r w:rsidR="00736C69" w:rsidRPr="00C65FBB">
        <w:t>n</w:t>
      </w:r>
      <w:r w:rsidR="00206BB2" w:rsidRPr="00C65FBB">
        <w:t xml:space="preserve"> = 136),</w:t>
      </w:r>
      <w:r w:rsidR="009A15BA" w:rsidRPr="00C65FBB">
        <w:t xml:space="preserve"> with a treatment waning effect from Year 4 to 18 may be more appropriate.</w:t>
      </w:r>
      <w:r w:rsidR="003537BB">
        <w:t xml:space="preserve"> </w:t>
      </w:r>
      <w:r w:rsidR="00346BA7">
        <w:t xml:space="preserve">The pre-PBAC response </w:t>
      </w:r>
      <w:r w:rsidR="00423585">
        <w:t xml:space="preserve">stated </w:t>
      </w:r>
      <w:r w:rsidR="00346BA7">
        <w:t xml:space="preserve">that, aside from Year 4, the </w:t>
      </w:r>
      <w:r w:rsidR="007029C4">
        <w:t>5-year data were less variable than the 3-year data</w:t>
      </w:r>
      <w:r w:rsidR="008E2659">
        <w:t xml:space="preserve"> and that the 5-year data suggested a slower waning of effect compared to the 3-year data. </w:t>
      </w:r>
    </w:p>
    <w:p w14:paraId="50028F2F" w14:textId="7EADF714" w:rsidR="00061DCE" w:rsidRPr="008871BC" w:rsidRDefault="00061DCE" w:rsidP="008028C6">
      <w:pPr>
        <w:pStyle w:val="Caption"/>
      </w:pPr>
      <w:bookmarkStart w:id="45" w:name="_Ref210836989"/>
      <w:r w:rsidRPr="008871BC">
        <w:lastRenderedPageBreak/>
        <w:t xml:space="preserve">Table </w:t>
      </w:r>
      <w:r w:rsidR="00E056AF">
        <w:fldChar w:fldCharType="begin" w:fldLock="1"/>
      </w:r>
      <w:r w:rsidR="00E056AF">
        <w:instrText xml:space="preserve"> SEQ Table \* ARABIC </w:instrText>
      </w:r>
      <w:r w:rsidR="00E056AF">
        <w:fldChar w:fldCharType="separate"/>
      </w:r>
      <w:r w:rsidR="00E056AF">
        <w:rPr>
          <w:noProof/>
        </w:rPr>
        <w:t>12</w:t>
      </w:r>
      <w:r w:rsidR="00E056AF">
        <w:rPr>
          <w:noProof/>
        </w:rPr>
        <w:fldChar w:fldCharType="end"/>
      </w:r>
      <w:bookmarkEnd w:id="45"/>
      <w:r w:rsidRPr="008871BC">
        <w:t xml:space="preserve">: </w:t>
      </w:r>
      <w:r w:rsidR="003168FE" w:rsidRPr="008871BC">
        <w:t>Individual rate ratios derived from the updated 5-year data</w:t>
      </w:r>
      <w:r w:rsidR="00421A46">
        <w:t>, based on yearly changes in mFARS scores</w:t>
      </w:r>
    </w:p>
    <w:tbl>
      <w:tblPr>
        <w:tblW w:w="5000" w:type="pct"/>
        <w:tblLook w:val="04A0" w:firstRow="1" w:lastRow="0" w:firstColumn="1" w:lastColumn="0" w:noHBand="0" w:noVBand="1"/>
        <w:tblCaption w:val="Table 12: Individual rate ratios derived from the updated 5-year data, based on yearly changes in mFARS scores"/>
      </w:tblPr>
      <w:tblGrid>
        <w:gridCol w:w="1272"/>
        <w:gridCol w:w="2552"/>
        <w:gridCol w:w="2692"/>
        <w:gridCol w:w="2501"/>
      </w:tblGrid>
      <w:tr w:rsidR="00F113A6" w:rsidRPr="008871BC" w14:paraId="60305093" w14:textId="5C92E5C1" w:rsidTr="0065379D">
        <w:trPr>
          <w:trHeight w:val="56"/>
        </w:trPr>
        <w:tc>
          <w:tcPr>
            <w:tcW w:w="705" w:type="pct"/>
            <w:tcBorders>
              <w:top w:val="single" w:sz="4" w:space="0" w:color="auto"/>
              <w:left w:val="single" w:sz="4" w:space="0" w:color="auto"/>
              <w:bottom w:val="single" w:sz="4" w:space="0" w:color="auto"/>
              <w:right w:val="single" w:sz="4" w:space="0" w:color="auto"/>
            </w:tcBorders>
            <w:noWrap/>
            <w:vAlign w:val="bottom"/>
            <w:hideMark/>
          </w:tcPr>
          <w:p w14:paraId="56588428" w14:textId="77777777" w:rsidR="00F113A6" w:rsidRPr="008871BC" w:rsidRDefault="00F113A6" w:rsidP="008028C6">
            <w:pPr>
              <w:pStyle w:val="3-BodyText"/>
              <w:keepNext/>
              <w:keepLines/>
              <w:numPr>
                <w:ilvl w:val="0"/>
                <w:numId w:val="0"/>
              </w:numPr>
              <w:spacing w:before="0" w:after="0"/>
              <w:rPr>
                <w:rFonts w:ascii="Arial Narrow" w:hAnsi="Arial Narrow"/>
                <w:b/>
                <w:bCs/>
                <w:sz w:val="20"/>
                <w:szCs w:val="20"/>
              </w:rPr>
            </w:pPr>
          </w:p>
        </w:tc>
        <w:tc>
          <w:tcPr>
            <w:tcW w:w="1415" w:type="pct"/>
            <w:tcBorders>
              <w:top w:val="single" w:sz="4" w:space="0" w:color="auto"/>
              <w:left w:val="nil"/>
              <w:bottom w:val="single" w:sz="4" w:space="0" w:color="auto"/>
              <w:right w:val="single" w:sz="4" w:space="0" w:color="auto"/>
            </w:tcBorders>
            <w:vAlign w:val="center"/>
          </w:tcPr>
          <w:p w14:paraId="05D258FD" w14:textId="11252503" w:rsidR="00F113A6" w:rsidRPr="008871BC" w:rsidDel="005E50EA" w:rsidRDefault="00F113A6" w:rsidP="008028C6">
            <w:pPr>
              <w:pStyle w:val="3-BodyText"/>
              <w:keepNext/>
              <w:keepLines/>
              <w:numPr>
                <w:ilvl w:val="0"/>
                <w:numId w:val="0"/>
              </w:numPr>
              <w:spacing w:before="0" w:after="0"/>
              <w:jc w:val="center"/>
              <w:rPr>
                <w:rFonts w:ascii="Arial Narrow" w:hAnsi="Arial Narrow"/>
                <w:b/>
                <w:bCs/>
                <w:sz w:val="20"/>
                <w:szCs w:val="20"/>
              </w:rPr>
            </w:pPr>
            <w:r>
              <w:rPr>
                <w:rFonts w:ascii="Arial Narrow" w:hAnsi="Arial Narrow"/>
                <w:b/>
                <w:bCs/>
                <w:sz w:val="20"/>
                <w:szCs w:val="20"/>
              </w:rPr>
              <w:t>3-year data (</w:t>
            </w:r>
            <w:r w:rsidR="000B1AA9">
              <w:rPr>
                <w:rFonts w:ascii="Arial Narrow" w:hAnsi="Arial Narrow"/>
                <w:b/>
                <w:bCs/>
                <w:sz w:val="20"/>
                <w:szCs w:val="20"/>
              </w:rPr>
              <w:t>n = 136)</w:t>
            </w:r>
          </w:p>
        </w:tc>
        <w:tc>
          <w:tcPr>
            <w:tcW w:w="1493" w:type="pct"/>
            <w:tcBorders>
              <w:top w:val="single" w:sz="4" w:space="0" w:color="auto"/>
              <w:left w:val="single" w:sz="4" w:space="0" w:color="auto"/>
              <w:bottom w:val="single" w:sz="4" w:space="0" w:color="auto"/>
              <w:right w:val="single" w:sz="4" w:space="0" w:color="auto"/>
            </w:tcBorders>
            <w:noWrap/>
            <w:vAlign w:val="center"/>
            <w:hideMark/>
          </w:tcPr>
          <w:p w14:paraId="1CD2DB35" w14:textId="0F6FC6D3" w:rsidR="00F113A6" w:rsidRPr="008871BC" w:rsidRDefault="00F113A6" w:rsidP="008028C6">
            <w:pPr>
              <w:pStyle w:val="3-BodyText"/>
              <w:keepNext/>
              <w:keepLines/>
              <w:numPr>
                <w:ilvl w:val="0"/>
                <w:numId w:val="0"/>
              </w:numPr>
              <w:spacing w:before="0" w:after="0"/>
              <w:jc w:val="center"/>
              <w:rPr>
                <w:rFonts w:ascii="Arial Narrow" w:hAnsi="Arial Narrow"/>
                <w:b/>
                <w:bCs/>
                <w:sz w:val="20"/>
                <w:szCs w:val="20"/>
              </w:rPr>
            </w:pPr>
            <w:r>
              <w:rPr>
                <w:rFonts w:ascii="Arial Narrow" w:hAnsi="Arial Narrow"/>
                <w:b/>
                <w:bCs/>
                <w:sz w:val="20"/>
                <w:szCs w:val="20"/>
              </w:rPr>
              <w:t>5-year data (n = 43)</w:t>
            </w:r>
          </w:p>
        </w:tc>
        <w:tc>
          <w:tcPr>
            <w:tcW w:w="1387" w:type="pct"/>
            <w:tcBorders>
              <w:top w:val="single" w:sz="4" w:space="0" w:color="auto"/>
              <w:left w:val="nil"/>
              <w:bottom w:val="single" w:sz="4" w:space="0" w:color="auto"/>
              <w:right w:val="single" w:sz="4" w:space="0" w:color="auto"/>
            </w:tcBorders>
            <w:vAlign w:val="center"/>
          </w:tcPr>
          <w:p w14:paraId="0A84FE00" w14:textId="3AA3B2DD" w:rsidR="00F113A6" w:rsidRPr="008871BC" w:rsidDel="005E50EA" w:rsidRDefault="000B1AA9" w:rsidP="008028C6">
            <w:pPr>
              <w:pStyle w:val="3-BodyText"/>
              <w:keepNext/>
              <w:keepLines/>
              <w:numPr>
                <w:ilvl w:val="0"/>
                <w:numId w:val="0"/>
              </w:numPr>
              <w:spacing w:before="0" w:after="0"/>
              <w:jc w:val="center"/>
              <w:rPr>
                <w:rFonts w:ascii="Arial Narrow" w:hAnsi="Arial Narrow"/>
                <w:b/>
                <w:bCs/>
                <w:sz w:val="20"/>
                <w:szCs w:val="20"/>
              </w:rPr>
            </w:pPr>
            <w:r>
              <w:rPr>
                <w:rFonts w:ascii="Arial Narrow" w:hAnsi="Arial Narrow"/>
                <w:b/>
                <w:bCs/>
                <w:sz w:val="20"/>
                <w:szCs w:val="20"/>
              </w:rPr>
              <w:t>Ratio applied in the</w:t>
            </w:r>
            <w:r w:rsidR="00EF5BFD">
              <w:rPr>
                <w:rFonts w:ascii="Arial Narrow" w:hAnsi="Arial Narrow"/>
                <w:b/>
                <w:bCs/>
                <w:sz w:val="20"/>
                <w:szCs w:val="20"/>
              </w:rPr>
              <w:t xml:space="preserve"> </w:t>
            </w:r>
            <w:r>
              <w:rPr>
                <w:rFonts w:ascii="Arial Narrow" w:hAnsi="Arial Narrow"/>
                <w:b/>
                <w:bCs/>
                <w:sz w:val="20"/>
                <w:szCs w:val="20"/>
              </w:rPr>
              <w:t>economic model</w:t>
            </w:r>
          </w:p>
        </w:tc>
      </w:tr>
      <w:tr w:rsidR="00F113A6" w:rsidRPr="008871BC" w14:paraId="3C6DF451" w14:textId="1CD6216E" w:rsidTr="0065379D">
        <w:trPr>
          <w:trHeight w:val="157"/>
        </w:trPr>
        <w:tc>
          <w:tcPr>
            <w:tcW w:w="705" w:type="pct"/>
            <w:tcBorders>
              <w:top w:val="nil"/>
              <w:left w:val="single" w:sz="4" w:space="0" w:color="auto"/>
              <w:bottom w:val="single" w:sz="4" w:space="0" w:color="auto"/>
              <w:right w:val="single" w:sz="4" w:space="0" w:color="auto"/>
            </w:tcBorders>
            <w:noWrap/>
            <w:vAlign w:val="bottom"/>
            <w:hideMark/>
          </w:tcPr>
          <w:p w14:paraId="38900CD1" w14:textId="7EE761C5" w:rsidR="00F113A6" w:rsidRPr="008871BC" w:rsidRDefault="00F113A6" w:rsidP="008028C6">
            <w:pPr>
              <w:pStyle w:val="3-BodyText"/>
              <w:keepNext/>
              <w:keepLines/>
              <w:numPr>
                <w:ilvl w:val="0"/>
                <w:numId w:val="0"/>
              </w:numPr>
              <w:spacing w:before="0" w:after="0"/>
              <w:ind w:left="720" w:hanging="720"/>
              <w:rPr>
                <w:rFonts w:ascii="Arial Narrow" w:hAnsi="Arial Narrow"/>
                <w:sz w:val="20"/>
                <w:szCs w:val="20"/>
              </w:rPr>
            </w:pPr>
            <w:r w:rsidRPr="008871BC">
              <w:rPr>
                <w:rFonts w:ascii="Arial Narrow" w:hAnsi="Arial Narrow"/>
                <w:sz w:val="20"/>
                <w:szCs w:val="20"/>
              </w:rPr>
              <w:t>Year 1</w:t>
            </w:r>
          </w:p>
        </w:tc>
        <w:tc>
          <w:tcPr>
            <w:tcW w:w="1415" w:type="pct"/>
            <w:tcBorders>
              <w:top w:val="single" w:sz="4" w:space="0" w:color="auto"/>
              <w:left w:val="nil"/>
              <w:bottom w:val="single" w:sz="4" w:space="0" w:color="auto"/>
              <w:right w:val="single" w:sz="4" w:space="0" w:color="auto"/>
            </w:tcBorders>
          </w:tcPr>
          <w:p w14:paraId="1C8CC552" w14:textId="0ECBDD6A" w:rsidR="00F113A6" w:rsidRPr="008871BC" w:rsidRDefault="00EF5BFD" w:rsidP="008028C6">
            <w:pPr>
              <w:pStyle w:val="3-BodyText"/>
              <w:keepNext/>
              <w:keepLines/>
              <w:numPr>
                <w:ilvl w:val="0"/>
                <w:numId w:val="0"/>
              </w:numPr>
              <w:spacing w:before="0" w:after="0"/>
              <w:ind w:left="720" w:hanging="720"/>
              <w:jc w:val="center"/>
              <w:rPr>
                <w:rFonts w:ascii="Arial Narrow" w:hAnsi="Arial Narrow"/>
                <w:sz w:val="20"/>
                <w:szCs w:val="20"/>
              </w:rPr>
            </w:pPr>
            <w:r>
              <w:rPr>
                <w:rFonts w:ascii="Arial Narrow" w:hAnsi="Arial Narrow"/>
                <w:sz w:val="20"/>
                <w:szCs w:val="20"/>
              </w:rPr>
              <w:t>0.01</w:t>
            </w:r>
          </w:p>
        </w:tc>
        <w:tc>
          <w:tcPr>
            <w:tcW w:w="1493" w:type="pct"/>
            <w:tcBorders>
              <w:top w:val="single" w:sz="4" w:space="0" w:color="auto"/>
              <w:left w:val="single" w:sz="4" w:space="0" w:color="auto"/>
              <w:bottom w:val="single" w:sz="4" w:space="0" w:color="auto"/>
              <w:right w:val="single" w:sz="4" w:space="0" w:color="auto"/>
            </w:tcBorders>
            <w:noWrap/>
            <w:hideMark/>
          </w:tcPr>
          <w:p w14:paraId="0948799B" w14:textId="1191AC54" w:rsidR="00F113A6" w:rsidRPr="008871BC" w:rsidRDefault="00F113A6" w:rsidP="008028C6">
            <w:pPr>
              <w:pStyle w:val="3-BodyText"/>
              <w:keepNext/>
              <w:keepLines/>
              <w:numPr>
                <w:ilvl w:val="0"/>
                <w:numId w:val="0"/>
              </w:numPr>
              <w:spacing w:before="0" w:after="0"/>
              <w:ind w:left="720" w:hanging="720"/>
              <w:jc w:val="center"/>
              <w:rPr>
                <w:rFonts w:ascii="Arial Narrow" w:hAnsi="Arial Narrow"/>
                <w:sz w:val="20"/>
                <w:szCs w:val="20"/>
              </w:rPr>
            </w:pPr>
            <w:r w:rsidRPr="008871BC">
              <w:rPr>
                <w:rFonts w:ascii="Arial Narrow" w:hAnsi="Arial Narrow"/>
                <w:sz w:val="20"/>
                <w:szCs w:val="20"/>
              </w:rPr>
              <w:t>0.03</w:t>
            </w:r>
          </w:p>
        </w:tc>
        <w:tc>
          <w:tcPr>
            <w:tcW w:w="1387" w:type="pct"/>
            <w:tcBorders>
              <w:top w:val="nil"/>
              <w:left w:val="nil"/>
              <w:bottom w:val="single" w:sz="4" w:space="0" w:color="auto"/>
              <w:right w:val="single" w:sz="4" w:space="0" w:color="auto"/>
            </w:tcBorders>
          </w:tcPr>
          <w:p w14:paraId="5DCD2C96" w14:textId="5E5D7E7B" w:rsidR="00F113A6" w:rsidRPr="008871BC" w:rsidRDefault="00EF5BFD" w:rsidP="008028C6">
            <w:pPr>
              <w:pStyle w:val="3-BodyText"/>
              <w:keepNext/>
              <w:keepLines/>
              <w:numPr>
                <w:ilvl w:val="0"/>
                <w:numId w:val="0"/>
              </w:numPr>
              <w:spacing w:before="0" w:after="0"/>
              <w:ind w:left="720" w:hanging="720"/>
              <w:jc w:val="center"/>
              <w:rPr>
                <w:rFonts w:ascii="Arial Narrow" w:hAnsi="Arial Narrow"/>
                <w:sz w:val="20"/>
                <w:szCs w:val="20"/>
              </w:rPr>
            </w:pPr>
            <w:r>
              <w:rPr>
                <w:rFonts w:ascii="Arial Narrow" w:hAnsi="Arial Narrow"/>
                <w:sz w:val="20"/>
                <w:szCs w:val="20"/>
              </w:rPr>
              <w:t>0.454</w:t>
            </w:r>
          </w:p>
        </w:tc>
      </w:tr>
      <w:tr w:rsidR="00F113A6" w:rsidRPr="008871BC" w14:paraId="38EC00F9" w14:textId="5CCF3A31" w:rsidTr="0065379D">
        <w:trPr>
          <w:trHeight w:val="204"/>
        </w:trPr>
        <w:tc>
          <w:tcPr>
            <w:tcW w:w="705" w:type="pct"/>
            <w:tcBorders>
              <w:top w:val="nil"/>
              <w:left w:val="single" w:sz="4" w:space="0" w:color="auto"/>
              <w:bottom w:val="single" w:sz="4" w:space="0" w:color="auto"/>
              <w:right w:val="single" w:sz="4" w:space="0" w:color="auto"/>
            </w:tcBorders>
            <w:noWrap/>
            <w:vAlign w:val="bottom"/>
            <w:hideMark/>
          </w:tcPr>
          <w:p w14:paraId="6142AC6D" w14:textId="03917253" w:rsidR="00F113A6" w:rsidRPr="008871BC" w:rsidRDefault="00F113A6" w:rsidP="008028C6">
            <w:pPr>
              <w:pStyle w:val="3-BodyText"/>
              <w:keepNext/>
              <w:keepLines/>
              <w:numPr>
                <w:ilvl w:val="0"/>
                <w:numId w:val="0"/>
              </w:numPr>
              <w:spacing w:before="0" w:after="0"/>
              <w:ind w:left="720" w:hanging="720"/>
              <w:rPr>
                <w:rFonts w:ascii="Arial Narrow" w:hAnsi="Arial Narrow"/>
                <w:sz w:val="20"/>
                <w:szCs w:val="20"/>
              </w:rPr>
            </w:pPr>
            <w:r w:rsidRPr="008871BC">
              <w:rPr>
                <w:rFonts w:ascii="Arial Narrow" w:hAnsi="Arial Narrow"/>
                <w:sz w:val="20"/>
                <w:szCs w:val="20"/>
              </w:rPr>
              <w:t>Year 2</w:t>
            </w:r>
          </w:p>
        </w:tc>
        <w:tc>
          <w:tcPr>
            <w:tcW w:w="1415" w:type="pct"/>
            <w:tcBorders>
              <w:top w:val="single" w:sz="4" w:space="0" w:color="auto"/>
              <w:left w:val="nil"/>
              <w:bottom w:val="single" w:sz="4" w:space="0" w:color="auto"/>
              <w:right w:val="single" w:sz="4" w:space="0" w:color="auto"/>
            </w:tcBorders>
          </w:tcPr>
          <w:p w14:paraId="660392D1" w14:textId="00C78521" w:rsidR="00F113A6" w:rsidRPr="008871BC" w:rsidRDefault="00EF5BFD" w:rsidP="008028C6">
            <w:pPr>
              <w:pStyle w:val="3-BodyText"/>
              <w:keepNext/>
              <w:keepLines/>
              <w:numPr>
                <w:ilvl w:val="0"/>
                <w:numId w:val="0"/>
              </w:numPr>
              <w:spacing w:before="0" w:after="0"/>
              <w:ind w:left="720" w:hanging="720"/>
              <w:jc w:val="center"/>
              <w:rPr>
                <w:rFonts w:ascii="Arial Narrow" w:hAnsi="Arial Narrow"/>
                <w:sz w:val="20"/>
                <w:szCs w:val="20"/>
              </w:rPr>
            </w:pPr>
            <w:r>
              <w:rPr>
                <w:rFonts w:ascii="Arial Narrow" w:hAnsi="Arial Narrow"/>
                <w:sz w:val="20"/>
                <w:szCs w:val="20"/>
              </w:rPr>
              <w:t>0.47</w:t>
            </w:r>
          </w:p>
        </w:tc>
        <w:tc>
          <w:tcPr>
            <w:tcW w:w="1493" w:type="pct"/>
            <w:tcBorders>
              <w:top w:val="single" w:sz="4" w:space="0" w:color="auto"/>
              <w:left w:val="single" w:sz="4" w:space="0" w:color="auto"/>
              <w:bottom w:val="single" w:sz="4" w:space="0" w:color="auto"/>
              <w:right w:val="single" w:sz="4" w:space="0" w:color="auto"/>
            </w:tcBorders>
            <w:noWrap/>
            <w:hideMark/>
          </w:tcPr>
          <w:p w14:paraId="55DDCC1B" w14:textId="5A46B7BC" w:rsidR="00F113A6" w:rsidRPr="008871BC" w:rsidRDefault="00F113A6" w:rsidP="008028C6">
            <w:pPr>
              <w:pStyle w:val="3-BodyText"/>
              <w:keepNext/>
              <w:keepLines/>
              <w:numPr>
                <w:ilvl w:val="0"/>
                <w:numId w:val="0"/>
              </w:numPr>
              <w:spacing w:before="0" w:after="0"/>
              <w:ind w:left="720" w:hanging="720"/>
              <w:jc w:val="center"/>
              <w:rPr>
                <w:rFonts w:ascii="Arial Narrow" w:hAnsi="Arial Narrow"/>
                <w:sz w:val="20"/>
                <w:szCs w:val="20"/>
              </w:rPr>
            </w:pPr>
            <w:r w:rsidRPr="008871BC">
              <w:rPr>
                <w:rFonts w:ascii="Arial Narrow" w:hAnsi="Arial Narrow"/>
                <w:sz w:val="20"/>
                <w:szCs w:val="20"/>
              </w:rPr>
              <w:t>0.28</w:t>
            </w:r>
          </w:p>
        </w:tc>
        <w:tc>
          <w:tcPr>
            <w:tcW w:w="1387" w:type="pct"/>
            <w:tcBorders>
              <w:top w:val="nil"/>
              <w:left w:val="nil"/>
              <w:bottom w:val="single" w:sz="4" w:space="0" w:color="auto"/>
              <w:right w:val="single" w:sz="4" w:space="0" w:color="auto"/>
            </w:tcBorders>
          </w:tcPr>
          <w:p w14:paraId="14F854E0" w14:textId="216B7A48" w:rsidR="00F113A6" w:rsidRPr="008871BC" w:rsidRDefault="00EF5BFD" w:rsidP="008028C6">
            <w:pPr>
              <w:pStyle w:val="3-BodyText"/>
              <w:keepNext/>
              <w:keepLines/>
              <w:numPr>
                <w:ilvl w:val="0"/>
                <w:numId w:val="0"/>
              </w:numPr>
              <w:spacing w:before="0" w:after="0"/>
              <w:ind w:left="720" w:hanging="720"/>
              <w:jc w:val="center"/>
              <w:rPr>
                <w:rFonts w:ascii="Arial Narrow" w:hAnsi="Arial Narrow"/>
                <w:sz w:val="20"/>
                <w:szCs w:val="20"/>
              </w:rPr>
            </w:pPr>
            <w:r>
              <w:rPr>
                <w:rFonts w:ascii="Arial Narrow" w:hAnsi="Arial Narrow"/>
                <w:sz w:val="20"/>
                <w:szCs w:val="20"/>
              </w:rPr>
              <w:t>0.454</w:t>
            </w:r>
          </w:p>
        </w:tc>
      </w:tr>
      <w:tr w:rsidR="00F113A6" w:rsidRPr="008871BC" w14:paraId="5A362204" w14:textId="1A9ABC71" w:rsidTr="0065379D">
        <w:trPr>
          <w:trHeight w:val="235"/>
        </w:trPr>
        <w:tc>
          <w:tcPr>
            <w:tcW w:w="705" w:type="pct"/>
            <w:tcBorders>
              <w:top w:val="nil"/>
              <w:left w:val="single" w:sz="4" w:space="0" w:color="auto"/>
              <w:bottom w:val="single" w:sz="4" w:space="0" w:color="auto"/>
              <w:right w:val="single" w:sz="4" w:space="0" w:color="auto"/>
            </w:tcBorders>
            <w:noWrap/>
            <w:vAlign w:val="bottom"/>
            <w:hideMark/>
          </w:tcPr>
          <w:p w14:paraId="50EE3024" w14:textId="7986D7DE" w:rsidR="00F113A6" w:rsidRPr="008871BC" w:rsidRDefault="00F113A6" w:rsidP="008028C6">
            <w:pPr>
              <w:pStyle w:val="3-BodyText"/>
              <w:keepNext/>
              <w:keepLines/>
              <w:numPr>
                <w:ilvl w:val="0"/>
                <w:numId w:val="0"/>
              </w:numPr>
              <w:spacing w:before="0" w:after="0"/>
              <w:ind w:left="720" w:hanging="720"/>
              <w:rPr>
                <w:rFonts w:ascii="Arial Narrow" w:hAnsi="Arial Narrow"/>
                <w:sz w:val="20"/>
                <w:szCs w:val="20"/>
              </w:rPr>
            </w:pPr>
            <w:r w:rsidRPr="008871BC">
              <w:rPr>
                <w:rFonts w:ascii="Arial Narrow" w:hAnsi="Arial Narrow"/>
                <w:sz w:val="20"/>
                <w:szCs w:val="20"/>
              </w:rPr>
              <w:t>Year 3</w:t>
            </w:r>
          </w:p>
        </w:tc>
        <w:tc>
          <w:tcPr>
            <w:tcW w:w="1415" w:type="pct"/>
            <w:tcBorders>
              <w:top w:val="single" w:sz="4" w:space="0" w:color="auto"/>
              <w:left w:val="nil"/>
              <w:bottom w:val="single" w:sz="4" w:space="0" w:color="auto"/>
              <w:right w:val="single" w:sz="4" w:space="0" w:color="auto"/>
            </w:tcBorders>
          </w:tcPr>
          <w:p w14:paraId="6C4C5C5A" w14:textId="665FD0F9" w:rsidR="00F113A6" w:rsidRPr="008871BC" w:rsidRDefault="00EF5BFD" w:rsidP="008028C6">
            <w:pPr>
              <w:pStyle w:val="3-BodyText"/>
              <w:keepNext/>
              <w:keepLines/>
              <w:numPr>
                <w:ilvl w:val="0"/>
                <w:numId w:val="0"/>
              </w:numPr>
              <w:spacing w:before="0" w:after="0"/>
              <w:ind w:left="720" w:hanging="720"/>
              <w:jc w:val="center"/>
              <w:rPr>
                <w:rFonts w:ascii="Arial Narrow" w:hAnsi="Arial Narrow"/>
                <w:sz w:val="20"/>
                <w:szCs w:val="20"/>
              </w:rPr>
            </w:pPr>
            <w:r>
              <w:rPr>
                <w:rFonts w:ascii="Arial Narrow" w:hAnsi="Arial Narrow"/>
                <w:sz w:val="20"/>
                <w:szCs w:val="20"/>
              </w:rPr>
              <w:t>0.90</w:t>
            </w:r>
          </w:p>
        </w:tc>
        <w:tc>
          <w:tcPr>
            <w:tcW w:w="1493" w:type="pct"/>
            <w:tcBorders>
              <w:top w:val="single" w:sz="4" w:space="0" w:color="auto"/>
              <w:left w:val="single" w:sz="4" w:space="0" w:color="auto"/>
              <w:bottom w:val="single" w:sz="4" w:space="0" w:color="auto"/>
              <w:right w:val="single" w:sz="4" w:space="0" w:color="auto"/>
            </w:tcBorders>
            <w:noWrap/>
            <w:hideMark/>
          </w:tcPr>
          <w:p w14:paraId="5CB9AD31" w14:textId="2F550923" w:rsidR="00F113A6" w:rsidRPr="008871BC" w:rsidRDefault="00F113A6" w:rsidP="008028C6">
            <w:pPr>
              <w:pStyle w:val="3-BodyText"/>
              <w:keepNext/>
              <w:keepLines/>
              <w:numPr>
                <w:ilvl w:val="0"/>
                <w:numId w:val="0"/>
              </w:numPr>
              <w:spacing w:before="0" w:after="0"/>
              <w:ind w:left="720" w:hanging="720"/>
              <w:jc w:val="center"/>
              <w:rPr>
                <w:rFonts w:ascii="Arial Narrow" w:hAnsi="Arial Narrow"/>
                <w:sz w:val="20"/>
                <w:szCs w:val="20"/>
              </w:rPr>
            </w:pPr>
            <w:r w:rsidRPr="008871BC">
              <w:rPr>
                <w:rFonts w:ascii="Arial Narrow" w:hAnsi="Arial Narrow"/>
                <w:sz w:val="20"/>
                <w:szCs w:val="20"/>
              </w:rPr>
              <w:t>0.20</w:t>
            </w:r>
          </w:p>
        </w:tc>
        <w:tc>
          <w:tcPr>
            <w:tcW w:w="1387" w:type="pct"/>
            <w:tcBorders>
              <w:top w:val="nil"/>
              <w:left w:val="nil"/>
              <w:bottom w:val="single" w:sz="4" w:space="0" w:color="auto"/>
              <w:right w:val="single" w:sz="4" w:space="0" w:color="auto"/>
            </w:tcBorders>
          </w:tcPr>
          <w:p w14:paraId="3D3C0275" w14:textId="0A950B4B" w:rsidR="00F113A6" w:rsidRPr="008871BC" w:rsidRDefault="00EF5BFD" w:rsidP="008028C6">
            <w:pPr>
              <w:pStyle w:val="3-BodyText"/>
              <w:keepNext/>
              <w:keepLines/>
              <w:numPr>
                <w:ilvl w:val="0"/>
                <w:numId w:val="0"/>
              </w:numPr>
              <w:spacing w:before="0" w:after="0"/>
              <w:ind w:left="720" w:hanging="720"/>
              <w:jc w:val="center"/>
              <w:rPr>
                <w:rFonts w:ascii="Arial Narrow" w:hAnsi="Arial Narrow"/>
                <w:sz w:val="20"/>
                <w:szCs w:val="20"/>
              </w:rPr>
            </w:pPr>
            <w:r>
              <w:rPr>
                <w:rFonts w:ascii="Arial Narrow" w:hAnsi="Arial Narrow"/>
                <w:sz w:val="20"/>
                <w:szCs w:val="20"/>
              </w:rPr>
              <w:t>0.454</w:t>
            </w:r>
          </w:p>
        </w:tc>
      </w:tr>
      <w:tr w:rsidR="00F113A6" w:rsidRPr="008871BC" w14:paraId="4BB95011" w14:textId="3542B22C" w:rsidTr="0065379D">
        <w:trPr>
          <w:trHeight w:val="139"/>
        </w:trPr>
        <w:tc>
          <w:tcPr>
            <w:tcW w:w="705" w:type="pct"/>
            <w:tcBorders>
              <w:top w:val="nil"/>
              <w:left w:val="single" w:sz="4" w:space="0" w:color="auto"/>
              <w:bottom w:val="single" w:sz="4" w:space="0" w:color="auto"/>
              <w:right w:val="single" w:sz="4" w:space="0" w:color="auto"/>
            </w:tcBorders>
            <w:noWrap/>
            <w:vAlign w:val="bottom"/>
            <w:hideMark/>
          </w:tcPr>
          <w:p w14:paraId="69C3DEE6" w14:textId="449ECEF9" w:rsidR="00F113A6" w:rsidRPr="008871BC" w:rsidRDefault="00F113A6" w:rsidP="008028C6">
            <w:pPr>
              <w:pStyle w:val="3-BodyText"/>
              <w:keepNext/>
              <w:keepLines/>
              <w:numPr>
                <w:ilvl w:val="0"/>
                <w:numId w:val="0"/>
              </w:numPr>
              <w:spacing w:before="0" w:after="0"/>
              <w:ind w:left="720" w:hanging="720"/>
              <w:rPr>
                <w:rFonts w:ascii="Arial Narrow" w:hAnsi="Arial Narrow"/>
                <w:sz w:val="20"/>
                <w:szCs w:val="20"/>
              </w:rPr>
            </w:pPr>
            <w:r w:rsidRPr="008871BC">
              <w:rPr>
                <w:rFonts w:ascii="Arial Narrow" w:hAnsi="Arial Narrow"/>
                <w:sz w:val="20"/>
                <w:szCs w:val="20"/>
              </w:rPr>
              <w:t>Year 4</w:t>
            </w:r>
          </w:p>
        </w:tc>
        <w:tc>
          <w:tcPr>
            <w:tcW w:w="1415" w:type="pct"/>
            <w:tcBorders>
              <w:top w:val="single" w:sz="4" w:space="0" w:color="auto"/>
              <w:left w:val="nil"/>
              <w:bottom w:val="single" w:sz="4" w:space="0" w:color="auto"/>
              <w:right w:val="single" w:sz="4" w:space="0" w:color="auto"/>
            </w:tcBorders>
          </w:tcPr>
          <w:p w14:paraId="7F902FA7" w14:textId="43F76070" w:rsidR="00F113A6" w:rsidRPr="008871BC" w:rsidRDefault="00EF5BFD" w:rsidP="008028C6">
            <w:pPr>
              <w:pStyle w:val="3-BodyText"/>
              <w:keepNext/>
              <w:keepLines/>
              <w:numPr>
                <w:ilvl w:val="0"/>
                <w:numId w:val="0"/>
              </w:numPr>
              <w:spacing w:before="0" w:after="0"/>
              <w:ind w:left="720" w:hanging="720"/>
              <w:jc w:val="center"/>
              <w:rPr>
                <w:rFonts w:ascii="Arial Narrow" w:hAnsi="Arial Narrow"/>
                <w:sz w:val="20"/>
                <w:szCs w:val="20"/>
              </w:rPr>
            </w:pPr>
            <w:r>
              <w:rPr>
                <w:rFonts w:ascii="Arial Narrow" w:hAnsi="Arial Narrow"/>
                <w:sz w:val="20"/>
                <w:szCs w:val="20"/>
              </w:rPr>
              <w:t>-</w:t>
            </w:r>
          </w:p>
        </w:tc>
        <w:tc>
          <w:tcPr>
            <w:tcW w:w="1493" w:type="pct"/>
            <w:tcBorders>
              <w:top w:val="single" w:sz="4" w:space="0" w:color="auto"/>
              <w:left w:val="single" w:sz="4" w:space="0" w:color="auto"/>
              <w:bottom w:val="single" w:sz="4" w:space="0" w:color="auto"/>
              <w:right w:val="single" w:sz="4" w:space="0" w:color="auto"/>
            </w:tcBorders>
            <w:noWrap/>
            <w:hideMark/>
          </w:tcPr>
          <w:p w14:paraId="1A4B0987" w14:textId="2C0CBBDF" w:rsidR="00F113A6" w:rsidRPr="008871BC" w:rsidRDefault="00F113A6" w:rsidP="008028C6">
            <w:pPr>
              <w:pStyle w:val="3-BodyText"/>
              <w:keepNext/>
              <w:keepLines/>
              <w:numPr>
                <w:ilvl w:val="0"/>
                <w:numId w:val="0"/>
              </w:numPr>
              <w:spacing w:before="0" w:after="0"/>
              <w:ind w:left="720" w:hanging="720"/>
              <w:jc w:val="center"/>
              <w:rPr>
                <w:rFonts w:ascii="Arial Narrow" w:hAnsi="Arial Narrow"/>
                <w:sz w:val="20"/>
                <w:szCs w:val="20"/>
              </w:rPr>
            </w:pPr>
            <w:r w:rsidRPr="008871BC">
              <w:rPr>
                <w:rFonts w:ascii="Arial Narrow" w:hAnsi="Arial Narrow"/>
                <w:sz w:val="20"/>
                <w:szCs w:val="20"/>
              </w:rPr>
              <w:t>1.14</w:t>
            </w:r>
          </w:p>
        </w:tc>
        <w:tc>
          <w:tcPr>
            <w:tcW w:w="1387" w:type="pct"/>
            <w:tcBorders>
              <w:top w:val="nil"/>
              <w:left w:val="nil"/>
              <w:bottom w:val="single" w:sz="4" w:space="0" w:color="auto"/>
              <w:right w:val="single" w:sz="4" w:space="0" w:color="auto"/>
            </w:tcBorders>
          </w:tcPr>
          <w:p w14:paraId="5ABA2410" w14:textId="2357D346" w:rsidR="00F113A6" w:rsidRPr="008871BC" w:rsidRDefault="00EF5BFD" w:rsidP="008028C6">
            <w:pPr>
              <w:pStyle w:val="3-BodyText"/>
              <w:keepNext/>
              <w:keepLines/>
              <w:numPr>
                <w:ilvl w:val="0"/>
                <w:numId w:val="0"/>
              </w:numPr>
              <w:spacing w:before="0" w:after="0"/>
              <w:ind w:left="720" w:hanging="720"/>
              <w:jc w:val="center"/>
              <w:rPr>
                <w:rFonts w:ascii="Arial Narrow" w:hAnsi="Arial Narrow"/>
                <w:sz w:val="20"/>
                <w:szCs w:val="20"/>
              </w:rPr>
            </w:pPr>
            <w:r>
              <w:rPr>
                <w:rFonts w:ascii="Arial Narrow" w:hAnsi="Arial Narrow"/>
                <w:sz w:val="20"/>
                <w:szCs w:val="20"/>
              </w:rPr>
              <w:t>0.454</w:t>
            </w:r>
          </w:p>
        </w:tc>
      </w:tr>
      <w:tr w:rsidR="00F113A6" w:rsidRPr="008871BC" w14:paraId="1C3D8274" w14:textId="3F401507" w:rsidTr="0065379D">
        <w:trPr>
          <w:trHeight w:val="70"/>
        </w:trPr>
        <w:tc>
          <w:tcPr>
            <w:tcW w:w="705" w:type="pct"/>
            <w:tcBorders>
              <w:top w:val="nil"/>
              <w:left w:val="single" w:sz="4" w:space="0" w:color="auto"/>
              <w:bottom w:val="single" w:sz="4" w:space="0" w:color="auto"/>
              <w:right w:val="single" w:sz="4" w:space="0" w:color="auto"/>
            </w:tcBorders>
            <w:noWrap/>
            <w:vAlign w:val="bottom"/>
            <w:hideMark/>
          </w:tcPr>
          <w:p w14:paraId="1F4175B8" w14:textId="4B3FD810" w:rsidR="00F113A6" w:rsidRPr="008871BC" w:rsidRDefault="00F113A6" w:rsidP="008028C6">
            <w:pPr>
              <w:pStyle w:val="3-BodyText"/>
              <w:keepNext/>
              <w:keepLines/>
              <w:numPr>
                <w:ilvl w:val="0"/>
                <w:numId w:val="0"/>
              </w:numPr>
              <w:spacing w:before="0" w:after="0"/>
              <w:ind w:left="720" w:hanging="720"/>
              <w:rPr>
                <w:rFonts w:ascii="Arial Narrow" w:hAnsi="Arial Narrow"/>
                <w:bCs/>
                <w:sz w:val="20"/>
                <w:szCs w:val="20"/>
              </w:rPr>
            </w:pPr>
            <w:r w:rsidRPr="008871BC">
              <w:rPr>
                <w:rFonts w:ascii="Arial Narrow" w:hAnsi="Arial Narrow"/>
                <w:bCs/>
                <w:sz w:val="20"/>
                <w:szCs w:val="20"/>
              </w:rPr>
              <w:t>Year 5</w:t>
            </w:r>
          </w:p>
        </w:tc>
        <w:tc>
          <w:tcPr>
            <w:tcW w:w="1415" w:type="pct"/>
            <w:tcBorders>
              <w:top w:val="single" w:sz="4" w:space="0" w:color="auto"/>
              <w:left w:val="nil"/>
              <w:bottom w:val="single" w:sz="4" w:space="0" w:color="auto"/>
              <w:right w:val="single" w:sz="4" w:space="0" w:color="auto"/>
            </w:tcBorders>
          </w:tcPr>
          <w:p w14:paraId="0B8910CC" w14:textId="38DBAC73" w:rsidR="00F113A6" w:rsidRPr="008871BC" w:rsidRDefault="00EF5BFD" w:rsidP="008028C6">
            <w:pPr>
              <w:pStyle w:val="3-BodyText"/>
              <w:keepNext/>
              <w:keepLines/>
              <w:numPr>
                <w:ilvl w:val="0"/>
                <w:numId w:val="0"/>
              </w:numPr>
              <w:spacing w:before="0" w:after="0"/>
              <w:ind w:left="720" w:hanging="720"/>
              <w:jc w:val="center"/>
              <w:rPr>
                <w:rFonts w:ascii="Arial Narrow" w:hAnsi="Arial Narrow"/>
                <w:bCs/>
                <w:sz w:val="20"/>
                <w:szCs w:val="20"/>
              </w:rPr>
            </w:pPr>
            <w:r>
              <w:rPr>
                <w:rFonts w:ascii="Arial Narrow" w:hAnsi="Arial Narrow"/>
                <w:bCs/>
                <w:sz w:val="20"/>
                <w:szCs w:val="20"/>
              </w:rPr>
              <w:t>-</w:t>
            </w:r>
          </w:p>
        </w:tc>
        <w:tc>
          <w:tcPr>
            <w:tcW w:w="1493" w:type="pct"/>
            <w:tcBorders>
              <w:top w:val="single" w:sz="4" w:space="0" w:color="auto"/>
              <w:left w:val="single" w:sz="4" w:space="0" w:color="auto"/>
              <w:bottom w:val="single" w:sz="4" w:space="0" w:color="auto"/>
              <w:right w:val="single" w:sz="4" w:space="0" w:color="auto"/>
            </w:tcBorders>
            <w:noWrap/>
            <w:hideMark/>
          </w:tcPr>
          <w:p w14:paraId="2D4DC9A5" w14:textId="3882C33F" w:rsidR="00F113A6" w:rsidRPr="008871BC" w:rsidRDefault="00F113A6" w:rsidP="008028C6">
            <w:pPr>
              <w:pStyle w:val="3-BodyText"/>
              <w:keepNext/>
              <w:keepLines/>
              <w:numPr>
                <w:ilvl w:val="0"/>
                <w:numId w:val="0"/>
              </w:numPr>
              <w:spacing w:before="0" w:after="0"/>
              <w:ind w:left="720" w:hanging="720"/>
              <w:jc w:val="center"/>
              <w:rPr>
                <w:rFonts w:ascii="Arial Narrow" w:hAnsi="Arial Narrow"/>
                <w:bCs/>
                <w:sz w:val="20"/>
                <w:szCs w:val="20"/>
              </w:rPr>
            </w:pPr>
            <w:r w:rsidRPr="008871BC">
              <w:rPr>
                <w:rFonts w:ascii="Arial Narrow" w:hAnsi="Arial Narrow"/>
                <w:bCs/>
                <w:sz w:val="20"/>
                <w:szCs w:val="20"/>
              </w:rPr>
              <w:t>0.44</w:t>
            </w:r>
          </w:p>
        </w:tc>
        <w:tc>
          <w:tcPr>
            <w:tcW w:w="1387" w:type="pct"/>
            <w:tcBorders>
              <w:top w:val="nil"/>
              <w:left w:val="nil"/>
              <w:bottom w:val="single" w:sz="4" w:space="0" w:color="auto"/>
              <w:right w:val="single" w:sz="4" w:space="0" w:color="auto"/>
            </w:tcBorders>
          </w:tcPr>
          <w:p w14:paraId="1873758D" w14:textId="4B65F2E1" w:rsidR="00F113A6" w:rsidRPr="008871BC" w:rsidRDefault="00EF5BFD" w:rsidP="008028C6">
            <w:pPr>
              <w:pStyle w:val="3-BodyText"/>
              <w:keepNext/>
              <w:keepLines/>
              <w:numPr>
                <w:ilvl w:val="0"/>
                <w:numId w:val="0"/>
              </w:numPr>
              <w:spacing w:before="0" w:after="0"/>
              <w:ind w:left="720" w:hanging="720"/>
              <w:jc w:val="center"/>
              <w:rPr>
                <w:rFonts w:ascii="Arial Narrow" w:hAnsi="Arial Narrow"/>
                <w:bCs/>
                <w:sz w:val="20"/>
                <w:szCs w:val="20"/>
              </w:rPr>
            </w:pPr>
            <w:r>
              <w:rPr>
                <w:rFonts w:ascii="Arial Narrow" w:hAnsi="Arial Narrow"/>
                <w:bCs/>
                <w:sz w:val="20"/>
                <w:szCs w:val="20"/>
              </w:rPr>
              <w:t>0.454</w:t>
            </w:r>
          </w:p>
        </w:tc>
      </w:tr>
      <w:tr w:rsidR="006C7BDF" w:rsidRPr="008871BC" w14:paraId="58B6897F" w14:textId="77777777" w:rsidTr="0065379D">
        <w:trPr>
          <w:trHeight w:val="70"/>
        </w:trPr>
        <w:tc>
          <w:tcPr>
            <w:tcW w:w="705" w:type="pct"/>
            <w:tcBorders>
              <w:top w:val="single" w:sz="4" w:space="0" w:color="auto"/>
              <w:left w:val="single" w:sz="4" w:space="0" w:color="auto"/>
              <w:bottom w:val="single" w:sz="4" w:space="0" w:color="auto"/>
              <w:right w:val="single" w:sz="4" w:space="0" w:color="auto"/>
            </w:tcBorders>
            <w:noWrap/>
            <w:vAlign w:val="bottom"/>
          </w:tcPr>
          <w:p w14:paraId="2AF9E46E" w14:textId="2F115314" w:rsidR="000B1AA9" w:rsidRPr="008871BC" w:rsidRDefault="000B1AA9" w:rsidP="008028C6">
            <w:pPr>
              <w:pStyle w:val="3-BodyText"/>
              <w:keepNext/>
              <w:keepLines/>
              <w:numPr>
                <w:ilvl w:val="0"/>
                <w:numId w:val="0"/>
              </w:numPr>
              <w:spacing w:before="0" w:after="0"/>
              <w:ind w:left="720" w:hanging="720"/>
              <w:rPr>
                <w:rFonts w:ascii="Arial Narrow" w:hAnsi="Arial Narrow"/>
                <w:bCs/>
                <w:sz w:val="20"/>
                <w:szCs w:val="20"/>
              </w:rPr>
            </w:pPr>
            <w:r>
              <w:rPr>
                <w:rFonts w:ascii="Arial Narrow" w:hAnsi="Arial Narrow"/>
                <w:bCs/>
                <w:sz w:val="20"/>
                <w:szCs w:val="20"/>
              </w:rPr>
              <w:t>Average</w:t>
            </w:r>
          </w:p>
        </w:tc>
        <w:tc>
          <w:tcPr>
            <w:tcW w:w="1415" w:type="pct"/>
            <w:tcBorders>
              <w:top w:val="single" w:sz="4" w:space="0" w:color="auto"/>
              <w:left w:val="nil"/>
              <w:bottom w:val="single" w:sz="4" w:space="0" w:color="auto"/>
              <w:right w:val="single" w:sz="4" w:space="0" w:color="auto"/>
            </w:tcBorders>
          </w:tcPr>
          <w:p w14:paraId="4FBD10A0" w14:textId="4C16228B" w:rsidR="000B1AA9" w:rsidRPr="008871BC" w:rsidRDefault="00EF5BFD" w:rsidP="008028C6">
            <w:pPr>
              <w:pStyle w:val="3-BodyText"/>
              <w:keepNext/>
              <w:keepLines/>
              <w:numPr>
                <w:ilvl w:val="0"/>
                <w:numId w:val="0"/>
              </w:numPr>
              <w:spacing w:before="0" w:after="0"/>
              <w:ind w:left="720" w:hanging="720"/>
              <w:jc w:val="center"/>
              <w:rPr>
                <w:rFonts w:ascii="Arial Narrow" w:hAnsi="Arial Narrow"/>
                <w:bCs/>
                <w:sz w:val="20"/>
                <w:szCs w:val="20"/>
              </w:rPr>
            </w:pPr>
            <w:r>
              <w:rPr>
                <w:rFonts w:ascii="Arial Narrow" w:hAnsi="Arial Narrow"/>
                <w:bCs/>
                <w:sz w:val="20"/>
                <w:szCs w:val="20"/>
              </w:rPr>
              <w:t>0.454</w:t>
            </w:r>
          </w:p>
        </w:tc>
        <w:tc>
          <w:tcPr>
            <w:tcW w:w="1493" w:type="pct"/>
            <w:tcBorders>
              <w:top w:val="single" w:sz="4" w:space="0" w:color="auto"/>
              <w:left w:val="single" w:sz="4" w:space="0" w:color="auto"/>
              <w:bottom w:val="single" w:sz="4" w:space="0" w:color="auto"/>
              <w:right w:val="single" w:sz="4" w:space="0" w:color="auto"/>
            </w:tcBorders>
            <w:noWrap/>
          </w:tcPr>
          <w:p w14:paraId="23339A9A" w14:textId="14718652" w:rsidR="000B1AA9" w:rsidRPr="008871BC" w:rsidRDefault="00EF5BFD" w:rsidP="008028C6">
            <w:pPr>
              <w:pStyle w:val="3-BodyText"/>
              <w:keepNext/>
              <w:keepLines/>
              <w:numPr>
                <w:ilvl w:val="0"/>
                <w:numId w:val="0"/>
              </w:numPr>
              <w:spacing w:before="0" w:after="0"/>
              <w:ind w:left="720" w:hanging="720"/>
              <w:jc w:val="center"/>
              <w:rPr>
                <w:rFonts w:ascii="Arial Narrow" w:hAnsi="Arial Narrow"/>
                <w:bCs/>
                <w:sz w:val="20"/>
                <w:szCs w:val="20"/>
              </w:rPr>
            </w:pPr>
            <w:r>
              <w:rPr>
                <w:rFonts w:ascii="Arial Narrow" w:hAnsi="Arial Narrow"/>
                <w:bCs/>
                <w:sz w:val="20"/>
                <w:szCs w:val="20"/>
              </w:rPr>
              <w:t>0.321</w:t>
            </w:r>
          </w:p>
        </w:tc>
        <w:tc>
          <w:tcPr>
            <w:tcW w:w="1387" w:type="pct"/>
            <w:tcBorders>
              <w:top w:val="single" w:sz="4" w:space="0" w:color="auto"/>
              <w:left w:val="nil"/>
              <w:bottom w:val="single" w:sz="4" w:space="0" w:color="auto"/>
              <w:right w:val="single" w:sz="4" w:space="0" w:color="auto"/>
            </w:tcBorders>
          </w:tcPr>
          <w:p w14:paraId="0DBEBC92" w14:textId="56A45624" w:rsidR="000B1AA9" w:rsidRPr="008871BC" w:rsidRDefault="00EF5BFD" w:rsidP="008028C6">
            <w:pPr>
              <w:pStyle w:val="3-BodyText"/>
              <w:keepNext/>
              <w:keepLines/>
              <w:numPr>
                <w:ilvl w:val="0"/>
                <w:numId w:val="0"/>
              </w:numPr>
              <w:spacing w:before="0" w:after="0"/>
              <w:ind w:left="720" w:hanging="720"/>
              <w:jc w:val="center"/>
              <w:rPr>
                <w:rFonts w:ascii="Arial Narrow" w:hAnsi="Arial Narrow"/>
                <w:bCs/>
                <w:sz w:val="20"/>
                <w:szCs w:val="20"/>
              </w:rPr>
            </w:pPr>
            <w:r>
              <w:rPr>
                <w:rFonts w:ascii="Arial Narrow" w:hAnsi="Arial Narrow"/>
                <w:bCs/>
                <w:sz w:val="20"/>
                <w:szCs w:val="20"/>
              </w:rPr>
              <w:t>-</w:t>
            </w:r>
          </w:p>
        </w:tc>
      </w:tr>
    </w:tbl>
    <w:p w14:paraId="4D91D7D6" w14:textId="3AC84565" w:rsidR="00D04954" w:rsidRPr="00AB0640" w:rsidRDefault="003168FE" w:rsidP="008028C6">
      <w:pPr>
        <w:pStyle w:val="FooterTableFigure"/>
        <w:keepNext/>
        <w:keepLines/>
      </w:pPr>
      <w:r w:rsidRPr="00AB0640">
        <w:t xml:space="preserve">Source: </w:t>
      </w:r>
      <w:r w:rsidR="00A62AF8" w:rsidRPr="00AB0640">
        <w:t>Compiled</w:t>
      </w:r>
      <w:r w:rsidRPr="00AB0640">
        <w:t xml:space="preserve"> </w:t>
      </w:r>
      <w:r w:rsidR="00375D2E" w:rsidRPr="00AB0640">
        <w:t>from information provided in the PSCR</w:t>
      </w:r>
      <w:r w:rsidR="00CA76F2">
        <w:t>, and pre-PBAC response.</w:t>
      </w:r>
    </w:p>
    <w:p w14:paraId="06240966" w14:textId="1BDBA3EF" w:rsidR="00375D2E" w:rsidRPr="00AB0640" w:rsidRDefault="00375D2E" w:rsidP="008028C6">
      <w:pPr>
        <w:pStyle w:val="FooterTableFigure"/>
      </w:pPr>
      <w:r w:rsidRPr="00AB0640">
        <w:t>mFARS = modified Friedreich Ataxia Rating Scale</w:t>
      </w:r>
    </w:p>
    <w:p w14:paraId="10ACAC31" w14:textId="76942FFC" w:rsidR="007A40AC" w:rsidRPr="00C65FBB" w:rsidRDefault="007A40AC" w:rsidP="008028C6">
      <w:pPr>
        <w:pStyle w:val="3-BodyText"/>
      </w:pPr>
      <w:r w:rsidRPr="00C65FBB">
        <w:t xml:space="preserve">The mFARS progression trajectory for both treatment arms by age of onset cohorts is presented in </w:t>
      </w:r>
      <w:r w:rsidRPr="00C65FBB">
        <w:fldChar w:fldCharType="begin" w:fldLock="1"/>
      </w:r>
      <w:r w:rsidRPr="00C65FBB">
        <w:instrText xml:space="preserve"> REF _Ref207620273 \h  \* MERGEFORMAT </w:instrText>
      </w:r>
      <w:r w:rsidRPr="00C65FBB">
        <w:fldChar w:fldCharType="separate"/>
      </w:r>
      <w:r w:rsidR="00E056AF" w:rsidRPr="00AB0640">
        <w:t xml:space="preserve">Figure </w:t>
      </w:r>
      <w:r w:rsidR="00E056AF">
        <w:t>2</w:t>
      </w:r>
      <w:r w:rsidRPr="00C65FBB">
        <w:fldChar w:fldCharType="end"/>
      </w:r>
      <w:r w:rsidRPr="00C65FBB">
        <w:t xml:space="preserve">. </w:t>
      </w:r>
      <w:r w:rsidR="001A2687" w:rsidRPr="00C65FBB">
        <w:t xml:space="preserve">The </w:t>
      </w:r>
      <w:r w:rsidRPr="00C65FBB">
        <w:t xml:space="preserve">mFARS scores of patients in the 8-14 years old, 15-25 years old and </w:t>
      </w:r>
      <w:r w:rsidR="00202AE4">
        <w:t xml:space="preserve">&gt; </w:t>
      </w:r>
      <w:r w:rsidRPr="00C65FBB">
        <w:t>24 years old cohorts reduce</w:t>
      </w:r>
      <w:r w:rsidR="001A2687" w:rsidRPr="00C65FBB">
        <w:t>d</w:t>
      </w:r>
      <w:r w:rsidRPr="00C65FBB">
        <w:t xml:space="preserve"> at different time points over the time horizon. This </w:t>
      </w:r>
      <w:r w:rsidR="001F7463" w:rsidRPr="00C65FBB">
        <w:t>was not observed in the economic model presented in the previous submission</w:t>
      </w:r>
      <w:r w:rsidR="001A2687" w:rsidRPr="00C65FBB">
        <w:t xml:space="preserve">. However, the </w:t>
      </w:r>
      <w:r w:rsidR="00EC19D7" w:rsidRPr="00C65FBB">
        <w:t>re</w:t>
      </w:r>
      <w:r w:rsidR="001A2687" w:rsidRPr="00C65FBB">
        <w:t xml:space="preserve">submission argued that this was a result of patients that </w:t>
      </w:r>
      <w:r w:rsidR="00FB0D05" w:rsidRPr="00C65FBB">
        <w:t>discontinued</w:t>
      </w:r>
      <w:r w:rsidR="001A2687" w:rsidRPr="00C65FBB">
        <w:t xml:space="preserve"> treatment (and </w:t>
      </w:r>
      <w:r w:rsidR="00FB0D05" w:rsidRPr="00C65FBB">
        <w:t>were</w:t>
      </w:r>
      <w:r w:rsidR="001A2687" w:rsidRPr="00C65FBB">
        <w:t xml:space="preserve"> likely to have worse mFARS scores</w:t>
      </w:r>
      <w:r w:rsidR="00FB0D05" w:rsidRPr="00C65FBB">
        <w:t xml:space="preserve">) </w:t>
      </w:r>
      <w:r w:rsidR="001A2687" w:rsidRPr="00C65FBB">
        <w:t xml:space="preserve">dying at a higher rate. </w:t>
      </w:r>
      <w:r w:rsidR="00FB0D05" w:rsidRPr="00C65FBB">
        <w:t>Thus, the surviving population, i.e., patients that were alive and remained on treatment, were likely to have</w:t>
      </w:r>
      <w:r w:rsidR="001A2687" w:rsidRPr="00C65FBB">
        <w:t xml:space="preserve"> lower mFARS scores</w:t>
      </w:r>
      <w:r w:rsidR="00FB0D05" w:rsidRPr="00C65FBB">
        <w:t>, thereby reducing the overall mFARS scores of the</w:t>
      </w:r>
      <w:r w:rsidR="003D7F3C" w:rsidRPr="00C65FBB">
        <w:t xml:space="preserve"> </w:t>
      </w:r>
      <w:r w:rsidR="00FB0D05" w:rsidRPr="00C65FBB">
        <w:t>cohort.</w:t>
      </w:r>
      <w:r w:rsidR="001A2687" w:rsidRPr="00C65FBB">
        <w:t xml:space="preserve"> Th</w:t>
      </w:r>
      <w:r w:rsidR="00595AB3" w:rsidRPr="00C65FBB">
        <w:t xml:space="preserve">e ESC considered that this approach </w:t>
      </w:r>
      <w:r w:rsidR="00FB0D05" w:rsidRPr="00C65FBB">
        <w:t>was</w:t>
      </w:r>
      <w:r w:rsidR="001A2687" w:rsidRPr="00C65FBB">
        <w:t xml:space="preserve"> reasonable. </w:t>
      </w:r>
    </w:p>
    <w:p w14:paraId="4B56A074" w14:textId="53F0724F" w:rsidR="007A40AC" w:rsidRPr="00AB0640" w:rsidRDefault="007A40AC" w:rsidP="008028C6">
      <w:pPr>
        <w:pStyle w:val="Caption"/>
      </w:pPr>
      <w:bookmarkStart w:id="46" w:name="_Ref207620273"/>
      <w:r w:rsidRPr="00AB0640">
        <w:t xml:space="preserve">Figure </w:t>
      </w:r>
      <w:r w:rsidR="00E056AF">
        <w:fldChar w:fldCharType="begin" w:fldLock="1"/>
      </w:r>
      <w:r w:rsidR="00E056AF">
        <w:instrText xml:space="preserve"> SEQ Figure \* ARABIC </w:instrText>
      </w:r>
      <w:r w:rsidR="00E056AF">
        <w:fldChar w:fldCharType="separate"/>
      </w:r>
      <w:r w:rsidR="00E056AF">
        <w:rPr>
          <w:noProof/>
        </w:rPr>
        <w:t>2</w:t>
      </w:r>
      <w:r w:rsidR="00E056AF">
        <w:rPr>
          <w:noProof/>
        </w:rPr>
        <w:fldChar w:fldCharType="end"/>
      </w:r>
      <w:bookmarkEnd w:id="46"/>
      <w:r w:rsidRPr="00AB0640">
        <w:t xml:space="preserve">: mFARS progression for age of onset cohorts for both treatment arms </w:t>
      </w:r>
    </w:p>
    <w:p w14:paraId="55565503" w14:textId="77777777" w:rsidR="007A40AC" w:rsidRPr="00AB0640" w:rsidRDefault="007A40AC" w:rsidP="008028C6">
      <w:pPr>
        <w:pStyle w:val="3-BodyText"/>
        <w:numPr>
          <w:ilvl w:val="0"/>
          <w:numId w:val="0"/>
        </w:numPr>
        <w:ind w:left="720" w:hanging="720"/>
      </w:pPr>
      <w:r w:rsidRPr="00AB0640">
        <w:rPr>
          <w:noProof/>
        </w:rPr>
        <w:drawing>
          <wp:inline distT="0" distB="0" distL="0" distR="0" wp14:anchorId="4BFC5456" wp14:editId="514A3A51">
            <wp:extent cx="4629150" cy="3083023"/>
            <wp:effectExtent l="0" t="0" r="0" b="3175"/>
            <wp:docPr id="578597101" name="Picture 1" descr="Figure 2: mFARS progression for age of onset cohorts for both treatment ar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597101" name="Picture 1" descr="Figure 2: mFARS progression for age of onset cohorts for both treatment arms "/>
                    <pic:cNvPicPr/>
                  </pic:nvPicPr>
                  <pic:blipFill>
                    <a:blip r:embed="rId12"/>
                    <a:stretch>
                      <a:fillRect/>
                    </a:stretch>
                  </pic:blipFill>
                  <pic:spPr>
                    <a:xfrm>
                      <a:off x="0" y="0"/>
                      <a:ext cx="4644425" cy="3093196"/>
                    </a:xfrm>
                    <a:prstGeom prst="rect">
                      <a:avLst/>
                    </a:prstGeom>
                  </pic:spPr>
                </pic:pic>
              </a:graphicData>
            </a:graphic>
          </wp:inline>
        </w:drawing>
      </w:r>
    </w:p>
    <w:p w14:paraId="6C0829E1" w14:textId="421F7AF7" w:rsidR="007A40AC" w:rsidRPr="00AB0640" w:rsidRDefault="007A40AC" w:rsidP="008028C6">
      <w:pPr>
        <w:pStyle w:val="TableFigureFooter"/>
        <w:keepNext/>
      </w:pPr>
      <w:r w:rsidRPr="00AB0640">
        <w:t xml:space="preserve">Source: </w:t>
      </w:r>
      <w:r w:rsidRPr="00AB0640">
        <w:rPr>
          <w:i/>
          <w:iCs/>
        </w:rPr>
        <w:t>constructed during the evaluation,</w:t>
      </w:r>
      <w:r w:rsidRPr="00AB0640">
        <w:t xml:space="preserve"> from the “Attachment 9 – Cost utility analysis (CUA) workbook (Section 3)” workbook included in the </w:t>
      </w:r>
      <w:r w:rsidR="0021788B" w:rsidRPr="00AB0640">
        <w:t>re</w:t>
      </w:r>
      <w:r w:rsidRPr="00AB0640">
        <w:t>submission.</w:t>
      </w:r>
      <w:r w:rsidR="00202AE4">
        <w:t xml:space="preserve"> </w:t>
      </w:r>
    </w:p>
    <w:p w14:paraId="103B9C1F" w14:textId="77777777" w:rsidR="007A40AC" w:rsidRPr="00AB0640" w:rsidRDefault="007A40AC" w:rsidP="008028C6">
      <w:pPr>
        <w:pStyle w:val="TableFigureFooter"/>
      </w:pPr>
      <w:r w:rsidRPr="00AB0640">
        <w:t xml:space="preserve">BSC = best supportive care; mFARS = modified Friedreich Ataxia Rating Scale; Omav = omaveloxolone; Tx = treatment </w:t>
      </w:r>
    </w:p>
    <w:p w14:paraId="59E0FCA5" w14:textId="11E4419C" w:rsidR="007A40AC" w:rsidRPr="00C65FBB" w:rsidRDefault="007A40AC" w:rsidP="008028C6">
      <w:pPr>
        <w:pStyle w:val="3-BodyText"/>
      </w:pPr>
      <w:r w:rsidRPr="00C65FBB">
        <w:t xml:space="preserve">The approach to modelling OS was changed as ESC previously raised several concerns regarding the approach utilised in the previous submission (paragraph 6.67, omaveloxolone PSD, March 2025 PBAC meeting). In the previous submission, OS data from the EFACTS registry was extrapolated and adjusted for general population </w:t>
      </w:r>
      <w:r w:rsidRPr="00C65FBB">
        <w:lastRenderedPageBreak/>
        <w:t xml:space="preserve">mortality using the competing risks approach. </w:t>
      </w:r>
      <w:r w:rsidR="00F47382" w:rsidRPr="00C65FBB">
        <w:t>In March 2025, t</w:t>
      </w:r>
      <w:r w:rsidRPr="00C65FBB">
        <w:t>he ESC noted that the unadjusted OS curves resulted in better survival rates at older ages compared to the general population which was not plausible</w:t>
      </w:r>
      <w:r w:rsidR="00C76A5E" w:rsidRPr="00C65FBB">
        <w:t xml:space="preserve"> and that</w:t>
      </w:r>
      <w:r w:rsidRPr="00C65FBB">
        <w:t xml:space="preserve"> the use of the competing risks approach was not appropriate as most patients would die of FA</w:t>
      </w:r>
      <w:r w:rsidR="00E91F80" w:rsidRPr="00C65FBB">
        <w:t xml:space="preserve">. </w:t>
      </w:r>
      <w:r w:rsidR="00EC19D7" w:rsidRPr="00C65FBB">
        <w:t>Further</w:t>
      </w:r>
      <w:r w:rsidR="00E91F80" w:rsidRPr="00C65FBB">
        <w:t xml:space="preserve">, the adjusted OS curves resulted in a mean life expectancy of 64 years in the BSC arm, which </w:t>
      </w:r>
      <w:r w:rsidR="00C76A5E" w:rsidRPr="00C65FBB">
        <w:t>was noted to be</w:t>
      </w:r>
      <w:r w:rsidR="00E91F80" w:rsidRPr="00C65FBB">
        <w:t xml:space="preserve"> inconsistent with published literature </w:t>
      </w:r>
      <w:r w:rsidR="00A30C65" w:rsidRPr="00C65FBB">
        <w:t xml:space="preserve">which </w:t>
      </w:r>
      <w:r w:rsidR="00E91F80" w:rsidRPr="00C65FBB">
        <w:t>report</w:t>
      </w:r>
      <w:r w:rsidR="00A30C65" w:rsidRPr="00C65FBB">
        <w:t>ed</w:t>
      </w:r>
      <w:r w:rsidR="00E91F80" w:rsidRPr="00C65FBB">
        <w:t xml:space="preserve"> a shorter life expectancy of</w:t>
      </w:r>
      <w:r w:rsidR="00C76A5E" w:rsidRPr="00C65FBB">
        <w:t xml:space="preserve"> </w:t>
      </w:r>
      <w:r w:rsidR="00E91F80" w:rsidRPr="00C65FBB">
        <w:t>35</w:t>
      </w:r>
      <w:r w:rsidR="00A30C65" w:rsidRPr="00C65FBB">
        <w:t xml:space="preserve"> to </w:t>
      </w:r>
      <w:r w:rsidR="00E91F80" w:rsidRPr="00C65FBB">
        <w:t xml:space="preserve">40 years for patients with FA. </w:t>
      </w:r>
      <w:r w:rsidRPr="00C65FBB">
        <w:t>In the resubmission, mortality risk was determined directly by applying hazard ratios (HRs) for FA, sourced from Indelicato et. al.</w:t>
      </w:r>
      <w:r w:rsidRPr="00C65FBB">
        <w:rPr>
          <w:rStyle w:val="FootnoteReference"/>
        </w:rPr>
        <w:footnoteReference w:id="10"/>
      </w:r>
      <w:r w:rsidRPr="00C65FBB">
        <w:t>, to general population mortality curves for each age of onset cohort. A HR of 2.01, assumed to increase by a factor of 2.01 with each disability stage, was applied to general population mortality curves, adjusted for the proportion of males (54%) in the Indelicato study.</w:t>
      </w:r>
      <w:r w:rsidR="00202AE4">
        <w:t xml:space="preserve"> </w:t>
      </w:r>
      <w:r w:rsidRPr="00C65FBB">
        <w:t xml:space="preserve">It was assumed that patients in disability stage 1 would have survival rates equal to that of the general population which </w:t>
      </w:r>
      <w:r w:rsidR="006C7BDF">
        <w:t xml:space="preserve">the evaluation considered </w:t>
      </w:r>
      <w:r w:rsidRPr="00C65FBB">
        <w:t xml:space="preserve">was reasonable. </w:t>
      </w:r>
    </w:p>
    <w:p w14:paraId="2749264D" w14:textId="1456BB01" w:rsidR="007A40AC" w:rsidRPr="00C65FBB" w:rsidRDefault="007A40AC" w:rsidP="008028C6">
      <w:pPr>
        <w:pStyle w:val="3-BodyText"/>
      </w:pPr>
      <w:r w:rsidRPr="00C65FBB">
        <w:t xml:space="preserve">Survival by disability stage was then linked to mFARS score ranges (in increments of 10) by calculating the HR for each mFARS score range based on the distribution of patients by mFARS score in each disease ataxia stage. This was done by cross-walking disability stages with disease ataxia stages and was reasonable. The resulting HRs for each disease ataxia stage were then applied to the mortality curves by age of onset, adjusted for the starting age of each cohort (16 in the ≤ 7 years old and 8 – 14 years old cohorts, 25 in the 15 – 24 years old cohort and 49 in the </w:t>
      </w:r>
      <w:r w:rsidR="00202AE4">
        <w:t xml:space="preserve">&gt; </w:t>
      </w:r>
      <w:r w:rsidRPr="00C65FBB">
        <w:t xml:space="preserve">24 years old cohort) to generate the survival curves by mFARS score for each cohort. </w:t>
      </w:r>
    </w:p>
    <w:p w14:paraId="3C4F2214" w14:textId="419090C8" w:rsidR="007A40AC" w:rsidRPr="00C65FBB" w:rsidRDefault="007A40AC" w:rsidP="008028C6">
      <w:pPr>
        <w:pStyle w:val="3-BodyText"/>
      </w:pPr>
      <w:r w:rsidRPr="00C65FBB">
        <w:t xml:space="preserve">Since omaveloxolone treatment only slows the progression of disease and does not directly impact survival, the resulting survival gain between the two arms was not substantial. The modelled survival for patients in the omaveloxolone + BSC arm was 27.8 years and 26.6 years for patients in the BSC arm (compared to 44.2 years and 42.6 years in the previous submission). The </w:t>
      </w:r>
      <w:r w:rsidR="00595AB3" w:rsidRPr="00C65FBB">
        <w:t xml:space="preserve">ESC considered that the </w:t>
      </w:r>
      <w:r w:rsidRPr="00C65FBB">
        <w:t>approach utilised in the resubmission resulted in more plausible survival curves and substantially reduced the uncertainty in modelled mortality compared to the previous submission. However, the HRs for mortality due to FA, by disease stage, applied to the general population mortality curves were based on a prospective cohort study</w:t>
      </w:r>
      <w:r w:rsidRPr="00C65FBB">
        <w:rPr>
          <w:vertAlign w:val="superscript"/>
        </w:rPr>
        <w:t xml:space="preserve">7 </w:t>
      </w:r>
      <w:r w:rsidRPr="00C65FBB">
        <w:t xml:space="preserve">in which the median baseline age of participants was 31 years old. In the modelled population, 71.4% of patients (patients in the </w:t>
      </w:r>
      <w:r w:rsidRPr="00C65FBB">
        <w:rPr>
          <w:rFonts w:cs="Calibri"/>
        </w:rPr>
        <w:t>≤</w:t>
      </w:r>
      <w:r w:rsidRPr="00C65FBB">
        <w:t xml:space="preserve"> 7 years old cohort and 8-14 years old cohort) entered the model at 16 years of age. Thus, it was unclear whether the HRs derived from this cohort of patients would be applicable to the modelled population. </w:t>
      </w:r>
    </w:p>
    <w:p w14:paraId="42DB2565" w14:textId="17918C60" w:rsidR="007A40AC" w:rsidRPr="00C65FBB" w:rsidRDefault="007A40AC" w:rsidP="008028C6">
      <w:pPr>
        <w:pStyle w:val="3-BodyText"/>
      </w:pPr>
      <w:r w:rsidRPr="00C65FBB">
        <w:t xml:space="preserve">A comparison of the survival curves between the resubmission and the previous submission, for each age of onset cohort in the omaveloxolone + BSC arm, is presented in </w:t>
      </w:r>
      <w:r w:rsidRPr="00C65FBB">
        <w:fldChar w:fldCharType="begin" w:fldLock="1"/>
      </w:r>
      <w:r w:rsidRPr="00C65FBB">
        <w:instrText xml:space="preserve"> REF _Ref207535636 \h </w:instrText>
      </w:r>
      <w:r w:rsidR="00BF0410" w:rsidRPr="00C65FBB">
        <w:instrText xml:space="preserve"> \* MERGEFORMAT </w:instrText>
      </w:r>
      <w:r w:rsidRPr="00C65FBB">
        <w:fldChar w:fldCharType="separate"/>
      </w:r>
      <w:r w:rsidR="00E056AF" w:rsidRPr="00AB0640">
        <w:t xml:space="preserve">Figure </w:t>
      </w:r>
      <w:r w:rsidR="00E056AF">
        <w:t>3</w:t>
      </w:r>
      <w:r w:rsidRPr="00C65FBB">
        <w:fldChar w:fldCharType="end"/>
      </w:r>
      <w:r w:rsidRPr="00C65FBB">
        <w:t xml:space="preserve">. </w:t>
      </w:r>
    </w:p>
    <w:p w14:paraId="6C365C25" w14:textId="47544906" w:rsidR="007A40AC" w:rsidRPr="00AB0640" w:rsidRDefault="007A40AC" w:rsidP="008028C6">
      <w:pPr>
        <w:pStyle w:val="Caption"/>
      </w:pPr>
      <w:bookmarkStart w:id="47" w:name="_Ref207535636"/>
      <w:r w:rsidRPr="00AB0640">
        <w:lastRenderedPageBreak/>
        <w:t xml:space="preserve">Figure </w:t>
      </w:r>
      <w:r w:rsidR="00E056AF">
        <w:fldChar w:fldCharType="begin" w:fldLock="1"/>
      </w:r>
      <w:r w:rsidR="00E056AF">
        <w:instrText xml:space="preserve"> SEQ Figure \* ARABIC </w:instrText>
      </w:r>
      <w:r w:rsidR="00E056AF">
        <w:fldChar w:fldCharType="separate"/>
      </w:r>
      <w:r w:rsidR="00E056AF">
        <w:rPr>
          <w:noProof/>
        </w:rPr>
        <w:t>3</w:t>
      </w:r>
      <w:r w:rsidR="00E056AF">
        <w:rPr>
          <w:noProof/>
        </w:rPr>
        <w:fldChar w:fldCharType="end"/>
      </w:r>
      <w:bookmarkEnd w:id="47"/>
      <w:r w:rsidRPr="00AB0640">
        <w:t xml:space="preserve">: Comparison of modelled OS curves from the resubmission and previous submission for age of onset cohorts (omaveloxolone + BSC arm) </w:t>
      </w:r>
    </w:p>
    <w:p w14:paraId="7C79EA14" w14:textId="612332EF" w:rsidR="007A40AC" w:rsidRPr="00AB0640" w:rsidRDefault="007A40AC" w:rsidP="008028C6">
      <w:pPr>
        <w:pStyle w:val="3-BodyText"/>
        <w:numPr>
          <w:ilvl w:val="0"/>
          <w:numId w:val="0"/>
        </w:numPr>
        <w:ind w:left="720" w:hanging="720"/>
        <w:jc w:val="left"/>
        <w:rPr>
          <w:i/>
          <w:iCs/>
        </w:rPr>
      </w:pPr>
      <w:r w:rsidRPr="00AB0640">
        <w:rPr>
          <w:i/>
          <w:iCs/>
          <w:noProof/>
        </w:rPr>
        <w:drawing>
          <wp:inline distT="0" distB="0" distL="0" distR="0" wp14:anchorId="66880985" wp14:editId="6950D207">
            <wp:extent cx="4619625" cy="3071813"/>
            <wp:effectExtent l="0" t="0" r="0" b="0"/>
            <wp:docPr id="1082502502" name="Picture 4" descr="Figure 3: Comparison of modelled OS curves from the resubmission and previous submission for age of onset cohorts (omaveloxolone + BSC ar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502502" name="Picture 4" descr="Figure 3: Comparison of modelled OS curves from the resubmission and previous submission for age of onset cohorts (omaveloxolone + BSC arm) "/>
                    <pic:cNvPicPr/>
                  </pic:nvPicPr>
                  <pic:blipFill>
                    <a:blip r:embed="rId13"/>
                    <a:stretch>
                      <a:fillRect/>
                    </a:stretch>
                  </pic:blipFill>
                  <pic:spPr>
                    <a:xfrm>
                      <a:off x="0" y="0"/>
                      <a:ext cx="4635435" cy="3082326"/>
                    </a:xfrm>
                    <a:prstGeom prst="rect">
                      <a:avLst/>
                    </a:prstGeom>
                  </pic:spPr>
                </pic:pic>
              </a:graphicData>
            </a:graphic>
          </wp:inline>
        </w:drawing>
      </w:r>
      <w:r w:rsidR="00202AE4">
        <w:rPr>
          <w:i/>
          <w:iCs/>
        </w:rPr>
        <w:t xml:space="preserve"> </w:t>
      </w:r>
    </w:p>
    <w:p w14:paraId="6C15FE2B" w14:textId="00B34FAA" w:rsidR="007A40AC" w:rsidRPr="00AB0640" w:rsidRDefault="007A40AC" w:rsidP="008028C6">
      <w:pPr>
        <w:pStyle w:val="TableFigureFooter"/>
      </w:pPr>
      <w:r w:rsidRPr="00C65FBB">
        <w:t>Source: constructed during the evaluation, from the “Attachment 9 – Cost utility analysis (CUA) workbook (Section 3)” workbook included in</w:t>
      </w:r>
      <w:r w:rsidRPr="00AB0640">
        <w:t xml:space="preserve"> the </w:t>
      </w:r>
      <w:r w:rsidR="0021788B" w:rsidRPr="00AB0640">
        <w:t>re</w:t>
      </w:r>
      <w:r w:rsidRPr="00AB0640">
        <w:t>submission (July 2025) and the</w:t>
      </w:r>
      <w:r w:rsidRPr="00AB0640">
        <w:rPr>
          <w:i/>
          <w:iCs/>
        </w:rPr>
        <w:t xml:space="preserve"> </w:t>
      </w:r>
      <w:r w:rsidRPr="00AB0640">
        <w:t>“Attachment 10 - Cost utility analysis (CUA) workbook (Section 3)” attachment provided with the submission (November 2024).</w:t>
      </w:r>
    </w:p>
    <w:p w14:paraId="22C4B008" w14:textId="43CA4D5C" w:rsidR="007A40AC" w:rsidRPr="00C65FBB" w:rsidRDefault="007A40AC" w:rsidP="008028C6">
      <w:pPr>
        <w:pStyle w:val="3-BodyText"/>
      </w:pPr>
      <w:bookmarkStart w:id="48" w:name="_Ref104805122"/>
      <w:r w:rsidRPr="00C65FBB">
        <w:t>The previous submission estimated utility values based on a linear regression model as the MOXIe extension trial did not capture quality of life data. Five data points, with an EQ-5D range of 0.53</w:t>
      </w:r>
      <w:r w:rsidR="00A30C65" w:rsidRPr="00C65FBB">
        <w:t xml:space="preserve"> to </w:t>
      </w:r>
      <w:r w:rsidRPr="00C65FBB">
        <w:t>0.59 and mFARS range of 55</w:t>
      </w:r>
      <w:r w:rsidR="00A30C65" w:rsidRPr="00C65FBB">
        <w:t xml:space="preserve"> to </w:t>
      </w:r>
      <w:r w:rsidRPr="00C65FBB">
        <w:t xml:space="preserve">61, were utilised to inform the regression model. </w:t>
      </w:r>
      <w:r w:rsidR="00F47382" w:rsidRPr="00C65FBB">
        <w:t>In March 2025, t</w:t>
      </w:r>
      <w:r w:rsidRPr="00C65FBB">
        <w:t>he ESC noted that the five data points were insufficient to relate mFARS scores to utility values for the full range of utility values applied in the economic model (paragraph 6.68, omaveloxolone PSD, March 2025 PBAC meeting). Therefore, the resubmission presented results from a vignette-based time trade-off (TTO) utility study which estimated the utility weights of patients across all ranges of mFARS scores (0-93) as. The study included 5 health state vignettes, (based on mFARS ranges of 0-19, 20-39, 40-59, 60-79 and 80-93). The description of each health state was based on a review of published literature and ADL scores and was further refined based on clinician input. The mFARS 80-93 health state was valued worse than death by all participants in the TTO study (utility value = -0.18).</w:t>
      </w:r>
      <w:r w:rsidR="00202AE4">
        <w:t xml:space="preserve"> </w:t>
      </w:r>
      <w:r w:rsidR="00012406">
        <w:t>T</w:t>
      </w:r>
      <w:r w:rsidR="00012406" w:rsidRPr="00C65FBB">
        <w:t xml:space="preserve">he </w:t>
      </w:r>
      <w:r w:rsidR="00005025" w:rsidRPr="00C65FBB">
        <w:t xml:space="preserve">ESC considered that the </w:t>
      </w:r>
      <w:r w:rsidRPr="00C65FBB">
        <w:t>values applied in the base case analysis appear</w:t>
      </w:r>
      <w:r w:rsidR="00005025" w:rsidRPr="00C65FBB">
        <w:t>ed</w:t>
      </w:r>
      <w:r w:rsidRPr="00C65FBB">
        <w:t xml:space="preserve"> to reasonable</w:t>
      </w:r>
      <w:r w:rsidR="00012406">
        <w:t xml:space="preserve"> in the absence of alternative </w:t>
      </w:r>
      <w:r w:rsidR="00012406" w:rsidRPr="00C65FBB">
        <w:t>utility values for the full range of mFARS scores</w:t>
      </w:r>
      <w:r w:rsidRPr="00C65FBB">
        <w:t xml:space="preserve">. The resubmission did not include any disutilities in the economic model, which, given the low incidence of AEs in the trial, was </w:t>
      </w:r>
      <w:r w:rsidR="00005025" w:rsidRPr="00C65FBB">
        <w:t xml:space="preserve">also </w:t>
      </w:r>
      <w:r w:rsidRPr="00C65FBB">
        <w:t>reasonable.</w:t>
      </w:r>
    </w:p>
    <w:p w14:paraId="6EA1F8D9" w14:textId="71323629" w:rsidR="007A40AC" w:rsidRPr="00AB0640" w:rsidRDefault="007A40AC" w:rsidP="008028C6">
      <w:pPr>
        <w:pStyle w:val="3-BodyText"/>
      </w:pPr>
      <w:r w:rsidRPr="00AB0640">
        <w:t>The economic model again included costs associated with omaveloxolone acquisition, medical appointments, hospitalisation, medical devices and aids (wheelchairs, electric beds, specialised mattresses), home modifications, AE management and carers. Utilisation was mainly based on clinician feedback.</w:t>
      </w:r>
      <w:r w:rsidR="00202AE4">
        <w:t xml:space="preserve"> </w:t>
      </w:r>
      <w:r w:rsidRPr="00AB0640">
        <w:t xml:space="preserve">While the inclusion of these costs </w:t>
      </w:r>
      <w:r w:rsidRPr="00AB0640">
        <w:lastRenderedPageBreak/>
        <w:t>(other than drug costs), were not model drivers, the inclusion of carer and certain medical aids (such as walkers, wheelchairs, specialised mattress and electric beds) and home modification costs was not reasonable in the base case analysis as the PBAC guidelines specify to only include direct medical costs.</w:t>
      </w:r>
    </w:p>
    <w:p w14:paraId="56D483C8" w14:textId="2E975091" w:rsidR="007A40AC" w:rsidRPr="00AB0640" w:rsidRDefault="007A40AC" w:rsidP="008028C6">
      <w:pPr>
        <w:pStyle w:val="3-BodyText"/>
      </w:pPr>
      <w:r w:rsidRPr="00AB0640">
        <w:t>The key drivers of the economic model are presented in</w:t>
      </w:r>
      <w:r w:rsidRPr="00AB0640">
        <w:rPr>
          <w:rFonts w:ascii="Arial Narrow" w:hAnsi="Arial Narrow"/>
          <w:sz w:val="20"/>
          <w:szCs w:val="24"/>
        </w:rPr>
        <w:t xml:space="preserve"> </w:t>
      </w:r>
      <w:r w:rsidRPr="00AB0640">
        <w:rPr>
          <w:rFonts w:ascii="Arial Narrow" w:hAnsi="Arial Narrow"/>
          <w:sz w:val="20"/>
          <w:szCs w:val="24"/>
        </w:rPr>
        <w:fldChar w:fldCharType="begin" w:fldLock="1"/>
      </w:r>
      <w:r w:rsidRPr="00AB0640">
        <w:rPr>
          <w:rFonts w:ascii="Arial Narrow" w:hAnsi="Arial Narrow"/>
          <w:sz w:val="20"/>
          <w:szCs w:val="24"/>
        </w:rPr>
        <w:instrText xml:space="preserve"> REF _Ref207540263 \h </w:instrText>
      </w:r>
      <w:r w:rsidR="00BF0410" w:rsidRPr="00AB0640">
        <w:rPr>
          <w:rFonts w:ascii="Arial Narrow" w:hAnsi="Arial Narrow"/>
          <w:sz w:val="20"/>
          <w:szCs w:val="24"/>
        </w:rPr>
        <w:instrText xml:space="preserve"> \* MERGEFORMAT </w:instrText>
      </w:r>
      <w:r w:rsidRPr="00AB0640">
        <w:rPr>
          <w:rFonts w:ascii="Arial Narrow" w:hAnsi="Arial Narrow"/>
          <w:sz w:val="20"/>
          <w:szCs w:val="24"/>
        </w:rPr>
      </w:r>
      <w:r w:rsidRPr="00AB0640">
        <w:rPr>
          <w:rFonts w:ascii="Arial Narrow" w:hAnsi="Arial Narrow"/>
          <w:sz w:val="20"/>
          <w:szCs w:val="24"/>
        </w:rPr>
        <w:fldChar w:fldCharType="separate"/>
      </w:r>
      <w:r w:rsidR="00E056AF" w:rsidRPr="00AB0640">
        <w:t xml:space="preserve">Table </w:t>
      </w:r>
      <w:r w:rsidR="00E056AF">
        <w:t>13</w:t>
      </w:r>
      <w:r w:rsidRPr="00AB0640">
        <w:rPr>
          <w:rFonts w:ascii="Arial Narrow" w:hAnsi="Arial Narrow"/>
          <w:sz w:val="20"/>
          <w:szCs w:val="24"/>
        </w:rPr>
        <w:fldChar w:fldCharType="end"/>
      </w:r>
      <w:r w:rsidRPr="00AB0640">
        <w:rPr>
          <w:rFonts w:ascii="Arial Narrow" w:hAnsi="Arial Narrow"/>
          <w:sz w:val="20"/>
          <w:szCs w:val="24"/>
        </w:rPr>
        <w:t>.</w:t>
      </w:r>
      <w:r w:rsidR="00202AE4">
        <w:rPr>
          <w:rFonts w:ascii="Arial Narrow" w:hAnsi="Arial Narrow"/>
          <w:sz w:val="20"/>
          <w:szCs w:val="24"/>
        </w:rPr>
        <w:t xml:space="preserve"> </w:t>
      </w:r>
    </w:p>
    <w:p w14:paraId="31D07FAD" w14:textId="35BEE0CA" w:rsidR="007A40AC" w:rsidRPr="00AB0640" w:rsidRDefault="007A40AC" w:rsidP="008028C6">
      <w:pPr>
        <w:pStyle w:val="Caption"/>
        <w:rPr>
          <w:rStyle w:val="CommentReference"/>
          <w:szCs w:val="24"/>
        </w:rPr>
      </w:pPr>
      <w:r w:rsidRPr="00AB0640">
        <w:rPr>
          <w:rFonts w:eastAsiaTheme="minorHAnsi"/>
        </w:rPr>
        <w:t xml:space="preserve"> </w:t>
      </w:r>
      <w:bookmarkStart w:id="49" w:name="_Ref207540263"/>
      <w:r w:rsidRPr="00AB0640">
        <w:t xml:space="preserve">Table </w:t>
      </w:r>
      <w:r w:rsidR="00E056AF">
        <w:fldChar w:fldCharType="begin" w:fldLock="1"/>
      </w:r>
      <w:r w:rsidR="00E056AF">
        <w:instrText xml:space="preserve"> SEQ Table \* ARABIC </w:instrText>
      </w:r>
      <w:r w:rsidR="00E056AF">
        <w:fldChar w:fldCharType="separate"/>
      </w:r>
      <w:r w:rsidR="00E056AF">
        <w:rPr>
          <w:noProof/>
        </w:rPr>
        <w:t>13</w:t>
      </w:r>
      <w:r w:rsidR="00E056AF">
        <w:rPr>
          <w:noProof/>
        </w:rPr>
        <w:fldChar w:fldCharType="end"/>
      </w:r>
      <w:bookmarkEnd w:id="48"/>
      <w:bookmarkEnd w:id="49"/>
      <w:r w:rsidRPr="00AB0640">
        <w:t>:</w:t>
      </w:r>
      <w:r w:rsidRPr="00AB0640">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 Table 13: Key drivers of the model"/>
      </w:tblPr>
      <w:tblGrid>
        <w:gridCol w:w="1315"/>
        <w:gridCol w:w="4321"/>
        <w:gridCol w:w="3381"/>
      </w:tblGrid>
      <w:tr w:rsidR="007A40AC" w:rsidRPr="00AB0640" w14:paraId="325656E4" w14:textId="77777777" w:rsidTr="4974B17B">
        <w:trPr>
          <w:tblHeader/>
        </w:trPr>
        <w:tc>
          <w:tcPr>
            <w:tcW w:w="729" w:type="pct"/>
            <w:vAlign w:val="center"/>
          </w:tcPr>
          <w:p w14:paraId="26BED888" w14:textId="77777777" w:rsidR="007A40AC" w:rsidRPr="00AB0640" w:rsidRDefault="007A40AC" w:rsidP="008028C6">
            <w:pPr>
              <w:pStyle w:val="In-tableHeading"/>
              <w:jc w:val="center"/>
              <w:rPr>
                <w:lang w:val="en-AU"/>
              </w:rPr>
            </w:pPr>
            <w:r w:rsidRPr="00AB0640">
              <w:rPr>
                <w:lang w:val="en-AU"/>
              </w:rPr>
              <w:t>Description</w:t>
            </w:r>
          </w:p>
        </w:tc>
        <w:tc>
          <w:tcPr>
            <w:tcW w:w="2396" w:type="pct"/>
            <w:vAlign w:val="center"/>
          </w:tcPr>
          <w:p w14:paraId="0285943B" w14:textId="77777777" w:rsidR="007A40AC" w:rsidRPr="00AB0640" w:rsidRDefault="007A40AC" w:rsidP="008028C6">
            <w:pPr>
              <w:pStyle w:val="In-tableHeading"/>
              <w:jc w:val="center"/>
              <w:rPr>
                <w:lang w:val="en-AU"/>
              </w:rPr>
            </w:pPr>
            <w:r w:rsidRPr="00AB0640">
              <w:rPr>
                <w:lang w:val="en-AU"/>
              </w:rPr>
              <w:t>Method/Value</w:t>
            </w:r>
          </w:p>
        </w:tc>
        <w:tc>
          <w:tcPr>
            <w:tcW w:w="1875" w:type="pct"/>
            <w:vAlign w:val="center"/>
          </w:tcPr>
          <w:p w14:paraId="59943F19" w14:textId="05081DEF" w:rsidR="007A40AC" w:rsidRPr="00AB0640" w:rsidRDefault="007A40AC" w:rsidP="008028C6">
            <w:pPr>
              <w:pStyle w:val="In-tableHeading"/>
              <w:jc w:val="center"/>
              <w:rPr>
                <w:lang w:val="en-AU"/>
              </w:rPr>
            </w:pPr>
            <w:r w:rsidRPr="00AB0640">
              <w:rPr>
                <w:lang w:val="en-AU"/>
              </w:rPr>
              <w:t>Impact</w:t>
            </w:r>
          </w:p>
          <w:p w14:paraId="27458D9C" w14:textId="7F2670FB" w:rsidR="007A40AC" w:rsidRPr="00AB0640" w:rsidRDefault="007A40AC" w:rsidP="008028C6">
            <w:pPr>
              <w:pStyle w:val="In-tableHeading"/>
              <w:jc w:val="both"/>
              <w:rPr>
                <w:b w:val="0"/>
                <w:lang w:val="en-AU"/>
              </w:rPr>
            </w:pPr>
            <w:r w:rsidRPr="00AB0640">
              <w:rPr>
                <w:rFonts w:cs="Arial"/>
                <w:b w:val="0"/>
                <w:szCs w:val="20"/>
                <w:lang w:val="en-AU"/>
              </w:rPr>
              <w:t>Base case: $</w:t>
            </w:r>
            <w:r w:rsidR="001F43CD" w:rsidRPr="001F43CD">
              <w:rPr>
                <w:rFonts w:cs="Arial"/>
                <w:b w:val="0"/>
                <w:highlight w:val="black"/>
                <w:lang w:val="en-AU"/>
              </w:rPr>
              <w:t>@@@@</w:t>
            </w:r>
            <w:r w:rsidR="0014338E">
              <w:rPr>
                <w:rFonts w:cs="Arial"/>
                <w:b w:val="0"/>
                <w:vertAlign w:val="superscript"/>
                <w:lang w:val="en-AU"/>
              </w:rPr>
              <w:t>1</w:t>
            </w:r>
            <w:r w:rsidR="2D869F89" w:rsidRPr="00AB0640">
              <w:rPr>
                <w:rFonts w:cs="Arial"/>
                <w:b w:val="0"/>
                <w:szCs w:val="20"/>
                <w:lang w:val="en-AU"/>
              </w:rPr>
              <w:t xml:space="preserve"> per </w:t>
            </w:r>
            <w:r w:rsidRPr="00AB0640">
              <w:rPr>
                <w:rFonts w:cs="Arial"/>
                <w:b w:val="0"/>
                <w:szCs w:val="20"/>
                <w:lang w:val="en-AU"/>
              </w:rPr>
              <w:t>QALY gained</w:t>
            </w:r>
            <w:r w:rsidRPr="00AB0640">
              <w:rPr>
                <w:rFonts w:cs="Arial"/>
                <w:b w:val="0"/>
                <w:color w:val="3366FF"/>
                <w:szCs w:val="20"/>
                <w:lang w:val="en-AU"/>
              </w:rPr>
              <w:t>.</w:t>
            </w:r>
          </w:p>
        </w:tc>
      </w:tr>
      <w:tr w:rsidR="007A40AC" w:rsidRPr="00AB0640" w14:paraId="1237050A" w14:textId="77777777" w:rsidTr="4974B17B">
        <w:tc>
          <w:tcPr>
            <w:tcW w:w="729" w:type="pct"/>
            <w:vAlign w:val="center"/>
          </w:tcPr>
          <w:p w14:paraId="35502BAA" w14:textId="77777777" w:rsidR="007A40AC" w:rsidRPr="00AB0640" w:rsidRDefault="007A40AC" w:rsidP="008028C6">
            <w:pPr>
              <w:pStyle w:val="TableText0"/>
            </w:pPr>
            <w:r w:rsidRPr="00AB0640">
              <w:t xml:space="preserve">Treatment effect </w:t>
            </w:r>
          </w:p>
        </w:tc>
        <w:tc>
          <w:tcPr>
            <w:tcW w:w="2396" w:type="pct"/>
            <w:vAlign w:val="center"/>
          </w:tcPr>
          <w:p w14:paraId="5FA7F37F" w14:textId="77777777" w:rsidR="007A40AC" w:rsidRPr="00AB0640" w:rsidRDefault="007A40AC" w:rsidP="008028C6">
            <w:pPr>
              <w:pStyle w:val="TableText0"/>
            </w:pPr>
            <w:r w:rsidRPr="00AB0640">
              <w:t xml:space="preserve">A rate ratio of 0.454, calculated from the cumulative change in mFARS score over the first 3 years of treatment, was applied in the base case analysis. </w:t>
            </w:r>
          </w:p>
          <w:p w14:paraId="493527B4" w14:textId="77777777" w:rsidR="007A40AC" w:rsidRPr="00AB0640" w:rsidRDefault="007A40AC" w:rsidP="008028C6">
            <w:pPr>
              <w:pStyle w:val="TableText0"/>
            </w:pPr>
            <w:r w:rsidRPr="00AB0640">
              <w:t xml:space="preserve">It may have been more appropriate to apply rate ratios for each of the first 3 years and then extrapolate the rate ratio calculated in Year 3 over the lifetime of the model. </w:t>
            </w:r>
          </w:p>
        </w:tc>
        <w:tc>
          <w:tcPr>
            <w:tcW w:w="1875" w:type="pct"/>
            <w:vAlign w:val="center"/>
          </w:tcPr>
          <w:p w14:paraId="1740F2B2" w14:textId="77777777" w:rsidR="007A40AC" w:rsidRPr="00AB0640" w:rsidRDefault="007A40AC" w:rsidP="008028C6">
            <w:pPr>
              <w:pStyle w:val="TableText0"/>
            </w:pPr>
            <w:r w:rsidRPr="00AB0640">
              <w:t xml:space="preserve">High, favours omaveloxolone. </w:t>
            </w:r>
          </w:p>
          <w:p w14:paraId="31AB4306" w14:textId="080D752F" w:rsidR="007A40AC" w:rsidRPr="00AB0640" w:rsidRDefault="007A40AC" w:rsidP="008028C6">
            <w:pPr>
              <w:pStyle w:val="TableText0"/>
            </w:pPr>
            <w:r w:rsidRPr="00AB0640">
              <w:t xml:space="preserve">When rate ratios for Years 1-3 were calculated and applied, the ICER increased by </w:t>
            </w:r>
            <w:r w:rsidR="001F43CD" w:rsidRPr="001F43CD">
              <w:rPr>
                <w:highlight w:val="black"/>
              </w:rPr>
              <w:t>@@@@</w:t>
            </w:r>
            <w:r w:rsidRPr="00AB0640">
              <w:t>% to $</w:t>
            </w:r>
            <w:r w:rsidR="001F43CD" w:rsidRPr="001F43CD">
              <w:rPr>
                <w:highlight w:val="black"/>
              </w:rPr>
              <w:t>@@@@</w:t>
            </w:r>
            <w:r w:rsidR="00E53A7C">
              <w:rPr>
                <w:rFonts w:cs="Arial"/>
                <w:b/>
                <w:vertAlign w:val="superscript"/>
              </w:rPr>
              <w:t>1</w:t>
            </w:r>
            <w:r w:rsidR="00FB1E73" w:rsidRPr="00AB0640">
              <w:t xml:space="preserve"> per </w:t>
            </w:r>
            <w:r w:rsidRPr="00AB0640">
              <w:t xml:space="preserve">QALY. </w:t>
            </w:r>
          </w:p>
        </w:tc>
      </w:tr>
      <w:tr w:rsidR="007A40AC" w:rsidRPr="00AB0640" w14:paraId="440D32AA" w14:textId="77777777" w:rsidTr="4974B17B">
        <w:tc>
          <w:tcPr>
            <w:tcW w:w="729" w:type="pct"/>
            <w:vAlign w:val="center"/>
          </w:tcPr>
          <w:p w14:paraId="63C90B86" w14:textId="77777777" w:rsidR="007A40AC" w:rsidRPr="00AB0640" w:rsidRDefault="007A40AC" w:rsidP="008028C6">
            <w:pPr>
              <w:pStyle w:val="TableText0"/>
            </w:pPr>
            <w:r w:rsidRPr="00AB0640">
              <w:t>Treatment effect waning</w:t>
            </w:r>
          </w:p>
        </w:tc>
        <w:tc>
          <w:tcPr>
            <w:tcW w:w="2396" w:type="pct"/>
            <w:vAlign w:val="center"/>
          </w:tcPr>
          <w:p w14:paraId="32CC0B0B" w14:textId="7FE6C4AD" w:rsidR="007A40AC" w:rsidRPr="00AB0640" w:rsidRDefault="007A40AC" w:rsidP="008028C6">
            <w:pPr>
              <w:pStyle w:val="TableText0"/>
            </w:pPr>
            <w:r w:rsidRPr="00AB0640">
              <w:t xml:space="preserve">The </w:t>
            </w:r>
            <w:r w:rsidR="0021788B" w:rsidRPr="00AB0640">
              <w:t>re</w:t>
            </w:r>
            <w:r w:rsidRPr="00AB0640">
              <w:t>submission assumed no treatment effect waning whilst patients remained on treatment (mean treatment duration in the model was 13 years). This was not justified. No evidence of treatment effect maintenance was provided beyond 4 years of the MOXIe extension trial.</w:t>
            </w:r>
          </w:p>
        </w:tc>
        <w:tc>
          <w:tcPr>
            <w:tcW w:w="1875" w:type="pct"/>
            <w:vAlign w:val="center"/>
          </w:tcPr>
          <w:p w14:paraId="58D06608" w14:textId="77777777" w:rsidR="007A40AC" w:rsidRPr="00AB0640" w:rsidRDefault="007A40AC" w:rsidP="008028C6">
            <w:pPr>
              <w:pStyle w:val="TableText0"/>
            </w:pPr>
            <w:r w:rsidRPr="00AB0640">
              <w:t xml:space="preserve">High, favours omaveloxolone </w:t>
            </w:r>
          </w:p>
          <w:p w14:paraId="39CB3717" w14:textId="6AD5E884" w:rsidR="007A40AC" w:rsidRPr="00AB0640" w:rsidRDefault="007A40AC" w:rsidP="008028C6">
            <w:pPr>
              <w:pStyle w:val="TableText0"/>
            </w:pPr>
            <w:r w:rsidRPr="00AB0640">
              <w:t>When treatment waning is incorporated from Year 4 to 18, the ICER increases to $</w:t>
            </w:r>
            <w:r w:rsidR="001F43CD" w:rsidRPr="001F43CD">
              <w:rPr>
                <w:highlight w:val="black"/>
              </w:rPr>
              <w:t>@@@@</w:t>
            </w:r>
            <w:r w:rsidR="00E53A7C">
              <w:rPr>
                <w:rFonts w:cs="Arial"/>
                <w:b/>
                <w:vertAlign w:val="superscript"/>
              </w:rPr>
              <w:t>1</w:t>
            </w:r>
            <w:r w:rsidR="00FB1E73" w:rsidRPr="00AB0640">
              <w:t xml:space="preserve"> per </w:t>
            </w:r>
            <w:r w:rsidRPr="00AB0640">
              <w:t>QALY.</w:t>
            </w:r>
          </w:p>
        </w:tc>
      </w:tr>
      <w:tr w:rsidR="007A40AC" w:rsidRPr="00AB0640" w14:paraId="3677F9EE" w14:textId="77777777" w:rsidTr="4974B17B">
        <w:tc>
          <w:tcPr>
            <w:tcW w:w="729" w:type="pct"/>
            <w:vAlign w:val="center"/>
          </w:tcPr>
          <w:p w14:paraId="495D7E45" w14:textId="57B0CFF8" w:rsidR="007A40AC" w:rsidRPr="00AB0640" w:rsidRDefault="007A40AC" w:rsidP="008028C6">
            <w:pPr>
              <w:pStyle w:val="TableText0"/>
            </w:pPr>
            <w:r w:rsidRPr="00AB0640">
              <w:t xml:space="preserve">Utility values </w:t>
            </w:r>
          </w:p>
        </w:tc>
        <w:tc>
          <w:tcPr>
            <w:tcW w:w="2396" w:type="pct"/>
            <w:vAlign w:val="center"/>
          </w:tcPr>
          <w:p w14:paraId="22C20718" w14:textId="77777777" w:rsidR="007A40AC" w:rsidRPr="00AB0640" w:rsidRDefault="007A40AC" w:rsidP="008028C6">
            <w:pPr>
              <w:pStyle w:val="TableText0"/>
            </w:pPr>
            <w:r w:rsidRPr="00AB0640">
              <w:t xml:space="preserve">Utility values derived from a TTO study with 5 health states based on mFARS scores. </w:t>
            </w:r>
          </w:p>
        </w:tc>
        <w:tc>
          <w:tcPr>
            <w:tcW w:w="1875" w:type="pct"/>
            <w:vAlign w:val="center"/>
          </w:tcPr>
          <w:p w14:paraId="0896D806" w14:textId="77777777" w:rsidR="007A40AC" w:rsidRPr="00AB0640" w:rsidRDefault="007A40AC" w:rsidP="008028C6">
            <w:pPr>
              <w:pStyle w:val="TableText0"/>
            </w:pPr>
            <w:r w:rsidRPr="00AB0640">
              <w:t>Moderate, favours omaveloxolone.</w:t>
            </w:r>
          </w:p>
          <w:p w14:paraId="1DEA096A" w14:textId="36C7843B" w:rsidR="007A40AC" w:rsidRPr="00AB0640" w:rsidRDefault="007A40AC" w:rsidP="008028C6">
            <w:pPr>
              <w:pStyle w:val="TableText0"/>
            </w:pPr>
            <w:r w:rsidRPr="00AB0640">
              <w:t>Applying the upper limits of the 95% CI increases the ICER to $</w:t>
            </w:r>
            <w:r w:rsidR="001F43CD" w:rsidRPr="001F43CD">
              <w:rPr>
                <w:highlight w:val="black"/>
              </w:rPr>
              <w:t>@@@@</w:t>
            </w:r>
            <w:r w:rsidR="00E53A7C">
              <w:rPr>
                <w:rFonts w:cs="Arial"/>
                <w:b/>
                <w:vertAlign w:val="superscript"/>
              </w:rPr>
              <w:t>1</w:t>
            </w:r>
            <w:r w:rsidR="00FB1E73" w:rsidRPr="00AB0640">
              <w:t xml:space="preserve"> per </w:t>
            </w:r>
            <w:r w:rsidRPr="00AB0640">
              <w:t xml:space="preserve">QALY. </w:t>
            </w:r>
          </w:p>
        </w:tc>
      </w:tr>
    </w:tbl>
    <w:p w14:paraId="33BBF1CF" w14:textId="77777777" w:rsidR="007A40AC" w:rsidRPr="00AB0640" w:rsidRDefault="007A40AC" w:rsidP="008028C6">
      <w:pPr>
        <w:pStyle w:val="TableFigureFooter"/>
      </w:pPr>
      <w:r w:rsidRPr="00AB0640">
        <w:t xml:space="preserve">Source: tabulated during the evaluation </w:t>
      </w:r>
    </w:p>
    <w:p w14:paraId="4C385D94" w14:textId="5E0FFC70" w:rsidR="007A40AC" w:rsidRPr="00E53A7C" w:rsidRDefault="007A40AC" w:rsidP="008028C6">
      <w:pPr>
        <w:pStyle w:val="TableFigureFooter"/>
        <w:jc w:val="left"/>
        <w:rPr>
          <w:i/>
          <w:iCs/>
        </w:rPr>
      </w:pPr>
      <w:r w:rsidRPr="00AB0640">
        <w:t>CI = confidence interval; ICER = incremental cost-effectiveness ratio; mFARS = modified Friedreich Ataxia Rating Scale; TTO = time-trade-off</w:t>
      </w:r>
      <w:r w:rsidR="0014338E">
        <w:br/>
      </w:r>
      <w:r w:rsidR="00297701">
        <w:rPr>
          <w:i/>
          <w:iCs/>
        </w:rPr>
        <w:t>The redacte</w:t>
      </w:r>
      <w:r w:rsidR="00E53A7C">
        <w:rPr>
          <w:i/>
          <w:iCs/>
        </w:rPr>
        <w:t>d values correspond to the following range:</w:t>
      </w:r>
      <w:r w:rsidR="00E53A7C">
        <w:rPr>
          <w:i/>
          <w:iCs/>
        </w:rPr>
        <w:br/>
      </w:r>
      <w:r w:rsidR="00E53A7C" w:rsidRPr="007063C5">
        <w:rPr>
          <w:bCs/>
          <w:i/>
          <w:iCs/>
          <w:vertAlign w:val="superscript"/>
        </w:rPr>
        <w:t xml:space="preserve">1 </w:t>
      </w:r>
      <w:r w:rsidR="00202AE4">
        <w:rPr>
          <w:bCs/>
          <w:i/>
          <w:iCs/>
        </w:rPr>
        <w:t xml:space="preserve">&gt; </w:t>
      </w:r>
      <w:r w:rsidR="00E53A7C" w:rsidRPr="007063C5">
        <w:rPr>
          <w:bCs/>
          <w:i/>
          <w:iCs/>
        </w:rPr>
        <w:t>$1,055,000</w:t>
      </w:r>
    </w:p>
    <w:p w14:paraId="296AC644" w14:textId="704C8929" w:rsidR="007A40AC" w:rsidRPr="00AB0640" w:rsidRDefault="007A40AC" w:rsidP="008028C6">
      <w:pPr>
        <w:pStyle w:val="3-BodyText"/>
      </w:pPr>
      <w:bookmarkStart w:id="50" w:name="_Ref104805160"/>
      <w:r w:rsidRPr="00AB0640">
        <w:t xml:space="preserve">The results of the stepped economic analysis are presented in </w:t>
      </w:r>
      <w:r w:rsidRPr="00AB0640">
        <w:fldChar w:fldCharType="begin" w:fldLock="1"/>
      </w:r>
      <w:r w:rsidRPr="00AB0640">
        <w:instrText xml:space="preserve"> REF _Ref207536127 \h  \* MERGEFORMAT </w:instrText>
      </w:r>
      <w:r w:rsidRPr="00AB0640">
        <w:fldChar w:fldCharType="separate"/>
      </w:r>
      <w:r w:rsidR="00E056AF" w:rsidRPr="00AB0640">
        <w:t xml:space="preserve">Table </w:t>
      </w:r>
      <w:r w:rsidR="00E056AF">
        <w:t>14</w:t>
      </w:r>
      <w:r w:rsidRPr="00AB0640">
        <w:fldChar w:fldCharType="end"/>
      </w:r>
      <w:r w:rsidRPr="00AB0640">
        <w:rPr>
          <w:i/>
          <w:iCs/>
        </w:rPr>
        <w:t xml:space="preserve">. </w:t>
      </w:r>
    </w:p>
    <w:p w14:paraId="0044EDD5" w14:textId="0A3F94FC" w:rsidR="007A40AC" w:rsidRPr="00AB0640" w:rsidRDefault="007A40AC" w:rsidP="008028C6">
      <w:pPr>
        <w:pStyle w:val="TableFigureHeading"/>
      </w:pPr>
      <w:bookmarkStart w:id="51" w:name="_Ref207536127"/>
      <w:r w:rsidRPr="00AB0640">
        <w:lastRenderedPageBreak/>
        <w:t xml:space="preserve">Table </w:t>
      </w:r>
      <w:r w:rsidR="00E056AF">
        <w:fldChar w:fldCharType="begin" w:fldLock="1"/>
      </w:r>
      <w:r w:rsidR="00E056AF">
        <w:instrText xml:space="preserve"> SEQ Table \* ARABIC </w:instrText>
      </w:r>
      <w:r w:rsidR="00E056AF">
        <w:fldChar w:fldCharType="separate"/>
      </w:r>
      <w:r w:rsidR="00E056AF">
        <w:rPr>
          <w:noProof/>
        </w:rPr>
        <w:t>14</w:t>
      </w:r>
      <w:r w:rsidR="00E056AF">
        <w:rPr>
          <w:noProof/>
        </w:rPr>
        <w:fldChar w:fldCharType="end"/>
      </w:r>
      <w:bookmarkEnd w:id="50"/>
      <w:bookmarkEnd w:id="51"/>
      <w:r w:rsidRPr="00AB0640">
        <w:t>:</w:t>
      </w:r>
      <w:r w:rsidRPr="00AB0640">
        <w:rPr>
          <w:rStyle w:val="CommentReference"/>
          <w:b/>
          <w:szCs w:val="24"/>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4: Results of the stepped economic evaluation"/>
      </w:tblPr>
      <w:tblGrid>
        <w:gridCol w:w="2829"/>
        <w:gridCol w:w="2379"/>
        <w:gridCol w:w="31"/>
        <w:gridCol w:w="2267"/>
        <w:gridCol w:w="1511"/>
      </w:tblGrid>
      <w:tr w:rsidR="007A40AC" w:rsidRPr="00AB0640" w14:paraId="40E62D13" w14:textId="77777777" w:rsidTr="0065379D">
        <w:trPr>
          <w:tblHeader/>
        </w:trPr>
        <w:tc>
          <w:tcPr>
            <w:tcW w:w="1569" w:type="pct"/>
            <w:vAlign w:val="center"/>
          </w:tcPr>
          <w:p w14:paraId="6F64B0A9" w14:textId="77777777" w:rsidR="007A40AC" w:rsidRPr="00AB0640" w:rsidRDefault="007A40AC" w:rsidP="008028C6">
            <w:pPr>
              <w:pStyle w:val="In-tableHeading"/>
              <w:jc w:val="center"/>
              <w:rPr>
                <w:lang w:val="en-AU"/>
              </w:rPr>
            </w:pPr>
            <w:r w:rsidRPr="00AB0640">
              <w:rPr>
                <w:lang w:val="en-AU"/>
              </w:rPr>
              <w:t>Step and component</w:t>
            </w:r>
          </w:p>
        </w:tc>
        <w:tc>
          <w:tcPr>
            <w:tcW w:w="1319" w:type="pct"/>
            <w:vAlign w:val="center"/>
          </w:tcPr>
          <w:p w14:paraId="04DA2AA7" w14:textId="77777777" w:rsidR="007A40AC" w:rsidRPr="00AB0640" w:rsidRDefault="007A40AC" w:rsidP="008028C6">
            <w:pPr>
              <w:pStyle w:val="In-tableHeading"/>
              <w:jc w:val="center"/>
              <w:rPr>
                <w:lang w:val="en-AU"/>
              </w:rPr>
            </w:pPr>
            <w:r w:rsidRPr="00AB0640">
              <w:rPr>
                <w:lang w:val="en-AU"/>
              </w:rPr>
              <w:t>Omaveloxolone</w:t>
            </w:r>
          </w:p>
        </w:tc>
        <w:tc>
          <w:tcPr>
            <w:tcW w:w="1274" w:type="pct"/>
            <w:gridSpan w:val="2"/>
            <w:vAlign w:val="center"/>
          </w:tcPr>
          <w:p w14:paraId="40A2EFB5" w14:textId="77777777" w:rsidR="007A40AC" w:rsidRPr="00AB0640" w:rsidRDefault="007A40AC" w:rsidP="008028C6">
            <w:pPr>
              <w:pStyle w:val="In-tableHeading"/>
              <w:jc w:val="center"/>
              <w:rPr>
                <w:lang w:val="en-AU"/>
              </w:rPr>
            </w:pPr>
            <w:r w:rsidRPr="00AB0640">
              <w:rPr>
                <w:lang w:val="en-AU"/>
              </w:rPr>
              <w:t>BSC</w:t>
            </w:r>
          </w:p>
        </w:tc>
        <w:tc>
          <w:tcPr>
            <w:tcW w:w="838" w:type="pct"/>
            <w:vAlign w:val="center"/>
          </w:tcPr>
          <w:p w14:paraId="45D2BE95" w14:textId="77777777" w:rsidR="007A40AC" w:rsidRPr="00AB0640" w:rsidRDefault="007A40AC" w:rsidP="008028C6">
            <w:pPr>
              <w:pStyle w:val="In-tableHeading"/>
              <w:jc w:val="center"/>
              <w:rPr>
                <w:lang w:val="en-AU"/>
              </w:rPr>
            </w:pPr>
            <w:r w:rsidRPr="00AB0640">
              <w:rPr>
                <w:lang w:val="en-AU"/>
              </w:rPr>
              <w:t>Increment</w:t>
            </w:r>
          </w:p>
        </w:tc>
      </w:tr>
      <w:tr w:rsidR="007A40AC" w:rsidRPr="00AB0640" w14:paraId="3BAB64A7" w14:textId="77777777" w:rsidTr="0065379D">
        <w:tc>
          <w:tcPr>
            <w:tcW w:w="5000" w:type="pct"/>
            <w:gridSpan w:val="5"/>
            <w:vAlign w:val="center"/>
          </w:tcPr>
          <w:p w14:paraId="595C0EAA" w14:textId="77777777" w:rsidR="007A40AC" w:rsidRPr="00AB0640" w:rsidRDefault="007A40AC" w:rsidP="008028C6">
            <w:pPr>
              <w:pStyle w:val="TableText0"/>
              <w:rPr>
                <w:b/>
                <w:bCs w:val="0"/>
                <w:vertAlign w:val="superscript"/>
              </w:rPr>
            </w:pPr>
            <w:r w:rsidRPr="00AB0640">
              <w:rPr>
                <w:b/>
                <w:bCs w:val="0"/>
              </w:rPr>
              <w:t xml:space="preserve">Step 1: Propensity matched analysis costs and outcomes (3-year time horizon) </w:t>
            </w:r>
            <w:r w:rsidRPr="00AB0640">
              <w:rPr>
                <w:b/>
                <w:bCs w:val="0"/>
                <w:vertAlign w:val="superscript"/>
              </w:rPr>
              <w:t>a</w:t>
            </w:r>
          </w:p>
        </w:tc>
      </w:tr>
      <w:tr w:rsidR="007A40AC" w:rsidRPr="00AB0640" w14:paraId="7139D3D2" w14:textId="77777777" w:rsidTr="0065379D">
        <w:tc>
          <w:tcPr>
            <w:tcW w:w="1569" w:type="pct"/>
            <w:vAlign w:val="center"/>
          </w:tcPr>
          <w:p w14:paraId="39412CCA" w14:textId="77777777" w:rsidR="007A40AC" w:rsidRPr="00AB0640" w:rsidRDefault="007A40AC" w:rsidP="008028C6">
            <w:pPr>
              <w:pStyle w:val="TableText0"/>
              <w:rPr>
                <w:rFonts w:ascii="Times" w:hAnsi="Times"/>
              </w:rPr>
            </w:pPr>
            <w:r w:rsidRPr="00AB0640">
              <w:t>Costs</w:t>
            </w:r>
          </w:p>
        </w:tc>
        <w:tc>
          <w:tcPr>
            <w:tcW w:w="1319" w:type="pct"/>
          </w:tcPr>
          <w:p w14:paraId="14601E39" w14:textId="758A1DE6" w:rsidR="007A40AC" w:rsidRPr="00AB0640" w:rsidRDefault="007A40AC" w:rsidP="008028C6">
            <w:pPr>
              <w:pStyle w:val="TableText0"/>
              <w:jc w:val="center"/>
              <w:rPr>
                <w:rFonts w:ascii="Times" w:hAnsi="Times"/>
              </w:rPr>
            </w:pPr>
            <w:r w:rsidRPr="00AB0640">
              <w:t>$</w:t>
            </w:r>
            <w:r w:rsidR="001F43CD" w:rsidRPr="001F43CD">
              <w:rPr>
                <w:highlight w:val="black"/>
              </w:rPr>
              <w:t>@@@@</w:t>
            </w:r>
          </w:p>
        </w:tc>
        <w:tc>
          <w:tcPr>
            <w:tcW w:w="1274" w:type="pct"/>
            <w:gridSpan w:val="2"/>
          </w:tcPr>
          <w:p w14:paraId="46742635" w14:textId="77777777" w:rsidR="007A40AC" w:rsidRPr="00AB0640" w:rsidRDefault="007A40AC" w:rsidP="008028C6">
            <w:pPr>
              <w:pStyle w:val="TableText0"/>
              <w:jc w:val="center"/>
              <w:rPr>
                <w:rFonts w:ascii="Times" w:hAnsi="Times"/>
              </w:rPr>
            </w:pPr>
            <w:r w:rsidRPr="00AB0640">
              <w:t>$0</w:t>
            </w:r>
          </w:p>
        </w:tc>
        <w:tc>
          <w:tcPr>
            <w:tcW w:w="838" w:type="pct"/>
          </w:tcPr>
          <w:p w14:paraId="70EA8D40" w14:textId="6BDA7990" w:rsidR="007A40AC" w:rsidRPr="00AB0640" w:rsidRDefault="007A40AC" w:rsidP="008028C6">
            <w:pPr>
              <w:pStyle w:val="TableText0"/>
              <w:jc w:val="center"/>
              <w:rPr>
                <w:rFonts w:ascii="Times" w:hAnsi="Times"/>
              </w:rPr>
            </w:pPr>
            <w:r w:rsidRPr="00AB0640">
              <w:t>$</w:t>
            </w:r>
            <w:r w:rsidR="001F43CD" w:rsidRPr="001F43CD">
              <w:rPr>
                <w:highlight w:val="black"/>
              </w:rPr>
              <w:t>@@@@</w:t>
            </w:r>
          </w:p>
        </w:tc>
      </w:tr>
      <w:tr w:rsidR="007A40AC" w:rsidRPr="00AB0640" w14:paraId="05153364" w14:textId="77777777" w:rsidTr="0065379D">
        <w:tc>
          <w:tcPr>
            <w:tcW w:w="1569" w:type="pct"/>
            <w:vAlign w:val="center"/>
          </w:tcPr>
          <w:p w14:paraId="52801DFE" w14:textId="77777777" w:rsidR="007A40AC" w:rsidRPr="00AB0640" w:rsidRDefault="007A40AC" w:rsidP="008028C6">
            <w:pPr>
              <w:pStyle w:val="TableText0"/>
              <w:rPr>
                <w:rFonts w:ascii="Times" w:hAnsi="Times"/>
              </w:rPr>
            </w:pPr>
            <w:r w:rsidRPr="00AB0640">
              <w:t>Change in mFARS</w:t>
            </w:r>
          </w:p>
        </w:tc>
        <w:tc>
          <w:tcPr>
            <w:tcW w:w="1319" w:type="pct"/>
          </w:tcPr>
          <w:p w14:paraId="180B791C" w14:textId="5647A426" w:rsidR="007A40AC" w:rsidRPr="00C37AA0" w:rsidRDefault="001F43CD" w:rsidP="008028C6">
            <w:pPr>
              <w:pStyle w:val="TableText0"/>
              <w:jc w:val="center"/>
              <w:rPr>
                <w:rFonts w:ascii="Times" w:hAnsi="Times"/>
                <w:highlight w:val="darkGray"/>
              </w:rPr>
            </w:pPr>
            <w:r w:rsidRPr="001F43CD">
              <w:rPr>
                <w:highlight w:val="black"/>
              </w:rPr>
              <w:t>@@@@</w:t>
            </w:r>
          </w:p>
        </w:tc>
        <w:tc>
          <w:tcPr>
            <w:tcW w:w="1274" w:type="pct"/>
            <w:gridSpan w:val="2"/>
          </w:tcPr>
          <w:p w14:paraId="0B31E6DD" w14:textId="321F545C" w:rsidR="007A40AC" w:rsidRPr="00C37AA0" w:rsidRDefault="001F43CD" w:rsidP="008028C6">
            <w:pPr>
              <w:pStyle w:val="TableText0"/>
              <w:jc w:val="center"/>
              <w:rPr>
                <w:rFonts w:ascii="Times" w:hAnsi="Times"/>
                <w:highlight w:val="darkGray"/>
              </w:rPr>
            </w:pPr>
            <w:r w:rsidRPr="001F43CD">
              <w:rPr>
                <w:highlight w:val="black"/>
              </w:rPr>
              <w:t>@@@@</w:t>
            </w:r>
          </w:p>
        </w:tc>
        <w:tc>
          <w:tcPr>
            <w:tcW w:w="838" w:type="pct"/>
          </w:tcPr>
          <w:p w14:paraId="14726EE6" w14:textId="109E5AFD" w:rsidR="007A40AC" w:rsidRPr="00C37AA0" w:rsidRDefault="007A40AC" w:rsidP="008028C6">
            <w:pPr>
              <w:pStyle w:val="TableText0"/>
              <w:jc w:val="center"/>
              <w:rPr>
                <w:highlight w:val="darkGray"/>
              </w:rPr>
            </w:pPr>
            <w:r w:rsidRPr="00910C4C">
              <w:t>-</w:t>
            </w:r>
            <w:r w:rsidR="001F43CD" w:rsidRPr="001F43CD">
              <w:rPr>
                <w:highlight w:val="black"/>
              </w:rPr>
              <w:t>@@@@</w:t>
            </w:r>
          </w:p>
        </w:tc>
      </w:tr>
      <w:tr w:rsidR="007A40AC" w:rsidRPr="00AB0640" w14:paraId="3305E26F" w14:textId="77777777" w:rsidTr="0065379D">
        <w:tc>
          <w:tcPr>
            <w:tcW w:w="4162" w:type="pct"/>
            <w:gridSpan w:val="4"/>
            <w:vAlign w:val="center"/>
          </w:tcPr>
          <w:p w14:paraId="196141E5" w14:textId="77777777" w:rsidR="007A40AC" w:rsidRPr="00AB0640" w:rsidRDefault="007A40AC" w:rsidP="008028C6">
            <w:pPr>
              <w:pStyle w:val="TableText0"/>
              <w:rPr>
                <w:rFonts w:ascii="Times" w:hAnsi="Times"/>
              </w:rPr>
            </w:pPr>
            <w:r w:rsidRPr="00AB0640">
              <w:t>Incremental cost/change in mFARS score avoided</w:t>
            </w:r>
          </w:p>
        </w:tc>
        <w:tc>
          <w:tcPr>
            <w:tcW w:w="838" w:type="pct"/>
            <w:vAlign w:val="center"/>
          </w:tcPr>
          <w:p w14:paraId="4329BB5E" w14:textId="1A935AA4" w:rsidR="007A40AC" w:rsidRPr="00C37AA0" w:rsidRDefault="007A40AC" w:rsidP="008028C6">
            <w:pPr>
              <w:pStyle w:val="TableText0"/>
              <w:jc w:val="center"/>
              <w:rPr>
                <w:rFonts w:ascii="Times" w:hAnsi="Times"/>
                <w:vertAlign w:val="superscript"/>
              </w:rPr>
            </w:pPr>
            <w:r w:rsidRPr="00AB0640">
              <w:t>$</w:t>
            </w:r>
            <w:r w:rsidR="001F43CD" w:rsidRPr="001F43CD">
              <w:rPr>
                <w:highlight w:val="black"/>
              </w:rPr>
              <w:t>@@@@</w:t>
            </w:r>
            <w:r w:rsidR="00C37AA0">
              <w:rPr>
                <w:vertAlign w:val="superscript"/>
              </w:rPr>
              <w:t>1</w:t>
            </w:r>
          </w:p>
        </w:tc>
      </w:tr>
      <w:tr w:rsidR="007A40AC" w:rsidRPr="00AB0640" w14:paraId="5B7B717D" w14:textId="77777777" w:rsidTr="0065379D">
        <w:tc>
          <w:tcPr>
            <w:tcW w:w="5000" w:type="pct"/>
            <w:gridSpan w:val="5"/>
            <w:vAlign w:val="center"/>
          </w:tcPr>
          <w:p w14:paraId="03CC9BA3" w14:textId="77777777" w:rsidR="007A40AC" w:rsidRPr="00AB0640" w:rsidRDefault="007A40AC" w:rsidP="008028C6">
            <w:pPr>
              <w:pStyle w:val="In-tableHeading"/>
              <w:rPr>
                <w:lang w:val="en-AU"/>
              </w:rPr>
            </w:pPr>
            <w:r w:rsidRPr="00AB0640">
              <w:rPr>
                <w:lang w:val="en-AU"/>
              </w:rPr>
              <w:t>Step 2: mFARS scores transformed to survival</w:t>
            </w:r>
          </w:p>
        </w:tc>
      </w:tr>
      <w:tr w:rsidR="007A40AC" w:rsidRPr="00AB0640" w14:paraId="598C9D9F" w14:textId="77777777" w:rsidTr="0065379D">
        <w:tc>
          <w:tcPr>
            <w:tcW w:w="1569" w:type="pct"/>
            <w:vAlign w:val="center"/>
          </w:tcPr>
          <w:p w14:paraId="29BDA7DF" w14:textId="77777777" w:rsidR="007A40AC" w:rsidRPr="00AB0640" w:rsidRDefault="007A40AC" w:rsidP="008028C6">
            <w:pPr>
              <w:pStyle w:val="TableText0"/>
              <w:rPr>
                <w:rFonts w:ascii="Times" w:hAnsi="Times"/>
              </w:rPr>
            </w:pPr>
            <w:r w:rsidRPr="00AB0640">
              <w:t>Costs</w:t>
            </w:r>
          </w:p>
        </w:tc>
        <w:tc>
          <w:tcPr>
            <w:tcW w:w="1319" w:type="pct"/>
          </w:tcPr>
          <w:p w14:paraId="6BDDD938" w14:textId="4D362089" w:rsidR="007A40AC" w:rsidRPr="00AB0640" w:rsidRDefault="007A40AC" w:rsidP="008028C6">
            <w:pPr>
              <w:pStyle w:val="TableText0"/>
              <w:jc w:val="center"/>
              <w:rPr>
                <w:rFonts w:ascii="Times" w:hAnsi="Times"/>
              </w:rPr>
            </w:pPr>
            <w:r w:rsidRPr="00AB0640">
              <w:t>$</w:t>
            </w:r>
            <w:r w:rsidR="001F43CD" w:rsidRPr="001F43CD">
              <w:rPr>
                <w:highlight w:val="black"/>
              </w:rPr>
              <w:t>@@@@</w:t>
            </w:r>
          </w:p>
        </w:tc>
        <w:tc>
          <w:tcPr>
            <w:tcW w:w="1274" w:type="pct"/>
            <w:gridSpan w:val="2"/>
          </w:tcPr>
          <w:p w14:paraId="38E336ED" w14:textId="77777777" w:rsidR="007A40AC" w:rsidRPr="00AB0640" w:rsidRDefault="007A40AC" w:rsidP="008028C6">
            <w:pPr>
              <w:pStyle w:val="TableText0"/>
              <w:jc w:val="center"/>
              <w:rPr>
                <w:rFonts w:ascii="Times" w:hAnsi="Times"/>
              </w:rPr>
            </w:pPr>
            <w:r w:rsidRPr="00AB0640">
              <w:t>$0</w:t>
            </w:r>
          </w:p>
        </w:tc>
        <w:tc>
          <w:tcPr>
            <w:tcW w:w="838" w:type="pct"/>
          </w:tcPr>
          <w:p w14:paraId="7FBEE60E" w14:textId="5DAD27A8" w:rsidR="007A40AC" w:rsidRPr="00AB0640" w:rsidRDefault="007A40AC" w:rsidP="008028C6">
            <w:pPr>
              <w:pStyle w:val="TableText0"/>
              <w:jc w:val="center"/>
              <w:rPr>
                <w:rFonts w:ascii="Times" w:hAnsi="Times"/>
              </w:rPr>
            </w:pPr>
            <w:r w:rsidRPr="00AB0640">
              <w:t>$</w:t>
            </w:r>
            <w:r w:rsidR="001F43CD" w:rsidRPr="001F43CD">
              <w:rPr>
                <w:highlight w:val="black"/>
              </w:rPr>
              <w:t>@@@@</w:t>
            </w:r>
          </w:p>
        </w:tc>
      </w:tr>
      <w:tr w:rsidR="007A40AC" w:rsidRPr="00AB0640" w14:paraId="22E59C9E" w14:textId="77777777" w:rsidTr="0065379D">
        <w:tc>
          <w:tcPr>
            <w:tcW w:w="1569" w:type="pct"/>
            <w:vAlign w:val="center"/>
          </w:tcPr>
          <w:p w14:paraId="0287C464" w14:textId="77777777" w:rsidR="007A40AC" w:rsidRPr="00AB0640" w:rsidRDefault="007A40AC" w:rsidP="008028C6">
            <w:pPr>
              <w:pStyle w:val="TableText0"/>
              <w:rPr>
                <w:rFonts w:ascii="Times" w:hAnsi="Times"/>
              </w:rPr>
            </w:pPr>
            <w:r w:rsidRPr="00AB0640">
              <w:t xml:space="preserve">Life years </w:t>
            </w:r>
          </w:p>
        </w:tc>
        <w:tc>
          <w:tcPr>
            <w:tcW w:w="1319" w:type="pct"/>
          </w:tcPr>
          <w:p w14:paraId="2D85EBD3" w14:textId="19AF3D88" w:rsidR="007A40AC" w:rsidRPr="00A329E3" w:rsidRDefault="001F43CD" w:rsidP="008028C6">
            <w:pPr>
              <w:pStyle w:val="TableText0"/>
              <w:jc w:val="center"/>
              <w:rPr>
                <w:rFonts w:ascii="Times" w:hAnsi="Times"/>
                <w:highlight w:val="darkGray"/>
              </w:rPr>
            </w:pPr>
            <w:r w:rsidRPr="001F43CD">
              <w:rPr>
                <w:highlight w:val="black"/>
              </w:rPr>
              <w:t>@@@@</w:t>
            </w:r>
          </w:p>
        </w:tc>
        <w:tc>
          <w:tcPr>
            <w:tcW w:w="1274" w:type="pct"/>
            <w:gridSpan w:val="2"/>
          </w:tcPr>
          <w:p w14:paraId="05B4B9AD" w14:textId="6C29E003" w:rsidR="007A40AC" w:rsidRPr="00A329E3" w:rsidRDefault="001F43CD" w:rsidP="008028C6">
            <w:pPr>
              <w:pStyle w:val="TableText0"/>
              <w:jc w:val="center"/>
              <w:rPr>
                <w:rFonts w:ascii="Times" w:hAnsi="Times"/>
                <w:highlight w:val="darkGray"/>
              </w:rPr>
            </w:pPr>
            <w:r w:rsidRPr="001F43CD">
              <w:rPr>
                <w:highlight w:val="black"/>
              </w:rPr>
              <w:t>@@@@</w:t>
            </w:r>
          </w:p>
        </w:tc>
        <w:tc>
          <w:tcPr>
            <w:tcW w:w="838" w:type="pct"/>
          </w:tcPr>
          <w:p w14:paraId="0143D8ED" w14:textId="65593579" w:rsidR="007A40AC" w:rsidRPr="00A329E3" w:rsidRDefault="001F43CD" w:rsidP="008028C6">
            <w:pPr>
              <w:pStyle w:val="TableText0"/>
              <w:jc w:val="center"/>
              <w:rPr>
                <w:highlight w:val="darkGray"/>
              </w:rPr>
            </w:pPr>
            <w:r w:rsidRPr="001F43CD">
              <w:rPr>
                <w:highlight w:val="black"/>
              </w:rPr>
              <w:t>@@@@</w:t>
            </w:r>
          </w:p>
        </w:tc>
      </w:tr>
      <w:tr w:rsidR="007A40AC" w:rsidRPr="00AB0640" w14:paraId="4F4B7A48" w14:textId="77777777" w:rsidTr="0065379D">
        <w:tc>
          <w:tcPr>
            <w:tcW w:w="4162" w:type="pct"/>
            <w:gridSpan w:val="4"/>
            <w:vAlign w:val="center"/>
          </w:tcPr>
          <w:p w14:paraId="5DB62CCB" w14:textId="77777777" w:rsidR="007A40AC" w:rsidRPr="00AB0640" w:rsidRDefault="007A40AC" w:rsidP="008028C6">
            <w:pPr>
              <w:pStyle w:val="TableText0"/>
              <w:rPr>
                <w:rFonts w:ascii="Times" w:hAnsi="Times"/>
              </w:rPr>
            </w:pPr>
            <w:r w:rsidRPr="00AB0640">
              <w:t>Incremental cost/life year gained</w:t>
            </w:r>
          </w:p>
        </w:tc>
        <w:tc>
          <w:tcPr>
            <w:tcW w:w="838" w:type="pct"/>
            <w:vAlign w:val="center"/>
          </w:tcPr>
          <w:p w14:paraId="30E15375" w14:textId="0D1B9EC5" w:rsidR="007A40AC" w:rsidRPr="00A329E3" w:rsidRDefault="007A40AC" w:rsidP="008028C6">
            <w:pPr>
              <w:pStyle w:val="TableText0"/>
              <w:jc w:val="center"/>
              <w:rPr>
                <w:rFonts w:ascii="Times" w:hAnsi="Times"/>
                <w:vertAlign w:val="superscript"/>
              </w:rPr>
            </w:pPr>
            <w:r w:rsidRPr="00AB0640">
              <w:rPr>
                <w:sz w:val="19"/>
                <w:szCs w:val="19"/>
              </w:rPr>
              <w:t>$</w:t>
            </w:r>
            <w:r w:rsidR="001F43CD" w:rsidRPr="001F43CD">
              <w:rPr>
                <w:sz w:val="19"/>
                <w:szCs w:val="19"/>
                <w:highlight w:val="black"/>
              </w:rPr>
              <w:t>@@@@</w:t>
            </w:r>
            <w:r w:rsidR="00A329E3">
              <w:rPr>
                <w:sz w:val="19"/>
                <w:szCs w:val="19"/>
                <w:vertAlign w:val="superscript"/>
              </w:rPr>
              <w:t>2</w:t>
            </w:r>
          </w:p>
        </w:tc>
      </w:tr>
      <w:tr w:rsidR="007A40AC" w:rsidRPr="00AB0640" w14:paraId="77E836F1" w14:textId="77777777" w:rsidTr="0065379D">
        <w:tc>
          <w:tcPr>
            <w:tcW w:w="5000" w:type="pct"/>
            <w:gridSpan w:val="5"/>
            <w:vAlign w:val="center"/>
          </w:tcPr>
          <w:p w14:paraId="1D9F00A3" w14:textId="77777777" w:rsidR="007A40AC" w:rsidRPr="00AB0640" w:rsidRDefault="007A40AC" w:rsidP="008028C6">
            <w:pPr>
              <w:pStyle w:val="In-tableHeading"/>
              <w:rPr>
                <w:vertAlign w:val="superscript"/>
                <w:lang w:val="en-AU"/>
              </w:rPr>
            </w:pPr>
            <w:r w:rsidRPr="00AB0640">
              <w:rPr>
                <w:lang w:val="en-AU"/>
              </w:rPr>
              <w:t xml:space="preserve">Step 3: Include disease management costs </w:t>
            </w:r>
            <w:r w:rsidRPr="00AB0640">
              <w:rPr>
                <w:vertAlign w:val="superscript"/>
                <w:lang w:val="en-AU"/>
              </w:rPr>
              <w:t>b</w:t>
            </w:r>
          </w:p>
        </w:tc>
      </w:tr>
      <w:tr w:rsidR="007A40AC" w:rsidRPr="00AB0640" w14:paraId="0282244A" w14:textId="77777777" w:rsidTr="0065379D">
        <w:tc>
          <w:tcPr>
            <w:tcW w:w="1569" w:type="pct"/>
            <w:vAlign w:val="center"/>
          </w:tcPr>
          <w:p w14:paraId="2290B191" w14:textId="77777777" w:rsidR="007A40AC" w:rsidRPr="00AB0640" w:rsidRDefault="007A40AC" w:rsidP="008028C6">
            <w:pPr>
              <w:pStyle w:val="TableText0"/>
              <w:rPr>
                <w:rFonts w:ascii="Times" w:hAnsi="Times"/>
              </w:rPr>
            </w:pPr>
            <w:r w:rsidRPr="00AB0640">
              <w:t>Costs</w:t>
            </w:r>
          </w:p>
        </w:tc>
        <w:tc>
          <w:tcPr>
            <w:tcW w:w="1319" w:type="pct"/>
          </w:tcPr>
          <w:p w14:paraId="23F8BE73" w14:textId="4FC5886F" w:rsidR="007A40AC" w:rsidRPr="00AB0640" w:rsidRDefault="007A40AC" w:rsidP="008028C6">
            <w:pPr>
              <w:pStyle w:val="TableText0"/>
              <w:jc w:val="center"/>
              <w:rPr>
                <w:rFonts w:ascii="Times" w:hAnsi="Times"/>
              </w:rPr>
            </w:pPr>
            <w:r w:rsidRPr="00AB0640">
              <w:t>$</w:t>
            </w:r>
            <w:r w:rsidR="001F43CD" w:rsidRPr="001F43CD">
              <w:rPr>
                <w:highlight w:val="black"/>
              </w:rPr>
              <w:t>@@@@</w:t>
            </w:r>
          </w:p>
        </w:tc>
        <w:tc>
          <w:tcPr>
            <w:tcW w:w="1274" w:type="pct"/>
            <w:gridSpan w:val="2"/>
          </w:tcPr>
          <w:p w14:paraId="18AF1327" w14:textId="77777777" w:rsidR="007A40AC" w:rsidRPr="00AB0640" w:rsidRDefault="007A40AC" w:rsidP="008028C6">
            <w:pPr>
              <w:pStyle w:val="TableText0"/>
              <w:jc w:val="center"/>
              <w:rPr>
                <w:rFonts w:ascii="Times" w:hAnsi="Times"/>
              </w:rPr>
            </w:pPr>
            <w:r w:rsidRPr="00AB0640">
              <w:t>$91,013</w:t>
            </w:r>
          </w:p>
        </w:tc>
        <w:tc>
          <w:tcPr>
            <w:tcW w:w="838" w:type="pct"/>
          </w:tcPr>
          <w:p w14:paraId="0F7E7CB0" w14:textId="43CAFB47" w:rsidR="007A40AC" w:rsidRPr="00AB0640" w:rsidRDefault="007A40AC" w:rsidP="008028C6">
            <w:pPr>
              <w:pStyle w:val="TableText0"/>
              <w:jc w:val="center"/>
              <w:rPr>
                <w:rFonts w:ascii="Times" w:hAnsi="Times"/>
              </w:rPr>
            </w:pPr>
            <w:r w:rsidRPr="00AB0640">
              <w:t>$</w:t>
            </w:r>
            <w:r w:rsidR="001F43CD" w:rsidRPr="001F43CD">
              <w:rPr>
                <w:highlight w:val="black"/>
              </w:rPr>
              <w:t>@@@@</w:t>
            </w:r>
          </w:p>
        </w:tc>
      </w:tr>
      <w:tr w:rsidR="007A40AC" w:rsidRPr="00AB0640" w14:paraId="2358DB7E" w14:textId="77777777" w:rsidTr="0065379D">
        <w:tc>
          <w:tcPr>
            <w:tcW w:w="1569" w:type="pct"/>
            <w:vAlign w:val="center"/>
          </w:tcPr>
          <w:p w14:paraId="55B6CEC6" w14:textId="77777777" w:rsidR="007A40AC" w:rsidRPr="00AB0640" w:rsidRDefault="007A40AC" w:rsidP="008028C6">
            <w:pPr>
              <w:pStyle w:val="TableText0"/>
              <w:rPr>
                <w:rFonts w:ascii="Times" w:hAnsi="Times"/>
              </w:rPr>
            </w:pPr>
            <w:r w:rsidRPr="00AB0640">
              <w:t>LYG</w:t>
            </w:r>
          </w:p>
        </w:tc>
        <w:tc>
          <w:tcPr>
            <w:tcW w:w="1319" w:type="pct"/>
            <w:vAlign w:val="center"/>
          </w:tcPr>
          <w:p w14:paraId="61275BFE" w14:textId="47827033" w:rsidR="007A40AC" w:rsidRPr="00870FD7" w:rsidRDefault="001F43CD" w:rsidP="008028C6">
            <w:pPr>
              <w:pStyle w:val="TableText0"/>
              <w:jc w:val="center"/>
              <w:rPr>
                <w:rFonts w:ascii="Times" w:hAnsi="Times"/>
                <w:highlight w:val="darkGray"/>
              </w:rPr>
            </w:pPr>
            <w:r w:rsidRPr="001F43CD">
              <w:rPr>
                <w:sz w:val="19"/>
                <w:szCs w:val="19"/>
                <w:highlight w:val="black"/>
              </w:rPr>
              <w:t>@@@@</w:t>
            </w:r>
          </w:p>
        </w:tc>
        <w:tc>
          <w:tcPr>
            <w:tcW w:w="1274" w:type="pct"/>
            <w:gridSpan w:val="2"/>
            <w:vAlign w:val="center"/>
          </w:tcPr>
          <w:p w14:paraId="3E011CDB" w14:textId="7E381F5E" w:rsidR="007A40AC" w:rsidRPr="00870FD7" w:rsidRDefault="001F43CD" w:rsidP="008028C6">
            <w:pPr>
              <w:pStyle w:val="TableText0"/>
              <w:jc w:val="center"/>
              <w:rPr>
                <w:rFonts w:ascii="Times" w:hAnsi="Times"/>
                <w:highlight w:val="darkGray"/>
              </w:rPr>
            </w:pPr>
            <w:r w:rsidRPr="001F43CD">
              <w:rPr>
                <w:sz w:val="19"/>
                <w:szCs w:val="19"/>
                <w:highlight w:val="black"/>
              </w:rPr>
              <w:t>@@@@</w:t>
            </w:r>
          </w:p>
        </w:tc>
        <w:tc>
          <w:tcPr>
            <w:tcW w:w="838" w:type="pct"/>
            <w:vAlign w:val="center"/>
          </w:tcPr>
          <w:p w14:paraId="4BBCC185" w14:textId="24C690D2" w:rsidR="007A40AC" w:rsidRPr="00870FD7" w:rsidRDefault="001F43CD" w:rsidP="008028C6">
            <w:pPr>
              <w:pStyle w:val="TableText0"/>
              <w:jc w:val="center"/>
              <w:rPr>
                <w:highlight w:val="darkGray"/>
              </w:rPr>
            </w:pPr>
            <w:r w:rsidRPr="001F43CD">
              <w:rPr>
                <w:sz w:val="19"/>
                <w:szCs w:val="19"/>
                <w:highlight w:val="black"/>
              </w:rPr>
              <w:t>@@@@</w:t>
            </w:r>
          </w:p>
        </w:tc>
      </w:tr>
      <w:tr w:rsidR="007A40AC" w:rsidRPr="00AB0640" w14:paraId="10748B3A" w14:textId="77777777" w:rsidTr="0065379D">
        <w:tc>
          <w:tcPr>
            <w:tcW w:w="4162" w:type="pct"/>
            <w:gridSpan w:val="4"/>
            <w:vAlign w:val="center"/>
          </w:tcPr>
          <w:p w14:paraId="22E931E3" w14:textId="77777777" w:rsidR="007A40AC" w:rsidRPr="00AB0640" w:rsidRDefault="007A40AC" w:rsidP="008028C6">
            <w:pPr>
              <w:pStyle w:val="TableText0"/>
              <w:rPr>
                <w:rFonts w:ascii="Times" w:hAnsi="Times"/>
              </w:rPr>
            </w:pPr>
            <w:r w:rsidRPr="00AB0640">
              <w:t>Incremental cost/life year gained</w:t>
            </w:r>
          </w:p>
        </w:tc>
        <w:tc>
          <w:tcPr>
            <w:tcW w:w="838" w:type="pct"/>
            <w:vAlign w:val="center"/>
          </w:tcPr>
          <w:p w14:paraId="672BA562" w14:textId="74D6D172" w:rsidR="007A40AC" w:rsidRPr="00AB0640" w:rsidRDefault="007A40AC" w:rsidP="008028C6">
            <w:pPr>
              <w:pStyle w:val="TableText0"/>
              <w:jc w:val="center"/>
              <w:rPr>
                <w:rFonts w:ascii="Times" w:hAnsi="Times"/>
              </w:rPr>
            </w:pPr>
            <w:r w:rsidRPr="00AB0640">
              <w:rPr>
                <w:sz w:val="19"/>
                <w:szCs w:val="19"/>
              </w:rPr>
              <w:t>$</w:t>
            </w:r>
            <w:r w:rsidR="001F43CD" w:rsidRPr="001F43CD">
              <w:rPr>
                <w:sz w:val="19"/>
                <w:szCs w:val="19"/>
                <w:highlight w:val="black"/>
              </w:rPr>
              <w:t>@@@@</w:t>
            </w:r>
            <w:r w:rsidR="00870FD7">
              <w:rPr>
                <w:sz w:val="19"/>
                <w:szCs w:val="19"/>
                <w:vertAlign w:val="superscript"/>
              </w:rPr>
              <w:t>2</w:t>
            </w:r>
          </w:p>
        </w:tc>
      </w:tr>
      <w:tr w:rsidR="007A40AC" w:rsidRPr="00AB0640" w14:paraId="4C99C41B" w14:textId="77777777" w:rsidTr="0065379D">
        <w:tc>
          <w:tcPr>
            <w:tcW w:w="5000" w:type="pct"/>
            <w:gridSpan w:val="5"/>
            <w:vAlign w:val="center"/>
          </w:tcPr>
          <w:p w14:paraId="620DF5C0" w14:textId="77777777" w:rsidR="007A40AC" w:rsidRPr="00AB0640" w:rsidRDefault="007A40AC" w:rsidP="008028C6">
            <w:pPr>
              <w:pStyle w:val="In-tableHeading"/>
              <w:rPr>
                <w:lang w:val="en-AU"/>
              </w:rPr>
            </w:pPr>
            <w:r w:rsidRPr="00AB0640">
              <w:rPr>
                <w:lang w:val="en-AU"/>
              </w:rPr>
              <w:t>Step 4: Include AE costs</w:t>
            </w:r>
          </w:p>
        </w:tc>
      </w:tr>
      <w:tr w:rsidR="007A40AC" w:rsidRPr="00AB0640" w14:paraId="247E6674" w14:textId="77777777" w:rsidTr="0065379D">
        <w:tc>
          <w:tcPr>
            <w:tcW w:w="1569" w:type="pct"/>
            <w:vAlign w:val="center"/>
          </w:tcPr>
          <w:p w14:paraId="4205153A" w14:textId="77777777" w:rsidR="007A40AC" w:rsidRPr="00AB0640" w:rsidRDefault="007A40AC" w:rsidP="008028C6">
            <w:pPr>
              <w:pStyle w:val="TableText0"/>
              <w:rPr>
                <w:rFonts w:ascii="Times" w:hAnsi="Times"/>
              </w:rPr>
            </w:pPr>
            <w:r w:rsidRPr="00AB0640">
              <w:t>Costs</w:t>
            </w:r>
          </w:p>
        </w:tc>
        <w:tc>
          <w:tcPr>
            <w:tcW w:w="1319" w:type="pct"/>
          </w:tcPr>
          <w:p w14:paraId="580C2E9B" w14:textId="2CDA1F2B" w:rsidR="007A40AC" w:rsidRPr="00AB0640" w:rsidRDefault="007A40AC" w:rsidP="008028C6">
            <w:pPr>
              <w:pStyle w:val="TableText0"/>
              <w:jc w:val="center"/>
              <w:rPr>
                <w:rFonts w:ascii="Times" w:hAnsi="Times"/>
              </w:rPr>
            </w:pPr>
            <w:r w:rsidRPr="00AB0640">
              <w:t>$</w:t>
            </w:r>
            <w:r w:rsidR="001F43CD" w:rsidRPr="001F43CD">
              <w:rPr>
                <w:highlight w:val="black"/>
              </w:rPr>
              <w:t>@@@@</w:t>
            </w:r>
          </w:p>
        </w:tc>
        <w:tc>
          <w:tcPr>
            <w:tcW w:w="1274" w:type="pct"/>
            <w:gridSpan w:val="2"/>
          </w:tcPr>
          <w:p w14:paraId="6664D6A9" w14:textId="77777777" w:rsidR="007A40AC" w:rsidRPr="00AB0640" w:rsidRDefault="007A40AC" w:rsidP="008028C6">
            <w:pPr>
              <w:pStyle w:val="TableText0"/>
              <w:jc w:val="center"/>
              <w:rPr>
                <w:rFonts w:ascii="Times" w:hAnsi="Times"/>
              </w:rPr>
            </w:pPr>
            <w:r w:rsidRPr="00AB0640">
              <w:t>$91,049</w:t>
            </w:r>
          </w:p>
        </w:tc>
        <w:tc>
          <w:tcPr>
            <w:tcW w:w="838" w:type="pct"/>
          </w:tcPr>
          <w:p w14:paraId="458BEFE1" w14:textId="2DFDE6D6" w:rsidR="007A40AC" w:rsidRPr="00AB0640" w:rsidRDefault="007A40AC" w:rsidP="008028C6">
            <w:pPr>
              <w:pStyle w:val="TableText0"/>
              <w:jc w:val="center"/>
              <w:rPr>
                <w:rFonts w:ascii="Times" w:hAnsi="Times"/>
              </w:rPr>
            </w:pPr>
            <w:r w:rsidRPr="00AB0640">
              <w:t>$</w:t>
            </w:r>
            <w:r w:rsidR="001F43CD" w:rsidRPr="001F43CD">
              <w:rPr>
                <w:highlight w:val="black"/>
              </w:rPr>
              <w:t>@@@@</w:t>
            </w:r>
          </w:p>
        </w:tc>
      </w:tr>
      <w:tr w:rsidR="007A40AC" w:rsidRPr="00AB0640" w14:paraId="7AD05638" w14:textId="77777777" w:rsidTr="0065379D">
        <w:tc>
          <w:tcPr>
            <w:tcW w:w="1569" w:type="pct"/>
            <w:vAlign w:val="center"/>
          </w:tcPr>
          <w:p w14:paraId="202D3035" w14:textId="77777777" w:rsidR="007A40AC" w:rsidRPr="00AB0640" w:rsidRDefault="007A40AC" w:rsidP="008028C6">
            <w:pPr>
              <w:pStyle w:val="TableText0"/>
              <w:rPr>
                <w:rFonts w:ascii="Times" w:hAnsi="Times"/>
              </w:rPr>
            </w:pPr>
            <w:r w:rsidRPr="00AB0640">
              <w:t>LYG</w:t>
            </w:r>
          </w:p>
        </w:tc>
        <w:tc>
          <w:tcPr>
            <w:tcW w:w="1319" w:type="pct"/>
            <w:vAlign w:val="center"/>
          </w:tcPr>
          <w:p w14:paraId="009F2059" w14:textId="4BC0BA5B" w:rsidR="007A40AC" w:rsidRPr="00870FD7" w:rsidRDefault="001F43CD" w:rsidP="008028C6">
            <w:pPr>
              <w:pStyle w:val="TableText0"/>
              <w:jc w:val="center"/>
              <w:rPr>
                <w:rFonts w:ascii="Times" w:hAnsi="Times"/>
                <w:highlight w:val="darkGray"/>
              </w:rPr>
            </w:pPr>
            <w:r w:rsidRPr="001F43CD">
              <w:rPr>
                <w:sz w:val="19"/>
                <w:szCs w:val="19"/>
                <w:highlight w:val="black"/>
              </w:rPr>
              <w:t>@@@@</w:t>
            </w:r>
          </w:p>
        </w:tc>
        <w:tc>
          <w:tcPr>
            <w:tcW w:w="1274" w:type="pct"/>
            <w:gridSpan w:val="2"/>
            <w:vAlign w:val="center"/>
          </w:tcPr>
          <w:p w14:paraId="73A8A78F" w14:textId="6CFF9D7F" w:rsidR="007A40AC" w:rsidRPr="00870FD7" w:rsidRDefault="001F43CD" w:rsidP="008028C6">
            <w:pPr>
              <w:pStyle w:val="TableText0"/>
              <w:jc w:val="center"/>
              <w:rPr>
                <w:rFonts w:ascii="Times" w:hAnsi="Times"/>
                <w:highlight w:val="darkGray"/>
              </w:rPr>
            </w:pPr>
            <w:r w:rsidRPr="001F43CD">
              <w:rPr>
                <w:sz w:val="19"/>
                <w:szCs w:val="19"/>
                <w:highlight w:val="black"/>
              </w:rPr>
              <w:t>@@@@</w:t>
            </w:r>
          </w:p>
        </w:tc>
        <w:tc>
          <w:tcPr>
            <w:tcW w:w="838" w:type="pct"/>
            <w:vAlign w:val="center"/>
          </w:tcPr>
          <w:p w14:paraId="2830FFC1" w14:textId="2482740C" w:rsidR="007A40AC" w:rsidRPr="00870FD7" w:rsidRDefault="001F43CD" w:rsidP="008028C6">
            <w:pPr>
              <w:pStyle w:val="TableText0"/>
              <w:jc w:val="center"/>
              <w:rPr>
                <w:highlight w:val="darkGray"/>
              </w:rPr>
            </w:pPr>
            <w:r w:rsidRPr="001F43CD">
              <w:rPr>
                <w:sz w:val="19"/>
                <w:szCs w:val="19"/>
                <w:highlight w:val="black"/>
              </w:rPr>
              <w:t>@@@@</w:t>
            </w:r>
          </w:p>
        </w:tc>
      </w:tr>
      <w:tr w:rsidR="007A40AC" w:rsidRPr="00AB0640" w14:paraId="46D395AD" w14:textId="77777777" w:rsidTr="0065379D">
        <w:tc>
          <w:tcPr>
            <w:tcW w:w="4162" w:type="pct"/>
            <w:gridSpan w:val="4"/>
            <w:vAlign w:val="center"/>
          </w:tcPr>
          <w:p w14:paraId="25888AA5" w14:textId="77777777" w:rsidR="007A40AC" w:rsidRPr="00AB0640" w:rsidRDefault="007A40AC" w:rsidP="008028C6">
            <w:pPr>
              <w:pStyle w:val="TableText0"/>
              <w:rPr>
                <w:rFonts w:ascii="Times" w:hAnsi="Times"/>
              </w:rPr>
            </w:pPr>
            <w:r w:rsidRPr="00AB0640">
              <w:t>Incremental cost/life year gained</w:t>
            </w:r>
          </w:p>
        </w:tc>
        <w:tc>
          <w:tcPr>
            <w:tcW w:w="838" w:type="pct"/>
            <w:vAlign w:val="center"/>
          </w:tcPr>
          <w:p w14:paraId="023BAFCA" w14:textId="20C007DA" w:rsidR="007A40AC" w:rsidRPr="00AB0640" w:rsidRDefault="007A40AC" w:rsidP="008028C6">
            <w:pPr>
              <w:pStyle w:val="TableText0"/>
              <w:jc w:val="center"/>
              <w:rPr>
                <w:rFonts w:ascii="Times" w:hAnsi="Times"/>
              </w:rPr>
            </w:pPr>
            <w:r w:rsidRPr="00AB0640">
              <w:rPr>
                <w:sz w:val="19"/>
                <w:szCs w:val="19"/>
              </w:rPr>
              <w:t>$</w:t>
            </w:r>
            <w:r w:rsidR="001F43CD" w:rsidRPr="001F43CD">
              <w:rPr>
                <w:sz w:val="19"/>
                <w:szCs w:val="19"/>
                <w:highlight w:val="black"/>
              </w:rPr>
              <w:t>@@@@</w:t>
            </w:r>
            <w:r w:rsidR="00870FD7">
              <w:rPr>
                <w:sz w:val="19"/>
                <w:szCs w:val="19"/>
                <w:vertAlign w:val="superscript"/>
              </w:rPr>
              <w:t>2</w:t>
            </w:r>
          </w:p>
        </w:tc>
      </w:tr>
      <w:tr w:rsidR="007A40AC" w:rsidRPr="00AB0640" w14:paraId="335B0F4A" w14:textId="77777777" w:rsidTr="0065379D">
        <w:tc>
          <w:tcPr>
            <w:tcW w:w="5000" w:type="pct"/>
            <w:gridSpan w:val="5"/>
            <w:vAlign w:val="center"/>
          </w:tcPr>
          <w:p w14:paraId="3E21D7A8" w14:textId="77777777" w:rsidR="007A40AC" w:rsidRPr="00AB0640" w:rsidRDefault="007A40AC" w:rsidP="008028C6">
            <w:pPr>
              <w:pStyle w:val="In-tableHeading"/>
              <w:rPr>
                <w:lang w:val="en-AU"/>
              </w:rPr>
            </w:pPr>
            <w:r w:rsidRPr="00AB0640">
              <w:rPr>
                <w:lang w:val="en-AU"/>
              </w:rPr>
              <w:t>Step 5: Extrapolate survival and costs to lifetime time horizon</w:t>
            </w:r>
          </w:p>
        </w:tc>
      </w:tr>
      <w:tr w:rsidR="007A40AC" w:rsidRPr="00AB0640" w14:paraId="571B43A8" w14:textId="77777777" w:rsidTr="0065379D">
        <w:tc>
          <w:tcPr>
            <w:tcW w:w="1569" w:type="pct"/>
            <w:vAlign w:val="center"/>
          </w:tcPr>
          <w:p w14:paraId="476659C2" w14:textId="77777777" w:rsidR="007A40AC" w:rsidRPr="00AB0640" w:rsidRDefault="007A40AC" w:rsidP="008028C6">
            <w:pPr>
              <w:pStyle w:val="TableText0"/>
              <w:rPr>
                <w:rFonts w:ascii="Times" w:hAnsi="Times"/>
              </w:rPr>
            </w:pPr>
            <w:r w:rsidRPr="00AB0640">
              <w:t>Costs</w:t>
            </w:r>
          </w:p>
        </w:tc>
        <w:tc>
          <w:tcPr>
            <w:tcW w:w="1319" w:type="pct"/>
          </w:tcPr>
          <w:p w14:paraId="3C8E3314" w14:textId="6B721E0F" w:rsidR="007A40AC" w:rsidRPr="00AB0640" w:rsidRDefault="007A40AC" w:rsidP="008028C6">
            <w:pPr>
              <w:pStyle w:val="TableText0"/>
              <w:jc w:val="center"/>
              <w:rPr>
                <w:rFonts w:ascii="Times" w:hAnsi="Times"/>
              </w:rPr>
            </w:pPr>
            <w:r w:rsidRPr="00AB0640">
              <w:t>$</w:t>
            </w:r>
            <w:r w:rsidR="001F43CD" w:rsidRPr="001F43CD">
              <w:rPr>
                <w:highlight w:val="black"/>
              </w:rPr>
              <w:t>@@@@</w:t>
            </w:r>
          </w:p>
        </w:tc>
        <w:tc>
          <w:tcPr>
            <w:tcW w:w="1274" w:type="pct"/>
            <w:gridSpan w:val="2"/>
          </w:tcPr>
          <w:p w14:paraId="364A6AAC" w14:textId="77777777" w:rsidR="007A40AC" w:rsidRPr="00AB0640" w:rsidRDefault="007A40AC" w:rsidP="008028C6">
            <w:pPr>
              <w:pStyle w:val="TableText0"/>
              <w:jc w:val="center"/>
              <w:rPr>
                <w:rFonts w:ascii="Times" w:hAnsi="Times"/>
              </w:rPr>
            </w:pPr>
            <w:r w:rsidRPr="00AB0640">
              <w:t>$546,625</w:t>
            </w:r>
          </w:p>
        </w:tc>
        <w:tc>
          <w:tcPr>
            <w:tcW w:w="838" w:type="pct"/>
          </w:tcPr>
          <w:p w14:paraId="5FEB0B3E" w14:textId="304B119F" w:rsidR="007A40AC" w:rsidRPr="00AB0640" w:rsidRDefault="007A40AC" w:rsidP="008028C6">
            <w:pPr>
              <w:pStyle w:val="TableText0"/>
              <w:jc w:val="center"/>
              <w:rPr>
                <w:rFonts w:ascii="Times" w:hAnsi="Times"/>
              </w:rPr>
            </w:pPr>
            <w:r w:rsidRPr="00AB0640">
              <w:t>$</w:t>
            </w:r>
            <w:r w:rsidR="001F43CD" w:rsidRPr="001F43CD">
              <w:rPr>
                <w:highlight w:val="black"/>
              </w:rPr>
              <w:t>@@@@</w:t>
            </w:r>
          </w:p>
        </w:tc>
      </w:tr>
      <w:tr w:rsidR="007A40AC" w:rsidRPr="00AB0640" w14:paraId="79D4A2C6" w14:textId="77777777" w:rsidTr="0065379D">
        <w:tc>
          <w:tcPr>
            <w:tcW w:w="1569" w:type="pct"/>
            <w:vAlign w:val="center"/>
          </w:tcPr>
          <w:p w14:paraId="4BFF60B8" w14:textId="77777777" w:rsidR="007A40AC" w:rsidRPr="00AB0640" w:rsidRDefault="007A40AC" w:rsidP="008028C6">
            <w:pPr>
              <w:pStyle w:val="TableText0"/>
              <w:rPr>
                <w:rFonts w:ascii="Times" w:hAnsi="Times"/>
              </w:rPr>
            </w:pPr>
            <w:r w:rsidRPr="00AB0640">
              <w:t>LYG</w:t>
            </w:r>
          </w:p>
        </w:tc>
        <w:tc>
          <w:tcPr>
            <w:tcW w:w="1319" w:type="pct"/>
          </w:tcPr>
          <w:p w14:paraId="1F2E40C6" w14:textId="6A272B37" w:rsidR="007A40AC" w:rsidRPr="00870FD7" w:rsidRDefault="001F43CD" w:rsidP="008028C6">
            <w:pPr>
              <w:pStyle w:val="TableText0"/>
              <w:jc w:val="center"/>
              <w:rPr>
                <w:rFonts w:ascii="Times" w:hAnsi="Times"/>
                <w:highlight w:val="darkGray"/>
              </w:rPr>
            </w:pPr>
            <w:r w:rsidRPr="001F43CD">
              <w:rPr>
                <w:highlight w:val="black"/>
              </w:rPr>
              <w:t>@@@@</w:t>
            </w:r>
          </w:p>
        </w:tc>
        <w:tc>
          <w:tcPr>
            <w:tcW w:w="1274" w:type="pct"/>
            <w:gridSpan w:val="2"/>
          </w:tcPr>
          <w:p w14:paraId="4C779BCF" w14:textId="70A1CFB4" w:rsidR="007A40AC" w:rsidRPr="00870FD7" w:rsidRDefault="001F43CD" w:rsidP="008028C6">
            <w:pPr>
              <w:pStyle w:val="TableText0"/>
              <w:jc w:val="center"/>
              <w:rPr>
                <w:rFonts w:ascii="Times" w:hAnsi="Times"/>
                <w:highlight w:val="darkGray"/>
              </w:rPr>
            </w:pPr>
            <w:r w:rsidRPr="001F43CD">
              <w:rPr>
                <w:highlight w:val="black"/>
              </w:rPr>
              <w:t>@@@@</w:t>
            </w:r>
          </w:p>
        </w:tc>
        <w:tc>
          <w:tcPr>
            <w:tcW w:w="838" w:type="pct"/>
          </w:tcPr>
          <w:p w14:paraId="23A130AA" w14:textId="393F05DA" w:rsidR="007A40AC" w:rsidRPr="00870FD7" w:rsidRDefault="001F43CD" w:rsidP="008028C6">
            <w:pPr>
              <w:pStyle w:val="TableText0"/>
              <w:jc w:val="center"/>
              <w:rPr>
                <w:highlight w:val="darkGray"/>
              </w:rPr>
            </w:pPr>
            <w:r w:rsidRPr="001F43CD">
              <w:rPr>
                <w:highlight w:val="black"/>
              </w:rPr>
              <w:t>@@@@</w:t>
            </w:r>
          </w:p>
        </w:tc>
      </w:tr>
      <w:tr w:rsidR="007A40AC" w:rsidRPr="00AB0640" w14:paraId="2EAE5CDA" w14:textId="77777777" w:rsidTr="0065379D">
        <w:tc>
          <w:tcPr>
            <w:tcW w:w="4162" w:type="pct"/>
            <w:gridSpan w:val="4"/>
            <w:vAlign w:val="center"/>
          </w:tcPr>
          <w:p w14:paraId="6D758EE5" w14:textId="77777777" w:rsidR="007A40AC" w:rsidRPr="00AB0640" w:rsidRDefault="007A40AC" w:rsidP="008028C6">
            <w:pPr>
              <w:pStyle w:val="TableText0"/>
              <w:rPr>
                <w:rFonts w:ascii="Times" w:hAnsi="Times"/>
              </w:rPr>
            </w:pPr>
            <w:r w:rsidRPr="00AB0640">
              <w:t>Incremental cost/life year gained</w:t>
            </w:r>
          </w:p>
        </w:tc>
        <w:tc>
          <w:tcPr>
            <w:tcW w:w="838" w:type="pct"/>
            <w:vAlign w:val="center"/>
          </w:tcPr>
          <w:p w14:paraId="51F7E8E4" w14:textId="6F36D7D0" w:rsidR="007A40AC" w:rsidRPr="00AB0640" w:rsidRDefault="007A40AC" w:rsidP="008028C6">
            <w:pPr>
              <w:pStyle w:val="TableText0"/>
              <w:jc w:val="center"/>
              <w:rPr>
                <w:rFonts w:ascii="Times" w:hAnsi="Times"/>
              </w:rPr>
            </w:pPr>
            <w:r w:rsidRPr="00AB0640">
              <w:rPr>
                <w:sz w:val="19"/>
                <w:szCs w:val="19"/>
              </w:rPr>
              <w:t>$</w:t>
            </w:r>
            <w:r w:rsidR="001F43CD" w:rsidRPr="001F43CD">
              <w:rPr>
                <w:sz w:val="19"/>
                <w:szCs w:val="19"/>
                <w:highlight w:val="black"/>
              </w:rPr>
              <w:t>@@@@</w:t>
            </w:r>
            <w:r w:rsidR="00870FD7">
              <w:rPr>
                <w:sz w:val="19"/>
                <w:szCs w:val="19"/>
                <w:vertAlign w:val="superscript"/>
              </w:rPr>
              <w:t>3</w:t>
            </w:r>
          </w:p>
        </w:tc>
      </w:tr>
      <w:tr w:rsidR="007A40AC" w:rsidRPr="00AB0640" w14:paraId="68CEFECF" w14:textId="77777777" w:rsidTr="0065379D">
        <w:tc>
          <w:tcPr>
            <w:tcW w:w="4162" w:type="pct"/>
            <w:gridSpan w:val="4"/>
            <w:vAlign w:val="center"/>
          </w:tcPr>
          <w:p w14:paraId="722CF1DB" w14:textId="77777777" w:rsidR="007A40AC" w:rsidRPr="00AB0640" w:rsidRDefault="007A40AC" w:rsidP="008028C6">
            <w:pPr>
              <w:pStyle w:val="TableText0"/>
              <w:rPr>
                <w:b/>
                <w:bCs w:val="0"/>
              </w:rPr>
            </w:pPr>
            <w:r w:rsidRPr="00AB0640">
              <w:rPr>
                <w:b/>
                <w:bCs w:val="0"/>
              </w:rPr>
              <w:t>Step 6: Apply utility weights to life years</w:t>
            </w:r>
          </w:p>
        </w:tc>
        <w:tc>
          <w:tcPr>
            <w:tcW w:w="838" w:type="pct"/>
            <w:vAlign w:val="center"/>
          </w:tcPr>
          <w:p w14:paraId="41475685" w14:textId="77777777" w:rsidR="007A40AC" w:rsidRPr="00AB0640" w:rsidRDefault="007A40AC" w:rsidP="008028C6">
            <w:pPr>
              <w:pStyle w:val="TableText0"/>
              <w:rPr>
                <w:sz w:val="19"/>
                <w:szCs w:val="19"/>
              </w:rPr>
            </w:pPr>
          </w:p>
        </w:tc>
      </w:tr>
      <w:tr w:rsidR="007A40AC" w:rsidRPr="00AB0640" w14:paraId="0D946B35" w14:textId="77777777" w:rsidTr="0065379D">
        <w:tc>
          <w:tcPr>
            <w:tcW w:w="1569" w:type="pct"/>
            <w:vAlign w:val="center"/>
          </w:tcPr>
          <w:p w14:paraId="68124AE0" w14:textId="77777777" w:rsidR="007A40AC" w:rsidRPr="00AB0640" w:rsidRDefault="007A40AC" w:rsidP="008028C6">
            <w:pPr>
              <w:pStyle w:val="TableText0"/>
            </w:pPr>
            <w:r w:rsidRPr="00AB0640">
              <w:t>Costs</w:t>
            </w:r>
          </w:p>
        </w:tc>
        <w:tc>
          <w:tcPr>
            <w:tcW w:w="1336" w:type="pct"/>
            <w:gridSpan w:val="2"/>
          </w:tcPr>
          <w:p w14:paraId="20CF60FF" w14:textId="3C98EA9C" w:rsidR="007A40AC" w:rsidRPr="00AB0640" w:rsidRDefault="007A40AC" w:rsidP="008028C6">
            <w:pPr>
              <w:pStyle w:val="TableText0"/>
              <w:jc w:val="center"/>
            </w:pPr>
            <w:r w:rsidRPr="00AB0640">
              <w:t>$</w:t>
            </w:r>
            <w:r w:rsidR="001F43CD" w:rsidRPr="001F43CD">
              <w:rPr>
                <w:highlight w:val="black"/>
              </w:rPr>
              <w:t>@@@@</w:t>
            </w:r>
          </w:p>
        </w:tc>
        <w:tc>
          <w:tcPr>
            <w:tcW w:w="1257" w:type="pct"/>
          </w:tcPr>
          <w:p w14:paraId="4EC8E682" w14:textId="77777777" w:rsidR="007A40AC" w:rsidRPr="00AB0640" w:rsidRDefault="007A40AC" w:rsidP="008028C6">
            <w:pPr>
              <w:pStyle w:val="TableText0"/>
              <w:jc w:val="center"/>
            </w:pPr>
            <w:r w:rsidRPr="00AB0640">
              <w:t>$546,625</w:t>
            </w:r>
          </w:p>
        </w:tc>
        <w:tc>
          <w:tcPr>
            <w:tcW w:w="838" w:type="pct"/>
          </w:tcPr>
          <w:p w14:paraId="0C3FFB32" w14:textId="6424FCE0" w:rsidR="007A40AC" w:rsidRPr="00AB0640" w:rsidRDefault="007A40AC" w:rsidP="008028C6">
            <w:pPr>
              <w:pStyle w:val="TableText0"/>
              <w:jc w:val="center"/>
              <w:rPr>
                <w:sz w:val="19"/>
                <w:szCs w:val="19"/>
              </w:rPr>
            </w:pPr>
            <w:r w:rsidRPr="00AB0640">
              <w:t>$</w:t>
            </w:r>
            <w:r w:rsidR="001F43CD" w:rsidRPr="001F43CD">
              <w:rPr>
                <w:highlight w:val="black"/>
              </w:rPr>
              <w:t>@@@@</w:t>
            </w:r>
          </w:p>
        </w:tc>
      </w:tr>
      <w:tr w:rsidR="007A40AC" w:rsidRPr="00AB0640" w14:paraId="1A7CB6A5" w14:textId="77777777" w:rsidTr="0065379D">
        <w:tc>
          <w:tcPr>
            <w:tcW w:w="1569" w:type="pct"/>
            <w:vAlign w:val="center"/>
          </w:tcPr>
          <w:p w14:paraId="11E19305" w14:textId="77777777" w:rsidR="007A40AC" w:rsidRPr="00AB0640" w:rsidRDefault="007A40AC" w:rsidP="008028C6">
            <w:pPr>
              <w:pStyle w:val="TableText0"/>
            </w:pPr>
            <w:r w:rsidRPr="00AB0640">
              <w:t>QALYs</w:t>
            </w:r>
          </w:p>
        </w:tc>
        <w:tc>
          <w:tcPr>
            <w:tcW w:w="1336" w:type="pct"/>
            <w:gridSpan w:val="2"/>
          </w:tcPr>
          <w:p w14:paraId="15D1D43A" w14:textId="554B03B9" w:rsidR="007A40AC" w:rsidRPr="00870FD7" w:rsidRDefault="001F43CD" w:rsidP="008028C6">
            <w:pPr>
              <w:pStyle w:val="TableText0"/>
              <w:jc w:val="center"/>
              <w:rPr>
                <w:highlight w:val="darkGray"/>
              </w:rPr>
            </w:pPr>
            <w:r w:rsidRPr="001F43CD">
              <w:rPr>
                <w:highlight w:val="black"/>
              </w:rPr>
              <w:t>@@@@</w:t>
            </w:r>
          </w:p>
        </w:tc>
        <w:tc>
          <w:tcPr>
            <w:tcW w:w="1257" w:type="pct"/>
          </w:tcPr>
          <w:p w14:paraId="2DC76B65" w14:textId="18803495" w:rsidR="007A40AC" w:rsidRPr="00870FD7" w:rsidRDefault="001F43CD" w:rsidP="008028C6">
            <w:pPr>
              <w:pStyle w:val="TableText0"/>
              <w:jc w:val="center"/>
              <w:rPr>
                <w:highlight w:val="darkGray"/>
              </w:rPr>
            </w:pPr>
            <w:r w:rsidRPr="001F43CD">
              <w:rPr>
                <w:highlight w:val="black"/>
              </w:rPr>
              <w:t>@@@@</w:t>
            </w:r>
          </w:p>
        </w:tc>
        <w:tc>
          <w:tcPr>
            <w:tcW w:w="838" w:type="pct"/>
          </w:tcPr>
          <w:p w14:paraId="566FCF9E" w14:textId="585931F6" w:rsidR="007A40AC" w:rsidRPr="00870FD7" w:rsidRDefault="001F43CD" w:rsidP="008028C6">
            <w:pPr>
              <w:pStyle w:val="TableText0"/>
              <w:jc w:val="center"/>
              <w:rPr>
                <w:sz w:val="19"/>
                <w:szCs w:val="19"/>
                <w:highlight w:val="darkGray"/>
              </w:rPr>
            </w:pPr>
            <w:r w:rsidRPr="001F43CD">
              <w:rPr>
                <w:highlight w:val="black"/>
              </w:rPr>
              <w:t>@@@@</w:t>
            </w:r>
          </w:p>
        </w:tc>
      </w:tr>
      <w:tr w:rsidR="007A40AC" w:rsidRPr="00AB0640" w14:paraId="0A147D10" w14:textId="77777777" w:rsidTr="0065379D">
        <w:tc>
          <w:tcPr>
            <w:tcW w:w="4162" w:type="pct"/>
            <w:gridSpan w:val="4"/>
            <w:vAlign w:val="center"/>
          </w:tcPr>
          <w:p w14:paraId="3D778E0A" w14:textId="77777777" w:rsidR="007A40AC" w:rsidRPr="00AB0640" w:rsidRDefault="007A40AC" w:rsidP="008028C6">
            <w:pPr>
              <w:pStyle w:val="TableText0"/>
            </w:pPr>
            <w:r w:rsidRPr="00AB0640">
              <w:rPr>
                <w:b/>
                <w:bCs w:val="0"/>
              </w:rPr>
              <w:t>Incremental cost/extra QALY gained (base case)</w:t>
            </w:r>
          </w:p>
        </w:tc>
        <w:tc>
          <w:tcPr>
            <w:tcW w:w="838" w:type="pct"/>
            <w:vAlign w:val="center"/>
          </w:tcPr>
          <w:p w14:paraId="2E90F505" w14:textId="280C02AE" w:rsidR="007A40AC" w:rsidRPr="00AB0640" w:rsidRDefault="007A40AC" w:rsidP="008028C6">
            <w:pPr>
              <w:pStyle w:val="TableText0"/>
              <w:jc w:val="center"/>
            </w:pPr>
            <w:r w:rsidRPr="00AB0640">
              <w:rPr>
                <w:b/>
                <w:bCs w:val="0"/>
                <w:sz w:val="19"/>
                <w:szCs w:val="19"/>
              </w:rPr>
              <w:t>$</w:t>
            </w:r>
            <w:r w:rsidR="001F43CD" w:rsidRPr="001F43CD">
              <w:rPr>
                <w:b/>
                <w:bCs w:val="0"/>
                <w:sz w:val="19"/>
                <w:szCs w:val="19"/>
                <w:highlight w:val="black"/>
              </w:rPr>
              <w:t>@@@@</w:t>
            </w:r>
            <w:r w:rsidR="00870FD7">
              <w:rPr>
                <w:sz w:val="19"/>
                <w:szCs w:val="19"/>
                <w:vertAlign w:val="superscript"/>
              </w:rPr>
              <w:t>3</w:t>
            </w:r>
          </w:p>
        </w:tc>
      </w:tr>
      <w:tr w:rsidR="007A40AC" w:rsidRPr="00AB0640" w14:paraId="7AE29FF7" w14:textId="77777777" w:rsidTr="0065379D">
        <w:tc>
          <w:tcPr>
            <w:tcW w:w="5000" w:type="pct"/>
            <w:gridSpan w:val="5"/>
            <w:shd w:val="clear" w:color="auto" w:fill="B8CCE4" w:themeFill="accent1" w:themeFillTint="66"/>
            <w:vAlign w:val="center"/>
          </w:tcPr>
          <w:p w14:paraId="4F0E83C9" w14:textId="77777777" w:rsidR="007A40AC" w:rsidRPr="00AB0640" w:rsidRDefault="007A40AC" w:rsidP="008028C6">
            <w:pPr>
              <w:pStyle w:val="TableText0"/>
              <w:rPr>
                <w:b/>
                <w:bCs w:val="0"/>
                <w:vertAlign w:val="superscript"/>
              </w:rPr>
            </w:pPr>
            <w:r w:rsidRPr="00AB0640">
              <w:rPr>
                <w:b/>
                <w:bCs w:val="0"/>
              </w:rPr>
              <w:t xml:space="preserve">Previous submission </w:t>
            </w:r>
            <w:r w:rsidRPr="00AB0640">
              <w:rPr>
                <w:b/>
                <w:bCs w:val="0"/>
                <w:vertAlign w:val="superscript"/>
              </w:rPr>
              <w:t>c</w:t>
            </w:r>
          </w:p>
        </w:tc>
      </w:tr>
      <w:tr w:rsidR="007A40AC" w:rsidRPr="00AB0640" w14:paraId="777734C3" w14:textId="77777777" w:rsidTr="0065379D">
        <w:tc>
          <w:tcPr>
            <w:tcW w:w="1569" w:type="pct"/>
            <w:shd w:val="clear" w:color="auto" w:fill="B8CCE4" w:themeFill="accent1" w:themeFillTint="66"/>
            <w:vAlign w:val="center"/>
          </w:tcPr>
          <w:p w14:paraId="631FC0C9" w14:textId="77777777" w:rsidR="007A40AC" w:rsidRPr="00AB0640" w:rsidRDefault="007A40AC" w:rsidP="008028C6">
            <w:pPr>
              <w:pStyle w:val="TableText0"/>
            </w:pPr>
            <w:r w:rsidRPr="00AB0640">
              <w:t>Costs</w:t>
            </w:r>
          </w:p>
        </w:tc>
        <w:tc>
          <w:tcPr>
            <w:tcW w:w="1336" w:type="pct"/>
            <w:gridSpan w:val="2"/>
            <w:shd w:val="clear" w:color="auto" w:fill="B8CCE4" w:themeFill="accent1" w:themeFillTint="66"/>
          </w:tcPr>
          <w:p w14:paraId="5433DB2D" w14:textId="09F28A4C" w:rsidR="007A40AC" w:rsidRPr="00AB0640" w:rsidRDefault="007A40AC" w:rsidP="008028C6">
            <w:pPr>
              <w:pStyle w:val="TableText0"/>
              <w:jc w:val="center"/>
            </w:pPr>
            <w:r w:rsidRPr="00AB0640">
              <w:t>$</w:t>
            </w:r>
            <w:r w:rsidR="001F43CD" w:rsidRPr="001F43CD">
              <w:rPr>
                <w:highlight w:val="black"/>
              </w:rPr>
              <w:t>@@@@</w:t>
            </w:r>
          </w:p>
        </w:tc>
        <w:tc>
          <w:tcPr>
            <w:tcW w:w="1257" w:type="pct"/>
            <w:shd w:val="clear" w:color="auto" w:fill="B8CCE4" w:themeFill="accent1" w:themeFillTint="66"/>
          </w:tcPr>
          <w:p w14:paraId="646C265C" w14:textId="77777777" w:rsidR="007A40AC" w:rsidRPr="00AB0640" w:rsidRDefault="007A40AC" w:rsidP="008028C6">
            <w:pPr>
              <w:pStyle w:val="TableText0"/>
              <w:jc w:val="center"/>
            </w:pPr>
            <w:r w:rsidRPr="00AB0640">
              <w:t>$646,846</w:t>
            </w:r>
          </w:p>
        </w:tc>
        <w:tc>
          <w:tcPr>
            <w:tcW w:w="838" w:type="pct"/>
            <w:shd w:val="clear" w:color="auto" w:fill="B8CCE4" w:themeFill="accent1" w:themeFillTint="66"/>
          </w:tcPr>
          <w:p w14:paraId="24088F89" w14:textId="5D793C6B" w:rsidR="007A40AC" w:rsidRPr="00AB0640" w:rsidRDefault="007A40AC" w:rsidP="008028C6">
            <w:pPr>
              <w:pStyle w:val="TableText0"/>
              <w:jc w:val="center"/>
            </w:pPr>
            <w:r w:rsidRPr="00AB0640">
              <w:t>$</w:t>
            </w:r>
            <w:r w:rsidR="001F43CD" w:rsidRPr="001F43CD">
              <w:rPr>
                <w:highlight w:val="black"/>
              </w:rPr>
              <w:t>@@@@</w:t>
            </w:r>
          </w:p>
        </w:tc>
      </w:tr>
      <w:tr w:rsidR="007A40AC" w:rsidRPr="00AB0640" w14:paraId="08871678" w14:textId="77777777" w:rsidTr="0065379D">
        <w:tc>
          <w:tcPr>
            <w:tcW w:w="1569" w:type="pct"/>
            <w:shd w:val="clear" w:color="auto" w:fill="B8CCE4" w:themeFill="accent1" w:themeFillTint="66"/>
            <w:vAlign w:val="center"/>
          </w:tcPr>
          <w:p w14:paraId="33300D4F" w14:textId="77777777" w:rsidR="007A40AC" w:rsidRPr="00AB0640" w:rsidRDefault="007A40AC" w:rsidP="008028C6">
            <w:pPr>
              <w:pStyle w:val="TableText0"/>
            </w:pPr>
            <w:r w:rsidRPr="00AB0640">
              <w:t>QALYs</w:t>
            </w:r>
          </w:p>
        </w:tc>
        <w:tc>
          <w:tcPr>
            <w:tcW w:w="1336" w:type="pct"/>
            <w:gridSpan w:val="2"/>
            <w:shd w:val="clear" w:color="auto" w:fill="B8CCE4" w:themeFill="accent1" w:themeFillTint="66"/>
          </w:tcPr>
          <w:p w14:paraId="557B5BE6" w14:textId="6A9F6BE7" w:rsidR="007A40AC" w:rsidRPr="00870FD7" w:rsidRDefault="001F43CD" w:rsidP="008028C6">
            <w:pPr>
              <w:pStyle w:val="TableText0"/>
              <w:jc w:val="center"/>
              <w:rPr>
                <w:highlight w:val="darkGray"/>
              </w:rPr>
            </w:pPr>
            <w:r w:rsidRPr="001F43CD">
              <w:rPr>
                <w:highlight w:val="black"/>
              </w:rPr>
              <w:t>@@@@</w:t>
            </w:r>
          </w:p>
        </w:tc>
        <w:tc>
          <w:tcPr>
            <w:tcW w:w="1257" w:type="pct"/>
            <w:shd w:val="clear" w:color="auto" w:fill="B8CCE4" w:themeFill="accent1" w:themeFillTint="66"/>
          </w:tcPr>
          <w:p w14:paraId="78817C57" w14:textId="4A15EA48" w:rsidR="007A40AC" w:rsidRPr="00870FD7" w:rsidRDefault="001F43CD" w:rsidP="008028C6">
            <w:pPr>
              <w:pStyle w:val="TableText0"/>
              <w:jc w:val="center"/>
              <w:rPr>
                <w:highlight w:val="darkGray"/>
              </w:rPr>
            </w:pPr>
            <w:r w:rsidRPr="001F43CD">
              <w:rPr>
                <w:highlight w:val="black"/>
              </w:rPr>
              <w:t>@@@@</w:t>
            </w:r>
          </w:p>
        </w:tc>
        <w:tc>
          <w:tcPr>
            <w:tcW w:w="838" w:type="pct"/>
            <w:shd w:val="clear" w:color="auto" w:fill="B8CCE4" w:themeFill="accent1" w:themeFillTint="66"/>
          </w:tcPr>
          <w:p w14:paraId="1A8C0421" w14:textId="618AE072" w:rsidR="007A40AC" w:rsidRPr="00870FD7" w:rsidRDefault="001F43CD" w:rsidP="008028C6">
            <w:pPr>
              <w:pStyle w:val="TableText0"/>
              <w:jc w:val="center"/>
              <w:rPr>
                <w:highlight w:val="darkGray"/>
              </w:rPr>
            </w:pPr>
            <w:r w:rsidRPr="001F43CD">
              <w:rPr>
                <w:highlight w:val="black"/>
              </w:rPr>
              <w:t>@@@@</w:t>
            </w:r>
          </w:p>
        </w:tc>
      </w:tr>
      <w:tr w:rsidR="007A40AC" w:rsidRPr="00AB0640" w14:paraId="19DE2AD1" w14:textId="77777777" w:rsidTr="0065379D">
        <w:tc>
          <w:tcPr>
            <w:tcW w:w="4162" w:type="pct"/>
            <w:gridSpan w:val="4"/>
            <w:shd w:val="clear" w:color="auto" w:fill="B8CCE4" w:themeFill="accent1" w:themeFillTint="66"/>
            <w:vAlign w:val="center"/>
          </w:tcPr>
          <w:p w14:paraId="4175C113" w14:textId="77777777" w:rsidR="007A40AC" w:rsidRPr="00AB0640" w:rsidRDefault="007A40AC" w:rsidP="008028C6">
            <w:pPr>
              <w:pStyle w:val="TableText0"/>
              <w:rPr>
                <w:b/>
                <w:bCs w:val="0"/>
              </w:rPr>
            </w:pPr>
            <w:r w:rsidRPr="00AB0640">
              <w:rPr>
                <w:b/>
                <w:bCs w:val="0"/>
              </w:rPr>
              <w:t>Incremental cost/ extra QALY gained</w:t>
            </w:r>
          </w:p>
        </w:tc>
        <w:tc>
          <w:tcPr>
            <w:tcW w:w="838" w:type="pct"/>
            <w:shd w:val="clear" w:color="auto" w:fill="B8CCE4" w:themeFill="accent1" w:themeFillTint="66"/>
            <w:vAlign w:val="center"/>
          </w:tcPr>
          <w:p w14:paraId="5D7CDAAE" w14:textId="2843EF76" w:rsidR="007A40AC" w:rsidRPr="00AB0640" w:rsidRDefault="007A40AC" w:rsidP="008028C6">
            <w:pPr>
              <w:pStyle w:val="TableText0"/>
              <w:jc w:val="center"/>
              <w:rPr>
                <w:b/>
                <w:bCs w:val="0"/>
                <w:sz w:val="19"/>
                <w:szCs w:val="19"/>
              </w:rPr>
            </w:pPr>
            <w:r w:rsidRPr="00AB0640">
              <w:rPr>
                <w:b/>
                <w:bCs w:val="0"/>
                <w:sz w:val="19"/>
                <w:szCs w:val="19"/>
              </w:rPr>
              <w:t>$</w:t>
            </w:r>
            <w:r w:rsidR="001F43CD" w:rsidRPr="001F43CD">
              <w:rPr>
                <w:b/>
                <w:bCs w:val="0"/>
                <w:sz w:val="19"/>
                <w:szCs w:val="19"/>
                <w:highlight w:val="black"/>
              </w:rPr>
              <w:t>@@@@</w:t>
            </w:r>
            <w:r w:rsidR="00870FD7">
              <w:rPr>
                <w:sz w:val="19"/>
                <w:szCs w:val="19"/>
                <w:vertAlign w:val="superscript"/>
              </w:rPr>
              <w:t>3</w:t>
            </w:r>
          </w:p>
        </w:tc>
      </w:tr>
    </w:tbl>
    <w:p w14:paraId="7B1D5316" w14:textId="4063FF7E" w:rsidR="007A40AC" w:rsidRPr="00AB0640" w:rsidRDefault="007A40AC" w:rsidP="008028C6">
      <w:pPr>
        <w:pStyle w:val="TableFigureFooter"/>
      </w:pPr>
      <w:r w:rsidRPr="00AB0640">
        <w:t xml:space="preserve">Source: Adapted during the evaluation from Table 3.35 of the </w:t>
      </w:r>
      <w:r w:rsidR="0010618F" w:rsidRPr="00AB0640">
        <w:t>re</w:t>
      </w:r>
      <w:r w:rsidRPr="00AB0640">
        <w:t xml:space="preserve">submission, pp 247-249. </w:t>
      </w:r>
    </w:p>
    <w:p w14:paraId="2F0977EB" w14:textId="77777777" w:rsidR="007A40AC" w:rsidRPr="00AB0640" w:rsidRDefault="007A40AC" w:rsidP="008028C6">
      <w:pPr>
        <w:pStyle w:val="TableFigureFooter"/>
      </w:pPr>
      <w:r w:rsidRPr="00AB0640">
        <w:t xml:space="preserve">AE = adverse event; BSC = best supportive care; mFARS = modified Friedreich Ataxia Rating Scale; QALYs = quality-adjusted life-years. </w:t>
      </w:r>
    </w:p>
    <w:p w14:paraId="194A2ED7" w14:textId="77777777" w:rsidR="007A40AC" w:rsidRPr="00AB0640" w:rsidRDefault="007A40AC" w:rsidP="008028C6">
      <w:pPr>
        <w:pStyle w:val="TableFigureFooter"/>
      </w:pPr>
      <w:r w:rsidRPr="00AB0640">
        <w:rPr>
          <w:shd w:val="clear" w:color="auto" w:fill="B8CCE4" w:themeFill="accent1" w:themeFillTint="66"/>
        </w:rPr>
        <w:t>Blue</w:t>
      </w:r>
      <w:r w:rsidRPr="00AB0640">
        <w:rPr>
          <w:shd w:val="clear" w:color="auto" w:fill="C6D9F1" w:themeFill="text2" w:themeFillTint="33"/>
        </w:rPr>
        <w:t xml:space="preserve"> </w:t>
      </w:r>
      <w:r w:rsidRPr="00AB0640">
        <w:t>shading represents results previously considered by the PBAC.</w:t>
      </w:r>
    </w:p>
    <w:p w14:paraId="4DF3B7FC" w14:textId="77777777" w:rsidR="007A40AC" w:rsidRPr="00AB0640" w:rsidRDefault="007A40AC" w:rsidP="008028C6">
      <w:pPr>
        <w:pStyle w:val="TableFigureFooter"/>
      </w:pPr>
      <w:r w:rsidRPr="00AB0640">
        <w:rPr>
          <w:vertAlign w:val="superscript"/>
        </w:rPr>
        <w:t xml:space="preserve">a </w:t>
      </w:r>
      <w:r w:rsidRPr="00AB0640">
        <w:t>Costs include only omaveloxolone acquisition costs and outcomes from the propensity matched analysis.</w:t>
      </w:r>
    </w:p>
    <w:p w14:paraId="19E61C23" w14:textId="77777777" w:rsidR="007A40AC" w:rsidRPr="00AB0640" w:rsidRDefault="007A40AC" w:rsidP="008028C6">
      <w:pPr>
        <w:pStyle w:val="TableFigureFooter"/>
      </w:pPr>
      <w:r w:rsidRPr="00AB0640">
        <w:rPr>
          <w:vertAlign w:val="superscript"/>
        </w:rPr>
        <w:t xml:space="preserve">b </w:t>
      </w:r>
      <w:r w:rsidRPr="00AB0640">
        <w:t xml:space="preserve">Including medical appointments, hospitalisation, disease aids, home modification and carer costs. </w:t>
      </w:r>
    </w:p>
    <w:p w14:paraId="2BD2192C" w14:textId="22611997" w:rsidR="007A40AC" w:rsidRDefault="007A40AC" w:rsidP="008028C6">
      <w:pPr>
        <w:pStyle w:val="TableFigureFooter"/>
        <w:jc w:val="left"/>
        <w:rPr>
          <w:rStyle w:val="CommentReference"/>
          <w:b w:val="0"/>
          <w:i/>
          <w:iCs/>
          <w:sz w:val="18"/>
          <w:szCs w:val="22"/>
        </w:rPr>
      </w:pPr>
      <w:r w:rsidRPr="00AB0640">
        <w:rPr>
          <w:vertAlign w:val="superscript"/>
        </w:rPr>
        <w:t xml:space="preserve">c </w:t>
      </w:r>
      <w:r w:rsidRPr="00AB0640">
        <w:rPr>
          <w:rStyle w:val="CommentReference"/>
          <w:b w:val="0"/>
          <w:sz w:val="18"/>
          <w:szCs w:val="22"/>
        </w:rPr>
        <w:t>Based on a proposed published price of $</w:t>
      </w:r>
      <w:r w:rsidR="001F43CD" w:rsidRPr="001F43CD">
        <w:rPr>
          <w:rStyle w:val="CommentReference"/>
          <w:b w:val="0"/>
          <w:sz w:val="18"/>
          <w:szCs w:val="22"/>
          <w:highlight w:val="black"/>
        </w:rPr>
        <w:t>@@@@</w:t>
      </w:r>
      <w:r w:rsidRPr="00425988">
        <w:rPr>
          <w:rStyle w:val="CommentReference"/>
          <w:b w:val="0"/>
          <w:sz w:val="18"/>
          <w:szCs w:val="22"/>
        </w:rPr>
        <w:t xml:space="preserve"> </w:t>
      </w:r>
      <w:r w:rsidRPr="00AB0640">
        <w:rPr>
          <w:rStyle w:val="CommentReference"/>
          <w:b w:val="0"/>
          <w:sz w:val="18"/>
          <w:szCs w:val="22"/>
        </w:rPr>
        <w:t xml:space="preserve">and a different approach for modelling mortality and utility weights. </w:t>
      </w:r>
      <w:r w:rsidR="00C37AA0">
        <w:rPr>
          <w:rStyle w:val="CommentReference"/>
          <w:b w:val="0"/>
          <w:sz w:val="18"/>
          <w:szCs w:val="22"/>
        </w:rPr>
        <w:br/>
      </w:r>
      <w:r w:rsidR="00C37AA0">
        <w:rPr>
          <w:rStyle w:val="CommentReference"/>
          <w:b w:val="0"/>
          <w:i/>
          <w:iCs/>
          <w:sz w:val="18"/>
          <w:szCs w:val="22"/>
        </w:rPr>
        <w:t>The redacted values correspond to the following ranges:</w:t>
      </w:r>
      <w:r w:rsidR="00C37AA0">
        <w:rPr>
          <w:rStyle w:val="CommentReference"/>
          <w:b w:val="0"/>
          <w:i/>
          <w:iCs/>
          <w:sz w:val="18"/>
          <w:szCs w:val="22"/>
        </w:rPr>
        <w:br/>
      </w:r>
      <w:r w:rsidR="00FE1FDF" w:rsidRPr="00A329E3">
        <w:rPr>
          <w:rStyle w:val="CommentReference"/>
          <w:b w:val="0"/>
          <w:i/>
          <w:iCs/>
          <w:sz w:val="18"/>
          <w:szCs w:val="22"/>
          <w:vertAlign w:val="superscript"/>
        </w:rPr>
        <w:t>1</w:t>
      </w:r>
      <w:r w:rsidR="00FE1FDF">
        <w:rPr>
          <w:rStyle w:val="CommentReference"/>
          <w:b w:val="0"/>
          <w:i/>
          <w:iCs/>
          <w:sz w:val="18"/>
          <w:szCs w:val="22"/>
        </w:rPr>
        <w:t xml:space="preserve"> </w:t>
      </w:r>
      <w:r w:rsidR="00A329E3">
        <w:rPr>
          <w:rStyle w:val="CommentReference"/>
          <w:b w:val="0"/>
          <w:i/>
          <w:iCs/>
          <w:sz w:val="18"/>
          <w:szCs w:val="22"/>
        </w:rPr>
        <w:t xml:space="preserve">$255,000 to </w:t>
      </w:r>
      <w:r w:rsidR="00202AE4">
        <w:rPr>
          <w:rStyle w:val="CommentReference"/>
          <w:b w:val="0"/>
          <w:i/>
          <w:iCs/>
          <w:sz w:val="18"/>
          <w:szCs w:val="22"/>
        </w:rPr>
        <w:t xml:space="preserve">&lt; </w:t>
      </w:r>
      <w:r w:rsidR="00A329E3">
        <w:rPr>
          <w:rStyle w:val="CommentReference"/>
          <w:b w:val="0"/>
          <w:i/>
          <w:iCs/>
          <w:sz w:val="18"/>
          <w:szCs w:val="22"/>
        </w:rPr>
        <w:t>$355,000</w:t>
      </w:r>
    </w:p>
    <w:p w14:paraId="139ED11A" w14:textId="0C465A77" w:rsidR="00A329E3" w:rsidRDefault="00A329E3" w:rsidP="008028C6">
      <w:pPr>
        <w:pStyle w:val="TableFigureFooter"/>
        <w:jc w:val="left"/>
        <w:rPr>
          <w:rStyle w:val="CommentReference"/>
          <w:b w:val="0"/>
          <w:i/>
          <w:iCs/>
          <w:sz w:val="18"/>
          <w:szCs w:val="22"/>
        </w:rPr>
      </w:pPr>
      <w:r w:rsidRPr="00870FD7">
        <w:rPr>
          <w:rStyle w:val="CommentReference"/>
          <w:b w:val="0"/>
          <w:i/>
          <w:iCs/>
          <w:sz w:val="18"/>
          <w:szCs w:val="22"/>
          <w:vertAlign w:val="superscript"/>
        </w:rPr>
        <w:t>2</w:t>
      </w:r>
      <w:r>
        <w:rPr>
          <w:rStyle w:val="CommentReference"/>
          <w:b w:val="0"/>
          <w:i/>
          <w:iCs/>
          <w:sz w:val="18"/>
          <w:szCs w:val="22"/>
        </w:rPr>
        <w:t xml:space="preserve"> $955,000 to </w:t>
      </w:r>
      <w:r w:rsidR="00202AE4">
        <w:rPr>
          <w:rStyle w:val="CommentReference"/>
          <w:b w:val="0"/>
          <w:i/>
          <w:iCs/>
          <w:sz w:val="18"/>
          <w:szCs w:val="22"/>
        </w:rPr>
        <w:t xml:space="preserve">&lt; </w:t>
      </w:r>
      <w:r>
        <w:rPr>
          <w:rStyle w:val="CommentReference"/>
          <w:b w:val="0"/>
          <w:i/>
          <w:iCs/>
          <w:sz w:val="18"/>
          <w:szCs w:val="22"/>
        </w:rPr>
        <w:t>$1,</w:t>
      </w:r>
      <w:r w:rsidR="00870FD7">
        <w:rPr>
          <w:rStyle w:val="CommentReference"/>
          <w:b w:val="0"/>
          <w:i/>
          <w:iCs/>
          <w:sz w:val="18"/>
          <w:szCs w:val="22"/>
        </w:rPr>
        <w:t>055,000</w:t>
      </w:r>
    </w:p>
    <w:p w14:paraId="3DE6B929" w14:textId="080DD142" w:rsidR="00870FD7" w:rsidRPr="00C37AA0" w:rsidRDefault="00870FD7" w:rsidP="008028C6">
      <w:pPr>
        <w:pStyle w:val="TableFigureFooter"/>
        <w:jc w:val="left"/>
        <w:rPr>
          <w:rStyle w:val="CommentReference"/>
          <w:b w:val="0"/>
          <w:i/>
          <w:iCs/>
          <w:sz w:val="18"/>
          <w:szCs w:val="22"/>
        </w:rPr>
      </w:pPr>
      <w:r w:rsidRPr="00870FD7">
        <w:rPr>
          <w:rStyle w:val="CommentReference"/>
          <w:b w:val="0"/>
          <w:i/>
          <w:iCs/>
          <w:sz w:val="18"/>
          <w:szCs w:val="22"/>
          <w:vertAlign w:val="superscript"/>
        </w:rPr>
        <w:t>3</w:t>
      </w:r>
      <w:r>
        <w:rPr>
          <w:rStyle w:val="CommentReference"/>
          <w:b w:val="0"/>
          <w:i/>
          <w:iCs/>
          <w:sz w:val="18"/>
          <w:szCs w:val="22"/>
        </w:rPr>
        <w:t xml:space="preserve"> </w:t>
      </w:r>
      <w:r w:rsidR="00202AE4">
        <w:rPr>
          <w:rStyle w:val="CommentReference"/>
          <w:b w:val="0"/>
          <w:i/>
          <w:iCs/>
          <w:sz w:val="18"/>
          <w:szCs w:val="22"/>
        </w:rPr>
        <w:t xml:space="preserve">&gt; </w:t>
      </w:r>
      <w:r>
        <w:rPr>
          <w:rStyle w:val="CommentReference"/>
          <w:b w:val="0"/>
          <w:i/>
          <w:iCs/>
          <w:sz w:val="18"/>
          <w:szCs w:val="22"/>
        </w:rPr>
        <w:t>$1,055,000</w:t>
      </w:r>
    </w:p>
    <w:p w14:paraId="361C7823" w14:textId="44AEE79C" w:rsidR="007A40AC" w:rsidRPr="003E7DF3" w:rsidRDefault="007A40AC" w:rsidP="008028C6">
      <w:pPr>
        <w:pStyle w:val="3-BodyText"/>
      </w:pPr>
      <w:r w:rsidRPr="003E7DF3">
        <w:t>The ICER ($</w:t>
      </w:r>
      <w:r w:rsidR="00870FD7">
        <w:t xml:space="preserve">955,000 to </w:t>
      </w:r>
      <w:r w:rsidR="00202AE4">
        <w:t xml:space="preserve">&lt; </w:t>
      </w:r>
      <w:r w:rsidR="00870FD7">
        <w:t>$1,055,000</w:t>
      </w:r>
      <w:r w:rsidRPr="003E7DF3">
        <w:t>/QALY) is substantially lower than that presented in the previous submission (</w:t>
      </w:r>
      <w:r w:rsidR="00202AE4">
        <w:t xml:space="preserve">&gt; </w:t>
      </w:r>
      <w:r w:rsidRPr="003E7DF3">
        <w:t>$</w:t>
      </w:r>
      <w:r w:rsidR="00870FD7">
        <w:t>1,055,000</w:t>
      </w:r>
      <w:r w:rsidRPr="003E7DF3">
        <w:t xml:space="preserve">/QALY). This was primarily due to the application of the proposed </w:t>
      </w:r>
      <w:r w:rsidR="00427717" w:rsidRPr="0069228B">
        <w:t xml:space="preserve">effective </w:t>
      </w:r>
      <w:r w:rsidRPr="0069228B">
        <w:t>EMP of</w:t>
      </w:r>
      <w:r w:rsidRPr="003E7DF3">
        <w:t xml:space="preserve"> omaveloxolone. Further, the approach utilised to model mortality in the </w:t>
      </w:r>
      <w:r w:rsidR="007974A6" w:rsidRPr="003E7DF3">
        <w:t>re</w:t>
      </w:r>
      <w:r w:rsidRPr="003E7DF3">
        <w:t xml:space="preserve">submission resulted in a lower life expectancy. </w:t>
      </w:r>
    </w:p>
    <w:p w14:paraId="7D39B7AB" w14:textId="4336EB73" w:rsidR="007A40AC" w:rsidRPr="003E7DF3" w:rsidRDefault="007A40AC" w:rsidP="008028C6">
      <w:pPr>
        <w:pStyle w:val="3-BodyText"/>
      </w:pPr>
      <w:r w:rsidRPr="003E7DF3">
        <w:t xml:space="preserve">The disaggregated results for costs and health outcomes are presented in </w:t>
      </w:r>
      <w:r w:rsidRPr="003E7DF3">
        <w:fldChar w:fldCharType="begin" w:fldLock="1"/>
      </w:r>
      <w:r w:rsidRPr="003E7DF3">
        <w:instrText xml:space="preserve"> REF _Ref207537698 \h  \* MERGEFORMAT </w:instrText>
      </w:r>
      <w:r w:rsidRPr="003E7DF3">
        <w:fldChar w:fldCharType="separate"/>
      </w:r>
      <w:r w:rsidR="00E056AF" w:rsidRPr="00AB0640">
        <w:t xml:space="preserve">Table </w:t>
      </w:r>
      <w:r w:rsidR="00E056AF">
        <w:t>15</w:t>
      </w:r>
      <w:r w:rsidRPr="003E7DF3">
        <w:fldChar w:fldCharType="end"/>
      </w:r>
      <w:r w:rsidRPr="003E7DF3">
        <w:t xml:space="preserve">. The largest contributor to the incremental costs were omaveloxolone acquisition costs and patients accrued the most benefit while on omaveloxolone treatment. </w:t>
      </w:r>
    </w:p>
    <w:p w14:paraId="2A481CF9" w14:textId="7823B8C9" w:rsidR="007A40AC" w:rsidRPr="00AB0640" w:rsidRDefault="007A40AC" w:rsidP="008028C6">
      <w:pPr>
        <w:pStyle w:val="Caption"/>
        <w:rPr>
          <w:szCs w:val="24"/>
        </w:rPr>
      </w:pPr>
      <w:bookmarkStart w:id="52" w:name="_Ref207537698"/>
      <w:r w:rsidRPr="00AB0640">
        <w:lastRenderedPageBreak/>
        <w:t xml:space="preserve">Table </w:t>
      </w:r>
      <w:r w:rsidR="00E056AF">
        <w:fldChar w:fldCharType="begin" w:fldLock="1"/>
      </w:r>
      <w:r w:rsidR="00E056AF">
        <w:instrText xml:space="preserve"> SEQ Table \* ARABIC </w:instrText>
      </w:r>
      <w:r w:rsidR="00E056AF">
        <w:fldChar w:fldCharType="separate"/>
      </w:r>
      <w:r w:rsidR="00E056AF">
        <w:rPr>
          <w:noProof/>
        </w:rPr>
        <w:t>15</w:t>
      </w:r>
      <w:r w:rsidR="00E056AF">
        <w:rPr>
          <w:noProof/>
        </w:rPr>
        <w:fldChar w:fldCharType="end"/>
      </w:r>
      <w:bookmarkEnd w:id="52"/>
      <w:r w:rsidRPr="00AB0640">
        <w:rPr>
          <w:rStyle w:val="CommentReference"/>
          <w:b/>
          <w:szCs w:val="24"/>
        </w:rPr>
        <w:t>: Disaggregated summary of costs and outcomes included in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5: Disaggregated summary of costs and outcomes included in the economic evaluation"/>
      </w:tblPr>
      <w:tblGrid>
        <w:gridCol w:w="3115"/>
        <w:gridCol w:w="1475"/>
        <w:gridCol w:w="1475"/>
        <w:gridCol w:w="1475"/>
        <w:gridCol w:w="1477"/>
      </w:tblGrid>
      <w:tr w:rsidR="007A40AC" w:rsidRPr="00AB0640" w14:paraId="155EE9A9" w14:textId="77777777" w:rsidTr="0065379D">
        <w:trPr>
          <w:tblHeader/>
        </w:trPr>
        <w:tc>
          <w:tcPr>
            <w:tcW w:w="1727" w:type="pct"/>
            <w:vAlign w:val="center"/>
          </w:tcPr>
          <w:p w14:paraId="2B8C4E0E" w14:textId="77777777" w:rsidR="007A40AC" w:rsidRPr="00AB0640" w:rsidRDefault="007A40AC" w:rsidP="008028C6">
            <w:pPr>
              <w:pStyle w:val="In-tableHeading"/>
              <w:rPr>
                <w:lang w:val="en-AU"/>
              </w:rPr>
            </w:pPr>
            <w:r w:rsidRPr="00AB0640">
              <w:rPr>
                <w:lang w:val="en-AU"/>
              </w:rPr>
              <w:t>Resource item</w:t>
            </w:r>
          </w:p>
        </w:tc>
        <w:tc>
          <w:tcPr>
            <w:tcW w:w="818" w:type="pct"/>
            <w:vAlign w:val="center"/>
          </w:tcPr>
          <w:p w14:paraId="409B4182" w14:textId="77777777" w:rsidR="007A40AC" w:rsidRPr="00AB0640" w:rsidRDefault="007A40AC" w:rsidP="008028C6">
            <w:pPr>
              <w:pStyle w:val="In-tableHeading"/>
              <w:rPr>
                <w:lang w:val="en-AU"/>
              </w:rPr>
            </w:pPr>
            <w:r w:rsidRPr="00AB0640">
              <w:rPr>
                <w:lang w:val="en-AU"/>
              </w:rPr>
              <w:t>Omaveloxolone</w:t>
            </w:r>
          </w:p>
        </w:tc>
        <w:tc>
          <w:tcPr>
            <w:tcW w:w="818" w:type="pct"/>
            <w:vAlign w:val="center"/>
          </w:tcPr>
          <w:p w14:paraId="1F2CEA93" w14:textId="77777777" w:rsidR="007A40AC" w:rsidRPr="00AB0640" w:rsidRDefault="007A40AC" w:rsidP="008028C6">
            <w:pPr>
              <w:pStyle w:val="In-tableHeading"/>
              <w:rPr>
                <w:lang w:val="en-AU"/>
              </w:rPr>
            </w:pPr>
            <w:r w:rsidRPr="00AB0640">
              <w:rPr>
                <w:lang w:val="en-AU"/>
              </w:rPr>
              <w:t>BSC</w:t>
            </w:r>
          </w:p>
        </w:tc>
        <w:tc>
          <w:tcPr>
            <w:tcW w:w="818" w:type="pct"/>
            <w:vAlign w:val="center"/>
          </w:tcPr>
          <w:p w14:paraId="192FD4C8" w14:textId="77777777" w:rsidR="007A40AC" w:rsidRPr="00AB0640" w:rsidRDefault="007A40AC" w:rsidP="008028C6">
            <w:pPr>
              <w:pStyle w:val="In-tableHeading"/>
              <w:rPr>
                <w:lang w:val="en-AU"/>
              </w:rPr>
            </w:pPr>
            <w:r w:rsidRPr="00AB0640">
              <w:rPr>
                <w:lang w:val="en-AU"/>
              </w:rPr>
              <w:t>Incremental cost</w:t>
            </w:r>
          </w:p>
        </w:tc>
        <w:tc>
          <w:tcPr>
            <w:tcW w:w="818" w:type="pct"/>
            <w:vAlign w:val="center"/>
          </w:tcPr>
          <w:p w14:paraId="5B02CC27" w14:textId="77777777" w:rsidR="007A40AC" w:rsidRPr="00AB0640" w:rsidRDefault="007A40AC" w:rsidP="008028C6">
            <w:pPr>
              <w:pStyle w:val="In-tableHeading"/>
              <w:rPr>
                <w:lang w:val="en-AU"/>
              </w:rPr>
            </w:pPr>
            <w:r w:rsidRPr="00AB0640">
              <w:rPr>
                <w:lang w:val="en-AU"/>
              </w:rPr>
              <w:t>% incremental cost</w:t>
            </w:r>
          </w:p>
        </w:tc>
      </w:tr>
      <w:tr w:rsidR="007A40AC" w:rsidRPr="00AB0640" w14:paraId="4C586819" w14:textId="77777777" w:rsidTr="0065379D">
        <w:trPr>
          <w:tblHeader/>
        </w:trPr>
        <w:tc>
          <w:tcPr>
            <w:tcW w:w="5000" w:type="pct"/>
            <w:gridSpan w:val="5"/>
            <w:vAlign w:val="center"/>
          </w:tcPr>
          <w:p w14:paraId="7536A4AD" w14:textId="77777777" w:rsidR="007A40AC" w:rsidRPr="00AB0640" w:rsidRDefault="007A40AC" w:rsidP="008028C6">
            <w:pPr>
              <w:pStyle w:val="In-tableHeading"/>
              <w:rPr>
                <w:lang w:val="en-AU"/>
              </w:rPr>
            </w:pPr>
            <w:r w:rsidRPr="00AB0640">
              <w:rPr>
                <w:lang w:val="en-AU"/>
              </w:rPr>
              <w:t>Costs</w:t>
            </w:r>
          </w:p>
        </w:tc>
      </w:tr>
      <w:tr w:rsidR="007A40AC" w:rsidRPr="00AB0640" w14:paraId="6E7A654C" w14:textId="77777777" w:rsidTr="0065379D">
        <w:tc>
          <w:tcPr>
            <w:tcW w:w="1727" w:type="pct"/>
            <w:vAlign w:val="center"/>
          </w:tcPr>
          <w:p w14:paraId="769E6C9B" w14:textId="77777777" w:rsidR="007A40AC" w:rsidRPr="00AB0640" w:rsidRDefault="007A40AC" w:rsidP="008028C6">
            <w:pPr>
              <w:pStyle w:val="TableText0"/>
            </w:pPr>
            <w:r w:rsidRPr="00AB0640">
              <w:t>Omaveloxolone</w:t>
            </w:r>
          </w:p>
        </w:tc>
        <w:tc>
          <w:tcPr>
            <w:tcW w:w="818" w:type="pct"/>
          </w:tcPr>
          <w:p w14:paraId="36B97B3B" w14:textId="7480C669" w:rsidR="007A40AC" w:rsidRPr="00AB0640" w:rsidRDefault="007A40AC" w:rsidP="008028C6">
            <w:pPr>
              <w:pStyle w:val="TableText0"/>
              <w:jc w:val="center"/>
            </w:pPr>
            <w:r w:rsidRPr="00AB0640">
              <w:t>$</w:t>
            </w:r>
            <w:r w:rsidR="001F43CD" w:rsidRPr="001F43CD">
              <w:rPr>
                <w:highlight w:val="black"/>
              </w:rPr>
              <w:t>@@@@</w:t>
            </w:r>
          </w:p>
        </w:tc>
        <w:tc>
          <w:tcPr>
            <w:tcW w:w="818" w:type="pct"/>
          </w:tcPr>
          <w:p w14:paraId="04B96945" w14:textId="77777777" w:rsidR="007A40AC" w:rsidRPr="00AB0640" w:rsidRDefault="007A40AC" w:rsidP="008028C6">
            <w:pPr>
              <w:pStyle w:val="TableText0"/>
              <w:jc w:val="center"/>
            </w:pPr>
            <w:r w:rsidRPr="00AB0640">
              <w:t>$0</w:t>
            </w:r>
          </w:p>
        </w:tc>
        <w:tc>
          <w:tcPr>
            <w:tcW w:w="818" w:type="pct"/>
          </w:tcPr>
          <w:p w14:paraId="58081F95" w14:textId="7A2133AA" w:rsidR="007A40AC" w:rsidRPr="00AB0640" w:rsidRDefault="007A40AC" w:rsidP="008028C6">
            <w:pPr>
              <w:pStyle w:val="TableText0"/>
              <w:jc w:val="center"/>
            </w:pPr>
            <w:r w:rsidRPr="00AB0640">
              <w:t>$</w:t>
            </w:r>
            <w:r w:rsidR="001F43CD" w:rsidRPr="001F43CD">
              <w:rPr>
                <w:highlight w:val="black"/>
              </w:rPr>
              <w:t>@@@@</w:t>
            </w:r>
          </w:p>
        </w:tc>
        <w:tc>
          <w:tcPr>
            <w:tcW w:w="818" w:type="pct"/>
          </w:tcPr>
          <w:p w14:paraId="4AB074B7" w14:textId="20E55A2F" w:rsidR="007A40AC" w:rsidRPr="00AB0640" w:rsidRDefault="001F43CD" w:rsidP="008028C6">
            <w:pPr>
              <w:pStyle w:val="TableText0"/>
              <w:jc w:val="center"/>
            </w:pPr>
            <w:r w:rsidRPr="001F43CD">
              <w:rPr>
                <w:highlight w:val="black"/>
              </w:rPr>
              <w:t>@@@@</w:t>
            </w:r>
            <w:r w:rsidR="007A40AC" w:rsidRPr="00AB0640">
              <w:t>%</w:t>
            </w:r>
          </w:p>
        </w:tc>
      </w:tr>
      <w:tr w:rsidR="007A40AC" w:rsidRPr="00AB0640" w14:paraId="50F69746" w14:textId="77777777" w:rsidTr="0065379D">
        <w:tc>
          <w:tcPr>
            <w:tcW w:w="1727" w:type="pct"/>
            <w:vAlign w:val="center"/>
          </w:tcPr>
          <w:p w14:paraId="688D0620" w14:textId="77777777" w:rsidR="007A40AC" w:rsidRPr="00AB0640" w:rsidRDefault="007A40AC" w:rsidP="008028C6">
            <w:pPr>
              <w:pStyle w:val="TableText0"/>
            </w:pPr>
            <w:r w:rsidRPr="00AB0640">
              <w:t>AE management costs</w:t>
            </w:r>
          </w:p>
        </w:tc>
        <w:tc>
          <w:tcPr>
            <w:tcW w:w="818" w:type="pct"/>
          </w:tcPr>
          <w:p w14:paraId="0530DAA9" w14:textId="77777777" w:rsidR="007A40AC" w:rsidRPr="00AB0640" w:rsidRDefault="007A40AC" w:rsidP="008028C6">
            <w:pPr>
              <w:pStyle w:val="TableText0"/>
              <w:jc w:val="center"/>
            </w:pPr>
            <w:r w:rsidRPr="00AB0640">
              <w:t>$341</w:t>
            </w:r>
          </w:p>
        </w:tc>
        <w:tc>
          <w:tcPr>
            <w:tcW w:w="818" w:type="pct"/>
          </w:tcPr>
          <w:p w14:paraId="3E41417D" w14:textId="77777777" w:rsidR="007A40AC" w:rsidRPr="00AB0640" w:rsidRDefault="007A40AC" w:rsidP="008028C6">
            <w:pPr>
              <w:pStyle w:val="TableText0"/>
              <w:jc w:val="center"/>
            </w:pPr>
            <w:r w:rsidRPr="00AB0640">
              <w:t>$36</w:t>
            </w:r>
          </w:p>
        </w:tc>
        <w:tc>
          <w:tcPr>
            <w:tcW w:w="818" w:type="pct"/>
          </w:tcPr>
          <w:p w14:paraId="687A25CF" w14:textId="77777777" w:rsidR="007A40AC" w:rsidRPr="00AB0640" w:rsidRDefault="007A40AC" w:rsidP="008028C6">
            <w:pPr>
              <w:pStyle w:val="TableText0"/>
              <w:jc w:val="center"/>
            </w:pPr>
            <w:r w:rsidRPr="00AB0640">
              <w:t>$304</w:t>
            </w:r>
          </w:p>
        </w:tc>
        <w:tc>
          <w:tcPr>
            <w:tcW w:w="818" w:type="pct"/>
          </w:tcPr>
          <w:p w14:paraId="31096864" w14:textId="77777777" w:rsidR="007A40AC" w:rsidRPr="00AB0640" w:rsidRDefault="007A40AC" w:rsidP="008028C6">
            <w:pPr>
              <w:pStyle w:val="TableText0"/>
              <w:jc w:val="center"/>
            </w:pPr>
            <w:r w:rsidRPr="00AB0640">
              <w:t>0.0%</w:t>
            </w:r>
          </w:p>
        </w:tc>
      </w:tr>
      <w:tr w:rsidR="007A40AC" w:rsidRPr="00AB0640" w14:paraId="294D5C63" w14:textId="77777777" w:rsidTr="0065379D">
        <w:tc>
          <w:tcPr>
            <w:tcW w:w="1727" w:type="pct"/>
            <w:vAlign w:val="center"/>
          </w:tcPr>
          <w:p w14:paraId="1F163531" w14:textId="77777777" w:rsidR="007A40AC" w:rsidRPr="00AB0640" w:rsidRDefault="007A40AC" w:rsidP="008028C6">
            <w:pPr>
              <w:pStyle w:val="TableText0"/>
            </w:pPr>
            <w:r w:rsidRPr="00AB0640">
              <w:t>GP, specialist visits and hospitalisation</w:t>
            </w:r>
          </w:p>
        </w:tc>
        <w:tc>
          <w:tcPr>
            <w:tcW w:w="818" w:type="pct"/>
          </w:tcPr>
          <w:p w14:paraId="32036DB2" w14:textId="77777777" w:rsidR="007A40AC" w:rsidRPr="00AB0640" w:rsidRDefault="007A40AC" w:rsidP="008028C6">
            <w:pPr>
              <w:pStyle w:val="TableText0"/>
              <w:jc w:val="center"/>
            </w:pPr>
            <w:r w:rsidRPr="00AB0640">
              <w:t>$196,080</w:t>
            </w:r>
          </w:p>
        </w:tc>
        <w:tc>
          <w:tcPr>
            <w:tcW w:w="818" w:type="pct"/>
          </w:tcPr>
          <w:p w14:paraId="489417C9" w14:textId="77777777" w:rsidR="007A40AC" w:rsidRPr="00AB0640" w:rsidRDefault="007A40AC" w:rsidP="008028C6">
            <w:pPr>
              <w:pStyle w:val="TableText0"/>
              <w:jc w:val="center"/>
            </w:pPr>
            <w:r w:rsidRPr="00AB0640">
              <w:t>$230,239</w:t>
            </w:r>
          </w:p>
        </w:tc>
        <w:tc>
          <w:tcPr>
            <w:tcW w:w="818" w:type="pct"/>
          </w:tcPr>
          <w:p w14:paraId="746156DA" w14:textId="77777777" w:rsidR="007A40AC" w:rsidRPr="00AB0640" w:rsidRDefault="007A40AC" w:rsidP="008028C6">
            <w:pPr>
              <w:pStyle w:val="TableText0"/>
              <w:jc w:val="center"/>
            </w:pPr>
            <w:r w:rsidRPr="00AB0640">
              <w:t>-$34,159</w:t>
            </w:r>
          </w:p>
        </w:tc>
        <w:tc>
          <w:tcPr>
            <w:tcW w:w="818" w:type="pct"/>
          </w:tcPr>
          <w:p w14:paraId="554DEB6B" w14:textId="77777777" w:rsidR="007A40AC" w:rsidRPr="00AB0640" w:rsidRDefault="007A40AC" w:rsidP="008028C6">
            <w:pPr>
              <w:pStyle w:val="TableText0"/>
              <w:jc w:val="center"/>
            </w:pPr>
            <w:r w:rsidRPr="00AB0640">
              <w:t>-1.9%</w:t>
            </w:r>
          </w:p>
        </w:tc>
      </w:tr>
      <w:tr w:rsidR="007A40AC" w:rsidRPr="00AB0640" w14:paraId="4E2B8A01" w14:textId="77777777" w:rsidTr="0065379D">
        <w:tc>
          <w:tcPr>
            <w:tcW w:w="1727" w:type="pct"/>
            <w:vAlign w:val="center"/>
          </w:tcPr>
          <w:p w14:paraId="17DE06C0" w14:textId="77777777" w:rsidR="007A40AC" w:rsidRPr="00AB0640" w:rsidRDefault="007A40AC" w:rsidP="008028C6">
            <w:pPr>
              <w:pStyle w:val="TableText0"/>
            </w:pPr>
            <w:r w:rsidRPr="00AB0640">
              <w:t>Disease management aids</w:t>
            </w:r>
          </w:p>
        </w:tc>
        <w:tc>
          <w:tcPr>
            <w:tcW w:w="818" w:type="pct"/>
          </w:tcPr>
          <w:p w14:paraId="3BB5C3D9" w14:textId="77777777" w:rsidR="007A40AC" w:rsidRPr="00AB0640" w:rsidRDefault="007A40AC" w:rsidP="008028C6">
            <w:pPr>
              <w:pStyle w:val="TableText0"/>
              <w:jc w:val="center"/>
            </w:pPr>
            <w:r w:rsidRPr="00AB0640">
              <w:t>$25,651</w:t>
            </w:r>
          </w:p>
        </w:tc>
        <w:tc>
          <w:tcPr>
            <w:tcW w:w="818" w:type="pct"/>
          </w:tcPr>
          <w:p w14:paraId="47273C57" w14:textId="77777777" w:rsidR="007A40AC" w:rsidRPr="00AB0640" w:rsidRDefault="007A40AC" w:rsidP="008028C6">
            <w:pPr>
              <w:pStyle w:val="TableText0"/>
              <w:jc w:val="center"/>
            </w:pPr>
            <w:r w:rsidRPr="00AB0640">
              <w:t>$41,416</w:t>
            </w:r>
          </w:p>
        </w:tc>
        <w:tc>
          <w:tcPr>
            <w:tcW w:w="818" w:type="pct"/>
          </w:tcPr>
          <w:p w14:paraId="4742ADA5" w14:textId="77777777" w:rsidR="007A40AC" w:rsidRPr="00AB0640" w:rsidRDefault="007A40AC" w:rsidP="008028C6">
            <w:pPr>
              <w:pStyle w:val="TableText0"/>
              <w:jc w:val="center"/>
            </w:pPr>
            <w:r w:rsidRPr="00AB0640">
              <w:t>-$15,766</w:t>
            </w:r>
          </w:p>
        </w:tc>
        <w:tc>
          <w:tcPr>
            <w:tcW w:w="818" w:type="pct"/>
          </w:tcPr>
          <w:p w14:paraId="640C7D30" w14:textId="77777777" w:rsidR="007A40AC" w:rsidRPr="00AB0640" w:rsidRDefault="007A40AC" w:rsidP="008028C6">
            <w:pPr>
              <w:pStyle w:val="TableText0"/>
              <w:jc w:val="center"/>
            </w:pPr>
            <w:r w:rsidRPr="00AB0640">
              <w:t>-0.9%</w:t>
            </w:r>
          </w:p>
        </w:tc>
      </w:tr>
      <w:tr w:rsidR="007A40AC" w:rsidRPr="00AB0640" w14:paraId="0A3C102E" w14:textId="77777777" w:rsidTr="0065379D">
        <w:tc>
          <w:tcPr>
            <w:tcW w:w="1727" w:type="pct"/>
            <w:vAlign w:val="center"/>
          </w:tcPr>
          <w:p w14:paraId="775A33F5" w14:textId="77777777" w:rsidR="007A40AC" w:rsidRPr="00AB0640" w:rsidRDefault="007A40AC" w:rsidP="008028C6">
            <w:pPr>
              <w:pStyle w:val="TableText0"/>
            </w:pPr>
            <w:r w:rsidRPr="00AB0640">
              <w:t>Co-morbidity costs</w:t>
            </w:r>
          </w:p>
        </w:tc>
        <w:tc>
          <w:tcPr>
            <w:tcW w:w="818" w:type="pct"/>
          </w:tcPr>
          <w:p w14:paraId="5A8837E9" w14:textId="77777777" w:rsidR="007A40AC" w:rsidRPr="00AB0640" w:rsidRDefault="007A40AC" w:rsidP="008028C6">
            <w:pPr>
              <w:pStyle w:val="TableText0"/>
              <w:jc w:val="center"/>
            </w:pPr>
            <w:r w:rsidRPr="00AB0640">
              <w:t>$271,070</w:t>
            </w:r>
          </w:p>
        </w:tc>
        <w:tc>
          <w:tcPr>
            <w:tcW w:w="818" w:type="pct"/>
          </w:tcPr>
          <w:p w14:paraId="36D5D3DD" w14:textId="77777777" w:rsidR="007A40AC" w:rsidRPr="00AB0640" w:rsidRDefault="007A40AC" w:rsidP="008028C6">
            <w:pPr>
              <w:pStyle w:val="TableText0"/>
              <w:jc w:val="center"/>
            </w:pPr>
            <w:r w:rsidRPr="00AB0640">
              <w:t>$264,775</w:t>
            </w:r>
          </w:p>
        </w:tc>
        <w:tc>
          <w:tcPr>
            <w:tcW w:w="818" w:type="pct"/>
          </w:tcPr>
          <w:p w14:paraId="442DA68B" w14:textId="77777777" w:rsidR="007A40AC" w:rsidRPr="00AB0640" w:rsidRDefault="007A40AC" w:rsidP="008028C6">
            <w:pPr>
              <w:pStyle w:val="TableText0"/>
              <w:jc w:val="center"/>
            </w:pPr>
            <w:r w:rsidRPr="00AB0640">
              <w:t>$6,295</w:t>
            </w:r>
          </w:p>
        </w:tc>
        <w:tc>
          <w:tcPr>
            <w:tcW w:w="818" w:type="pct"/>
          </w:tcPr>
          <w:p w14:paraId="265AF37F" w14:textId="77777777" w:rsidR="007A40AC" w:rsidRPr="00AB0640" w:rsidRDefault="007A40AC" w:rsidP="008028C6">
            <w:pPr>
              <w:pStyle w:val="TableText0"/>
              <w:jc w:val="center"/>
            </w:pPr>
            <w:r w:rsidRPr="00AB0640">
              <w:t>-0.1%</w:t>
            </w:r>
          </w:p>
        </w:tc>
      </w:tr>
      <w:tr w:rsidR="007A40AC" w:rsidRPr="00AB0640" w14:paraId="6B0BB588" w14:textId="77777777" w:rsidTr="0065379D">
        <w:tc>
          <w:tcPr>
            <w:tcW w:w="1727" w:type="pct"/>
            <w:vAlign w:val="center"/>
          </w:tcPr>
          <w:p w14:paraId="3D455B4D" w14:textId="77777777" w:rsidR="007A40AC" w:rsidRPr="00AB0640" w:rsidRDefault="007A40AC" w:rsidP="008028C6">
            <w:pPr>
              <w:pStyle w:val="TableText0"/>
            </w:pPr>
            <w:r w:rsidRPr="00AB0640">
              <w:t>Carer costs</w:t>
            </w:r>
          </w:p>
        </w:tc>
        <w:tc>
          <w:tcPr>
            <w:tcW w:w="818" w:type="pct"/>
          </w:tcPr>
          <w:p w14:paraId="28CC615B" w14:textId="77777777" w:rsidR="007A40AC" w:rsidRPr="00AB0640" w:rsidRDefault="007A40AC" w:rsidP="008028C6">
            <w:pPr>
              <w:pStyle w:val="TableText0"/>
              <w:jc w:val="center"/>
            </w:pPr>
            <w:r w:rsidRPr="00AB0640">
              <w:t>$8,043</w:t>
            </w:r>
          </w:p>
        </w:tc>
        <w:tc>
          <w:tcPr>
            <w:tcW w:w="818" w:type="pct"/>
          </w:tcPr>
          <w:p w14:paraId="43BFA55E" w14:textId="77777777" w:rsidR="007A40AC" w:rsidRPr="00AB0640" w:rsidRDefault="007A40AC" w:rsidP="008028C6">
            <w:pPr>
              <w:pStyle w:val="TableText0"/>
              <w:jc w:val="center"/>
            </w:pPr>
            <w:r w:rsidRPr="00AB0640">
              <w:t>$10,158</w:t>
            </w:r>
          </w:p>
        </w:tc>
        <w:tc>
          <w:tcPr>
            <w:tcW w:w="818" w:type="pct"/>
          </w:tcPr>
          <w:p w14:paraId="2A37E1AA" w14:textId="77777777" w:rsidR="007A40AC" w:rsidRPr="00AB0640" w:rsidRDefault="007A40AC" w:rsidP="008028C6">
            <w:pPr>
              <w:pStyle w:val="TableText0"/>
              <w:jc w:val="center"/>
            </w:pPr>
            <w:r w:rsidRPr="00AB0640">
              <w:t>-$2,115</w:t>
            </w:r>
          </w:p>
        </w:tc>
        <w:tc>
          <w:tcPr>
            <w:tcW w:w="818" w:type="pct"/>
          </w:tcPr>
          <w:p w14:paraId="3CD8FA6B" w14:textId="77777777" w:rsidR="007A40AC" w:rsidRPr="00AB0640" w:rsidRDefault="007A40AC" w:rsidP="008028C6">
            <w:pPr>
              <w:pStyle w:val="TableText0"/>
              <w:jc w:val="center"/>
            </w:pPr>
            <w:r w:rsidRPr="00AB0640">
              <w:t>0.3%</w:t>
            </w:r>
          </w:p>
        </w:tc>
      </w:tr>
      <w:tr w:rsidR="007A40AC" w:rsidRPr="00AB0640" w14:paraId="5DDEA73C" w14:textId="77777777" w:rsidTr="0065379D">
        <w:tc>
          <w:tcPr>
            <w:tcW w:w="1727" w:type="pct"/>
            <w:vAlign w:val="center"/>
          </w:tcPr>
          <w:p w14:paraId="3B401A5E" w14:textId="77777777" w:rsidR="007A40AC" w:rsidRPr="00AB0640" w:rsidRDefault="007A40AC" w:rsidP="008028C6">
            <w:pPr>
              <w:pStyle w:val="TableText0"/>
              <w:rPr>
                <w:b/>
                <w:bCs w:val="0"/>
              </w:rPr>
            </w:pPr>
            <w:r w:rsidRPr="00AB0640">
              <w:rPr>
                <w:b/>
                <w:bCs w:val="0"/>
              </w:rPr>
              <w:t>Total</w:t>
            </w:r>
          </w:p>
        </w:tc>
        <w:tc>
          <w:tcPr>
            <w:tcW w:w="818" w:type="pct"/>
          </w:tcPr>
          <w:p w14:paraId="25405AA5" w14:textId="2FCDA2F4" w:rsidR="007A40AC" w:rsidRPr="00AB0640" w:rsidRDefault="007A40AC" w:rsidP="008028C6">
            <w:pPr>
              <w:pStyle w:val="TableText0"/>
              <w:jc w:val="center"/>
              <w:rPr>
                <w:b/>
                <w:bCs w:val="0"/>
              </w:rPr>
            </w:pPr>
            <w:r w:rsidRPr="00AB0640">
              <w:rPr>
                <w:b/>
                <w:bCs w:val="0"/>
              </w:rPr>
              <w:t>$</w:t>
            </w:r>
            <w:r w:rsidR="001F43CD" w:rsidRPr="001F43CD">
              <w:rPr>
                <w:b/>
                <w:bCs w:val="0"/>
                <w:highlight w:val="black"/>
              </w:rPr>
              <w:t>@@@@</w:t>
            </w:r>
          </w:p>
        </w:tc>
        <w:tc>
          <w:tcPr>
            <w:tcW w:w="818" w:type="pct"/>
          </w:tcPr>
          <w:p w14:paraId="30E24542" w14:textId="77777777" w:rsidR="007A40AC" w:rsidRPr="00AB0640" w:rsidRDefault="007A40AC" w:rsidP="008028C6">
            <w:pPr>
              <w:pStyle w:val="TableText0"/>
              <w:jc w:val="center"/>
              <w:rPr>
                <w:b/>
                <w:bCs w:val="0"/>
              </w:rPr>
            </w:pPr>
            <w:r w:rsidRPr="00AB0640">
              <w:rPr>
                <w:b/>
                <w:bCs w:val="0"/>
              </w:rPr>
              <w:t>$546,625</w:t>
            </w:r>
          </w:p>
        </w:tc>
        <w:tc>
          <w:tcPr>
            <w:tcW w:w="818" w:type="pct"/>
          </w:tcPr>
          <w:p w14:paraId="7387BC3B" w14:textId="05BAF871" w:rsidR="007A40AC" w:rsidRPr="00AB0640" w:rsidRDefault="007A40AC" w:rsidP="008028C6">
            <w:pPr>
              <w:pStyle w:val="TableText0"/>
              <w:jc w:val="center"/>
              <w:rPr>
                <w:b/>
                <w:bCs w:val="0"/>
              </w:rPr>
            </w:pPr>
            <w:r w:rsidRPr="00AB0640">
              <w:rPr>
                <w:b/>
                <w:bCs w:val="0"/>
              </w:rPr>
              <w:t>$</w:t>
            </w:r>
            <w:r w:rsidR="001F43CD" w:rsidRPr="001F43CD">
              <w:rPr>
                <w:b/>
                <w:bCs w:val="0"/>
                <w:highlight w:val="black"/>
              </w:rPr>
              <w:t>@@@@</w:t>
            </w:r>
          </w:p>
        </w:tc>
        <w:tc>
          <w:tcPr>
            <w:tcW w:w="818" w:type="pct"/>
          </w:tcPr>
          <w:p w14:paraId="394D19AC" w14:textId="77777777" w:rsidR="007A40AC" w:rsidRPr="00AB0640" w:rsidRDefault="007A40AC" w:rsidP="008028C6">
            <w:pPr>
              <w:pStyle w:val="TableText0"/>
              <w:jc w:val="center"/>
              <w:rPr>
                <w:b/>
                <w:bCs w:val="0"/>
              </w:rPr>
            </w:pPr>
            <w:r w:rsidRPr="00AB0640">
              <w:rPr>
                <w:b/>
                <w:bCs w:val="0"/>
              </w:rPr>
              <w:t>100%</w:t>
            </w:r>
          </w:p>
        </w:tc>
      </w:tr>
      <w:tr w:rsidR="007A40AC" w:rsidRPr="00AB0640" w14:paraId="61C66E98" w14:textId="77777777" w:rsidTr="0065379D">
        <w:tc>
          <w:tcPr>
            <w:tcW w:w="5000" w:type="pct"/>
            <w:gridSpan w:val="5"/>
            <w:vAlign w:val="center"/>
          </w:tcPr>
          <w:p w14:paraId="41C29B23" w14:textId="77777777" w:rsidR="007A40AC" w:rsidRPr="00AB0640" w:rsidRDefault="007A40AC" w:rsidP="008028C6">
            <w:pPr>
              <w:pStyle w:val="TableText0"/>
              <w:rPr>
                <w:b/>
                <w:bCs w:val="0"/>
              </w:rPr>
            </w:pPr>
            <w:r w:rsidRPr="00AB0640">
              <w:rPr>
                <w:b/>
                <w:bCs w:val="0"/>
              </w:rPr>
              <w:t xml:space="preserve">Outcomes </w:t>
            </w:r>
          </w:p>
        </w:tc>
      </w:tr>
      <w:tr w:rsidR="007A40AC" w:rsidRPr="00AB0640" w14:paraId="12BDF381" w14:textId="77777777" w:rsidTr="0065379D">
        <w:tc>
          <w:tcPr>
            <w:tcW w:w="1727" w:type="pct"/>
            <w:vAlign w:val="center"/>
          </w:tcPr>
          <w:p w14:paraId="148DB81B" w14:textId="77777777" w:rsidR="007A40AC" w:rsidRPr="00AB0640" w:rsidRDefault="007A40AC" w:rsidP="008028C6">
            <w:pPr>
              <w:pStyle w:val="TableText0"/>
              <w:rPr>
                <w:b/>
                <w:bCs w:val="0"/>
              </w:rPr>
            </w:pPr>
            <w:r w:rsidRPr="00AB0640">
              <w:t>LYs: on omaveloxolone</w:t>
            </w:r>
          </w:p>
        </w:tc>
        <w:tc>
          <w:tcPr>
            <w:tcW w:w="818" w:type="pct"/>
            <w:vAlign w:val="center"/>
          </w:tcPr>
          <w:p w14:paraId="1BDC9317" w14:textId="77777777" w:rsidR="007A40AC" w:rsidRPr="00AB0640" w:rsidRDefault="007A40AC" w:rsidP="008028C6">
            <w:pPr>
              <w:pStyle w:val="TableText0"/>
              <w:jc w:val="center"/>
              <w:rPr>
                <w:b/>
                <w:bCs w:val="0"/>
              </w:rPr>
            </w:pPr>
            <w:r w:rsidRPr="00AB0640">
              <w:rPr>
                <w:rFonts w:cs="Calibri"/>
                <w:color w:val="000000"/>
                <w:szCs w:val="20"/>
              </w:rPr>
              <w:t>12.56</w:t>
            </w:r>
          </w:p>
        </w:tc>
        <w:tc>
          <w:tcPr>
            <w:tcW w:w="818" w:type="pct"/>
            <w:vAlign w:val="center"/>
          </w:tcPr>
          <w:p w14:paraId="7803A46E" w14:textId="77777777" w:rsidR="007A40AC" w:rsidRPr="00AB0640" w:rsidRDefault="007A40AC" w:rsidP="008028C6">
            <w:pPr>
              <w:pStyle w:val="TableText0"/>
              <w:jc w:val="center"/>
              <w:rPr>
                <w:b/>
                <w:bCs w:val="0"/>
              </w:rPr>
            </w:pPr>
            <w:r w:rsidRPr="00AB0640">
              <w:rPr>
                <w:rFonts w:cs="Calibri"/>
                <w:color w:val="000000"/>
                <w:szCs w:val="20"/>
              </w:rPr>
              <w:t>0.00</w:t>
            </w:r>
          </w:p>
        </w:tc>
        <w:tc>
          <w:tcPr>
            <w:tcW w:w="818" w:type="pct"/>
            <w:vAlign w:val="center"/>
          </w:tcPr>
          <w:p w14:paraId="3EC81050" w14:textId="77777777" w:rsidR="007A40AC" w:rsidRPr="00AB0640" w:rsidRDefault="007A40AC" w:rsidP="008028C6">
            <w:pPr>
              <w:pStyle w:val="TableText0"/>
              <w:jc w:val="center"/>
              <w:rPr>
                <w:b/>
                <w:bCs w:val="0"/>
              </w:rPr>
            </w:pPr>
            <w:r w:rsidRPr="00AB0640">
              <w:rPr>
                <w:rFonts w:cs="Calibri"/>
                <w:color w:val="000000"/>
                <w:szCs w:val="20"/>
              </w:rPr>
              <w:t>12.56</w:t>
            </w:r>
          </w:p>
        </w:tc>
        <w:tc>
          <w:tcPr>
            <w:tcW w:w="818" w:type="pct"/>
            <w:vAlign w:val="center"/>
          </w:tcPr>
          <w:p w14:paraId="1C26ACC0" w14:textId="77777777" w:rsidR="007A40AC" w:rsidRPr="00AB0640" w:rsidRDefault="007A40AC" w:rsidP="008028C6">
            <w:pPr>
              <w:pStyle w:val="TableText0"/>
              <w:jc w:val="center"/>
              <w:rPr>
                <w:b/>
                <w:bCs w:val="0"/>
              </w:rPr>
            </w:pPr>
            <w:r w:rsidRPr="00AB0640">
              <w:rPr>
                <w:rFonts w:cs="Calibri"/>
                <w:color w:val="000000"/>
                <w:szCs w:val="20"/>
              </w:rPr>
              <w:t>1032%</w:t>
            </w:r>
          </w:p>
        </w:tc>
      </w:tr>
      <w:tr w:rsidR="007A40AC" w:rsidRPr="00AB0640" w14:paraId="562A413F" w14:textId="77777777" w:rsidTr="0065379D">
        <w:tc>
          <w:tcPr>
            <w:tcW w:w="1727" w:type="pct"/>
            <w:vAlign w:val="center"/>
          </w:tcPr>
          <w:p w14:paraId="1C3366B8" w14:textId="77777777" w:rsidR="007A40AC" w:rsidRPr="00AB0640" w:rsidRDefault="007A40AC" w:rsidP="008028C6">
            <w:pPr>
              <w:pStyle w:val="TableText0"/>
              <w:rPr>
                <w:b/>
                <w:bCs w:val="0"/>
              </w:rPr>
            </w:pPr>
            <w:r w:rsidRPr="00AB0640">
              <w:t>LYs: off omaveloxolone</w:t>
            </w:r>
          </w:p>
        </w:tc>
        <w:tc>
          <w:tcPr>
            <w:tcW w:w="818" w:type="pct"/>
            <w:vAlign w:val="center"/>
          </w:tcPr>
          <w:p w14:paraId="7AF865ED" w14:textId="77777777" w:rsidR="007A40AC" w:rsidRPr="00AB0640" w:rsidRDefault="007A40AC" w:rsidP="008028C6">
            <w:pPr>
              <w:pStyle w:val="TableText0"/>
              <w:jc w:val="center"/>
              <w:rPr>
                <w:b/>
                <w:bCs w:val="0"/>
              </w:rPr>
            </w:pPr>
            <w:r w:rsidRPr="00AB0640">
              <w:rPr>
                <w:rFonts w:cs="Calibri"/>
                <w:color w:val="000000"/>
                <w:szCs w:val="20"/>
              </w:rPr>
              <w:t>14.72</w:t>
            </w:r>
          </w:p>
        </w:tc>
        <w:tc>
          <w:tcPr>
            <w:tcW w:w="818" w:type="pct"/>
            <w:vAlign w:val="center"/>
          </w:tcPr>
          <w:p w14:paraId="266B2112" w14:textId="77777777" w:rsidR="007A40AC" w:rsidRPr="00AB0640" w:rsidRDefault="007A40AC" w:rsidP="008028C6">
            <w:pPr>
              <w:pStyle w:val="TableText0"/>
              <w:jc w:val="center"/>
              <w:rPr>
                <w:b/>
                <w:bCs w:val="0"/>
              </w:rPr>
            </w:pPr>
            <w:r w:rsidRPr="00AB0640">
              <w:rPr>
                <w:rFonts w:cs="Calibri"/>
                <w:color w:val="000000"/>
                <w:szCs w:val="20"/>
              </w:rPr>
              <w:t>26.06</w:t>
            </w:r>
          </w:p>
        </w:tc>
        <w:tc>
          <w:tcPr>
            <w:tcW w:w="818" w:type="pct"/>
            <w:vAlign w:val="center"/>
          </w:tcPr>
          <w:p w14:paraId="76E07FA2" w14:textId="77777777" w:rsidR="007A40AC" w:rsidRPr="00AB0640" w:rsidRDefault="007A40AC" w:rsidP="008028C6">
            <w:pPr>
              <w:pStyle w:val="TableText0"/>
              <w:jc w:val="center"/>
              <w:rPr>
                <w:b/>
                <w:bCs w:val="0"/>
              </w:rPr>
            </w:pPr>
            <w:r w:rsidRPr="00AB0640">
              <w:rPr>
                <w:rFonts w:cs="Calibri"/>
                <w:color w:val="000000"/>
                <w:szCs w:val="20"/>
              </w:rPr>
              <w:t>-11.34</w:t>
            </w:r>
          </w:p>
        </w:tc>
        <w:tc>
          <w:tcPr>
            <w:tcW w:w="818" w:type="pct"/>
            <w:vAlign w:val="center"/>
          </w:tcPr>
          <w:p w14:paraId="1D8D70BA" w14:textId="77777777" w:rsidR="007A40AC" w:rsidRPr="00AB0640" w:rsidRDefault="007A40AC" w:rsidP="008028C6">
            <w:pPr>
              <w:pStyle w:val="TableText0"/>
              <w:jc w:val="center"/>
              <w:rPr>
                <w:b/>
                <w:bCs w:val="0"/>
              </w:rPr>
            </w:pPr>
            <w:r w:rsidRPr="00AB0640">
              <w:rPr>
                <w:rFonts w:cs="Calibri"/>
                <w:color w:val="000000"/>
                <w:szCs w:val="20"/>
              </w:rPr>
              <w:t>-932%</w:t>
            </w:r>
          </w:p>
        </w:tc>
      </w:tr>
      <w:tr w:rsidR="007A40AC" w:rsidRPr="00AB0640" w14:paraId="47B750B6" w14:textId="77777777" w:rsidTr="0065379D">
        <w:tc>
          <w:tcPr>
            <w:tcW w:w="1727" w:type="pct"/>
            <w:vAlign w:val="center"/>
          </w:tcPr>
          <w:p w14:paraId="2E15F823" w14:textId="77777777" w:rsidR="007A40AC" w:rsidRPr="00AB0640" w:rsidRDefault="007A40AC" w:rsidP="008028C6">
            <w:pPr>
              <w:pStyle w:val="TableText0"/>
              <w:rPr>
                <w:b/>
                <w:bCs w:val="0"/>
              </w:rPr>
            </w:pPr>
            <w:r w:rsidRPr="00AB0640">
              <w:rPr>
                <w:b/>
                <w:bCs w:val="0"/>
              </w:rPr>
              <w:t>Total LYs (undiscounted)</w:t>
            </w:r>
          </w:p>
        </w:tc>
        <w:tc>
          <w:tcPr>
            <w:tcW w:w="818" w:type="pct"/>
            <w:vAlign w:val="center"/>
          </w:tcPr>
          <w:p w14:paraId="1BDD1FEC" w14:textId="77777777" w:rsidR="007A40AC" w:rsidRPr="00AB0640" w:rsidRDefault="007A40AC" w:rsidP="008028C6">
            <w:pPr>
              <w:pStyle w:val="TableText0"/>
              <w:jc w:val="center"/>
              <w:rPr>
                <w:b/>
                <w:bCs w:val="0"/>
              </w:rPr>
            </w:pPr>
            <w:r w:rsidRPr="00AB0640">
              <w:rPr>
                <w:rFonts w:cs="Calibri"/>
                <w:b/>
                <w:bCs w:val="0"/>
                <w:color w:val="000000"/>
                <w:szCs w:val="20"/>
              </w:rPr>
              <w:t>27.28</w:t>
            </w:r>
          </w:p>
        </w:tc>
        <w:tc>
          <w:tcPr>
            <w:tcW w:w="818" w:type="pct"/>
            <w:vAlign w:val="center"/>
          </w:tcPr>
          <w:p w14:paraId="0D1E65F9" w14:textId="77777777" w:rsidR="007A40AC" w:rsidRPr="00AB0640" w:rsidRDefault="007A40AC" w:rsidP="008028C6">
            <w:pPr>
              <w:pStyle w:val="TableText0"/>
              <w:jc w:val="center"/>
              <w:rPr>
                <w:b/>
                <w:bCs w:val="0"/>
              </w:rPr>
            </w:pPr>
            <w:r w:rsidRPr="00AB0640">
              <w:rPr>
                <w:rFonts w:cs="Calibri"/>
                <w:b/>
                <w:bCs w:val="0"/>
                <w:color w:val="000000"/>
                <w:szCs w:val="20"/>
              </w:rPr>
              <w:t>26.06</w:t>
            </w:r>
          </w:p>
        </w:tc>
        <w:tc>
          <w:tcPr>
            <w:tcW w:w="818" w:type="pct"/>
            <w:vAlign w:val="center"/>
          </w:tcPr>
          <w:p w14:paraId="623AAEA3" w14:textId="77777777" w:rsidR="007A40AC" w:rsidRPr="00AB0640" w:rsidRDefault="007A40AC" w:rsidP="008028C6">
            <w:pPr>
              <w:pStyle w:val="TableText0"/>
              <w:jc w:val="center"/>
              <w:rPr>
                <w:b/>
                <w:bCs w:val="0"/>
              </w:rPr>
            </w:pPr>
            <w:r w:rsidRPr="00AB0640">
              <w:rPr>
                <w:rFonts w:cs="Calibri"/>
                <w:b/>
                <w:bCs w:val="0"/>
                <w:color w:val="000000"/>
                <w:szCs w:val="20"/>
              </w:rPr>
              <w:t>1.22</w:t>
            </w:r>
          </w:p>
        </w:tc>
        <w:tc>
          <w:tcPr>
            <w:tcW w:w="818" w:type="pct"/>
            <w:vAlign w:val="center"/>
          </w:tcPr>
          <w:p w14:paraId="004A915D" w14:textId="77777777" w:rsidR="007A40AC" w:rsidRPr="00AB0640" w:rsidRDefault="007A40AC" w:rsidP="008028C6">
            <w:pPr>
              <w:pStyle w:val="TableText0"/>
              <w:jc w:val="center"/>
              <w:rPr>
                <w:b/>
                <w:bCs w:val="0"/>
              </w:rPr>
            </w:pPr>
            <w:r w:rsidRPr="00AB0640">
              <w:rPr>
                <w:rFonts w:cs="Calibri"/>
                <w:b/>
                <w:bCs w:val="0"/>
                <w:color w:val="000000"/>
                <w:szCs w:val="20"/>
              </w:rPr>
              <w:t>100%</w:t>
            </w:r>
          </w:p>
        </w:tc>
      </w:tr>
      <w:tr w:rsidR="007A40AC" w:rsidRPr="00AB0640" w14:paraId="0FDD5691" w14:textId="77777777" w:rsidTr="0065379D">
        <w:tc>
          <w:tcPr>
            <w:tcW w:w="1727" w:type="pct"/>
            <w:vAlign w:val="center"/>
          </w:tcPr>
          <w:p w14:paraId="5EA02B3C" w14:textId="77777777" w:rsidR="007A40AC" w:rsidRPr="00AB0640" w:rsidRDefault="007A40AC" w:rsidP="008028C6">
            <w:pPr>
              <w:pStyle w:val="TableText0"/>
              <w:rPr>
                <w:b/>
                <w:bCs w:val="0"/>
              </w:rPr>
            </w:pPr>
            <w:r w:rsidRPr="00AB0640">
              <w:t>QALYs: on omaveloxolone</w:t>
            </w:r>
          </w:p>
        </w:tc>
        <w:tc>
          <w:tcPr>
            <w:tcW w:w="818" w:type="pct"/>
            <w:vAlign w:val="center"/>
          </w:tcPr>
          <w:p w14:paraId="41A79236" w14:textId="77777777" w:rsidR="007A40AC" w:rsidRPr="00AB0640" w:rsidRDefault="007A40AC" w:rsidP="008028C6">
            <w:pPr>
              <w:pStyle w:val="TableText0"/>
              <w:jc w:val="center"/>
              <w:rPr>
                <w:b/>
                <w:bCs w:val="0"/>
              </w:rPr>
            </w:pPr>
            <w:r w:rsidRPr="00AB0640">
              <w:rPr>
                <w:rFonts w:cs="Calibri"/>
                <w:color w:val="000000"/>
                <w:szCs w:val="20"/>
              </w:rPr>
              <w:t>7.82</w:t>
            </w:r>
          </w:p>
        </w:tc>
        <w:tc>
          <w:tcPr>
            <w:tcW w:w="818" w:type="pct"/>
            <w:vAlign w:val="center"/>
          </w:tcPr>
          <w:p w14:paraId="54A0ED4B" w14:textId="77777777" w:rsidR="007A40AC" w:rsidRPr="00AB0640" w:rsidRDefault="007A40AC" w:rsidP="008028C6">
            <w:pPr>
              <w:pStyle w:val="TableText0"/>
              <w:jc w:val="center"/>
              <w:rPr>
                <w:b/>
                <w:bCs w:val="0"/>
              </w:rPr>
            </w:pPr>
            <w:r w:rsidRPr="00AB0640">
              <w:rPr>
                <w:rFonts w:cs="Calibri"/>
                <w:color w:val="000000"/>
                <w:szCs w:val="20"/>
              </w:rPr>
              <w:t>0.00</w:t>
            </w:r>
          </w:p>
        </w:tc>
        <w:tc>
          <w:tcPr>
            <w:tcW w:w="818" w:type="pct"/>
            <w:vAlign w:val="center"/>
          </w:tcPr>
          <w:p w14:paraId="3CBC419E" w14:textId="77777777" w:rsidR="007A40AC" w:rsidRPr="00AB0640" w:rsidRDefault="007A40AC" w:rsidP="008028C6">
            <w:pPr>
              <w:pStyle w:val="TableText0"/>
              <w:jc w:val="center"/>
              <w:rPr>
                <w:b/>
                <w:bCs w:val="0"/>
              </w:rPr>
            </w:pPr>
            <w:r w:rsidRPr="00AB0640">
              <w:rPr>
                <w:rFonts w:cs="Calibri"/>
                <w:color w:val="000000"/>
                <w:szCs w:val="20"/>
              </w:rPr>
              <w:t>7.82</w:t>
            </w:r>
          </w:p>
        </w:tc>
        <w:tc>
          <w:tcPr>
            <w:tcW w:w="818" w:type="pct"/>
            <w:vAlign w:val="center"/>
          </w:tcPr>
          <w:p w14:paraId="1D2E2F67" w14:textId="77777777" w:rsidR="007A40AC" w:rsidRPr="00AB0640" w:rsidRDefault="007A40AC" w:rsidP="008028C6">
            <w:pPr>
              <w:pStyle w:val="TableText0"/>
              <w:jc w:val="center"/>
              <w:rPr>
                <w:b/>
                <w:bCs w:val="0"/>
              </w:rPr>
            </w:pPr>
            <w:r w:rsidRPr="00AB0640">
              <w:rPr>
                <w:rFonts w:cs="Calibri"/>
                <w:color w:val="000000"/>
                <w:szCs w:val="20"/>
              </w:rPr>
              <w:t>258%</w:t>
            </w:r>
          </w:p>
        </w:tc>
      </w:tr>
      <w:tr w:rsidR="007A40AC" w:rsidRPr="00AB0640" w14:paraId="0F879EF5" w14:textId="77777777" w:rsidTr="0065379D">
        <w:tc>
          <w:tcPr>
            <w:tcW w:w="1727" w:type="pct"/>
            <w:vAlign w:val="center"/>
          </w:tcPr>
          <w:p w14:paraId="394EAB7A" w14:textId="77777777" w:rsidR="007A40AC" w:rsidRPr="00AB0640" w:rsidRDefault="007A40AC" w:rsidP="008028C6">
            <w:pPr>
              <w:pStyle w:val="TableText0"/>
              <w:rPr>
                <w:b/>
                <w:bCs w:val="0"/>
              </w:rPr>
            </w:pPr>
            <w:r w:rsidRPr="00AB0640">
              <w:t>QALYs: off omaveloxolone</w:t>
            </w:r>
          </w:p>
        </w:tc>
        <w:tc>
          <w:tcPr>
            <w:tcW w:w="818" w:type="pct"/>
            <w:vAlign w:val="center"/>
          </w:tcPr>
          <w:p w14:paraId="1A154702" w14:textId="77777777" w:rsidR="007A40AC" w:rsidRPr="00AB0640" w:rsidRDefault="007A40AC" w:rsidP="008028C6">
            <w:pPr>
              <w:pStyle w:val="TableText0"/>
              <w:jc w:val="center"/>
              <w:rPr>
                <w:b/>
                <w:bCs w:val="0"/>
              </w:rPr>
            </w:pPr>
            <w:r w:rsidRPr="00AB0640">
              <w:rPr>
                <w:rFonts w:cs="Calibri"/>
                <w:color w:val="000000"/>
                <w:szCs w:val="20"/>
              </w:rPr>
              <w:t>6.18</w:t>
            </w:r>
          </w:p>
        </w:tc>
        <w:tc>
          <w:tcPr>
            <w:tcW w:w="818" w:type="pct"/>
            <w:vAlign w:val="center"/>
          </w:tcPr>
          <w:p w14:paraId="3D51C97B" w14:textId="77777777" w:rsidR="007A40AC" w:rsidRPr="00AB0640" w:rsidRDefault="007A40AC" w:rsidP="008028C6">
            <w:pPr>
              <w:pStyle w:val="TableText0"/>
              <w:jc w:val="center"/>
              <w:rPr>
                <w:b/>
                <w:bCs w:val="0"/>
              </w:rPr>
            </w:pPr>
            <w:r w:rsidRPr="00AB0640">
              <w:rPr>
                <w:rFonts w:cs="Calibri"/>
                <w:color w:val="000000"/>
                <w:szCs w:val="20"/>
              </w:rPr>
              <w:t>10.97</w:t>
            </w:r>
          </w:p>
        </w:tc>
        <w:tc>
          <w:tcPr>
            <w:tcW w:w="818" w:type="pct"/>
            <w:vAlign w:val="center"/>
          </w:tcPr>
          <w:p w14:paraId="05AB3E8A" w14:textId="77777777" w:rsidR="007A40AC" w:rsidRPr="00AB0640" w:rsidRDefault="007A40AC" w:rsidP="008028C6">
            <w:pPr>
              <w:pStyle w:val="TableText0"/>
              <w:jc w:val="center"/>
              <w:rPr>
                <w:b/>
                <w:bCs w:val="0"/>
              </w:rPr>
            </w:pPr>
            <w:r w:rsidRPr="00AB0640">
              <w:rPr>
                <w:rFonts w:cs="Calibri"/>
                <w:color w:val="000000"/>
                <w:szCs w:val="20"/>
              </w:rPr>
              <w:t>-4.79</w:t>
            </w:r>
          </w:p>
        </w:tc>
        <w:tc>
          <w:tcPr>
            <w:tcW w:w="818" w:type="pct"/>
            <w:vAlign w:val="center"/>
          </w:tcPr>
          <w:p w14:paraId="158AF938" w14:textId="77777777" w:rsidR="007A40AC" w:rsidRPr="00AB0640" w:rsidRDefault="007A40AC" w:rsidP="008028C6">
            <w:pPr>
              <w:pStyle w:val="TableText0"/>
              <w:jc w:val="center"/>
              <w:rPr>
                <w:b/>
                <w:bCs w:val="0"/>
              </w:rPr>
            </w:pPr>
            <w:r w:rsidRPr="00AB0640">
              <w:rPr>
                <w:rFonts w:cs="Calibri"/>
                <w:color w:val="000000"/>
                <w:szCs w:val="20"/>
              </w:rPr>
              <w:t>-158%</w:t>
            </w:r>
          </w:p>
        </w:tc>
      </w:tr>
      <w:tr w:rsidR="007A40AC" w:rsidRPr="00AB0640" w14:paraId="2D320E22" w14:textId="77777777" w:rsidTr="0065379D">
        <w:tc>
          <w:tcPr>
            <w:tcW w:w="1727" w:type="pct"/>
            <w:vAlign w:val="center"/>
          </w:tcPr>
          <w:p w14:paraId="60E9C6AA" w14:textId="77777777" w:rsidR="007A40AC" w:rsidRPr="00AB0640" w:rsidRDefault="007A40AC" w:rsidP="008028C6">
            <w:pPr>
              <w:pStyle w:val="TableText0"/>
              <w:rPr>
                <w:b/>
                <w:bCs w:val="0"/>
              </w:rPr>
            </w:pPr>
            <w:r w:rsidRPr="00AB0640">
              <w:rPr>
                <w:b/>
                <w:bCs w:val="0"/>
              </w:rPr>
              <w:t xml:space="preserve">Total QALYs (discounted) </w:t>
            </w:r>
          </w:p>
        </w:tc>
        <w:tc>
          <w:tcPr>
            <w:tcW w:w="818" w:type="pct"/>
            <w:vAlign w:val="center"/>
          </w:tcPr>
          <w:p w14:paraId="0377414D" w14:textId="77777777" w:rsidR="007A40AC" w:rsidRPr="00AB0640" w:rsidRDefault="007A40AC" w:rsidP="008028C6">
            <w:pPr>
              <w:pStyle w:val="TableText0"/>
              <w:jc w:val="center"/>
              <w:rPr>
                <w:b/>
                <w:bCs w:val="0"/>
              </w:rPr>
            </w:pPr>
            <w:r w:rsidRPr="00AB0640">
              <w:rPr>
                <w:rFonts w:cs="Calibri"/>
                <w:b/>
                <w:bCs w:val="0"/>
                <w:color w:val="000000"/>
                <w:szCs w:val="20"/>
              </w:rPr>
              <w:t>10.58</w:t>
            </w:r>
          </w:p>
        </w:tc>
        <w:tc>
          <w:tcPr>
            <w:tcW w:w="818" w:type="pct"/>
            <w:vAlign w:val="center"/>
          </w:tcPr>
          <w:p w14:paraId="1110DCC6" w14:textId="77777777" w:rsidR="007A40AC" w:rsidRPr="00AB0640" w:rsidRDefault="007A40AC" w:rsidP="008028C6">
            <w:pPr>
              <w:pStyle w:val="TableText0"/>
              <w:jc w:val="center"/>
              <w:rPr>
                <w:b/>
                <w:bCs w:val="0"/>
              </w:rPr>
            </w:pPr>
            <w:r w:rsidRPr="00AB0640">
              <w:rPr>
                <w:rFonts w:cs="Calibri"/>
                <w:b/>
                <w:bCs w:val="0"/>
                <w:color w:val="000000"/>
                <w:szCs w:val="20"/>
              </w:rPr>
              <w:t>9.42</w:t>
            </w:r>
          </w:p>
        </w:tc>
        <w:tc>
          <w:tcPr>
            <w:tcW w:w="818" w:type="pct"/>
            <w:vAlign w:val="center"/>
          </w:tcPr>
          <w:p w14:paraId="4EF25B71" w14:textId="77777777" w:rsidR="007A40AC" w:rsidRPr="00AB0640" w:rsidRDefault="007A40AC" w:rsidP="008028C6">
            <w:pPr>
              <w:pStyle w:val="TableText0"/>
              <w:jc w:val="center"/>
              <w:rPr>
                <w:b/>
                <w:bCs w:val="0"/>
              </w:rPr>
            </w:pPr>
            <w:r w:rsidRPr="00AB0640">
              <w:rPr>
                <w:rFonts w:cs="Calibri"/>
                <w:b/>
                <w:bCs w:val="0"/>
                <w:color w:val="000000"/>
                <w:szCs w:val="20"/>
              </w:rPr>
              <w:t>3.04</w:t>
            </w:r>
          </w:p>
        </w:tc>
        <w:tc>
          <w:tcPr>
            <w:tcW w:w="818" w:type="pct"/>
            <w:vAlign w:val="center"/>
          </w:tcPr>
          <w:p w14:paraId="42AACAC7" w14:textId="77777777" w:rsidR="007A40AC" w:rsidRPr="00AB0640" w:rsidRDefault="007A40AC" w:rsidP="008028C6">
            <w:pPr>
              <w:pStyle w:val="TableText0"/>
              <w:jc w:val="center"/>
              <w:rPr>
                <w:b/>
                <w:bCs w:val="0"/>
              </w:rPr>
            </w:pPr>
            <w:r w:rsidRPr="00AB0640">
              <w:rPr>
                <w:rFonts w:cs="Calibri"/>
                <w:b/>
                <w:bCs w:val="0"/>
                <w:color w:val="000000"/>
                <w:szCs w:val="20"/>
              </w:rPr>
              <w:t>100%</w:t>
            </w:r>
          </w:p>
        </w:tc>
      </w:tr>
    </w:tbl>
    <w:p w14:paraId="74550005" w14:textId="77777777" w:rsidR="007A40AC" w:rsidRPr="00AB0640" w:rsidRDefault="007A40AC" w:rsidP="008028C6">
      <w:pPr>
        <w:pStyle w:val="TableFigureFooter"/>
      </w:pPr>
      <w:r w:rsidRPr="00AB0640">
        <w:t>Source: tabulated during the evaluation from the “Attachment 9 - Cost utility analysis (CUA) workbook (Section 3)” attachment.</w:t>
      </w:r>
    </w:p>
    <w:p w14:paraId="7BEEBF91" w14:textId="77777777" w:rsidR="007A40AC" w:rsidRPr="00AB0640" w:rsidRDefault="007A40AC" w:rsidP="008028C6">
      <w:pPr>
        <w:pStyle w:val="TableFigureFooter"/>
      </w:pPr>
      <w:r w:rsidRPr="00AB0640">
        <w:t>AE = adverse event; BSC = best supportive care; LYs = life-years; QALYs = quality-adjusted life-years</w:t>
      </w:r>
    </w:p>
    <w:p w14:paraId="11381258" w14:textId="5F8DCDC8" w:rsidR="007A40AC" w:rsidRPr="00AB0640" w:rsidRDefault="007A40AC" w:rsidP="008028C6">
      <w:pPr>
        <w:pStyle w:val="3-BodyText"/>
      </w:pPr>
      <w:r w:rsidRPr="00AB0640">
        <w:t xml:space="preserve">A Markov trace for the entire modelled population is presented in </w:t>
      </w:r>
      <w:r w:rsidRPr="00AB0640">
        <w:fldChar w:fldCharType="begin" w:fldLock="1"/>
      </w:r>
      <w:r w:rsidRPr="00AB0640">
        <w:instrText xml:space="preserve"> REF _Ref207539239 \h </w:instrText>
      </w:r>
      <w:r w:rsidRPr="00AB0640">
        <w:fldChar w:fldCharType="separate"/>
      </w:r>
      <w:r w:rsidR="00E056AF" w:rsidRPr="00AB0640">
        <w:t xml:space="preserve">Figure </w:t>
      </w:r>
      <w:r w:rsidR="00E056AF">
        <w:rPr>
          <w:noProof/>
        </w:rPr>
        <w:t>4</w:t>
      </w:r>
      <w:r w:rsidRPr="00AB0640">
        <w:fldChar w:fldCharType="end"/>
      </w:r>
      <w:r w:rsidRPr="00AB0640">
        <w:t xml:space="preserve">. </w:t>
      </w:r>
    </w:p>
    <w:p w14:paraId="2F246667" w14:textId="732C4E02" w:rsidR="007A40AC" w:rsidRPr="00AB0640" w:rsidRDefault="007A40AC" w:rsidP="008028C6">
      <w:pPr>
        <w:pStyle w:val="Caption"/>
      </w:pPr>
      <w:bookmarkStart w:id="53" w:name="_Ref207539239"/>
      <w:r w:rsidRPr="00AB0640">
        <w:t xml:space="preserve">Figure </w:t>
      </w:r>
      <w:r w:rsidR="00E056AF">
        <w:fldChar w:fldCharType="begin" w:fldLock="1"/>
      </w:r>
      <w:r w:rsidR="00E056AF">
        <w:instrText xml:space="preserve"> SEQ Figure \* ARABIC </w:instrText>
      </w:r>
      <w:r w:rsidR="00E056AF">
        <w:fldChar w:fldCharType="separate"/>
      </w:r>
      <w:r w:rsidR="00E056AF">
        <w:rPr>
          <w:noProof/>
        </w:rPr>
        <w:t>4</w:t>
      </w:r>
      <w:r w:rsidR="00E056AF">
        <w:rPr>
          <w:noProof/>
        </w:rPr>
        <w:fldChar w:fldCharType="end"/>
      </w:r>
      <w:bookmarkEnd w:id="53"/>
      <w:r w:rsidRPr="00AB0640">
        <w:t>: Health state membership over the model time horizon</w:t>
      </w:r>
      <w:r w:rsidR="00202AE4">
        <w:t xml:space="preserve"> </w:t>
      </w:r>
    </w:p>
    <w:p w14:paraId="22794C3F" w14:textId="77777777" w:rsidR="007A40AC" w:rsidRPr="00AB0640" w:rsidRDefault="007A40AC" w:rsidP="008028C6">
      <w:pPr>
        <w:pStyle w:val="3-BodyText"/>
        <w:numPr>
          <w:ilvl w:val="0"/>
          <w:numId w:val="0"/>
        </w:numPr>
        <w:jc w:val="left"/>
      </w:pPr>
      <w:r w:rsidRPr="00AB0640">
        <w:rPr>
          <w:i/>
          <w:iCs/>
          <w:noProof/>
          <w:color w:val="76923C" w:themeColor="accent3" w:themeShade="BF"/>
          <w:szCs w:val="18"/>
        </w:rPr>
        <w:drawing>
          <wp:inline distT="0" distB="0" distL="0" distR="0" wp14:anchorId="7BDD1527" wp14:editId="17698D11">
            <wp:extent cx="5368127" cy="3048000"/>
            <wp:effectExtent l="0" t="0" r="4445" b="0"/>
            <wp:docPr id="1393554744" name="Picture 6" descr="Figure 4: Health state membership over the model time horiz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554744" name="Picture 6" descr="Figure 4: Health state membership over the model time horizon "/>
                    <pic:cNvPicPr>
                      <a:picLocks noChangeAspect="1" noChangeArrowheads="1"/>
                    </pic:cNvPicPr>
                  </pic:nvPicPr>
                  <pic:blipFill rotWithShape="1">
                    <a:blip r:embed="rId14">
                      <a:extLst>
                        <a:ext uri="{28A0092B-C50C-407E-A947-70E740481C1C}">
                          <a14:useLocalDpi xmlns:a14="http://schemas.microsoft.com/office/drawing/2010/main" val="0"/>
                        </a:ext>
                      </a:extLst>
                    </a:blip>
                    <a:srcRect/>
                    <a:stretch>
                      <a:fillRect/>
                    </a:stretch>
                  </pic:blipFill>
                  <pic:spPr bwMode="auto">
                    <a:xfrm>
                      <a:off x="0" y="0"/>
                      <a:ext cx="5440374" cy="3089022"/>
                    </a:xfrm>
                    <a:prstGeom prst="rect">
                      <a:avLst/>
                    </a:prstGeom>
                    <a:noFill/>
                    <a:ln>
                      <a:noFill/>
                    </a:ln>
                    <a:extLst>
                      <a:ext uri="{53640926-AAD7-44D8-BBD7-CCE9431645EC}">
                        <a14:shadowObscured xmlns:a14="http://schemas.microsoft.com/office/drawing/2010/main"/>
                      </a:ext>
                    </a:extLst>
                  </pic:spPr>
                </pic:pic>
              </a:graphicData>
            </a:graphic>
          </wp:inline>
        </w:drawing>
      </w:r>
    </w:p>
    <w:p w14:paraId="226EC3A9" w14:textId="4D9E056E" w:rsidR="007A40AC" w:rsidRPr="00AB0640" w:rsidRDefault="007A40AC" w:rsidP="008028C6">
      <w:pPr>
        <w:pStyle w:val="TableFigureFooter"/>
      </w:pPr>
      <w:r w:rsidRPr="00AB0640">
        <w:t xml:space="preserve">Source: Figure 3.14, p245 of the </w:t>
      </w:r>
      <w:r w:rsidR="0010618F" w:rsidRPr="00AB0640">
        <w:t>re</w:t>
      </w:r>
      <w:r w:rsidRPr="00AB0640">
        <w:t xml:space="preserve">submission. </w:t>
      </w:r>
    </w:p>
    <w:p w14:paraId="0E54FBC5" w14:textId="77777777" w:rsidR="007A40AC" w:rsidRPr="00AB0640" w:rsidRDefault="007A40AC" w:rsidP="008028C6">
      <w:pPr>
        <w:pStyle w:val="TableFigureFooter"/>
      </w:pPr>
      <w:r w:rsidRPr="00AB0640">
        <w:t xml:space="preserve">BSC = best supportive care; Omav = omaveloxolone; Tx = treatment </w:t>
      </w:r>
    </w:p>
    <w:p w14:paraId="6D4B7215" w14:textId="5E1C5828" w:rsidR="007A40AC" w:rsidRPr="00AB0640" w:rsidRDefault="007A40AC" w:rsidP="008028C6">
      <w:pPr>
        <w:pStyle w:val="3-BodyText"/>
      </w:pPr>
      <w:r w:rsidRPr="00AB0640">
        <w:t xml:space="preserve">The results of key univariate and multivariate sensitivity analyses are summarised in </w:t>
      </w:r>
      <w:r w:rsidRPr="00AB0640">
        <w:fldChar w:fldCharType="begin" w:fldLock="1"/>
      </w:r>
      <w:r w:rsidRPr="00AB0640">
        <w:instrText xml:space="preserve"> REF _Ref104804865 \h </w:instrText>
      </w:r>
      <w:r w:rsidR="00BF0410" w:rsidRPr="00AB0640">
        <w:instrText xml:space="preserve"> \* MERGEFORMAT </w:instrText>
      </w:r>
      <w:r w:rsidRPr="00AB0640">
        <w:fldChar w:fldCharType="separate"/>
      </w:r>
      <w:r w:rsidR="00E056AF" w:rsidRPr="00AB0640">
        <w:t xml:space="preserve">Table </w:t>
      </w:r>
      <w:r w:rsidR="00E056AF">
        <w:t>16</w:t>
      </w:r>
      <w:r w:rsidRPr="00AB0640">
        <w:fldChar w:fldCharType="end"/>
      </w:r>
      <w:r w:rsidRPr="00AB0640">
        <w:t xml:space="preserve">. The ICER was most sensitive to the treatment effect applied, the assumption of treatment effect waning, and utility values applied to the health states based on mFARS score ranges. </w:t>
      </w:r>
    </w:p>
    <w:p w14:paraId="02646E58" w14:textId="21E611BC" w:rsidR="007A40AC" w:rsidRPr="00AB0640" w:rsidRDefault="007A40AC" w:rsidP="008028C6">
      <w:pPr>
        <w:pStyle w:val="TableFigureHeading"/>
        <w:rPr>
          <w:rStyle w:val="CommentReference"/>
          <w:b/>
          <w:szCs w:val="24"/>
        </w:rPr>
      </w:pPr>
      <w:bookmarkStart w:id="54" w:name="_Ref104804865"/>
      <w:r w:rsidRPr="00AB0640">
        <w:lastRenderedPageBreak/>
        <w:t xml:space="preserve">Table </w:t>
      </w:r>
      <w:r w:rsidR="00E056AF">
        <w:fldChar w:fldCharType="begin" w:fldLock="1"/>
      </w:r>
      <w:r w:rsidR="00E056AF">
        <w:instrText xml:space="preserve"> SEQ Table \* ARABIC </w:instrText>
      </w:r>
      <w:r w:rsidR="00E056AF">
        <w:fldChar w:fldCharType="separate"/>
      </w:r>
      <w:r w:rsidR="00E056AF">
        <w:rPr>
          <w:noProof/>
        </w:rPr>
        <w:t>16</w:t>
      </w:r>
      <w:r w:rsidR="00E056AF">
        <w:rPr>
          <w:noProof/>
        </w:rPr>
        <w:fldChar w:fldCharType="end"/>
      </w:r>
      <w:bookmarkEnd w:id="54"/>
      <w:r w:rsidRPr="00AB0640">
        <w:t>:</w:t>
      </w:r>
      <w:r w:rsidRPr="00AB0640">
        <w:rPr>
          <w:rStyle w:val="CommentReference"/>
          <w:b/>
          <w:szCs w:val="24"/>
        </w:rPr>
        <w:t xml:space="preserve">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6: Sensitivity analyses"/>
      </w:tblPr>
      <w:tblGrid>
        <w:gridCol w:w="4660"/>
        <w:gridCol w:w="1137"/>
        <w:gridCol w:w="1137"/>
        <w:gridCol w:w="1055"/>
        <w:gridCol w:w="1028"/>
      </w:tblGrid>
      <w:tr w:rsidR="007A40AC" w:rsidRPr="00AB0640" w14:paraId="1D73CD41" w14:textId="77777777" w:rsidTr="0065379D">
        <w:trPr>
          <w:tblHeader/>
        </w:trPr>
        <w:tc>
          <w:tcPr>
            <w:tcW w:w="2643" w:type="pct"/>
            <w:vAlign w:val="center"/>
          </w:tcPr>
          <w:p w14:paraId="61E9C9DC" w14:textId="77777777" w:rsidR="007A40AC" w:rsidRPr="00AB0640" w:rsidRDefault="007A40AC" w:rsidP="008028C6">
            <w:pPr>
              <w:pStyle w:val="In-tableHeading"/>
              <w:rPr>
                <w:lang w:val="en-AU"/>
              </w:rPr>
            </w:pPr>
            <w:r w:rsidRPr="00AB0640">
              <w:rPr>
                <w:lang w:val="en-AU"/>
              </w:rPr>
              <w:t>Analyses</w:t>
            </w:r>
          </w:p>
        </w:tc>
        <w:tc>
          <w:tcPr>
            <w:tcW w:w="630" w:type="pct"/>
            <w:vAlign w:val="center"/>
          </w:tcPr>
          <w:p w14:paraId="60F1D6FD" w14:textId="77777777" w:rsidR="007A40AC" w:rsidRPr="00AB0640" w:rsidRDefault="007A40AC" w:rsidP="008028C6">
            <w:pPr>
              <w:pStyle w:val="In-tableHeading"/>
              <w:jc w:val="center"/>
              <w:rPr>
                <w:lang w:val="en-AU"/>
              </w:rPr>
            </w:pPr>
            <w:r w:rsidRPr="00AB0640">
              <w:rPr>
                <w:lang w:val="en-AU"/>
              </w:rPr>
              <w:t>Incremental cost</w:t>
            </w:r>
          </w:p>
        </w:tc>
        <w:tc>
          <w:tcPr>
            <w:tcW w:w="630" w:type="pct"/>
            <w:vAlign w:val="center"/>
          </w:tcPr>
          <w:p w14:paraId="38D17F21" w14:textId="77777777" w:rsidR="007A40AC" w:rsidRPr="00AB0640" w:rsidRDefault="007A40AC" w:rsidP="008028C6">
            <w:pPr>
              <w:pStyle w:val="In-tableHeading"/>
              <w:jc w:val="center"/>
              <w:rPr>
                <w:lang w:val="en-AU"/>
              </w:rPr>
            </w:pPr>
            <w:r w:rsidRPr="00AB0640">
              <w:rPr>
                <w:lang w:val="en-AU"/>
              </w:rPr>
              <w:t>Incremental QALY</w:t>
            </w:r>
          </w:p>
        </w:tc>
        <w:tc>
          <w:tcPr>
            <w:tcW w:w="643" w:type="pct"/>
            <w:vAlign w:val="center"/>
          </w:tcPr>
          <w:p w14:paraId="5806D8F2" w14:textId="77777777" w:rsidR="007A40AC" w:rsidRPr="00AB0640" w:rsidRDefault="007A40AC" w:rsidP="008028C6">
            <w:pPr>
              <w:pStyle w:val="In-tableHeading"/>
              <w:jc w:val="center"/>
              <w:rPr>
                <w:lang w:val="en-AU"/>
              </w:rPr>
            </w:pPr>
            <w:r w:rsidRPr="00AB0640">
              <w:rPr>
                <w:lang w:val="en-AU"/>
              </w:rPr>
              <w:t>ICER</w:t>
            </w:r>
          </w:p>
        </w:tc>
        <w:tc>
          <w:tcPr>
            <w:tcW w:w="454" w:type="pct"/>
            <w:vAlign w:val="center"/>
          </w:tcPr>
          <w:p w14:paraId="19BDB274" w14:textId="77777777" w:rsidR="007A40AC" w:rsidRPr="00AB0640" w:rsidRDefault="007A40AC" w:rsidP="008028C6">
            <w:pPr>
              <w:pStyle w:val="In-tableHeading"/>
              <w:jc w:val="center"/>
              <w:rPr>
                <w:lang w:val="en-AU"/>
              </w:rPr>
            </w:pPr>
            <w:r w:rsidRPr="00AB0640">
              <w:rPr>
                <w:lang w:val="en-AU"/>
              </w:rPr>
              <w:t>% Change</w:t>
            </w:r>
          </w:p>
        </w:tc>
      </w:tr>
      <w:tr w:rsidR="007A40AC" w:rsidRPr="00AB0640" w14:paraId="10F40AFE" w14:textId="77777777" w:rsidTr="0065379D">
        <w:tc>
          <w:tcPr>
            <w:tcW w:w="2643" w:type="pct"/>
          </w:tcPr>
          <w:p w14:paraId="7E960A88" w14:textId="77777777" w:rsidR="007A40AC" w:rsidRPr="00AB0640" w:rsidRDefault="007A40AC" w:rsidP="008028C6">
            <w:pPr>
              <w:pStyle w:val="TableText0"/>
              <w:rPr>
                <w:b/>
                <w:bCs w:val="0"/>
              </w:rPr>
            </w:pPr>
            <w:r w:rsidRPr="00AB0640">
              <w:rPr>
                <w:b/>
                <w:bCs w:val="0"/>
              </w:rPr>
              <w:t>Base case</w:t>
            </w:r>
          </w:p>
        </w:tc>
        <w:tc>
          <w:tcPr>
            <w:tcW w:w="630" w:type="pct"/>
          </w:tcPr>
          <w:p w14:paraId="5D1EEE07" w14:textId="6B9C214D" w:rsidR="007A40AC" w:rsidRPr="00AB0640" w:rsidRDefault="007A40AC" w:rsidP="008028C6">
            <w:pPr>
              <w:pStyle w:val="TableText0"/>
              <w:jc w:val="center"/>
              <w:rPr>
                <w:b/>
                <w:bCs w:val="0"/>
              </w:rPr>
            </w:pPr>
            <w:r w:rsidRPr="00AB0640">
              <w:rPr>
                <w:b/>
                <w:bCs w:val="0"/>
              </w:rPr>
              <w:t>$</w:t>
            </w:r>
            <w:r w:rsidR="001F43CD" w:rsidRPr="001F43CD">
              <w:rPr>
                <w:b/>
                <w:bCs w:val="0"/>
                <w:highlight w:val="black"/>
              </w:rPr>
              <w:t>@@@@</w:t>
            </w:r>
          </w:p>
        </w:tc>
        <w:tc>
          <w:tcPr>
            <w:tcW w:w="630" w:type="pct"/>
          </w:tcPr>
          <w:p w14:paraId="069E6EAB" w14:textId="77777777" w:rsidR="007A40AC" w:rsidRPr="00AB0640" w:rsidRDefault="007A40AC" w:rsidP="008028C6">
            <w:pPr>
              <w:pStyle w:val="TableText0"/>
              <w:jc w:val="center"/>
              <w:rPr>
                <w:b/>
                <w:bCs w:val="0"/>
              </w:rPr>
            </w:pPr>
            <w:r w:rsidRPr="00AB0640">
              <w:rPr>
                <w:b/>
                <w:bCs w:val="0"/>
              </w:rPr>
              <w:t>1.28</w:t>
            </w:r>
          </w:p>
        </w:tc>
        <w:tc>
          <w:tcPr>
            <w:tcW w:w="643" w:type="pct"/>
          </w:tcPr>
          <w:p w14:paraId="07084DB9" w14:textId="737BD3FF" w:rsidR="007A40AC" w:rsidRPr="00AB0640" w:rsidRDefault="007A40AC" w:rsidP="008028C6">
            <w:pPr>
              <w:pStyle w:val="TableText0"/>
              <w:jc w:val="center"/>
              <w:rPr>
                <w:b/>
                <w:bCs w:val="0"/>
              </w:rPr>
            </w:pPr>
            <w:r w:rsidRPr="00AB0640">
              <w:rPr>
                <w:b/>
                <w:bCs w:val="0"/>
              </w:rPr>
              <w:t>$</w:t>
            </w:r>
            <w:r w:rsidR="001F43CD" w:rsidRPr="001F43CD">
              <w:rPr>
                <w:b/>
                <w:bCs w:val="0"/>
                <w:highlight w:val="black"/>
              </w:rPr>
              <w:t>@@@@</w:t>
            </w:r>
            <w:r w:rsidR="00B9310E" w:rsidRPr="00B9310E">
              <w:rPr>
                <w:b/>
                <w:bCs w:val="0"/>
                <w:vertAlign w:val="superscript"/>
              </w:rPr>
              <w:t>1</w:t>
            </w:r>
          </w:p>
        </w:tc>
        <w:tc>
          <w:tcPr>
            <w:tcW w:w="454" w:type="pct"/>
            <w:vAlign w:val="center"/>
          </w:tcPr>
          <w:p w14:paraId="649A5D24" w14:textId="77777777" w:rsidR="007A40AC" w:rsidRPr="00AB0640" w:rsidRDefault="007A40AC" w:rsidP="008028C6">
            <w:pPr>
              <w:pStyle w:val="TableText0"/>
              <w:jc w:val="center"/>
              <w:rPr>
                <w:b/>
                <w:bCs w:val="0"/>
              </w:rPr>
            </w:pPr>
            <w:r w:rsidRPr="00AB0640">
              <w:rPr>
                <w:b/>
                <w:bCs w:val="0"/>
              </w:rPr>
              <w:t>-</w:t>
            </w:r>
          </w:p>
        </w:tc>
      </w:tr>
      <w:tr w:rsidR="007A40AC" w:rsidRPr="00AB0640" w14:paraId="77E338E6" w14:textId="77777777" w:rsidTr="0065379D">
        <w:tc>
          <w:tcPr>
            <w:tcW w:w="5000" w:type="pct"/>
            <w:gridSpan w:val="5"/>
          </w:tcPr>
          <w:p w14:paraId="7D566EBD" w14:textId="77777777" w:rsidR="007A40AC" w:rsidRPr="00AB0640" w:rsidRDefault="007A40AC" w:rsidP="008028C6">
            <w:pPr>
              <w:pStyle w:val="TableText0"/>
            </w:pPr>
            <w:r w:rsidRPr="00AB0640">
              <w:t>Discount rate (base case 5% costs and outcomes)</w:t>
            </w:r>
          </w:p>
        </w:tc>
      </w:tr>
      <w:tr w:rsidR="007A40AC" w:rsidRPr="00AB0640" w14:paraId="3233321C" w14:textId="77777777" w:rsidTr="0065379D">
        <w:tc>
          <w:tcPr>
            <w:tcW w:w="2643" w:type="pct"/>
          </w:tcPr>
          <w:p w14:paraId="630AD3A7" w14:textId="77777777" w:rsidR="007A40AC" w:rsidRPr="00AB0640" w:rsidRDefault="007A40AC" w:rsidP="008028C6">
            <w:pPr>
              <w:pStyle w:val="TableText0"/>
              <w:numPr>
                <w:ilvl w:val="0"/>
                <w:numId w:val="4"/>
              </w:numPr>
            </w:pPr>
            <w:r w:rsidRPr="00AB0640">
              <w:t>0% costs and outcomes</w:t>
            </w:r>
          </w:p>
        </w:tc>
        <w:tc>
          <w:tcPr>
            <w:tcW w:w="630" w:type="pct"/>
          </w:tcPr>
          <w:p w14:paraId="31669080" w14:textId="178C984E" w:rsidR="007A40AC" w:rsidRPr="00AB0640" w:rsidRDefault="007A40AC" w:rsidP="008028C6">
            <w:pPr>
              <w:pStyle w:val="TableText0"/>
              <w:jc w:val="center"/>
            </w:pPr>
            <w:r w:rsidRPr="00AB0640">
              <w:t>$</w:t>
            </w:r>
            <w:r w:rsidR="001F43CD" w:rsidRPr="001F43CD">
              <w:rPr>
                <w:highlight w:val="black"/>
              </w:rPr>
              <w:t>@@@@</w:t>
            </w:r>
          </w:p>
        </w:tc>
        <w:tc>
          <w:tcPr>
            <w:tcW w:w="630" w:type="pct"/>
          </w:tcPr>
          <w:p w14:paraId="46C24861" w14:textId="77777777" w:rsidR="007A40AC" w:rsidRPr="00AB0640" w:rsidRDefault="007A40AC" w:rsidP="008028C6">
            <w:pPr>
              <w:pStyle w:val="TableText0"/>
              <w:jc w:val="center"/>
            </w:pPr>
            <w:r w:rsidRPr="00AB0640">
              <w:t>3.04</w:t>
            </w:r>
          </w:p>
        </w:tc>
        <w:tc>
          <w:tcPr>
            <w:tcW w:w="643" w:type="pct"/>
          </w:tcPr>
          <w:p w14:paraId="265F8ED3" w14:textId="459FB1DA" w:rsidR="007A40AC" w:rsidRPr="00771F90" w:rsidRDefault="007A40AC" w:rsidP="008028C6">
            <w:pPr>
              <w:pStyle w:val="TableText0"/>
              <w:jc w:val="center"/>
              <w:rPr>
                <w:vertAlign w:val="superscript"/>
              </w:rPr>
            </w:pPr>
            <w:r w:rsidRPr="00AB0640">
              <w:t>$</w:t>
            </w:r>
            <w:r w:rsidR="001F43CD" w:rsidRPr="001F43CD">
              <w:rPr>
                <w:highlight w:val="black"/>
              </w:rPr>
              <w:t>@@@@</w:t>
            </w:r>
            <w:r w:rsidR="00771F90">
              <w:rPr>
                <w:vertAlign w:val="superscript"/>
              </w:rPr>
              <w:t>2</w:t>
            </w:r>
          </w:p>
        </w:tc>
        <w:tc>
          <w:tcPr>
            <w:tcW w:w="454" w:type="pct"/>
          </w:tcPr>
          <w:p w14:paraId="3AF70979" w14:textId="5BD1B007" w:rsidR="007A40AC" w:rsidRPr="00AB0640" w:rsidRDefault="007A40AC" w:rsidP="008028C6">
            <w:pPr>
              <w:pStyle w:val="TableText0"/>
              <w:jc w:val="center"/>
            </w:pPr>
            <w:r w:rsidRPr="00AB0640">
              <w:t>-</w:t>
            </w:r>
            <w:r w:rsidR="001F43CD" w:rsidRPr="001F43CD">
              <w:rPr>
                <w:highlight w:val="black"/>
              </w:rPr>
              <w:t>@@@@</w:t>
            </w:r>
            <w:r w:rsidRPr="00AB0640">
              <w:t>%</w:t>
            </w:r>
          </w:p>
        </w:tc>
      </w:tr>
      <w:tr w:rsidR="007A40AC" w:rsidRPr="00AB0640" w14:paraId="2725B7FD" w14:textId="77777777" w:rsidTr="0065379D">
        <w:tc>
          <w:tcPr>
            <w:tcW w:w="2643" w:type="pct"/>
          </w:tcPr>
          <w:p w14:paraId="71163D20" w14:textId="77777777" w:rsidR="007A40AC" w:rsidRPr="00AB0640" w:rsidRDefault="007A40AC" w:rsidP="008028C6">
            <w:pPr>
              <w:pStyle w:val="TableText0"/>
              <w:numPr>
                <w:ilvl w:val="0"/>
                <w:numId w:val="4"/>
              </w:numPr>
            </w:pPr>
            <w:r w:rsidRPr="00AB0640">
              <w:t>3.5% costs and outcomes</w:t>
            </w:r>
          </w:p>
        </w:tc>
        <w:tc>
          <w:tcPr>
            <w:tcW w:w="630" w:type="pct"/>
          </w:tcPr>
          <w:p w14:paraId="7D33F679" w14:textId="3555457B" w:rsidR="007A40AC" w:rsidRPr="00AB0640" w:rsidRDefault="007A40AC" w:rsidP="008028C6">
            <w:pPr>
              <w:pStyle w:val="TableText0"/>
              <w:jc w:val="center"/>
            </w:pPr>
            <w:r w:rsidRPr="00AB0640">
              <w:t>$</w:t>
            </w:r>
            <w:r w:rsidR="001F43CD" w:rsidRPr="001F43CD">
              <w:rPr>
                <w:highlight w:val="black"/>
              </w:rPr>
              <w:t>@@@@</w:t>
            </w:r>
          </w:p>
        </w:tc>
        <w:tc>
          <w:tcPr>
            <w:tcW w:w="630" w:type="pct"/>
          </w:tcPr>
          <w:p w14:paraId="4D8377EB" w14:textId="77777777" w:rsidR="007A40AC" w:rsidRPr="00AB0640" w:rsidRDefault="007A40AC" w:rsidP="008028C6">
            <w:pPr>
              <w:pStyle w:val="TableText0"/>
              <w:jc w:val="center"/>
            </w:pPr>
            <w:r w:rsidRPr="00AB0640">
              <w:t>1.62</w:t>
            </w:r>
          </w:p>
        </w:tc>
        <w:tc>
          <w:tcPr>
            <w:tcW w:w="643" w:type="pct"/>
          </w:tcPr>
          <w:p w14:paraId="479C44DE" w14:textId="69E6F1C7" w:rsidR="007A40AC" w:rsidRPr="00771F90" w:rsidRDefault="007A40AC" w:rsidP="008028C6">
            <w:pPr>
              <w:pStyle w:val="TableText0"/>
              <w:jc w:val="center"/>
              <w:rPr>
                <w:vertAlign w:val="superscript"/>
              </w:rPr>
            </w:pPr>
            <w:r w:rsidRPr="00AB0640">
              <w:t>$</w:t>
            </w:r>
            <w:r w:rsidR="001F43CD" w:rsidRPr="001F43CD">
              <w:rPr>
                <w:highlight w:val="black"/>
              </w:rPr>
              <w:t>@@@@</w:t>
            </w:r>
            <w:r w:rsidR="00771F90">
              <w:rPr>
                <w:vertAlign w:val="superscript"/>
              </w:rPr>
              <w:t>1</w:t>
            </w:r>
          </w:p>
        </w:tc>
        <w:tc>
          <w:tcPr>
            <w:tcW w:w="454" w:type="pct"/>
          </w:tcPr>
          <w:p w14:paraId="510AD1F6" w14:textId="4A53DA39" w:rsidR="007A40AC" w:rsidRPr="00AB0640" w:rsidRDefault="007A40AC" w:rsidP="008028C6">
            <w:pPr>
              <w:pStyle w:val="TableText0"/>
              <w:jc w:val="center"/>
            </w:pPr>
            <w:r w:rsidRPr="00AB0640">
              <w:t>-</w:t>
            </w:r>
            <w:r w:rsidR="001F43CD" w:rsidRPr="001F43CD">
              <w:rPr>
                <w:highlight w:val="black"/>
              </w:rPr>
              <w:t>@@@@</w:t>
            </w:r>
            <w:r w:rsidRPr="00AB0640">
              <w:t>%</w:t>
            </w:r>
          </w:p>
        </w:tc>
      </w:tr>
      <w:tr w:rsidR="007A40AC" w:rsidRPr="00AB0640" w14:paraId="21C5CEA0" w14:textId="77777777" w:rsidTr="0065379D">
        <w:tc>
          <w:tcPr>
            <w:tcW w:w="5000" w:type="pct"/>
            <w:gridSpan w:val="5"/>
          </w:tcPr>
          <w:p w14:paraId="6D1034C8" w14:textId="77777777" w:rsidR="007A40AC" w:rsidRPr="00AB0640" w:rsidRDefault="007A40AC" w:rsidP="008028C6">
            <w:pPr>
              <w:pStyle w:val="TableText0"/>
            </w:pPr>
            <w:r w:rsidRPr="00AB0640">
              <w:t>Time horizon (base case 84 years)</w:t>
            </w:r>
          </w:p>
        </w:tc>
      </w:tr>
      <w:tr w:rsidR="007A40AC" w:rsidRPr="00AB0640" w14:paraId="38E3FF4A" w14:textId="77777777" w:rsidTr="0065379D">
        <w:tc>
          <w:tcPr>
            <w:tcW w:w="2643" w:type="pct"/>
          </w:tcPr>
          <w:p w14:paraId="3C948E3E" w14:textId="77777777" w:rsidR="007A40AC" w:rsidRPr="00AB0640" w:rsidRDefault="007A40AC" w:rsidP="008028C6">
            <w:pPr>
              <w:pStyle w:val="TableText0"/>
              <w:numPr>
                <w:ilvl w:val="0"/>
                <w:numId w:val="5"/>
              </w:numPr>
            </w:pPr>
            <w:r w:rsidRPr="00AB0640">
              <w:t>10 years</w:t>
            </w:r>
          </w:p>
        </w:tc>
        <w:tc>
          <w:tcPr>
            <w:tcW w:w="630" w:type="pct"/>
          </w:tcPr>
          <w:p w14:paraId="2A21AA41" w14:textId="079B9524" w:rsidR="007A40AC" w:rsidRPr="00AB0640" w:rsidRDefault="007A40AC" w:rsidP="008028C6">
            <w:pPr>
              <w:pStyle w:val="TableText0"/>
              <w:jc w:val="center"/>
            </w:pPr>
            <w:r w:rsidRPr="00AB0640">
              <w:t>$</w:t>
            </w:r>
            <w:r w:rsidR="001F43CD" w:rsidRPr="001F43CD">
              <w:rPr>
                <w:highlight w:val="black"/>
              </w:rPr>
              <w:t>@@@@</w:t>
            </w:r>
          </w:p>
        </w:tc>
        <w:tc>
          <w:tcPr>
            <w:tcW w:w="630" w:type="pct"/>
          </w:tcPr>
          <w:p w14:paraId="688D4F43" w14:textId="77777777" w:rsidR="007A40AC" w:rsidRPr="00AB0640" w:rsidRDefault="007A40AC" w:rsidP="008028C6">
            <w:pPr>
              <w:pStyle w:val="TableText0"/>
              <w:jc w:val="center"/>
            </w:pPr>
            <w:r w:rsidRPr="00AB0640">
              <w:t>0.47</w:t>
            </w:r>
          </w:p>
        </w:tc>
        <w:tc>
          <w:tcPr>
            <w:tcW w:w="643" w:type="pct"/>
          </w:tcPr>
          <w:p w14:paraId="10269A67" w14:textId="2042DBB6" w:rsidR="007A40AC" w:rsidRPr="00771F90" w:rsidRDefault="007A40AC" w:rsidP="008028C6">
            <w:pPr>
              <w:pStyle w:val="TableText0"/>
              <w:jc w:val="center"/>
              <w:rPr>
                <w:vertAlign w:val="superscript"/>
              </w:rPr>
            </w:pPr>
            <w:r w:rsidRPr="00AB0640">
              <w:t>$</w:t>
            </w:r>
            <w:r w:rsidR="001F43CD" w:rsidRPr="001F43CD">
              <w:rPr>
                <w:highlight w:val="black"/>
              </w:rPr>
              <w:t>@@@@</w:t>
            </w:r>
            <w:r w:rsidR="00771F90" w:rsidRPr="00771F90">
              <w:rPr>
                <w:vertAlign w:val="superscript"/>
              </w:rPr>
              <w:t>3</w:t>
            </w:r>
          </w:p>
        </w:tc>
        <w:tc>
          <w:tcPr>
            <w:tcW w:w="454" w:type="pct"/>
          </w:tcPr>
          <w:p w14:paraId="33FE2BD3" w14:textId="7DBD7606" w:rsidR="007A40AC" w:rsidRPr="00AB0640" w:rsidRDefault="001F43CD" w:rsidP="008028C6">
            <w:pPr>
              <w:pStyle w:val="TableText0"/>
              <w:jc w:val="center"/>
              <w:rPr>
                <w:rFonts w:ascii="Calibri" w:hAnsi="Calibri" w:cs="Calibri"/>
                <w:color w:val="000000"/>
                <w:sz w:val="22"/>
                <w:szCs w:val="22"/>
              </w:rPr>
            </w:pPr>
            <w:r w:rsidRPr="001F43CD">
              <w:rPr>
                <w:highlight w:val="black"/>
              </w:rPr>
              <w:t>@@@@</w:t>
            </w:r>
            <w:r w:rsidR="007A40AC" w:rsidRPr="00AB0640">
              <w:t>%</w:t>
            </w:r>
          </w:p>
        </w:tc>
      </w:tr>
      <w:tr w:rsidR="007A40AC" w:rsidRPr="00AB0640" w14:paraId="5E7741BC" w14:textId="77777777" w:rsidTr="0065379D">
        <w:tc>
          <w:tcPr>
            <w:tcW w:w="2643" w:type="pct"/>
          </w:tcPr>
          <w:p w14:paraId="1DC59838" w14:textId="77777777" w:rsidR="007A40AC" w:rsidRPr="00AB0640" w:rsidRDefault="007A40AC" w:rsidP="008028C6">
            <w:pPr>
              <w:pStyle w:val="TableText0"/>
              <w:numPr>
                <w:ilvl w:val="0"/>
                <w:numId w:val="5"/>
              </w:numPr>
            </w:pPr>
            <w:r w:rsidRPr="00AB0640">
              <w:t>20 years</w:t>
            </w:r>
          </w:p>
        </w:tc>
        <w:tc>
          <w:tcPr>
            <w:tcW w:w="630" w:type="pct"/>
          </w:tcPr>
          <w:p w14:paraId="406D6A1F" w14:textId="22F7F7AE" w:rsidR="007A40AC" w:rsidRPr="00AB0640" w:rsidRDefault="007A40AC" w:rsidP="008028C6">
            <w:pPr>
              <w:pStyle w:val="TableText0"/>
              <w:jc w:val="center"/>
              <w:rPr>
                <w:rFonts w:ascii="Calibri" w:hAnsi="Calibri" w:cs="Calibri"/>
                <w:color w:val="000000"/>
                <w:sz w:val="22"/>
                <w:szCs w:val="22"/>
              </w:rPr>
            </w:pPr>
            <w:r w:rsidRPr="00AB0640">
              <w:t>$</w:t>
            </w:r>
            <w:r w:rsidR="001F43CD" w:rsidRPr="001F43CD">
              <w:rPr>
                <w:highlight w:val="black"/>
              </w:rPr>
              <w:t>@@@@</w:t>
            </w:r>
          </w:p>
        </w:tc>
        <w:tc>
          <w:tcPr>
            <w:tcW w:w="630" w:type="pct"/>
          </w:tcPr>
          <w:p w14:paraId="408CEF91" w14:textId="77777777" w:rsidR="007A40AC" w:rsidRPr="00AB0640" w:rsidRDefault="007A40AC" w:rsidP="008028C6">
            <w:pPr>
              <w:pStyle w:val="TableText0"/>
              <w:jc w:val="center"/>
              <w:rPr>
                <w:rFonts w:ascii="Calibri" w:hAnsi="Calibri" w:cs="Calibri"/>
                <w:color w:val="000000"/>
                <w:sz w:val="22"/>
                <w:szCs w:val="22"/>
              </w:rPr>
            </w:pPr>
            <w:r w:rsidRPr="00AB0640">
              <w:t>0.91</w:t>
            </w:r>
          </w:p>
        </w:tc>
        <w:tc>
          <w:tcPr>
            <w:tcW w:w="643" w:type="pct"/>
          </w:tcPr>
          <w:p w14:paraId="79CF7260" w14:textId="094567C2" w:rsidR="007A40AC" w:rsidRPr="00AB0640" w:rsidRDefault="007A40AC" w:rsidP="008028C6">
            <w:pPr>
              <w:pStyle w:val="TableText0"/>
              <w:jc w:val="center"/>
              <w:rPr>
                <w:rFonts w:ascii="Calibri" w:hAnsi="Calibri" w:cs="Calibri"/>
                <w:color w:val="000000"/>
                <w:sz w:val="22"/>
                <w:szCs w:val="22"/>
              </w:rPr>
            </w:pPr>
            <w:r w:rsidRPr="00AB0640">
              <w:t>$</w:t>
            </w:r>
            <w:r w:rsidR="001F43CD" w:rsidRPr="001F43CD">
              <w:rPr>
                <w:highlight w:val="black"/>
              </w:rPr>
              <w:t>@@@@</w:t>
            </w:r>
            <w:r w:rsidR="00910C4C" w:rsidRPr="00771F90">
              <w:rPr>
                <w:vertAlign w:val="superscript"/>
              </w:rPr>
              <w:t>3</w:t>
            </w:r>
          </w:p>
        </w:tc>
        <w:tc>
          <w:tcPr>
            <w:tcW w:w="454" w:type="pct"/>
          </w:tcPr>
          <w:p w14:paraId="2663D1E0" w14:textId="0BD6DECA" w:rsidR="007A40AC" w:rsidRPr="00AB0640" w:rsidRDefault="001F43CD" w:rsidP="008028C6">
            <w:pPr>
              <w:pStyle w:val="TableText0"/>
              <w:jc w:val="center"/>
              <w:rPr>
                <w:rFonts w:ascii="Calibri" w:hAnsi="Calibri" w:cs="Calibri"/>
                <w:color w:val="000000"/>
                <w:sz w:val="22"/>
                <w:szCs w:val="22"/>
              </w:rPr>
            </w:pPr>
            <w:r w:rsidRPr="001F43CD">
              <w:rPr>
                <w:highlight w:val="black"/>
              </w:rPr>
              <w:t>@@@@</w:t>
            </w:r>
            <w:r w:rsidR="007A40AC" w:rsidRPr="00AB0640">
              <w:t>%</w:t>
            </w:r>
          </w:p>
        </w:tc>
      </w:tr>
      <w:tr w:rsidR="007A40AC" w:rsidRPr="00AB0640" w14:paraId="49692747" w14:textId="77777777" w:rsidTr="0065379D">
        <w:tc>
          <w:tcPr>
            <w:tcW w:w="2643" w:type="pct"/>
          </w:tcPr>
          <w:p w14:paraId="2021AE74" w14:textId="77777777" w:rsidR="007A40AC" w:rsidRPr="00AB0640" w:rsidRDefault="007A40AC" w:rsidP="008028C6">
            <w:pPr>
              <w:pStyle w:val="TableText0"/>
              <w:numPr>
                <w:ilvl w:val="0"/>
                <w:numId w:val="5"/>
              </w:numPr>
            </w:pPr>
            <w:r w:rsidRPr="00AB0640">
              <w:t xml:space="preserve">40 years </w:t>
            </w:r>
            <w:r w:rsidRPr="00AB0640">
              <w:rPr>
                <w:b/>
                <w:bCs w:val="0"/>
              </w:rPr>
              <w:t>#4</w:t>
            </w:r>
          </w:p>
        </w:tc>
        <w:tc>
          <w:tcPr>
            <w:tcW w:w="630" w:type="pct"/>
          </w:tcPr>
          <w:p w14:paraId="472E53DC" w14:textId="68DE1EFB" w:rsidR="007A40AC" w:rsidRPr="00AB0640" w:rsidRDefault="007A40AC" w:rsidP="008028C6">
            <w:pPr>
              <w:pStyle w:val="TableText0"/>
              <w:jc w:val="center"/>
              <w:rPr>
                <w:rFonts w:ascii="Calibri" w:hAnsi="Calibri" w:cs="Calibri"/>
                <w:color w:val="000000"/>
                <w:sz w:val="22"/>
                <w:szCs w:val="22"/>
              </w:rPr>
            </w:pPr>
            <w:r w:rsidRPr="00AB0640">
              <w:t>$</w:t>
            </w:r>
            <w:r w:rsidR="001F43CD" w:rsidRPr="001F43CD">
              <w:rPr>
                <w:highlight w:val="black"/>
              </w:rPr>
              <w:t>@@@@</w:t>
            </w:r>
          </w:p>
        </w:tc>
        <w:tc>
          <w:tcPr>
            <w:tcW w:w="630" w:type="pct"/>
          </w:tcPr>
          <w:p w14:paraId="5753EFD8" w14:textId="77777777" w:rsidR="007A40AC" w:rsidRPr="00AB0640" w:rsidRDefault="007A40AC" w:rsidP="008028C6">
            <w:pPr>
              <w:pStyle w:val="TableText0"/>
              <w:jc w:val="center"/>
              <w:rPr>
                <w:rFonts w:ascii="Calibri" w:hAnsi="Calibri" w:cs="Calibri"/>
                <w:color w:val="000000"/>
                <w:sz w:val="22"/>
                <w:szCs w:val="22"/>
              </w:rPr>
            </w:pPr>
            <w:r w:rsidRPr="00AB0640">
              <w:t>1.27</w:t>
            </w:r>
          </w:p>
        </w:tc>
        <w:tc>
          <w:tcPr>
            <w:tcW w:w="643" w:type="pct"/>
          </w:tcPr>
          <w:p w14:paraId="4A2511E7" w14:textId="3307EDC5" w:rsidR="007A40AC" w:rsidRPr="00AB0640" w:rsidRDefault="007A40AC" w:rsidP="008028C6">
            <w:pPr>
              <w:pStyle w:val="TableText0"/>
              <w:jc w:val="center"/>
              <w:rPr>
                <w:rFonts w:ascii="Calibri" w:hAnsi="Calibri" w:cs="Calibri"/>
                <w:color w:val="000000"/>
                <w:sz w:val="22"/>
                <w:szCs w:val="22"/>
              </w:rPr>
            </w:pPr>
            <w:r w:rsidRPr="00AB0640">
              <w:t>$</w:t>
            </w:r>
            <w:r w:rsidR="001F43CD" w:rsidRPr="001F43CD">
              <w:rPr>
                <w:highlight w:val="black"/>
              </w:rPr>
              <w:t>@@@@</w:t>
            </w:r>
            <w:r w:rsidR="00910C4C">
              <w:rPr>
                <w:vertAlign w:val="superscript"/>
              </w:rPr>
              <w:t>1</w:t>
            </w:r>
          </w:p>
        </w:tc>
        <w:tc>
          <w:tcPr>
            <w:tcW w:w="454" w:type="pct"/>
          </w:tcPr>
          <w:p w14:paraId="0B2C9BFE" w14:textId="7F407CCE" w:rsidR="007A40AC" w:rsidRPr="00AB0640" w:rsidRDefault="001F43CD" w:rsidP="008028C6">
            <w:pPr>
              <w:pStyle w:val="TableText0"/>
              <w:jc w:val="center"/>
            </w:pPr>
            <w:r w:rsidRPr="001F43CD">
              <w:rPr>
                <w:highlight w:val="black"/>
              </w:rPr>
              <w:t>@@@@</w:t>
            </w:r>
            <w:r w:rsidR="007A40AC" w:rsidRPr="00AB0640">
              <w:t>%</w:t>
            </w:r>
          </w:p>
        </w:tc>
      </w:tr>
      <w:tr w:rsidR="007A40AC" w:rsidRPr="00AB0640" w14:paraId="50C95BAA" w14:textId="77777777" w:rsidTr="0065379D">
        <w:tc>
          <w:tcPr>
            <w:tcW w:w="5000" w:type="pct"/>
            <w:gridSpan w:val="5"/>
          </w:tcPr>
          <w:p w14:paraId="6214BDFC" w14:textId="77777777" w:rsidR="007A40AC" w:rsidRPr="00AB0640" w:rsidRDefault="007A40AC" w:rsidP="008028C6">
            <w:pPr>
              <w:pStyle w:val="TableText0"/>
            </w:pPr>
            <w:r w:rsidRPr="00AB0640">
              <w:t>Extrapolation of mFARS progression trajectory in BSC arm (base case: logistic model)</w:t>
            </w:r>
          </w:p>
        </w:tc>
      </w:tr>
      <w:tr w:rsidR="007A40AC" w:rsidRPr="00AB0640" w14:paraId="192263A7" w14:textId="77777777" w:rsidTr="0065379D">
        <w:tc>
          <w:tcPr>
            <w:tcW w:w="2643" w:type="pct"/>
          </w:tcPr>
          <w:p w14:paraId="57CE70E8" w14:textId="77777777" w:rsidR="007A40AC" w:rsidRPr="00AB0640" w:rsidRDefault="007A40AC" w:rsidP="008028C6">
            <w:pPr>
              <w:pStyle w:val="TableText0"/>
              <w:numPr>
                <w:ilvl w:val="0"/>
                <w:numId w:val="5"/>
              </w:numPr>
            </w:pPr>
            <w:r w:rsidRPr="00AB0640">
              <w:t xml:space="preserve">Linear model </w:t>
            </w:r>
          </w:p>
        </w:tc>
        <w:tc>
          <w:tcPr>
            <w:tcW w:w="630" w:type="pct"/>
          </w:tcPr>
          <w:p w14:paraId="25CE608E" w14:textId="086AB7C2" w:rsidR="007A40AC" w:rsidRPr="00AB0640" w:rsidRDefault="007A40AC" w:rsidP="008028C6">
            <w:pPr>
              <w:pStyle w:val="TableText0"/>
              <w:jc w:val="center"/>
            </w:pPr>
            <w:r w:rsidRPr="00AB0640">
              <w:t>$</w:t>
            </w:r>
            <w:r w:rsidR="001F43CD" w:rsidRPr="001F43CD">
              <w:rPr>
                <w:highlight w:val="black"/>
              </w:rPr>
              <w:t>@@@@</w:t>
            </w:r>
          </w:p>
        </w:tc>
        <w:tc>
          <w:tcPr>
            <w:tcW w:w="630" w:type="pct"/>
          </w:tcPr>
          <w:p w14:paraId="795AED1E" w14:textId="77777777" w:rsidR="007A40AC" w:rsidRPr="00AB0640" w:rsidRDefault="007A40AC" w:rsidP="008028C6">
            <w:pPr>
              <w:pStyle w:val="TableText0"/>
              <w:jc w:val="center"/>
            </w:pPr>
            <w:r w:rsidRPr="00AB0640">
              <w:t>1.31</w:t>
            </w:r>
          </w:p>
        </w:tc>
        <w:tc>
          <w:tcPr>
            <w:tcW w:w="643" w:type="pct"/>
          </w:tcPr>
          <w:p w14:paraId="30478751" w14:textId="198C4D4F" w:rsidR="007A40AC" w:rsidRPr="00AB0640" w:rsidRDefault="007A40AC" w:rsidP="008028C6">
            <w:pPr>
              <w:pStyle w:val="TableText0"/>
              <w:jc w:val="center"/>
            </w:pPr>
            <w:r w:rsidRPr="00AB0640">
              <w:t>$</w:t>
            </w:r>
            <w:r w:rsidR="001F43CD" w:rsidRPr="001F43CD">
              <w:rPr>
                <w:highlight w:val="black"/>
              </w:rPr>
              <w:t>@@@@</w:t>
            </w:r>
            <w:r w:rsidR="00910C4C">
              <w:rPr>
                <w:vertAlign w:val="superscript"/>
              </w:rPr>
              <w:t>1</w:t>
            </w:r>
          </w:p>
        </w:tc>
        <w:tc>
          <w:tcPr>
            <w:tcW w:w="454" w:type="pct"/>
          </w:tcPr>
          <w:p w14:paraId="431F0C29" w14:textId="2F2A8AA2" w:rsidR="007A40AC" w:rsidRPr="00AB0640" w:rsidRDefault="007A40AC" w:rsidP="008028C6">
            <w:pPr>
              <w:pStyle w:val="TableText0"/>
              <w:jc w:val="center"/>
            </w:pPr>
            <w:r w:rsidRPr="00AB0640">
              <w:t>-</w:t>
            </w:r>
            <w:r w:rsidR="001F43CD" w:rsidRPr="001F43CD">
              <w:rPr>
                <w:highlight w:val="black"/>
              </w:rPr>
              <w:t>@@@@</w:t>
            </w:r>
            <w:r w:rsidRPr="00AB0640">
              <w:t>%</w:t>
            </w:r>
          </w:p>
        </w:tc>
      </w:tr>
      <w:tr w:rsidR="007A40AC" w:rsidRPr="00AB0640" w14:paraId="0FC9CF7A" w14:textId="77777777" w:rsidTr="0065379D">
        <w:tc>
          <w:tcPr>
            <w:tcW w:w="5000" w:type="pct"/>
            <w:gridSpan w:val="5"/>
          </w:tcPr>
          <w:p w14:paraId="5755C094" w14:textId="77777777" w:rsidR="007A40AC" w:rsidRPr="00AB0640" w:rsidRDefault="007A40AC" w:rsidP="008028C6">
            <w:pPr>
              <w:pStyle w:val="TableText0"/>
              <w:rPr>
                <w:rFonts w:ascii="Calibri" w:hAnsi="Calibri" w:cs="Calibri"/>
                <w:color w:val="000000"/>
                <w:sz w:val="22"/>
                <w:szCs w:val="22"/>
              </w:rPr>
            </w:pPr>
            <w:r w:rsidRPr="00AB0640">
              <w:t>Treatment effect (base case: same as year 3)</w:t>
            </w:r>
          </w:p>
        </w:tc>
      </w:tr>
      <w:tr w:rsidR="007A40AC" w:rsidRPr="00AB0640" w14:paraId="5BBF4699" w14:textId="77777777" w:rsidTr="0065379D">
        <w:tc>
          <w:tcPr>
            <w:tcW w:w="2643" w:type="pct"/>
          </w:tcPr>
          <w:p w14:paraId="4C292967" w14:textId="77777777" w:rsidR="007A40AC" w:rsidRPr="00AB0640" w:rsidRDefault="007A40AC" w:rsidP="008028C6">
            <w:pPr>
              <w:pStyle w:val="TableText0"/>
              <w:numPr>
                <w:ilvl w:val="0"/>
                <w:numId w:val="5"/>
              </w:numPr>
            </w:pPr>
            <w:r w:rsidRPr="00AB0640">
              <w:t xml:space="preserve">Year 1, 2 and 3 rate ratio calculated from the propensity matched analysis </w:t>
            </w:r>
            <w:r w:rsidRPr="00AB0640">
              <w:rPr>
                <w:b/>
                <w:bCs w:val="0"/>
              </w:rPr>
              <w:t>#5</w:t>
            </w:r>
          </w:p>
        </w:tc>
        <w:tc>
          <w:tcPr>
            <w:tcW w:w="630" w:type="pct"/>
          </w:tcPr>
          <w:p w14:paraId="62262317" w14:textId="5FA0FE00" w:rsidR="007A40AC" w:rsidRPr="00AB0640" w:rsidRDefault="007A40AC" w:rsidP="008028C6">
            <w:pPr>
              <w:pStyle w:val="TableText0"/>
              <w:jc w:val="center"/>
              <w:rPr>
                <w:rFonts w:ascii="Calibri" w:hAnsi="Calibri" w:cs="Calibri"/>
                <w:color w:val="000000"/>
                <w:sz w:val="22"/>
                <w:szCs w:val="22"/>
              </w:rPr>
            </w:pPr>
            <w:r w:rsidRPr="00AB0640">
              <w:t>$</w:t>
            </w:r>
            <w:r w:rsidR="001F43CD" w:rsidRPr="001F43CD">
              <w:rPr>
                <w:highlight w:val="black"/>
              </w:rPr>
              <w:t>@@@@</w:t>
            </w:r>
          </w:p>
        </w:tc>
        <w:tc>
          <w:tcPr>
            <w:tcW w:w="630" w:type="pct"/>
          </w:tcPr>
          <w:p w14:paraId="6C1D1EEA" w14:textId="77777777" w:rsidR="007A40AC" w:rsidRPr="00AB0640" w:rsidRDefault="007A40AC" w:rsidP="008028C6">
            <w:pPr>
              <w:pStyle w:val="TableText0"/>
              <w:jc w:val="center"/>
              <w:rPr>
                <w:rFonts w:ascii="Calibri" w:hAnsi="Calibri" w:cs="Calibri"/>
                <w:color w:val="000000"/>
                <w:sz w:val="22"/>
                <w:szCs w:val="22"/>
              </w:rPr>
            </w:pPr>
            <w:r w:rsidRPr="00AB0640">
              <w:t>0.61</w:t>
            </w:r>
          </w:p>
        </w:tc>
        <w:tc>
          <w:tcPr>
            <w:tcW w:w="643" w:type="pct"/>
          </w:tcPr>
          <w:p w14:paraId="3437F6FD" w14:textId="49DBAE33" w:rsidR="007A40AC" w:rsidRPr="00AB0640" w:rsidRDefault="007A40AC" w:rsidP="008028C6">
            <w:pPr>
              <w:pStyle w:val="TableText0"/>
              <w:jc w:val="center"/>
              <w:rPr>
                <w:rFonts w:ascii="Calibri" w:hAnsi="Calibri" w:cs="Calibri"/>
                <w:color w:val="000000"/>
                <w:sz w:val="22"/>
                <w:szCs w:val="22"/>
              </w:rPr>
            </w:pPr>
            <w:r w:rsidRPr="00AB0640">
              <w:t>$</w:t>
            </w:r>
            <w:r w:rsidR="001F43CD" w:rsidRPr="001F43CD">
              <w:rPr>
                <w:highlight w:val="black"/>
              </w:rPr>
              <w:t>@@@@</w:t>
            </w:r>
            <w:r w:rsidR="00935A52">
              <w:rPr>
                <w:vertAlign w:val="superscript"/>
              </w:rPr>
              <w:t>3</w:t>
            </w:r>
          </w:p>
        </w:tc>
        <w:tc>
          <w:tcPr>
            <w:tcW w:w="454" w:type="pct"/>
          </w:tcPr>
          <w:p w14:paraId="620B04AD" w14:textId="7C2C6091" w:rsidR="007A40AC" w:rsidRPr="00AB0640" w:rsidRDefault="001F43CD" w:rsidP="008028C6">
            <w:pPr>
              <w:pStyle w:val="TableText0"/>
              <w:jc w:val="center"/>
              <w:rPr>
                <w:rFonts w:ascii="Calibri" w:hAnsi="Calibri" w:cs="Calibri"/>
                <w:color w:val="000000"/>
                <w:sz w:val="22"/>
                <w:szCs w:val="22"/>
              </w:rPr>
            </w:pPr>
            <w:r w:rsidRPr="001F43CD">
              <w:rPr>
                <w:highlight w:val="black"/>
              </w:rPr>
              <w:t>@@@@</w:t>
            </w:r>
            <w:r w:rsidR="007A40AC" w:rsidRPr="00AB0640">
              <w:t>%</w:t>
            </w:r>
          </w:p>
        </w:tc>
      </w:tr>
      <w:tr w:rsidR="007A40AC" w:rsidRPr="00AB0640" w14:paraId="445955AD" w14:textId="77777777" w:rsidTr="0065379D">
        <w:tc>
          <w:tcPr>
            <w:tcW w:w="5000" w:type="pct"/>
            <w:gridSpan w:val="5"/>
          </w:tcPr>
          <w:p w14:paraId="54044F0C" w14:textId="77777777" w:rsidR="007A40AC" w:rsidRPr="00AB0640" w:rsidRDefault="007A40AC" w:rsidP="008028C6">
            <w:pPr>
              <w:pStyle w:val="TableText0"/>
            </w:pPr>
            <w:r w:rsidRPr="00AB0640">
              <w:t>Treatment effect waning (base case: no waning)</w:t>
            </w:r>
          </w:p>
        </w:tc>
      </w:tr>
      <w:tr w:rsidR="007A40AC" w:rsidRPr="00AB0640" w14:paraId="53B5E6F7" w14:textId="77777777" w:rsidTr="0065379D">
        <w:tc>
          <w:tcPr>
            <w:tcW w:w="2643" w:type="pct"/>
          </w:tcPr>
          <w:p w14:paraId="3238B147" w14:textId="77777777" w:rsidR="007A40AC" w:rsidRPr="00AB0640" w:rsidRDefault="007A40AC" w:rsidP="008028C6">
            <w:pPr>
              <w:pStyle w:val="TableText0"/>
              <w:numPr>
                <w:ilvl w:val="0"/>
                <w:numId w:val="5"/>
              </w:numPr>
            </w:pPr>
            <w:r w:rsidRPr="00AB0640">
              <w:t xml:space="preserve">Linear waning to no treatment effect from Year 4 to 18 </w:t>
            </w:r>
            <w:r w:rsidRPr="00AB0640">
              <w:rPr>
                <w:b/>
                <w:bCs w:val="0"/>
              </w:rPr>
              <w:t>#6</w:t>
            </w:r>
          </w:p>
        </w:tc>
        <w:tc>
          <w:tcPr>
            <w:tcW w:w="630" w:type="pct"/>
            <w:vAlign w:val="center"/>
          </w:tcPr>
          <w:p w14:paraId="43F5CC0E" w14:textId="7E117313" w:rsidR="007A40AC" w:rsidRPr="00AB0640" w:rsidRDefault="007A40AC" w:rsidP="008028C6">
            <w:pPr>
              <w:pStyle w:val="TableText0"/>
              <w:jc w:val="center"/>
            </w:pPr>
            <w:r w:rsidRPr="00AB0640">
              <w:t>$</w:t>
            </w:r>
            <w:r w:rsidR="001F43CD" w:rsidRPr="001F43CD">
              <w:rPr>
                <w:highlight w:val="black"/>
              </w:rPr>
              <w:t>@@@@</w:t>
            </w:r>
          </w:p>
        </w:tc>
        <w:tc>
          <w:tcPr>
            <w:tcW w:w="630" w:type="pct"/>
            <w:vAlign w:val="center"/>
          </w:tcPr>
          <w:p w14:paraId="47A21811" w14:textId="77777777" w:rsidR="007A40AC" w:rsidRPr="00AB0640" w:rsidRDefault="007A40AC" w:rsidP="008028C6">
            <w:pPr>
              <w:pStyle w:val="TableText0"/>
              <w:jc w:val="center"/>
            </w:pPr>
            <w:r w:rsidRPr="00AB0640">
              <w:t>0.95</w:t>
            </w:r>
          </w:p>
        </w:tc>
        <w:tc>
          <w:tcPr>
            <w:tcW w:w="643" w:type="pct"/>
            <w:vAlign w:val="center"/>
          </w:tcPr>
          <w:p w14:paraId="30821BFE" w14:textId="729AB509" w:rsidR="007A40AC" w:rsidRPr="00AB0640" w:rsidRDefault="007A40AC" w:rsidP="008028C6">
            <w:pPr>
              <w:pStyle w:val="TableText0"/>
              <w:jc w:val="center"/>
            </w:pPr>
            <w:r w:rsidRPr="00AB0640">
              <w:t>$</w:t>
            </w:r>
            <w:r w:rsidR="001F43CD" w:rsidRPr="001F43CD">
              <w:rPr>
                <w:highlight w:val="black"/>
              </w:rPr>
              <w:t>@@@@</w:t>
            </w:r>
            <w:r w:rsidR="00935A52">
              <w:rPr>
                <w:vertAlign w:val="superscript"/>
              </w:rPr>
              <w:t>3</w:t>
            </w:r>
          </w:p>
        </w:tc>
        <w:tc>
          <w:tcPr>
            <w:tcW w:w="454" w:type="pct"/>
            <w:vAlign w:val="center"/>
          </w:tcPr>
          <w:p w14:paraId="0A78B49F" w14:textId="4D797327" w:rsidR="007A40AC" w:rsidRPr="00AB0640" w:rsidRDefault="001F43CD" w:rsidP="008028C6">
            <w:pPr>
              <w:pStyle w:val="TableText0"/>
              <w:jc w:val="center"/>
            </w:pPr>
            <w:r w:rsidRPr="001F43CD">
              <w:rPr>
                <w:highlight w:val="black"/>
              </w:rPr>
              <w:t>@@@@</w:t>
            </w:r>
            <w:r w:rsidR="007A40AC" w:rsidRPr="00AB0640">
              <w:t>%</w:t>
            </w:r>
          </w:p>
        </w:tc>
      </w:tr>
      <w:tr w:rsidR="007A40AC" w:rsidRPr="00AB0640" w14:paraId="042BB501" w14:textId="77777777" w:rsidTr="0065379D">
        <w:tc>
          <w:tcPr>
            <w:tcW w:w="5000" w:type="pct"/>
            <w:gridSpan w:val="5"/>
          </w:tcPr>
          <w:p w14:paraId="046A7C35" w14:textId="77777777" w:rsidR="007A40AC" w:rsidRPr="00AB0640" w:rsidRDefault="007A40AC" w:rsidP="008028C6">
            <w:pPr>
              <w:pStyle w:val="TableText0"/>
            </w:pPr>
            <w:r w:rsidRPr="00AB0640">
              <w:t>Treatment costs (base case: RDI = 87%)</w:t>
            </w:r>
          </w:p>
        </w:tc>
      </w:tr>
      <w:tr w:rsidR="007A40AC" w:rsidRPr="00AB0640" w14:paraId="3EBB6D34" w14:textId="77777777" w:rsidTr="0065379D">
        <w:tc>
          <w:tcPr>
            <w:tcW w:w="2643" w:type="pct"/>
          </w:tcPr>
          <w:p w14:paraId="1BCBA03D" w14:textId="77777777" w:rsidR="007A40AC" w:rsidRPr="00AB0640" w:rsidRDefault="007A40AC" w:rsidP="008028C6">
            <w:pPr>
              <w:pStyle w:val="TableText0"/>
              <w:numPr>
                <w:ilvl w:val="0"/>
                <w:numId w:val="5"/>
              </w:numPr>
            </w:pPr>
            <w:r w:rsidRPr="00AB0640">
              <w:t xml:space="preserve">Assuming 100% RDI due to non-returnable monthly supply </w:t>
            </w:r>
          </w:p>
        </w:tc>
        <w:tc>
          <w:tcPr>
            <w:tcW w:w="630" w:type="pct"/>
          </w:tcPr>
          <w:p w14:paraId="6DCEF277" w14:textId="047D1CC5" w:rsidR="007A40AC" w:rsidRPr="00AB0640" w:rsidRDefault="007A40AC" w:rsidP="008028C6">
            <w:pPr>
              <w:pStyle w:val="TableText0"/>
              <w:jc w:val="center"/>
            </w:pPr>
            <w:r w:rsidRPr="00AB0640">
              <w:t>$</w:t>
            </w:r>
            <w:r w:rsidR="001F43CD" w:rsidRPr="001F43CD">
              <w:rPr>
                <w:highlight w:val="black"/>
              </w:rPr>
              <w:t>@@@@</w:t>
            </w:r>
          </w:p>
        </w:tc>
        <w:tc>
          <w:tcPr>
            <w:tcW w:w="630" w:type="pct"/>
          </w:tcPr>
          <w:p w14:paraId="3738A2D0" w14:textId="77777777" w:rsidR="007A40AC" w:rsidRPr="00AB0640" w:rsidRDefault="007A40AC" w:rsidP="008028C6">
            <w:pPr>
              <w:pStyle w:val="TableText0"/>
              <w:jc w:val="center"/>
            </w:pPr>
            <w:r w:rsidRPr="00AB0640">
              <w:t>1.28</w:t>
            </w:r>
          </w:p>
        </w:tc>
        <w:tc>
          <w:tcPr>
            <w:tcW w:w="643" w:type="pct"/>
          </w:tcPr>
          <w:p w14:paraId="12CAC87A" w14:textId="06D8FC21" w:rsidR="007A40AC" w:rsidRPr="00AB0640" w:rsidRDefault="007A40AC" w:rsidP="008028C6">
            <w:pPr>
              <w:pStyle w:val="TableText0"/>
              <w:jc w:val="center"/>
            </w:pPr>
            <w:r w:rsidRPr="00AB0640">
              <w:t>$</w:t>
            </w:r>
            <w:r w:rsidR="001F43CD" w:rsidRPr="001F43CD">
              <w:rPr>
                <w:highlight w:val="black"/>
              </w:rPr>
              <w:t>@@@@</w:t>
            </w:r>
            <w:r w:rsidR="00935A52">
              <w:rPr>
                <w:vertAlign w:val="superscript"/>
              </w:rPr>
              <w:t>3</w:t>
            </w:r>
          </w:p>
        </w:tc>
        <w:tc>
          <w:tcPr>
            <w:tcW w:w="454" w:type="pct"/>
          </w:tcPr>
          <w:p w14:paraId="0879ABAB" w14:textId="22F4307C" w:rsidR="007A40AC" w:rsidRPr="00AB0640" w:rsidRDefault="001F43CD" w:rsidP="008028C6">
            <w:pPr>
              <w:pStyle w:val="TableText0"/>
              <w:jc w:val="center"/>
            </w:pPr>
            <w:r w:rsidRPr="001F43CD">
              <w:rPr>
                <w:highlight w:val="black"/>
              </w:rPr>
              <w:t>@@@@</w:t>
            </w:r>
            <w:r w:rsidR="007A40AC" w:rsidRPr="00AB0640">
              <w:t>%</w:t>
            </w:r>
          </w:p>
        </w:tc>
      </w:tr>
      <w:tr w:rsidR="007A40AC" w:rsidRPr="00AB0640" w14:paraId="73F5B3DF" w14:textId="77777777" w:rsidTr="0065379D">
        <w:tc>
          <w:tcPr>
            <w:tcW w:w="5000" w:type="pct"/>
            <w:gridSpan w:val="5"/>
          </w:tcPr>
          <w:p w14:paraId="37593291" w14:textId="77777777" w:rsidR="007A40AC" w:rsidRPr="00AB0640" w:rsidRDefault="007A40AC" w:rsidP="008028C6">
            <w:pPr>
              <w:pStyle w:val="TableText0"/>
            </w:pPr>
            <w:r w:rsidRPr="00AB0640">
              <w:t>Utility values (Biogen TTO study)</w:t>
            </w:r>
          </w:p>
        </w:tc>
      </w:tr>
      <w:tr w:rsidR="007A40AC" w:rsidRPr="00AB0640" w14:paraId="0EB22D27" w14:textId="77777777" w:rsidTr="0065379D">
        <w:tc>
          <w:tcPr>
            <w:tcW w:w="2643" w:type="pct"/>
          </w:tcPr>
          <w:p w14:paraId="340271FE" w14:textId="77777777" w:rsidR="007A40AC" w:rsidRPr="00AB0640" w:rsidRDefault="007A40AC" w:rsidP="008028C6">
            <w:pPr>
              <w:pStyle w:val="TableText0"/>
              <w:numPr>
                <w:ilvl w:val="0"/>
                <w:numId w:val="5"/>
              </w:numPr>
            </w:pPr>
            <w:r w:rsidRPr="00AB0640">
              <w:t>Lower limits of 95% CI</w:t>
            </w:r>
          </w:p>
        </w:tc>
        <w:tc>
          <w:tcPr>
            <w:tcW w:w="630" w:type="pct"/>
          </w:tcPr>
          <w:p w14:paraId="5CDBDA0A" w14:textId="2787EE1D" w:rsidR="007A40AC" w:rsidRPr="00AB0640" w:rsidRDefault="007A40AC" w:rsidP="008028C6">
            <w:pPr>
              <w:pStyle w:val="TableText0"/>
              <w:jc w:val="center"/>
            </w:pPr>
            <w:r w:rsidRPr="00AB0640">
              <w:t>$</w:t>
            </w:r>
            <w:r w:rsidR="001F43CD" w:rsidRPr="001F43CD">
              <w:rPr>
                <w:highlight w:val="black"/>
              </w:rPr>
              <w:t>@@@@</w:t>
            </w:r>
          </w:p>
        </w:tc>
        <w:tc>
          <w:tcPr>
            <w:tcW w:w="630" w:type="pct"/>
          </w:tcPr>
          <w:p w14:paraId="79489762" w14:textId="77777777" w:rsidR="007A40AC" w:rsidRPr="00AB0640" w:rsidRDefault="007A40AC" w:rsidP="008028C6">
            <w:pPr>
              <w:pStyle w:val="TableText0"/>
              <w:jc w:val="center"/>
            </w:pPr>
            <w:r w:rsidRPr="00AB0640">
              <w:t>1.35</w:t>
            </w:r>
          </w:p>
        </w:tc>
        <w:tc>
          <w:tcPr>
            <w:tcW w:w="643" w:type="pct"/>
          </w:tcPr>
          <w:p w14:paraId="70E47E10" w14:textId="73C061D9" w:rsidR="007A40AC" w:rsidRPr="00AB0640" w:rsidRDefault="007A40AC" w:rsidP="008028C6">
            <w:pPr>
              <w:pStyle w:val="TableText0"/>
              <w:jc w:val="center"/>
            </w:pPr>
            <w:r w:rsidRPr="00AB0640">
              <w:t>$</w:t>
            </w:r>
            <w:r w:rsidR="001F43CD" w:rsidRPr="001F43CD">
              <w:rPr>
                <w:highlight w:val="black"/>
              </w:rPr>
              <w:t>@@@@</w:t>
            </w:r>
            <w:r w:rsidR="00935A52">
              <w:rPr>
                <w:vertAlign w:val="superscript"/>
              </w:rPr>
              <w:t>1</w:t>
            </w:r>
          </w:p>
        </w:tc>
        <w:tc>
          <w:tcPr>
            <w:tcW w:w="454" w:type="pct"/>
          </w:tcPr>
          <w:p w14:paraId="08C52892" w14:textId="0180AD2A" w:rsidR="007A40AC" w:rsidRPr="00AB0640" w:rsidRDefault="007A40AC" w:rsidP="008028C6">
            <w:pPr>
              <w:pStyle w:val="TableText0"/>
              <w:jc w:val="center"/>
            </w:pPr>
            <w:r w:rsidRPr="00AB0640">
              <w:t>-</w:t>
            </w:r>
            <w:r w:rsidR="001F43CD" w:rsidRPr="001F43CD">
              <w:rPr>
                <w:highlight w:val="black"/>
              </w:rPr>
              <w:t>@@@@</w:t>
            </w:r>
            <w:r w:rsidRPr="00AB0640">
              <w:t>%</w:t>
            </w:r>
          </w:p>
        </w:tc>
      </w:tr>
      <w:tr w:rsidR="007A40AC" w:rsidRPr="00AB0640" w14:paraId="0EF5B36E" w14:textId="77777777" w:rsidTr="0065379D">
        <w:tc>
          <w:tcPr>
            <w:tcW w:w="2643" w:type="pct"/>
          </w:tcPr>
          <w:p w14:paraId="647AE8EA" w14:textId="77777777" w:rsidR="007A40AC" w:rsidRPr="00AB0640" w:rsidRDefault="007A40AC" w:rsidP="008028C6">
            <w:pPr>
              <w:pStyle w:val="TableText0"/>
              <w:numPr>
                <w:ilvl w:val="0"/>
                <w:numId w:val="5"/>
              </w:numPr>
            </w:pPr>
            <w:r w:rsidRPr="00AB0640">
              <w:t xml:space="preserve">Upper limits of 95% CI </w:t>
            </w:r>
            <w:r w:rsidRPr="00AB0640">
              <w:rPr>
                <w:b/>
                <w:bCs w:val="0"/>
              </w:rPr>
              <w:t>#7</w:t>
            </w:r>
          </w:p>
        </w:tc>
        <w:tc>
          <w:tcPr>
            <w:tcW w:w="630" w:type="pct"/>
          </w:tcPr>
          <w:p w14:paraId="5A46383E" w14:textId="05CB9EB8" w:rsidR="007A40AC" w:rsidRPr="00AB0640" w:rsidRDefault="007A40AC" w:rsidP="008028C6">
            <w:pPr>
              <w:pStyle w:val="TableText0"/>
              <w:jc w:val="center"/>
            </w:pPr>
            <w:r w:rsidRPr="00AB0640">
              <w:t>$</w:t>
            </w:r>
            <w:r w:rsidR="001F43CD" w:rsidRPr="001F43CD">
              <w:rPr>
                <w:highlight w:val="black"/>
              </w:rPr>
              <w:t>@@@@</w:t>
            </w:r>
          </w:p>
        </w:tc>
        <w:tc>
          <w:tcPr>
            <w:tcW w:w="630" w:type="pct"/>
          </w:tcPr>
          <w:p w14:paraId="52E87731" w14:textId="77777777" w:rsidR="007A40AC" w:rsidRPr="00AB0640" w:rsidRDefault="007A40AC" w:rsidP="008028C6">
            <w:pPr>
              <w:pStyle w:val="TableText0"/>
              <w:jc w:val="center"/>
            </w:pPr>
            <w:r w:rsidRPr="00AB0640">
              <w:t>1.25</w:t>
            </w:r>
          </w:p>
        </w:tc>
        <w:tc>
          <w:tcPr>
            <w:tcW w:w="643" w:type="pct"/>
          </w:tcPr>
          <w:p w14:paraId="3B317662" w14:textId="3866B7A6" w:rsidR="007A40AC" w:rsidRPr="00AB0640" w:rsidRDefault="007A40AC" w:rsidP="008028C6">
            <w:pPr>
              <w:pStyle w:val="TableText0"/>
              <w:jc w:val="center"/>
            </w:pPr>
            <w:r w:rsidRPr="00AB0640">
              <w:t>$</w:t>
            </w:r>
            <w:r w:rsidR="001F43CD" w:rsidRPr="001F43CD">
              <w:rPr>
                <w:highlight w:val="black"/>
              </w:rPr>
              <w:t>@@@@</w:t>
            </w:r>
            <w:r w:rsidR="00935A52">
              <w:rPr>
                <w:vertAlign w:val="superscript"/>
              </w:rPr>
              <w:t>1</w:t>
            </w:r>
          </w:p>
        </w:tc>
        <w:tc>
          <w:tcPr>
            <w:tcW w:w="454" w:type="pct"/>
          </w:tcPr>
          <w:p w14:paraId="7397506F" w14:textId="359FBB15" w:rsidR="007A40AC" w:rsidRPr="00AB0640" w:rsidRDefault="001F43CD" w:rsidP="008028C6">
            <w:pPr>
              <w:pStyle w:val="TableText0"/>
              <w:jc w:val="center"/>
            </w:pPr>
            <w:r w:rsidRPr="001F43CD">
              <w:rPr>
                <w:highlight w:val="black"/>
              </w:rPr>
              <w:t>@@@@</w:t>
            </w:r>
            <w:r w:rsidR="007A40AC" w:rsidRPr="00AB0640">
              <w:t>%</w:t>
            </w:r>
          </w:p>
        </w:tc>
      </w:tr>
      <w:tr w:rsidR="007A40AC" w:rsidRPr="00AB0640" w14:paraId="7A943A6D" w14:textId="77777777" w:rsidTr="0065379D">
        <w:tc>
          <w:tcPr>
            <w:tcW w:w="5000" w:type="pct"/>
            <w:gridSpan w:val="5"/>
          </w:tcPr>
          <w:p w14:paraId="02F1353E" w14:textId="1BCDE961" w:rsidR="007A40AC" w:rsidRPr="00AB0640" w:rsidRDefault="007A40AC" w:rsidP="008028C6">
            <w:pPr>
              <w:pStyle w:val="TableText0"/>
            </w:pPr>
            <w:r w:rsidRPr="00AB0640">
              <w:t xml:space="preserve">Carer costs (base case: </w:t>
            </w:r>
            <w:r w:rsidR="007974A6" w:rsidRPr="00AB0640">
              <w:t>included</w:t>
            </w:r>
            <w:r w:rsidRPr="00AB0640">
              <w:t xml:space="preserve"> cost per week for 14% of patients applied as the cost per year)</w:t>
            </w:r>
          </w:p>
        </w:tc>
      </w:tr>
      <w:tr w:rsidR="007A40AC" w:rsidRPr="00AB0640" w14:paraId="716DAC1A" w14:textId="77777777" w:rsidTr="0065379D">
        <w:tc>
          <w:tcPr>
            <w:tcW w:w="2643" w:type="pct"/>
          </w:tcPr>
          <w:p w14:paraId="23925C91" w14:textId="77777777" w:rsidR="007A40AC" w:rsidRPr="00AB0640" w:rsidRDefault="007A40AC" w:rsidP="008028C6">
            <w:pPr>
              <w:pStyle w:val="TableText0"/>
              <w:numPr>
                <w:ilvl w:val="0"/>
                <w:numId w:val="5"/>
              </w:numPr>
            </w:pPr>
            <w:r w:rsidRPr="00AB0640">
              <w:t xml:space="preserve">Exclude </w:t>
            </w:r>
            <w:r w:rsidRPr="00AB0640">
              <w:rPr>
                <w:b/>
                <w:bCs w:val="0"/>
              </w:rPr>
              <w:t>#1</w:t>
            </w:r>
          </w:p>
        </w:tc>
        <w:tc>
          <w:tcPr>
            <w:tcW w:w="630" w:type="pct"/>
          </w:tcPr>
          <w:p w14:paraId="40F5DF8C" w14:textId="5C8BFFE7" w:rsidR="007A40AC" w:rsidRPr="00AB0640" w:rsidRDefault="007A40AC" w:rsidP="008028C6">
            <w:pPr>
              <w:pStyle w:val="TableText0"/>
              <w:jc w:val="center"/>
            </w:pPr>
            <w:r w:rsidRPr="00AB0640">
              <w:t>$</w:t>
            </w:r>
            <w:r w:rsidR="001F43CD" w:rsidRPr="001F43CD">
              <w:rPr>
                <w:highlight w:val="black"/>
              </w:rPr>
              <w:t>@@@@</w:t>
            </w:r>
          </w:p>
        </w:tc>
        <w:tc>
          <w:tcPr>
            <w:tcW w:w="630" w:type="pct"/>
          </w:tcPr>
          <w:p w14:paraId="338DD288" w14:textId="77777777" w:rsidR="007A40AC" w:rsidRPr="00AB0640" w:rsidRDefault="007A40AC" w:rsidP="008028C6">
            <w:pPr>
              <w:pStyle w:val="TableText0"/>
              <w:jc w:val="center"/>
            </w:pPr>
            <w:r w:rsidRPr="00AB0640">
              <w:t>1.28</w:t>
            </w:r>
          </w:p>
        </w:tc>
        <w:tc>
          <w:tcPr>
            <w:tcW w:w="643" w:type="pct"/>
          </w:tcPr>
          <w:p w14:paraId="62D2689F" w14:textId="4E5FC937" w:rsidR="007A40AC" w:rsidRPr="00AB0640" w:rsidRDefault="007A40AC" w:rsidP="008028C6">
            <w:pPr>
              <w:pStyle w:val="TableText0"/>
              <w:jc w:val="center"/>
            </w:pPr>
            <w:r w:rsidRPr="00AB0640">
              <w:t>$</w:t>
            </w:r>
            <w:r w:rsidR="001F43CD" w:rsidRPr="001F43CD">
              <w:rPr>
                <w:highlight w:val="black"/>
              </w:rPr>
              <w:t>@@@@</w:t>
            </w:r>
            <w:r w:rsidR="00935A52">
              <w:rPr>
                <w:vertAlign w:val="superscript"/>
              </w:rPr>
              <w:t>1</w:t>
            </w:r>
          </w:p>
        </w:tc>
        <w:tc>
          <w:tcPr>
            <w:tcW w:w="454" w:type="pct"/>
          </w:tcPr>
          <w:p w14:paraId="3D0484F6" w14:textId="4C43BCAB" w:rsidR="007A40AC" w:rsidRPr="00AB0640" w:rsidRDefault="001F43CD" w:rsidP="008028C6">
            <w:pPr>
              <w:pStyle w:val="TableText0"/>
              <w:jc w:val="center"/>
            </w:pPr>
            <w:r w:rsidRPr="001F43CD">
              <w:rPr>
                <w:highlight w:val="black"/>
              </w:rPr>
              <w:t>@@@@</w:t>
            </w:r>
            <w:r w:rsidR="007A40AC" w:rsidRPr="00AB0640">
              <w:t>%</w:t>
            </w:r>
          </w:p>
        </w:tc>
      </w:tr>
      <w:tr w:rsidR="007A40AC" w:rsidRPr="00AB0640" w14:paraId="5B6A60F5" w14:textId="77777777" w:rsidTr="0065379D">
        <w:tc>
          <w:tcPr>
            <w:tcW w:w="2643" w:type="pct"/>
          </w:tcPr>
          <w:p w14:paraId="17706060" w14:textId="77777777" w:rsidR="007A40AC" w:rsidRPr="00AB0640" w:rsidRDefault="007A40AC" w:rsidP="008028C6">
            <w:pPr>
              <w:pStyle w:val="TableText0"/>
              <w:numPr>
                <w:ilvl w:val="0"/>
                <w:numId w:val="5"/>
              </w:numPr>
            </w:pPr>
            <w:r w:rsidRPr="00AB0640">
              <w:t xml:space="preserve">Cost per year applied correctly </w:t>
            </w:r>
          </w:p>
        </w:tc>
        <w:tc>
          <w:tcPr>
            <w:tcW w:w="630" w:type="pct"/>
          </w:tcPr>
          <w:p w14:paraId="4D2E1153" w14:textId="565B51AF" w:rsidR="007A40AC" w:rsidRPr="00AB0640" w:rsidRDefault="007A40AC" w:rsidP="008028C6">
            <w:pPr>
              <w:pStyle w:val="TableText0"/>
              <w:jc w:val="center"/>
            </w:pPr>
            <w:r w:rsidRPr="00AB0640">
              <w:t>$</w:t>
            </w:r>
            <w:r w:rsidR="001F43CD" w:rsidRPr="001F43CD">
              <w:rPr>
                <w:highlight w:val="black"/>
              </w:rPr>
              <w:t>@@@@</w:t>
            </w:r>
          </w:p>
        </w:tc>
        <w:tc>
          <w:tcPr>
            <w:tcW w:w="630" w:type="pct"/>
          </w:tcPr>
          <w:p w14:paraId="7B5B7DCE" w14:textId="77777777" w:rsidR="007A40AC" w:rsidRPr="00AB0640" w:rsidRDefault="007A40AC" w:rsidP="008028C6">
            <w:pPr>
              <w:pStyle w:val="TableText0"/>
              <w:jc w:val="center"/>
            </w:pPr>
            <w:r w:rsidRPr="00AB0640">
              <w:t>1.28</w:t>
            </w:r>
          </w:p>
        </w:tc>
        <w:tc>
          <w:tcPr>
            <w:tcW w:w="643" w:type="pct"/>
          </w:tcPr>
          <w:p w14:paraId="7FF6542C" w14:textId="6CFF0FE9" w:rsidR="007A40AC" w:rsidRPr="00AB0640" w:rsidRDefault="007A40AC" w:rsidP="008028C6">
            <w:pPr>
              <w:pStyle w:val="TableText0"/>
              <w:jc w:val="center"/>
            </w:pPr>
            <w:r w:rsidRPr="00AB0640">
              <w:t>$</w:t>
            </w:r>
            <w:r w:rsidR="001F43CD" w:rsidRPr="001F43CD">
              <w:rPr>
                <w:highlight w:val="black"/>
              </w:rPr>
              <w:t>@@@@</w:t>
            </w:r>
            <w:r w:rsidR="00935A52">
              <w:rPr>
                <w:vertAlign w:val="superscript"/>
              </w:rPr>
              <w:t>1</w:t>
            </w:r>
          </w:p>
        </w:tc>
        <w:tc>
          <w:tcPr>
            <w:tcW w:w="454" w:type="pct"/>
          </w:tcPr>
          <w:p w14:paraId="2808246E" w14:textId="2873E483" w:rsidR="007A40AC" w:rsidRPr="00AB0640" w:rsidRDefault="007A40AC" w:rsidP="008028C6">
            <w:pPr>
              <w:pStyle w:val="TableText0"/>
              <w:jc w:val="center"/>
            </w:pPr>
            <w:r w:rsidRPr="00AB0640">
              <w:t>-</w:t>
            </w:r>
            <w:r w:rsidR="001F43CD" w:rsidRPr="001F43CD">
              <w:rPr>
                <w:highlight w:val="black"/>
              </w:rPr>
              <w:t>@@@@</w:t>
            </w:r>
            <w:r w:rsidRPr="00AB0640">
              <w:t>%</w:t>
            </w:r>
          </w:p>
        </w:tc>
      </w:tr>
      <w:tr w:rsidR="007A40AC" w:rsidRPr="00AB0640" w14:paraId="48FC28BB" w14:textId="77777777" w:rsidTr="0065379D">
        <w:tc>
          <w:tcPr>
            <w:tcW w:w="5000" w:type="pct"/>
            <w:gridSpan w:val="5"/>
            <w:vAlign w:val="center"/>
          </w:tcPr>
          <w:p w14:paraId="1B167E68" w14:textId="77777777" w:rsidR="007A40AC" w:rsidRPr="00AB0640" w:rsidRDefault="007A40AC" w:rsidP="008028C6">
            <w:pPr>
              <w:pStyle w:val="TableText0"/>
            </w:pPr>
            <w:r w:rsidRPr="00AB0640">
              <w:t>Home modifications (base case: included)</w:t>
            </w:r>
          </w:p>
        </w:tc>
      </w:tr>
      <w:tr w:rsidR="007A40AC" w:rsidRPr="00AB0640" w14:paraId="15AF5A36" w14:textId="77777777" w:rsidTr="0065379D">
        <w:tc>
          <w:tcPr>
            <w:tcW w:w="2643" w:type="pct"/>
          </w:tcPr>
          <w:p w14:paraId="0CB37CAE" w14:textId="77777777" w:rsidR="007A40AC" w:rsidRPr="00AB0640" w:rsidRDefault="007A40AC" w:rsidP="008028C6">
            <w:pPr>
              <w:pStyle w:val="TableText0"/>
              <w:numPr>
                <w:ilvl w:val="0"/>
                <w:numId w:val="5"/>
              </w:numPr>
            </w:pPr>
            <w:r w:rsidRPr="00AB0640">
              <w:t xml:space="preserve">Excluded </w:t>
            </w:r>
            <w:r w:rsidRPr="00AB0640">
              <w:rPr>
                <w:b/>
                <w:bCs w:val="0"/>
              </w:rPr>
              <w:t>#2</w:t>
            </w:r>
          </w:p>
        </w:tc>
        <w:tc>
          <w:tcPr>
            <w:tcW w:w="630" w:type="pct"/>
          </w:tcPr>
          <w:p w14:paraId="5CC2E485" w14:textId="364D22D5" w:rsidR="007A40AC" w:rsidRPr="00AB0640" w:rsidRDefault="007A40AC" w:rsidP="008028C6">
            <w:pPr>
              <w:pStyle w:val="TableText0"/>
              <w:jc w:val="center"/>
            </w:pPr>
            <w:r w:rsidRPr="00AB0640">
              <w:t>$</w:t>
            </w:r>
            <w:r w:rsidR="001F43CD" w:rsidRPr="001F43CD">
              <w:rPr>
                <w:highlight w:val="black"/>
              </w:rPr>
              <w:t>@@@@</w:t>
            </w:r>
          </w:p>
        </w:tc>
        <w:tc>
          <w:tcPr>
            <w:tcW w:w="630" w:type="pct"/>
          </w:tcPr>
          <w:p w14:paraId="3BC59CD5" w14:textId="77777777" w:rsidR="007A40AC" w:rsidRPr="00AB0640" w:rsidRDefault="007A40AC" w:rsidP="008028C6">
            <w:pPr>
              <w:pStyle w:val="TableText0"/>
              <w:jc w:val="center"/>
            </w:pPr>
            <w:r w:rsidRPr="00AB0640">
              <w:t>1.28</w:t>
            </w:r>
          </w:p>
        </w:tc>
        <w:tc>
          <w:tcPr>
            <w:tcW w:w="643" w:type="pct"/>
          </w:tcPr>
          <w:p w14:paraId="271E5B0A" w14:textId="112F70C5" w:rsidR="007A40AC" w:rsidRPr="00AB0640" w:rsidRDefault="007A40AC" w:rsidP="008028C6">
            <w:pPr>
              <w:pStyle w:val="TableText0"/>
              <w:jc w:val="center"/>
            </w:pPr>
            <w:r w:rsidRPr="00AB0640">
              <w:t>$</w:t>
            </w:r>
            <w:r w:rsidR="001F43CD" w:rsidRPr="001F43CD">
              <w:rPr>
                <w:highlight w:val="black"/>
              </w:rPr>
              <w:t>@@@@</w:t>
            </w:r>
            <w:r w:rsidR="00935A52">
              <w:rPr>
                <w:vertAlign w:val="superscript"/>
              </w:rPr>
              <w:t>1</w:t>
            </w:r>
          </w:p>
        </w:tc>
        <w:tc>
          <w:tcPr>
            <w:tcW w:w="454" w:type="pct"/>
          </w:tcPr>
          <w:p w14:paraId="5297694C" w14:textId="51B31DB4" w:rsidR="007A40AC" w:rsidRPr="00AB0640" w:rsidRDefault="001F43CD" w:rsidP="008028C6">
            <w:pPr>
              <w:pStyle w:val="TableText0"/>
              <w:jc w:val="center"/>
            </w:pPr>
            <w:r w:rsidRPr="001F43CD">
              <w:rPr>
                <w:highlight w:val="black"/>
              </w:rPr>
              <w:t>@@@@</w:t>
            </w:r>
            <w:r w:rsidR="007A40AC" w:rsidRPr="00AB0640">
              <w:t>%</w:t>
            </w:r>
          </w:p>
        </w:tc>
      </w:tr>
      <w:tr w:rsidR="007A40AC" w:rsidRPr="00AB0640" w14:paraId="28C34032" w14:textId="77777777" w:rsidTr="0065379D">
        <w:tc>
          <w:tcPr>
            <w:tcW w:w="5000" w:type="pct"/>
            <w:gridSpan w:val="5"/>
            <w:vAlign w:val="center"/>
          </w:tcPr>
          <w:p w14:paraId="032475AE" w14:textId="77777777" w:rsidR="007A40AC" w:rsidRPr="00AB0640" w:rsidRDefault="007A40AC" w:rsidP="008028C6">
            <w:pPr>
              <w:pStyle w:val="TableText0"/>
              <w:rPr>
                <w:vertAlign w:val="superscript"/>
              </w:rPr>
            </w:pPr>
            <w:r w:rsidRPr="00AB0640">
              <w:t>Medical aids (base case: included)</w:t>
            </w:r>
            <w:r w:rsidRPr="00AB0640">
              <w:rPr>
                <w:vertAlign w:val="superscript"/>
              </w:rPr>
              <w:t>e</w:t>
            </w:r>
          </w:p>
        </w:tc>
      </w:tr>
      <w:tr w:rsidR="007A40AC" w:rsidRPr="00AB0640" w14:paraId="2E5B3F58" w14:textId="77777777" w:rsidTr="0065379D">
        <w:tc>
          <w:tcPr>
            <w:tcW w:w="2643" w:type="pct"/>
          </w:tcPr>
          <w:p w14:paraId="6582898B" w14:textId="77777777" w:rsidR="007A40AC" w:rsidRPr="00AB0640" w:rsidRDefault="007A40AC" w:rsidP="008028C6">
            <w:pPr>
              <w:pStyle w:val="TableText0"/>
              <w:numPr>
                <w:ilvl w:val="0"/>
                <w:numId w:val="5"/>
              </w:numPr>
            </w:pPr>
            <w:r w:rsidRPr="00AB0640">
              <w:t xml:space="preserve">Exclude, apart from catheters and feeding tubes </w:t>
            </w:r>
            <w:r w:rsidRPr="00AB0640">
              <w:rPr>
                <w:b/>
                <w:bCs w:val="0"/>
              </w:rPr>
              <w:t>#3</w:t>
            </w:r>
          </w:p>
        </w:tc>
        <w:tc>
          <w:tcPr>
            <w:tcW w:w="630" w:type="pct"/>
          </w:tcPr>
          <w:p w14:paraId="5BE37FFF" w14:textId="6609DF31" w:rsidR="007A40AC" w:rsidRPr="00AB0640" w:rsidRDefault="007A40AC" w:rsidP="008028C6">
            <w:pPr>
              <w:pStyle w:val="TableText0"/>
              <w:jc w:val="center"/>
            </w:pPr>
            <w:r w:rsidRPr="00AB0640">
              <w:t>$</w:t>
            </w:r>
            <w:r w:rsidR="001F43CD" w:rsidRPr="001F43CD">
              <w:rPr>
                <w:highlight w:val="black"/>
              </w:rPr>
              <w:t>@@@@</w:t>
            </w:r>
          </w:p>
        </w:tc>
        <w:tc>
          <w:tcPr>
            <w:tcW w:w="630" w:type="pct"/>
          </w:tcPr>
          <w:p w14:paraId="41B2460F" w14:textId="77777777" w:rsidR="007A40AC" w:rsidRPr="00AB0640" w:rsidRDefault="007A40AC" w:rsidP="008028C6">
            <w:pPr>
              <w:pStyle w:val="TableText0"/>
              <w:jc w:val="center"/>
            </w:pPr>
            <w:r w:rsidRPr="00AB0640">
              <w:t>1.28</w:t>
            </w:r>
          </w:p>
        </w:tc>
        <w:tc>
          <w:tcPr>
            <w:tcW w:w="643" w:type="pct"/>
          </w:tcPr>
          <w:p w14:paraId="6F3680EB" w14:textId="3B40B0F0" w:rsidR="007A40AC" w:rsidRPr="00AB0640" w:rsidRDefault="007A40AC" w:rsidP="008028C6">
            <w:pPr>
              <w:pStyle w:val="TableText0"/>
              <w:jc w:val="center"/>
            </w:pPr>
            <w:r w:rsidRPr="00AB0640">
              <w:t>$</w:t>
            </w:r>
            <w:r w:rsidR="001F43CD" w:rsidRPr="001F43CD">
              <w:rPr>
                <w:highlight w:val="black"/>
              </w:rPr>
              <w:t>@@@@</w:t>
            </w:r>
            <w:r w:rsidR="00935A52">
              <w:rPr>
                <w:vertAlign w:val="superscript"/>
              </w:rPr>
              <w:t>1</w:t>
            </w:r>
          </w:p>
        </w:tc>
        <w:tc>
          <w:tcPr>
            <w:tcW w:w="454" w:type="pct"/>
          </w:tcPr>
          <w:p w14:paraId="18FC9E8D" w14:textId="515948EC" w:rsidR="007A40AC" w:rsidRPr="00AB0640" w:rsidRDefault="001F43CD" w:rsidP="008028C6">
            <w:pPr>
              <w:pStyle w:val="TableText0"/>
              <w:jc w:val="center"/>
            </w:pPr>
            <w:r w:rsidRPr="001F43CD">
              <w:rPr>
                <w:highlight w:val="black"/>
              </w:rPr>
              <w:t>@@@@</w:t>
            </w:r>
            <w:r w:rsidR="007A40AC" w:rsidRPr="00AB0640">
              <w:t>%</w:t>
            </w:r>
          </w:p>
        </w:tc>
      </w:tr>
      <w:tr w:rsidR="007A40AC" w:rsidRPr="00AB0640" w14:paraId="15D5A5BF" w14:textId="77777777" w:rsidTr="0065379D">
        <w:tc>
          <w:tcPr>
            <w:tcW w:w="4546" w:type="pct"/>
            <w:gridSpan w:val="4"/>
          </w:tcPr>
          <w:p w14:paraId="7D99EEAD" w14:textId="77777777" w:rsidR="007A40AC" w:rsidRPr="00AB0640" w:rsidRDefault="007A40AC" w:rsidP="008028C6">
            <w:pPr>
              <w:pStyle w:val="In-tableHeading"/>
              <w:rPr>
                <w:lang w:val="en-AU"/>
              </w:rPr>
            </w:pPr>
            <w:r w:rsidRPr="00AB0640">
              <w:rPr>
                <w:lang w:val="en-AU"/>
              </w:rPr>
              <w:t>Multivariate analyses</w:t>
            </w:r>
          </w:p>
        </w:tc>
        <w:tc>
          <w:tcPr>
            <w:tcW w:w="454" w:type="pct"/>
          </w:tcPr>
          <w:p w14:paraId="15666FA4" w14:textId="77777777" w:rsidR="007A40AC" w:rsidRPr="00AB0640" w:rsidRDefault="007A40AC" w:rsidP="008028C6">
            <w:pPr>
              <w:pStyle w:val="In-tableHeading"/>
              <w:rPr>
                <w:lang w:val="en-AU"/>
              </w:rPr>
            </w:pPr>
          </w:p>
        </w:tc>
      </w:tr>
      <w:tr w:rsidR="007A40AC" w:rsidRPr="00AB0640" w14:paraId="0CC58BB6" w14:textId="77777777" w:rsidTr="0065379D">
        <w:tc>
          <w:tcPr>
            <w:tcW w:w="2643" w:type="pct"/>
          </w:tcPr>
          <w:p w14:paraId="40444895" w14:textId="77777777" w:rsidR="007A40AC" w:rsidRPr="00AB0640" w:rsidRDefault="007A40AC" w:rsidP="008028C6">
            <w:pPr>
              <w:pStyle w:val="TableText0"/>
            </w:pPr>
            <w:r w:rsidRPr="00AB0640">
              <w:t>#1, #2, #3</w:t>
            </w:r>
          </w:p>
        </w:tc>
        <w:tc>
          <w:tcPr>
            <w:tcW w:w="630" w:type="pct"/>
          </w:tcPr>
          <w:p w14:paraId="16A15ED0" w14:textId="273A433F" w:rsidR="007A40AC" w:rsidRPr="00AB0640" w:rsidRDefault="007A40AC" w:rsidP="008028C6">
            <w:pPr>
              <w:pStyle w:val="TableText0"/>
              <w:jc w:val="center"/>
            </w:pPr>
            <w:r w:rsidRPr="00AB0640">
              <w:t>$</w:t>
            </w:r>
            <w:r w:rsidR="001F43CD" w:rsidRPr="001F43CD">
              <w:rPr>
                <w:highlight w:val="black"/>
              </w:rPr>
              <w:t>@@@@</w:t>
            </w:r>
          </w:p>
        </w:tc>
        <w:tc>
          <w:tcPr>
            <w:tcW w:w="630" w:type="pct"/>
          </w:tcPr>
          <w:p w14:paraId="47BF0D81" w14:textId="77777777" w:rsidR="007A40AC" w:rsidRPr="00AB0640" w:rsidRDefault="007A40AC" w:rsidP="008028C6">
            <w:pPr>
              <w:pStyle w:val="TableText0"/>
              <w:jc w:val="center"/>
            </w:pPr>
            <w:r w:rsidRPr="00AB0640">
              <w:t>1.28</w:t>
            </w:r>
          </w:p>
        </w:tc>
        <w:tc>
          <w:tcPr>
            <w:tcW w:w="643" w:type="pct"/>
          </w:tcPr>
          <w:p w14:paraId="0775F3B2" w14:textId="0ACA1868" w:rsidR="007A40AC" w:rsidRPr="00AB0640" w:rsidRDefault="007A40AC" w:rsidP="008028C6">
            <w:pPr>
              <w:pStyle w:val="TableText0"/>
              <w:jc w:val="center"/>
            </w:pPr>
            <w:r w:rsidRPr="00AB0640">
              <w:t>$</w:t>
            </w:r>
            <w:r w:rsidR="001F43CD" w:rsidRPr="001F43CD">
              <w:rPr>
                <w:highlight w:val="black"/>
              </w:rPr>
              <w:t>@@@@</w:t>
            </w:r>
            <w:r w:rsidR="00935A52">
              <w:rPr>
                <w:vertAlign w:val="superscript"/>
              </w:rPr>
              <w:t>1</w:t>
            </w:r>
          </w:p>
        </w:tc>
        <w:tc>
          <w:tcPr>
            <w:tcW w:w="454" w:type="pct"/>
          </w:tcPr>
          <w:p w14:paraId="5312A15F" w14:textId="3BA39DA2" w:rsidR="007A40AC" w:rsidRPr="00AB0640" w:rsidRDefault="001F43CD" w:rsidP="008028C6">
            <w:pPr>
              <w:pStyle w:val="TableText0"/>
              <w:jc w:val="center"/>
            </w:pPr>
            <w:r w:rsidRPr="001F43CD">
              <w:rPr>
                <w:highlight w:val="black"/>
              </w:rPr>
              <w:t>@@@@</w:t>
            </w:r>
            <w:r w:rsidR="007A40AC" w:rsidRPr="00AB0640">
              <w:t>%</w:t>
            </w:r>
          </w:p>
        </w:tc>
      </w:tr>
      <w:tr w:rsidR="007A40AC" w:rsidRPr="00AB0640" w14:paraId="0AE1D037" w14:textId="77777777" w:rsidTr="0065379D">
        <w:tc>
          <w:tcPr>
            <w:tcW w:w="2643" w:type="pct"/>
          </w:tcPr>
          <w:p w14:paraId="118D8290" w14:textId="77777777" w:rsidR="007A40AC" w:rsidRPr="00AB0640" w:rsidRDefault="007A40AC" w:rsidP="008028C6">
            <w:pPr>
              <w:pStyle w:val="TableText0"/>
            </w:pPr>
            <w:r w:rsidRPr="00AB0640">
              <w:t>#1 - #4</w:t>
            </w:r>
          </w:p>
        </w:tc>
        <w:tc>
          <w:tcPr>
            <w:tcW w:w="630" w:type="pct"/>
          </w:tcPr>
          <w:p w14:paraId="7CD67FB0" w14:textId="3B6B90F5" w:rsidR="007A40AC" w:rsidRPr="00AB0640" w:rsidRDefault="007A40AC" w:rsidP="008028C6">
            <w:pPr>
              <w:pStyle w:val="TableText0"/>
              <w:jc w:val="center"/>
            </w:pPr>
            <w:r w:rsidRPr="00AB0640">
              <w:t>$</w:t>
            </w:r>
            <w:r w:rsidR="001F43CD" w:rsidRPr="001F43CD">
              <w:rPr>
                <w:highlight w:val="black"/>
              </w:rPr>
              <w:t>@@@@</w:t>
            </w:r>
          </w:p>
        </w:tc>
        <w:tc>
          <w:tcPr>
            <w:tcW w:w="630" w:type="pct"/>
          </w:tcPr>
          <w:p w14:paraId="4BED77AD" w14:textId="77777777" w:rsidR="007A40AC" w:rsidRPr="00AB0640" w:rsidRDefault="007A40AC" w:rsidP="008028C6">
            <w:pPr>
              <w:pStyle w:val="TableText0"/>
              <w:jc w:val="center"/>
            </w:pPr>
            <w:r w:rsidRPr="00AB0640">
              <w:t>1.27</w:t>
            </w:r>
          </w:p>
        </w:tc>
        <w:tc>
          <w:tcPr>
            <w:tcW w:w="643" w:type="pct"/>
          </w:tcPr>
          <w:p w14:paraId="701501AF" w14:textId="549DFAD1" w:rsidR="007A40AC" w:rsidRPr="00AB0640" w:rsidRDefault="007A40AC" w:rsidP="008028C6">
            <w:pPr>
              <w:pStyle w:val="TableText0"/>
              <w:jc w:val="center"/>
            </w:pPr>
            <w:r w:rsidRPr="00AB0640">
              <w:t>$</w:t>
            </w:r>
            <w:r w:rsidR="001F43CD" w:rsidRPr="001F43CD">
              <w:rPr>
                <w:highlight w:val="black"/>
              </w:rPr>
              <w:t>@@@@</w:t>
            </w:r>
            <w:r w:rsidR="00935A52">
              <w:rPr>
                <w:vertAlign w:val="superscript"/>
              </w:rPr>
              <w:t>1</w:t>
            </w:r>
          </w:p>
        </w:tc>
        <w:tc>
          <w:tcPr>
            <w:tcW w:w="454" w:type="pct"/>
          </w:tcPr>
          <w:p w14:paraId="70EE8E9B" w14:textId="22B6FCE8" w:rsidR="007A40AC" w:rsidRPr="00AB0640" w:rsidRDefault="001F43CD" w:rsidP="008028C6">
            <w:pPr>
              <w:pStyle w:val="TableText0"/>
              <w:jc w:val="center"/>
            </w:pPr>
            <w:r w:rsidRPr="001F43CD">
              <w:rPr>
                <w:highlight w:val="black"/>
              </w:rPr>
              <w:t>@@@@</w:t>
            </w:r>
            <w:r w:rsidR="007A40AC" w:rsidRPr="00AB0640">
              <w:t>%</w:t>
            </w:r>
          </w:p>
        </w:tc>
      </w:tr>
      <w:tr w:rsidR="007A40AC" w:rsidRPr="00AB0640" w14:paraId="37B38138" w14:textId="77777777" w:rsidTr="0065379D">
        <w:tc>
          <w:tcPr>
            <w:tcW w:w="2643" w:type="pct"/>
          </w:tcPr>
          <w:p w14:paraId="13FD83DB" w14:textId="77777777" w:rsidR="007A40AC" w:rsidRPr="00AB0640" w:rsidRDefault="007A40AC" w:rsidP="008028C6">
            <w:pPr>
              <w:pStyle w:val="TableText0"/>
            </w:pPr>
            <w:r w:rsidRPr="00AB0640">
              <w:t xml:space="preserve">#1 - #5 </w:t>
            </w:r>
          </w:p>
        </w:tc>
        <w:tc>
          <w:tcPr>
            <w:tcW w:w="630" w:type="pct"/>
          </w:tcPr>
          <w:p w14:paraId="7FB83309" w14:textId="6A1C7DD8" w:rsidR="007A40AC" w:rsidRPr="00AB0640" w:rsidRDefault="007A40AC" w:rsidP="008028C6">
            <w:pPr>
              <w:pStyle w:val="TableText0"/>
              <w:jc w:val="center"/>
            </w:pPr>
            <w:r w:rsidRPr="00AB0640">
              <w:t>$</w:t>
            </w:r>
            <w:r w:rsidR="001F43CD" w:rsidRPr="001F43CD">
              <w:rPr>
                <w:highlight w:val="black"/>
              </w:rPr>
              <w:t>@@@@</w:t>
            </w:r>
          </w:p>
        </w:tc>
        <w:tc>
          <w:tcPr>
            <w:tcW w:w="630" w:type="pct"/>
          </w:tcPr>
          <w:p w14:paraId="588ACF3D" w14:textId="77777777" w:rsidR="007A40AC" w:rsidRPr="00AB0640" w:rsidRDefault="007A40AC" w:rsidP="008028C6">
            <w:pPr>
              <w:pStyle w:val="TableText0"/>
              <w:jc w:val="center"/>
            </w:pPr>
            <w:r w:rsidRPr="00AB0640">
              <w:t>0.61</w:t>
            </w:r>
          </w:p>
        </w:tc>
        <w:tc>
          <w:tcPr>
            <w:tcW w:w="643" w:type="pct"/>
          </w:tcPr>
          <w:p w14:paraId="603D3172" w14:textId="52A45E80" w:rsidR="007A40AC" w:rsidRPr="00AB0640" w:rsidRDefault="007A40AC" w:rsidP="008028C6">
            <w:pPr>
              <w:pStyle w:val="TableText0"/>
              <w:jc w:val="center"/>
            </w:pPr>
            <w:r w:rsidRPr="00AB0640">
              <w:t>$</w:t>
            </w:r>
            <w:r w:rsidR="001F43CD" w:rsidRPr="001F43CD">
              <w:rPr>
                <w:highlight w:val="black"/>
              </w:rPr>
              <w:t>@@@@</w:t>
            </w:r>
            <w:r w:rsidR="00935A52">
              <w:rPr>
                <w:vertAlign w:val="superscript"/>
              </w:rPr>
              <w:t>3</w:t>
            </w:r>
          </w:p>
        </w:tc>
        <w:tc>
          <w:tcPr>
            <w:tcW w:w="454" w:type="pct"/>
          </w:tcPr>
          <w:p w14:paraId="269EDDE6" w14:textId="1612C943" w:rsidR="007A40AC" w:rsidRPr="00AB0640" w:rsidRDefault="001F43CD" w:rsidP="008028C6">
            <w:pPr>
              <w:pStyle w:val="TableText0"/>
              <w:jc w:val="center"/>
            </w:pPr>
            <w:r w:rsidRPr="001F43CD">
              <w:rPr>
                <w:highlight w:val="black"/>
              </w:rPr>
              <w:t>@@@@</w:t>
            </w:r>
            <w:r w:rsidR="007A40AC" w:rsidRPr="00AB0640">
              <w:t>%</w:t>
            </w:r>
          </w:p>
        </w:tc>
      </w:tr>
      <w:tr w:rsidR="007A40AC" w:rsidRPr="00AB0640" w14:paraId="3458486A" w14:textId="77777777" w:rsidTr="0065379D">
        <w:tc>
          <w:tcPr>
            <w:tcW w:w="2643" w:type="pct"/>
          </w:tcPr>
          <w:p w14:paraId="7C7111D0" w14:textId="77777777" w:rsidR="007A40AC" w:rsidRPr="00AB0640" w:rsidRDefault="007A40AC" w:rsidP="008028C6">
            <w:pPr>
              <w:pStyle w:val="TableText0"/>
            </w:pPr>
            <w:r w:rsidRPr="00AB0640">
              <w:t>#1 - #6</w:t>
            </w:r>
          </w:p>
        </w:tc>
        <w:tc>
          <w:tcPr>
            <w:tcW w:w="630" w:type="pct"/>
          </w:tcPr>
          <w:p w14:paraId="18C55BEA" w14:textId="7E8487DE" w:rsidR="007A40AC" w:rsidRPr="00AB0640" w:rsidRDefault="007A40AC" w:rsidP="008028C6">
            <w:pPr>
              <w:pStyle w:val="TableText0"/>
              <w:jc w:val="center"/>
            </w:pPr>
            <w:r w:rsidRPr="00AB0640">
              <w:t>$</w:t>
            </w:r>
            <w:r w:rsidR="001F43CD" w:rsidRPr="001F43CD">
              <w:rPr>
                <w:highlight w:val="black"/>
              </w:rPr>
              <w:t>@@@@</w:t>
            </w:r>
          </w:p>
        </w:tc>
        <w:tc>
          <w:tcPr>
            <w:tcW w:w="630" w:type="pct"/>
          </w:tcPr>
          <w:p w14:paraId="6663E384" w14:textId="77777777" w:rsidR="007A40AC" w:rsidRPr="00AB0640" w:rsidRDefault="007A40AC" w:rsidP="008028C6">
            <w:pPr>
              <w:pStyle w:val="TableText0"/>
              <w:jc w:val="center"/>
            </w:pPr>
            <w:r w:rsidRPr="00AB0640">
              <w:t>0.56</w:t>
            </w:r>
          </w:p>
        </w:tc>
        <w:tc>
          <w:tcPr>
            <w:tcW w:w="643" w:type="pct"/>
          </w:tcPr>
          <w:p w14:paraId="211C320C" w14:textId="3F76F3D2" w:rsidR="007A40AC" w:rsidRPr="00AB0640" w:rsidRDefault="007A40AC" w:rsidP="008028C6">
            <w:pPr>
              <w:pStyle w:val="TableText0"/>
              <w:jc w:val="center"/>
            </w:pPr>
            <w:r w:rsidRPr="00AB0640">
              <w:t>$</w:t>
            </w:r>
            <w:r w:rsidR="001F43CD" w:rsidRPr="001F43CD">
              <w:rPr>
                <w:highlight w:val="black"/>
              </w:rPr>
              <w:t>@@@@</w:t>
            </w:r>
            <w:r w:rsidR="00935A52">
              <w:rPr>
                <w:vertAlign w:val="superscript"/>
              </w:rPr>
              <w:t>3</w:t>
            </w:r>
          </w:p>
        </w:tc>
        <w:tc>
          <w:tcPr>
            <w:tcW w:w="454" w:type="pct"/>
          </w:tcPr>
          <w:p w14:paraId="51B8A9D6" w14:textId="03651EAB" w:rsidR="007A40AC" w:rsidRPr="00AB0640" w:rsidRDefault="001F43CD" w:rsidP="008028C6">
            <w:pPr>
              <w:pStyle w:val="TableText0"/>
              <w:jc w:val="center"/>
            </w:pPr>
            <w:r w:rsidRPr="001F43CD">
              <w:rPr>
                <w:highlight w:val="black"/>
              </w:rPr>
              <w:t>@@@@</w:t>
            </w:r>
            <w:r w:rsidR="007A40AC" w:rsidRPr="00AB0640">
              <w:t>%</w:t>
            </w:r>
          </w:p>
        </w:tc>
      </w:tr>
      <w:tr w:rsidR="007A40AC" w:rsidRPr="00AB0640" w14:paraId="3B7F25F6" w14:textId="77777777" w:rsidTr="0065379D">
        <w:tc>
          <w:tcPr>
            <w:tcW w:w="2643" w:type="pct"/>
          </w:tcPr>
          <w:p w14:paraId="39DEE3E6" w14:textId="77777777" w:rsidR="007A40AC" w:rsidRPr="00AB0640" w:rsidRDefault="007A40AC" w:rsidP="008028C6">
            <w:pPr>
              <w:pStyle w:val="TableText0"/>
            </w:pPr>
            <w:r w:rsidRPr="00AB0640">
              <w:t>#1 - #7</w:t>
            </w:r>
          </w:p>
        </w:tc>
        <w:tc>
          <w:tcPr>
            <w:tcW w:w="630" w:type="pct"/>
          </w:tcPr>
          <w:p w14:paraId="36D9BCC8" w14:textId="5E33FA00" w:rsidR="007A40AC" w:rsidRPr="00AB0640" w:rsidRDefault="007A40AC" w:rsidP="008028C6">
            <w:pPr>
              <w:pStyle w:val="TableText0"/>
              <w:jc w:val="center"/>
            </w:pPr>
            <w:r w:rsidRPr="00AB0640">
              <w:t>$</w:t>
            </w:r>
            <w:r w:rsidR="001F43CD" w:rsidRPr="001F43CD">
              <w:rPr>
                <w:highlight w:val="black"/>
              </w:rPr>
              <w:t>@@@@</w:t>
            </w:r>
          </w:p>
        </w:tc>
        <w:tc>
          <w:tcPr>
            <w:tcW w:w="630" w:type="pct"/>
          </w:tcPr>
          <w:p w14:paraId="5A2C1068" w14:textId="77777777" w:rsidR="007A40AC" w:rsidRPr="00AB0640" w:rsidRDefault="007A40AC" w:rsidP="008028C6">
            <w:pPr>
              <w:pStyle w:val="TableText0"/>
              <w:jc w:val="center"/>
            </w:pPr>
            <w:r w:rsidRPr="00AB0640">
              <w:t>0.54</w:t>
            </w:r>
          </w:p>
        </w:tc>
        <w:tc>
          <w:tcPr>
            <w:tcW w:w="643" w:type="pct"/>
          </w:tcPr>
          <w:p w14:paraId="677E581F" w14:textId="347A7CC0" w:rsidR="007A40AC" w:rsidRPr="00AB0640" w:rsidRDefault="007A40AC" w:rsidP="008028C6">
            <w:pPr>
              <w:pStyle w:val="TableText0"/>
              <w:jc w:val="center"/>
            </w:pPr>
            <w:r w:rsidRPr="00AB0640">
              <w:t>$</w:t>
            </w:r>
            <w:r w:rsidR="001F43CD" w:rsidRPr="001F43CD">
              <w:rPr>
                <w:highlight w:val="black"/>
              </w:rPr>
              <w:t>@@@@</w:t>
            </w:r>
            <w:r w:rsidR="00935A52">
              <w:rPr>
                <w:vertAlign w:val="superscript"/>
              </w:rPr>
              <w:t>3</w:t>
            </w:r>
          </w:p>
        </w:tc>
        <w:tc>
          <w:tcPr>
            <w:tcW w:w="454" w:type="pct"/>
          </w:tcPr>
          <w:p w14:paraId="75077E24" w14:textId="4C90B1A8" w:rsidR="007A40AC" w:rsidRPr="00AB0640" w:rsidRDefault="001F43CD" w:rsidP="008028C6">
            <w:pPr>
              <w:pStyle w:val="TableText0"/>
              <w:jc w:val="center"/>
            </w:pPr>
            <w:r w:rsidRPr="001F43CD">
              <w:rPr>
                <w:highlight w:val="black"/>
              </w:rPr>
              <w:t>@@@@</w:t>
            </w:r>
            <w:r w:rsidR="007A40AC" w:rsidRPr="00AB0640">
              <w:t>%</w:t>
            </w:r>
          </w:p>
        </w:tc>
      </w:tr>
    </w:tbl>
    <w:p w14:paraId="17E02403" w14:textId="77777777" w:rsidR="007A40AC" w:rsidRPr="00AB0640" w:rsidRDefault="007A40AC" w:rsidP="008028C6">
      <w:pPr>
        <w:pStyle w:val="TableFigureFooter"/>
      </w:pPr>
      <w:r w:rsidRPr="00AB0640">
        <w:t xml:space="preserve">Source: tabulated during the evaluation, from the “Attachment 9 - Cost utility analysis (CUA) workbook (Section 3)” attachment. </w:t>
      </w:r>
    </w:p>
    <w:p w14:paraId="36141E3E" w14:textId="20B7DEC2" w:rsidR="00B27427" w:rsidRDefault="007A40AC" w:rsidP="008028C6">
      <w:pPr>
        <w:pStyle w:val="TableFigureFooter"/>
        <w:jc w:val="left"/>
        <w:rPr>
          <w:i/>
          <w:iCs/>
        </w:rPr>
      </w:pPr>
      <w:r w:rsidRPr="00AB0640">
        <w:t>BSC = best supportive care; CI = confidence interval; ICER = incremental cost-effectiveness ratio; mFARS = modified Friedreich Ataxia Rating Scale; RDI = relative dose intensity; TTO = time-trade-off</w:t>
      </w:r>
      <w:r w:rsidR="00B9310E">
        <w:br/>
      </w:r>
      <w:r w:rsidR="00B9310E">
        <w:rPr>
          <w:i/>
          <w:iCs/>
        </w:rPr>
        <w:t>The redacted values correspond to the following ranges:</w:t>
      </w:r>
      <w:r w:rsidR="00B9310E">
        <w:rPr>
          <w:i/>
          <w:iCs/>
        </w:rPr>
        <w:br/>
      </w:r>
      <w:r w:rsidR="00B9310E">
        <w:rPr>
          <w:i/>
          <w:iCs/>
          <w:vertAlign w:val="superscript"/>
        </w:rPr>
        <w:t xml:space="preserve">1 </w:t>
      </w:r>
      <w:r w:rsidR="00B9310E">
        <w:rPr>
          <w:i/>
          <w:iCs/>
        </w:rPr>
        <w:t>$</w:t>
      </w:r>
      <w:r w:rsidR="00771F90">
        <w:rPr>
          <w:i/>
          <w:iCs/>
        </w:rPr>
        <w:t xml:space="preserve">955,000 to </w:t>
      </w:r>
      <w:r w:rsidR="00202AE4">
        <w:rPr>
          <w:i/>
          <w:iCs/>
        </w:rPr>
        <w:t xml:space="preserve">&lt; </w:t>
      </w:r>
      <w:r w:rsidR="00771F90">
        <w:rPr>
          <w:i/>
          <w:iCs/>
        </w:rPr>
        <w:t>$1,055,000</w:t>
      </w:r>
    </w:p>
    <w:p w14:paraId="3FE8B69D" w14:textId="3FAE0C7E" w:rsidR="00771F90" w:rsidRDefault="00771F90" w:rsidP="008028C6">
      <w:pPr>
        <w:pStyle w:val="TableFigureFooter"/>
        <w:jc w:val="left"/>
        <w:rPr>
          <w:i/>
          <w:iCs/>
        </w:rPr>
      </w:pPr>
      <w:r w:rsidRPr="00771F90">
        <w:rPr>
          <w:i/>
          <w:iCs/>
          <w:vertAlign w:val="superscript"/>
        </w:rPr>
        <w:t>2</w:t>
      </w:r>
      <w:r>
        <w:rPr>
          <w:i/>
          <w:iCs/>
          <w:vertAlign w:val="superscript"/>
        </w:rPr>
        <w:t xml:space="preserve"> </w:t>
      </w:r>
      <w:r>
        <w:rPr>
          <w:i/>
          <w:iCs/>
        </w:rPr>
        <w:t xml:space="preserve">$855,000 to </w:t>
      </w:r>
      <w:r w:rsidR="00202AE4">
        <w:rPr>
          <w:i/>
          <w:iCs/>
        </w:rPr>
        <w:t xml:space="preserve">&lt; </w:t>
      </w:r>
      <w:r>
        <w:rPr>
          <w:i/>
          <w:iCs/>
        </w:rPr>
        <w:t>$955,000</w:t>
      </w:r>
    </w:p>
    <w:p w14:paraId="480FA3F0" w14:textId="3D47BAA9" w:rsidR="00771F90" w:rsidRPr="00771F90" w:rsidRDefault="00771F90" w:rsidP="008028C6">
      <w:pPr>
        <w:pStyle w:val="TableFigureFooter"/>
        <w:jc w:val="left"/>
        <w:rPr>
          <w:i/>
          <w:iCs/>
          <w:vertAlign w:val="superscript"/>
        </w:rPr>
      </w:pPr>
      <w:r w:rsidRPr="00771F90">
        <w:rPr>
          <w:i/>
          <w:iCs/>
          <w:vertAlign w:val="superscript"/>
        </w:rPr>
        <w:t>3</w:t>
      </w:r>
      <w:r w:rsidR="00202AE4">
        <w:rPr>
          <w:i/>
          <w:iCs/>
          <w:vertAlign w:val="superscript"/>
        </w:rPr>
        <w:t xml:space="preserve"> </w:t>
      </w:r>
      <w:r w:rsidR="00202AE4">
        <w:rPr>
          <w:i/>
          <w:iCs/>
        </w:rPr>
        <w:t xml:space="preserve">&gt; </w:t>
      </w:r>
      <w:r w:rsidR="00910C4C" w:rsidRPr="00910C4C">
        <w:rPr>
          <w:i/>
          <w:iCs/>
        </w:rPr>
        <w:t>$1,</w:t>
      </w:r>
      <w:r w:rsidR="00E53A7C">
        <w:rPr>
          <w:i/>
          <w:iCs/>
        </w:rPr>
        <w:t>0</w:t>
      </w:r>
      <w:r w:rsidR="00910C4C" w:rsidRPr="00910C4C">
        <w:rPr>
          <w:i/>
          <w:iCs/>
        </w:rPr>
        <w:t>55,000</w:t>
      </w:r>
      <w:r w:rsidRPr="00771F90">
        <w:rPr>
          <w:i/>
          <w:iCs/>
          <w:vertAlign w:val="superscript"/>
        </w:rPr>
        <w:br/>
      </w:r>
    </w:p>
    <w:p w14:paraId="1407B9FC" w14:textId="70F7D819" w:rsidR="00B27427" w:rsidRPr="003E7DF3" w:rsidRDefault="001F4CD6" w:rsidP="008028C6">
      <w:pPr>
        <w:pStyle w:val="3-BodyText"/>
      </w:pPr>
      <w:bookmarkStart w:id="55" w:name="_Ref210837911"/>
      <w:r w:rsidRPr="003E7DF3">
        <w:lastRenderedPageBreak/>
        <w:t xml:space="preserve">The ESC considered that the multivariate analysis </w:t>
      </w:r>
      <w:r w:rsidR="0025008A" w:rsidRPr="003E7DF3">
        <w:t xml:space="preserve">#1-#6 </w:t>
      </w:r>
      <w:r w:rsidR="008632CB" w:rsidRPr="003E7DF3">
        <w:t xml:space="preserve">(i.e. incorporating the amendments labelled #1 to #6 in </w:t>
      </w:r>
      <w:r w:rsidR="008632CB" w:rsidRPr="003E7DF3">
        <w:fldChar w:fldCharType="begin" w:fldLock="1"/>
      </w:r>
      <w:r w:rsidR="008632CB" w:rsidRPr="003E7DF3">
        <w:instrText xml:space="preserve"> REF _Ref104804865 \h  \* MERGEFORMAT </w:instrText>
      </w:r>
      <w:r w:rsidR="008632CB" w:rsidRPr="003E7DF3">
        <w:fldChar w:fldCharType="separate"/>
      </w:r>
      <w:r w:rsidR="00E056AF" w:rsidRPr="00AB0640">
        <w:t xml:space="preserve">Table </w:t>
      </w:r>
      <w:r w:rsidR="00E056AF">
        <w:t>16</w:t>
      </w:r>
      <w:r w:rsidR="008632CB" w:rsidRPr="003E7DF3">
        <w:fldChar w:fldCharType="end"/>
      </w:r>
      <w:r w:rsidR="008632CB" w:rsidRPr="003E7DF3">
        <w:t xml:space="preserve">) </w:t>
      </w:r>
      <w:r w:rsidR="00042912" w:rsidRPr="003E7DF3">
        <w:t>represented the most appropriate base case</w:t>
      </w:r>
      <w:r w:rsidR="00146FDE" w:rsidRPr="003E7DF3">
        <w:t>. The ESC noted that this analysis appropriately excluded carer, home modification and medical aid costs</w:t>
      </w:r>
      <w:r w:rsidR="00F92C40" w:rsidRPr="003E7DF3">
        <w:t>, applied a more appropriate time horizon of 40 years</w:t>
      </w:r>
      <w:r w:rsidR="00FA4624" w:rsidRPr="003E7DF3">
        <w:t xml:space="preserve">, applied the individual yearly rate ratios derived from the </w:t>
      </w:r>
      <w:r w:rsidR="00BF7AF1" w:rsidRPr="003E7DF3">
        <w:t xml:space="preserve">3-year follow up data and applied a treatment waning effect from Year 4 to Year 18. The ESC noted that this resulted in an ICER of </w:t>
      </w:r>
      <w:r w:rsidR="00202AE4">
        <w:t xml:space="preserve">&gt; </w:t>
      </w:r>
      <w:r w:rsidR="00935A52">
        <w:t>$1,055,000</w:t>
      </w:r>
      <w:r w:rsidR="00BF7AF1" w:rsidRPr="003E7DF3">
        <w:t>per QALY gained</w:t>
      </w:r>
      <w:r w:rsidR="00020739" w:rsidRPr="003E7DF3">
        <w:t>.</w:t>
      </w:r>
      <w:bookmarkEnd w:id="55"/>
      <w:r w:rsidR="00020739" w:rsidRPr="003E7DF3">
        <w:t xml:space="preserve"> </w:t>
      </w:r>
    </w:p>
    <w:p w14:paraId="0CAB3227" w14:textId="019854DD" w:rsidR="006F5BDA" w:rsidRPr="00AB0640" w:rsidRDefault="006F5BDA" w:rsidP="008028C6">
      <w:pPr>
        <w:pStyle w:val="4-SubsectionHeading"/>
      </w:pPr>
      <w:bookmarkStart w:id="56" w:name="_Toc208932439"/>
      <w:r w:rsidRPr="00AB0640">
        <w:t>Drug cost/patient/year</w:t>
      </w:r>
      <w:bookmarkEnd w:id="41"/>
      <w:bookmarkEnd w:id="42"/>
      <w:bookmarkEnd w:id="56"/>
    </w:p>
    <w:p w14:paraId="0F227009" w14:textId="2709A603" w:rsidR="00D91D17" w:rsidRPr="003E7DF3" w:rsidRDefault="002372CE" w:rsidP="008028C6">
      <w:pPr>
        <w:pStyle w:val="3-BodyText"/>
        <w:rPr>
          <w:lang w:eastAsia="en-US"/>
        </w:rPr>
      </w:pPr>
      <w:r w:rsidRPr="003E7DF3">
        <w:rPr>
          <w:lang w:eastAsia="en-US"/>
        </w:rPr>
        <w:t xml:space="preserve">The drug cost/patient/year as estimated in the economic and financial analyses is </w:t>
      </w:r>
      <w:r w:rsidRPr="003E7DF3">
        <w:t xml:space="preserve">presented in </w:t>
      </w:r>
      <w:r w:rsidRPr="003E7DF3">
        <w:fldChar w:fldCharType="begin" w:fldLock="1"/>
      </w:r>
      <w:r w:rsidRPr="003E7DF3">
        <w:instrText xml:space="preserve"> REF _Ref104805102 \h </w:instrText>
      </w:r>
      <w:r w:rsidR="003E7DF3" w:rsidRPr="003E7DF3">
        <w:instrText xml:space="preserve"> \* MERGEFORMAT </w:instrText>
      </w:r>
      <w:r w:rsidRPr="003E7DF3">
        <w:fldChar w:fldCharType="separate"/>
      </w:r>
      <w:r w:rsidR="00E056AF" w:rsidRPr="00E056AF">
        <w:t>Table 17</w:t>
      </w:r>
      <w:r w:rsidRPr="003E7DF3">
        <w:fldChar w:fldCharType="end"/>
      </w:r>
      <w:r w:rsidRPr="003E7DF3">
        <w:t>.</w:t>
      </w:r>
      <w:r w:rsidRPr="003E7DF3">
        <w:rPr>
          <w:lang w:eastAsia="en-US"/>
        </w:rPr>
        <w:t xml:space="preserve"> </w:t>
      </w:r>
      <w:r w:rsidR="00864F7E" w:rsidRPr="003E7DF3">
        <w:rPr>
          <w:lang w:eastAsia="en-US"/>
        </w:rPr>
        <w:t xml:space="preserve">The discontinuation rate for Years 4 </w:t>
      </w:r>
      <w:r w:rsidR="005C6BC7" w:rsidRPr="003E7DF3">
        <w:rPr>
          <w:lang w:eastAsia="en-US"/>
        </w:rPr>
        <w:t xml:space="preserve">to </w:t>
      </w:r>
      <w:r w:rsidR="00864F7E" w:rsidRPr="003E7DF3">
        <w:rPr>
          <w:lang w:eastAsia="en-US"/>
        </w:rPr>
        <w:t xml:space="preserve">6 on treatment differed between the economic and financial model (6% </w:t>
      </w:r>
      <w:r w:rsidR="00530299" w:rsidRPr="00AB0640">
        <w:t>v</w:t>
      </w:r>
      <w:r w:rsidR="00530299">
        <w:t>ersu</w:t>
      </w:r>
      <w:r w:rsidR="00530299" w:rsidRPr="00AB0640">
        <w:t>s</w:t>
      </w:r>
      <w:r w:rsidR="00864F7E" w:rsidRPr="003E7DF3">
        <w:rPr>
          <w:lang w:eastAsia="en-US"/>
        </w:rPr>
        <w:t xml:space="preserve"> </w:t>
      </w:r>
      <w:r w:rsidR="00616E73">
        <w:rPr>
          <w:lang w:eastAsia="en-US"/>
        </w:rPr>
        <w:t>a discontinuation rate between 1 and 3%, respectively</w:t>
      </w:r>
      <w:r w:rsidR="00ED7329">
        <w:rPr>
          <w:lang w:eastAsia="en-US"/>
        </w:rPr>
        <w:t>)</w:t>
      </w:r>
      <w:r w:rsidR="00864F7E" w:rsidRPr="003E7DF3">
        <w:rPr>
          <w:lang w:eastAsia="en-US"/>
        </w:rPr>
        <w:t xml:space="preserve">. The </w:t>
      </w:r>
      <w:r w:rsidR="00507294" w:rsidRPr="003E7DF3">
        <w:rPr>
          <w:lang w:eastAsia="en-US"/>
        </w:rPr>
        <w:t xml:space="preserve">ESC considered that the application of </w:t>
      </w:r>
      <w:r w:rsidR="00864F7E" w:rsidRPr="003E7DF3">
        <w:rPr>
          <w:lang w:eastAsia="en-US"/>
        </w:rPr>
        <w:t>different rates between the economic and financial</w:t>
      </w:r>
      <w:r w:rsidR="00507294" w:rsidRPr="003E7DF3">
        <w:rPr>
          <w:lang w:eastAsia="en-US"/>
        </w:rPr>
        <w:t xml:space="preserve"> models</w:t>
      </w:r>
      <w:r w:rsidR="00864F7E" w:rsidRPr="003E7DF3">
        <w:rPr>
          <w:lang w:eastAsia="en-US"/>
        </w:rPr>
        <w:t xml:space="preserve"> was not justified and resulted in a different mean treatment durations.</w:t>
      </w:r>
      <w:r w:rsidR="00D87443" w:rsidRPr="003E7DF3">
        <w:rPr>
          <w:lang w:eastAsia="en-US"/>
        </w:rPr>
        <w:t xml:space="preserve"> </w:t>
      </w:r>
      <w:r w:rsidR="00D87443" w:rsidRPr="003E7DF3">
        <w:t>The ESC considered that the discontinuation rate in the financial estimates should be consistent with the economic model (i.e. 6% from Year 2 onwards).</w:t>
      </w:r>
    </w:p>
    <w:p w14:paraId="1EAFC8D4" w14:textId="549D50F4" w:rsidR="006F5BDA" w:rsidRPr="00AB0640" w:rsidRDefault="00864F7E" w:rsidP="008028C6">
      <w:pPr>
        <w:pStyle w:val="3-BodyText"/>
        <w:numPr>
          <w:ilvl w:val="0"/>
          <w:numId w:val="0"/>
        </w:numPr>
        <w:spacing w:after="0"/>
        <w:rPr>
          <w:rStyle w:val="CommentReference"/>
          <w:b w:val="0"/>
          <w:szCs w:val="20"/>
        </w:rPr>
      </w:pPr>
      <w:r w:rsidRPr="00AB0640">
        <w:rPr>
          <w:rFonts w:ascii="Arial Narrow" w:hAnsi="Arial Narrow"/>
          <w:i/>
          <w:iCs/>
          <w:sz w:val="20"/>
          <w:szCs w:val="20"/>
          <w:lang w:eastAsia="en-US"/>
        </w:rPr>
        <w:t xml:space="preserve"> </w:t>
      </w:r>
      <w:bookmarkStart w:id="57" w:name="_Ref104805102"/>
      <w:r w:rsidR="006F5BDA" w:rsidRPr="00AB0640">
        <w:rPr>
          <w:rFonts w:ascii="Arial Narrow" w:hAnsi="Arial Narrow"/>
          <w:b/>
          <w:bCs/>
          <w:sz w:val="20"/>
          <w:szCs w:val="20"/>
        </w:rPr>
        <w:t xml:space="preserve">Table </w:t>
      </w:r>
      <w:r w:rsidR="002E271E" w:rsidRPr="00AB0640">
        <w:rPr>
          <w:rFonts w:ascii="Arial Narrow" w:hAnsi="Arial Narrow"/>
          <w:b/>
          <w:bCs/>
          <w:sz w:val="20"/>
          <w:szCs w:val="20"/>
        </w:rPr>
        <w:fldChar w:fldCharType="begin" w:fldLock="1"/>
      </w:r>
      <w:r w:rsidR="002E271E" w:rsidRPr="00AB0640">
        <w:rPr>
          <w:rFonts w:ascii="Arial Narrow" w:hAnsi="Arial Narrow"/>
          <w:b/>
          <w:bCs/>
          <w:sz w:val="20"/>
          <w:szCs w:val="20"/>
        </w:rPr>
        <w:instrText xml:space="preserve"> SEQ Table \* ARABIC </w:instrText>
      </w:r>
      <w:r w:rsidR="002E271E" w:rsidRPr="00AB0640">
        <w:rPr>
          <w:rFonts w:ascii="Arial Narrow" w:hAnsi="Arial Narrow"/>
          <w:b/>
          <w:bCs/>
          <w:sz w:val="20"/>
          <w:szCs w:val="20"/>
        </w:rPr>
        <w:fldChar w:fldCharType="separate"/>
      </w:r>
      <w:r w:rsidR="00E056AF">
        <w:rPr>
          <w:rFonts w:ascii="Arial Narrow" w:hAnsi="Arial Narrow"/>
          <w:b/>
          <w:bCs/>
          <w:noProof/>
          <w:sz w:val="20"/>
          <w:szCs w:val="20"/>
        </w:rPr>
        <w:t>17</w:t>
      </w:r>
      <w:r w:rsidR="002E271E" w:rsidRPr="00AB0640">
        <w:rPr>
          <w:rFonts w:ascii="Arial Narrow" w:hAnsi="Arial Narrow"/>
          <w:b/>
          <w:bCs/>
          <w:sz w:val="20"/>
          <w:szCs w:val="20"/>
        </w:rPr>
        <w:fldChar w:fldCharType="end"/>
      </w:r>
      <w:bookmarkEnd w:id="57"/>
      <w:r w:rsidR="006F5BDA" w:rsidRPr="00AB0640">
        <w:rPr>
          <w:rFonts w:ascii="Arial Narrow" w:hAnsi="Arial Narrow"/>
          <w:b/>
          <w:bCs/>
          <w:sz w:val="20"/>
          <w:szCs w:val="20"/>
        </w:rPr>
        <w:t>:</w:t>
      </w:r>
      <w:r w:rsidR="006F5BDA" w:rsidRPr="00AB0640">
        <w:rPr>
          <w:rStyle w:val="CommentReference"/>
          <w:szCs w:val="20"/>
        </w:rPr>
        <w:t xml:space="preserve"> </w:t>
      </w:r>
      <w:r w:rsidR="00EC2569" w:rsidRPr="00AB0640">
        <w:rPr>
          <w:rStyle w:val="CommentReference"/>
          <w:szCs w:val="20"/>
        </w:rPr>
        <w:t>Omaveloxolone</w:t>
      </w:r>
      <w:r w:rsidR="006F5BDA" w:rsidRPr="00AB0640">
        <w:rPr>
          <w:rStyle w:val="CommentReference"/>
          <w:szCs w:val="20"/>
        </w:rPr>
        <w:t xml:space="preserve"> cost per patient </w:t>
      </w:r>
    </w:p>
    <w:tbl>
      <w:tblPr>
        <w:tblStyle w:val="TableGrid"/>
        <w:tblW w:w="5000" w:type="pct"/>
        <w:tblLook w:val="04A0" w:firstRow="1" w:lastRow="0" w:firstColumn="1" w:lastColumn="0" w:noHBand="0" w:noVBand="1"/>
        <w:tblCaption w:val=" Table 17: Omaveloxolone cost per patient "/>
      </w:tblPr>
      <w:tblGrid>
        <w:gridCol w:w="1981"/>
        <w:gridCol w:w="2344"/>
        <w:gridCol w:w="2346"/>
        <w:gridCol w:w="2346"/>
      </w:tblGrid>
      <w:tr w:rsidR="006F5BDA" w:rsidRPr="00AB0640" w14:paraId="10D532E3" w14:textId="77777777" w:rsidTr="0065379D">
        <w:tc>
          <w:tcPr>
            <w:tcW w:w="1098" w:type="pct"/>
          </w:tcPr>
          <w:p w14:paraId="58B82B81" w14:textId="77777777" w:rsidR="006F5BDA" w:rsidRPr="00AB0640" w:rsidRDefault="006F5BDA" w:rsidP="008028C6">
            <w:pPr>
              <w:pStyle w:val="Tabletext"/>
              <w:keepNext/>
            </w:pPr>
          </w:p>
        </w:tc>
        <w:tc>
          <w:tcPr>
            <w:tcW w:w="1300" w:type="pct"/>
          </w:tcPr>
          <w:p w14:paraId="2C69E070" w14:textId="40A2DF3E" w:rsidR="006F5BDA" w:rsidRPr="00AB0640" w:rsidRDefault="006F5BDA" w:rsidP="008028C6">
            <w:pPr>
              <w:pStyle w:val="In-tableHeading"/>
              <w:rPr>
                <w:lang w:val="en-AU"/>
              </w:rPr>
            </w:pPr>
            <w:r w:rsidRPr="00AB0640">
              <w:rPr>
                <w:lang w:val="en-AU"/>
              </w:rPr>
              <w:t xml:space="preserve">MOXIe Part </w:t>
            </w:r>
            <w:r w:rsidR="002372CE" w:rsidRPr="00AB0640">
              <w:rPr>
                <w:lang w:val="en-AU"/>
              </w:rPr>
              <w:t>II</w:t>
            </w:r>
          </w:p>
        </w:tc>
        <w:tc>
          <w:tcPr>
            <w:tcW w:w="1301" w:type="pct"/>
          </w:tcPr>
          <w:p w14:paraId="74D3E3BA" w14:textId="77777777" w:rsidR="006F5BDA" w:rsidRPr="00AB0640" w:rsidRDefault="006F5BDA" w:rsidP="008028C6">
            <w:pPr>
              <w:pStyle w:val="In-tableHeading"/>
              <w:rPr>
                <w:lang w:val="en-AU"/>
              </w:rPr>
            </w:pPr>
            <w:r w:rsidRPr="00AB0640">
              <w:rPr>
                <w:lang w:val="en-AU"/>
              </w:rPr>
              <w:t>Economic Model</w:t>
            </w:r>
          </w:p>
        </w:tc>
        <w:tc>
          <w:tcPr>
            <w:tcW w:w="1301" w:type="pct"/>
          </w:tcPr>
          <w:p w14:paraId="7FD45BDD" w14:textId="77777777" w:rsidR="006F5BDA" w:rsidRPr="00AB0640" w:rsidRDefault="006F5BDA" w:rsidP="008028C6">
            <w:pPr>
              <w:pStyle w:val="In-tableHeading"/>
              <w:rPr>
                <w:lang w:val="en-AU"/>
              </w:rPr>
            </w:pPr>
            <w:r w:rsidRPr="00AB0640">
              <w:rPr>
                <w:lang w:val="en-AU"/>
              </w:rPr>
              <w:t>Financial Estimates</w:t>
            </w:r>
          </w:p>
        </w:tc>
      </w:tr>
      <w:tr w:rsidR="006F5BDA" w:rsidRPr="00AB0640" w14:paraId="0B78865D" w14:textId="77777777" w:rsidTr="0065379D">
        <w:tc>
          <w:tcPr>
            <w:tcW w:w="1098" w:type="pct"/>
          </w:tcPr>
          <w:p w14:paraId="5E0DDCD8" w14:textId="77777777" w:rsidR="006F5BDA" w:rsidRPr="00AB0640" w:rsidRDefault="006F5BDA" w:rsidP="008028C6">
            <w:pPr>
              <w:pStyle w:val="Tabletext"/>
              <w:keepNext/>
            </w:pPr>
            <w:r w:rsidRPr="00AB0640">
              <w:t>Mean dose (daily, mg)</w:t>
            </w:r>
          </w:p>
        </w:tc>
        <w:tc>
          <w:tcPr>
            <w:tcW w:w="1300" w:type="pct"/>
            <w:shd w:val="clear" w:color="auto" w:fill="B8CCE4" w:themeFill="accent1" w:themeFillTint="66"/>
          </w:tcPr>
          <w:p w14:paraId="54DE3504" w14:textId="3A5341B6" w:rsidR="006F5BDA" w:rsidRPr="00AB0640" w:rsidRDefault="006F5BDA" w:rsidP="008028C6">
            <w:pPr>
              <w:pStyle w:val="Tabletext"/>
              <w:keepNext/>
            </w:pPr>
            <w:r w:rsidRPr="00AB0640">
              <w:t>1</w:t>
            </w:r>
            <w:r w:rsidR="00173463" w:rsidRPr="00AB0640">
              <w:t>29</w:t>
            </w:r>
            <w:r w:rsidRPr="00AB0640">
              <w:rPr>
                <w:vertAlign w:val="superscript"/>
              </w:rPr>
              <w:t>a</w:t>
            </w:r>
          </w:p>
        </w:tc>
        <w:tc>
          <w:tcPr>
            <w:tcW w:w="1301" w:type="pct"/>
            <w:shd w:val="clear" w:color="auto" w:fill="B8CCE4" w:themeFill="accent1" w:themeFillTint="66"/>
          </w:tcPr>
          <w:p w14:paraId="6BA4BF87" w14:textId="506243F2" w:rsidR="006F5BDA" w:rsidRPr="00AB0640" w:rsidRDefault="006F5BDA" w:rsidP="008028C6">
            <w:pPr>
              <w:pStyle w:val="Tabletext"/>
              <w:keepNext/>
            </w:pPr>
            <w:r w:rsidRPr="00AB0640">
              <w:t>1</w:t>
            </w:r>
            <w:r w:rsidR="00173463" w:rsidRPr="00AB0640">
              <w:t>30</w:t>
            </w:r>
            <w:r w:rsidRPr="00AB0640">
              <w:rPr>
                <w:vertAlign w:val="superscript"/>
              </w:rPr>
              <w:t>b</w:t>
            </w:r>
          </w:p>
        </w:tc>
        <w:tc>
          <w:tcPr>
            <w:tcW w:w="1301" w:type="pct"/>
            <w:shd w:val="clear" w:color="auto" w:fill="B8CCE4" w:themeFill="accent1" w:themeFillTint="66"/>
          </w:tcPr>
          <w:p w14:paraId="2A549F85" w14:textId="0CE7C3D4" w:rsidR="006F5BDA" w:rsidRPr="00AB0640" w:rsidRDefault="006F5BDA" w:rsidP="008028C6">
            <w:pPr>
              <w:pStyle w:val="Tabletext"/>
              <w:keepNext/>
            </w:pPr>
            <w:r w:rsidRPr="00AB0640">
              <w:t>1</w:t>
            </w:r>
            <w:r w:rsidR="00360A88" w:rsidRPr="00AB0640">
              <w:t>29</w:t>
            </w:r>
            <w:r w:rsidRPr="00AB0640">
              <w:rPr>
                <w:vertAlign w:val="superscript"/>
              </w:rPr>
              <w:t>a</w:t>
            </w:r>
          </w:p>
        </w:tc>
      </w:tr>
      <w:tr w:rsidR="006F5BDA" w:rsidRPr="00AB0640" w14:paraId="2243F524" w14:textId="77777777" w:rsidTr="0065379D">
        <w:tc>
          <w:tcPr>
            <w:tcW w:w="1098" w:type="pct"/>
          </w:tcPr>
          <w:p w14:paraId="29C7577B" w14:textId="77777777" w:rsidR="006F5BDA" w:rsidRPr="00AB0640" w:rsidRDefault="006F5BDA" w:rsidP="008028C6">
            <w:pPr>
              <w:pStyle w:val="Tabletext"/>
              <w:keepNext/>
            </w:pPr>
            <w:r w:rsidRPr="00AB0640">
              <w:t>Mean duration</w:t>
            </w:r>
          </w:p>
        </w:tc>
        <w:tc>
          <w:tcPr>
            <w:tcW w:w="1300" w:type="pct"/>
            <w:shd w:val="clear" w:color="auto" w:fill="B8CCE4" w:themeFill="accent1" w:themeFillTint="66"/>
          </w:tcPr>
          <w:p w14:paraId="5F73DE47" w14:textId="77777777" w:rsidR="006F5BDA" w:rsidRPr="00AB0640" w:rsidRDefault="006F5BDA" w:rsidP="008028C6">
            <w:pPr>
              <w:pStyle w:val="Tabletext"/>
              <w:keepNext/>
            </w:pPr>
            <w:r w:rsidRPr="00AB0640">
              <w:t xml:space="preserve">43 weeks </w:t>
            </w:r>
          </w:p>
          <w:p w14:paraId="7B232667" w14:textId="77777777" w:rsidR="006F5BDA" w:rsidRPr="00AB0640" w:rsidRDefault="006F5BDA" w:rsidP="008028C6">
            <w:pPr>
              <w:pStyle w:val="Tabletext"/>
              <w:keepNext/>
            </w:pPr>
            <w:r w:rsidRPr="00AB0640">
              <w:t>(trial duration was 48 weeks)</w:t>
            </w:r>
          </w:p>
        </w:tc>
        <w:tc>
          <w:tcPr>
            <w:tcW w:w="1301" w:type="pct"/>
            <w:shd w:val="clear" w:color="auto" w:fill="B8CCE4" w:themeFill="accent1" w:themeFillTint="66"/>
          </w:tcPr>
          <w:p w14:paraId="0E852ABE" w14:textId="6D85B77D" w:rsidR="006F5BDA" w:rsidRPr="00AB0640" w:rsidRDefault="00864F7E" w:rsidP="008028C6">
            <w:pPr>
              <w:pStyle w:val="Tabletext"/>
              <w:keepNext/>
            </w:pPr>
            <w:r w:rsidRPr="00AB0640">
              <w:t>13.1</w:t>
            </w:r>
            <w:r w:rsidR="006F5BDA" w:rsidRPr="00AB0640">
              <w:t xml:space="preserve"> years</w:t>
            </w:r>
          </w:p>
        </w:tc>
        <w:tc>
          <w:tcPr>
            <w:tcW w:w="1301" w:type="pct"/>
          </w:tcPr>
          <w:p w14:paraId="25C56F1A" w14:textId="6FA5948A" w:rsidR="006F5BDA" w:rsidRPr="00AB0640" w:rsidRDefault="00CD2699" w:rsidP="008028C6">
            <w:pPr>
              <w:pStyle w:val="Tabletext"/>
              <w:keepNext/>
              <w:rPr>
                <w:vertAlign w:val="superscript"/>
              </w:rPr>
            </w:pPr>
            <w:r w:rsidRPr="00AB0640">
              <w:t>4.96 years</w:t>
            </w:r>
            <w:r w:rsidRPr="00AB0640">
              <w:rPr>
                <w:vertAlign w:val="superscript"/>
              </w:rPr>
              <w:t>c</w:t>
            </w:r>
          </w:p>
        </w:tc>
      </w:tr>
      <w:tr w:rsidR="006F5BDA" w:rsidRPr="00AB0640" w14:paraId="070BB3DB" w14:textId="77777777" w:rsidTr="0065379D">
        <w:tc>
          <w:tcPr>
            <w:tcW w:w="1098" w:type="pct"/>
          </w:tcPr>
          <w:p w14:paraId="24201E80" w14:textId="77777777" w:rsidR="006F5BDA" w:rsidRPr="00AB0640" w:rsidRDefault="006F5BDA" w:rsidP="008028C6">
            <w:pPr>
              <w:pStyle w:val="Tabletext"/>
              <w:keepNext/>
            </w:pPr>
            <w:r w:rsidRPr="00AB0640">
              <w:t>Cost/patient/month</w:t>
            </w:r>
          </w:p>
        </w:tc>
        <w:tc>
          <w:tcPr>
            <w:tcW w:w="1300" w:type="pct"/>
          </w:tcPr>
          <w:p w14:paraId="7F3EE5B8" w14:textId="1CB73D59" w:rsidR="006F5BDA" w:rsidRPr="00AB0640" w:rsidRDefault="006F5BDA" w:rsidP="008028C6">
            <w:pPr>
              <w:pStyle w:val="Tabletext"/>
              <w:keepNext/>
            </w:pPr>
            <w:r w:rsidRPr="00AB0640">
              <w:t>$</w:t>
            </w:r>
            <w:r w:rsidR="001F43CD" w:rsidRPr="001F43CD">
              <w:rPr>
                <w:highlight w:val="black"/>
              </w:rPr>
              <w:t>@@@@</w:t>
            </w:r>
          </w:p>
        </w:tc>
        <w:tc>
          <w:tcPr>
            <w:tcW w:w="1301" w:type="pct"/>
          </w:tcPr>
          <w:p w14:paraId="2AFFC027" w14:textId="2C0970E5" w:rsidR="006F5BDA" w:rsidRPr="00AB0640" w:rsidRDefault="006F5BDA" w:rsidP="008028C6">
            <w:pPr>
              <w:pStyle w:val="Tabletext"/>
              <w:keepNext/>
            </w:pPr>
            <w:r w:rsidRPr="00AB0640">
              <w:t>$</w:t>
            </w:r>
            <w:r w:rsidR="001F43CD" w:rsidRPr="001F43CD">
              <w:rPr>
                <w:highlight w:val="black"/>
              </w:rPr>
              <w:t>@@@@</w:t>
            </w:r>
          </w:p>
        </w:tc>
        <w:tc>
          <w:tcPr>
            <w:tcW w:w="1301" w:type="pct"/>
          </w:tcPr>
          <w:p w14:paraId="307B58D5" w14:textId="11B22CDF" w:rsidR="006F5BDA" w:rsidRPr="00AB0640" w:rsidRDefault="00664BB4" w:rsidP="008028C6">
            <w:pPr>
              <w:pStyle w:val="Tabletext"/>
              <w:keepNext/>
            </w:pPr>
            <w:r w:rsidRPr="00AB0640">
              <w:t>$</w:t>
            </w:r>
            <w:r w:rsidR="001F43CD" w:rsidRPr="001F43CD">
              <w:rPr>
                <w:highlight w:val="black"/>
              </w:rPr>
              <w:t>@@@@</w:t>
            </w:r>
          </w:p>
        </w:tc>
      </w:tr>
      <w:tr w:rsidR="006F5BDA" w:rsidRPr="00AB0640" w14:paraId="7C537669" w14:textId="77777777" w:rsidTr="0065379D">
        <w:trPr>
          <w:trHeight w:val="62"/>
        </w:trPr>
        <w:tc>
          <w:tcPr>
            <w:tcW w:w="1098" w:type="pct"/>
          </w:tcPr>
          <w:p w14:paraId="66FF8F2E" w14:textId="7C849BF9" w:rsidR="006F5BDA" w:rsidRPr="00AB0640" w:rsidRDefault="00D91D17" w:rsidP="008028C6">
            <w:pPr>
              <w:pStyle w:val="Tabletext"/>
              <w:keepNext/>
            </w:pPr>
            <w:r w:rsidRPr="00AB0640">
              <w:t>Co</w:t>
            </w:r>
            <w:r w:rsidR="006F5BDA" w:rsidRPr="00AB0640">
              <w:t xml:space="preserve">st/patient/year </w:t>
            </w:r>
          </w:p>
        </w:tc>
        <w:tc>
          <w:tcPr>
            <w:tcW w:w="1300" w:type="pct"/>
          </w:tcPr>
          <w:p w14:paraId="7524C182" w14:textId="07087BE9" w:rsidR="006F5BDA" w:rsidRPr="00AB0640" w:rsidRDefault="00D91D17" w:rsidP="008028C6">
            <w:pPr>
              <w:keepNext/>
              <w:jc w:val="left"/>
              <w:rPr>
                <w:rFonts w:cs="Calibri"/>
                <w:color w:val="000000"/>
                <w:sz w:val="22"/>
                <w:szCs w:val="22"/>
              </w:rPr>
            </w:pPr>
            <w:r w:rsidRPr="00AB0640">
              <w:rPr>
                <w:rFonts w:cs="Calibri"/>
                <w:color w:val="000000"/>
                <w:sz w:val="22"/>
                <w:szCs w:val="22"/>
              </w:rPr>
              <w:t>-</w:t>
            </w:r>
          </w:p>
        </w:tc>
        <w:tc>
          <w:tcPr>
            <w:tcW w:w="1301" w:type="pct"/>
          </w:tcPr>
          <w:p w14:paraId="1E20845A" w14:textId="1A05046F" w:rsidR="006F5BDA" w:rsidRPr="00AB0640" w:rsidRDefault="006F5BDA" w:rsidP="008028C6">
            <w:pPr>
              <w:pStyle w:val="Tabletext"/>
              <w:keepNext/>
            </w:pPr>
            <w:r w:rsidRPr="00AB0640">
              <w:t>$</w:t>
            </w:r>
            <w:r w:rsidR="001F43CD" w:rsidRPr="001F43CD">
              <w:rPr>
                <w:highlight w:val="black"/>
              </w:rPr>
              <w:t>@@@@</w:t>
            </w:r>
          </w:p>
        </w:tc>
        <w:tc>
          <w:tcPr>
            <w:tcW w:w="1301" w:type="pct"/>
          </w:tcPr>
          <w:p w14:paraId="6082285E" w14:textId="7143A1E1" w:rsidR="006F5BDA" w:rsidRPr="00AB0640" w:rsidRDefault="00664BB4" w:rsidP="008028C6">
            <w:pPr>
              <w:pStyle w:val="Tabletext"/>
              <w:keepNext/>
            </w:pPr>
            <w:r w:rsidRPr="00AB0640">
              <w:t>$</w:t>
            </w:r>
            <w:r w:rsidR="001F43CD" w:rsidRPr="001F43CD">
              <w:rPr>
                <w:highlight w:val="black"/>
              </w:rPr>
              <w:t>@@@@</w:t>
            </w:r>
          </w:p>
        </w:tc>
      </w:tr>
    </w:tbl>
    <w:p w14:paraId="28F2994D" w14:textId="28817220" w:rsidR="006F5BDA" w:rsidRPr="00AB0640" w:rsidRDefault="006F5BDA" w:rsidP="008028C6">
      <w:pPr>
        <w:pStyle w:val="TableFigureFooter"/>
        <w:keepNext/>
      </w:pPr>
      <w:r w:rsidRPr="00AB0640">
        <w:t xml:space="preserve">Source: tabulated during the evaluation, from the “Attachment 9 - Cost utility analysis (CUA) workbook (Section 3)” attachment provided with the </w:t>
      </w:r>
      <w:r w:rsidR="0010618F" w:rsidRPr="00AB0640">
        <w:t>re</w:t>
      </w:r>
      <w:r w:rsidRPr="00AB0640">
        <w:t xml:space="preserve">submission. </w:t>
      </w:r>
    </w:p>
    <w:p w14:paraId="7DEFDBE3" w14:textId="77777777" w:rsidR="006F5BDA" w:rsidRPr="00AB0640" w:rsidRDefault="006F5BDA" w:rsidP="008028C6">
      <w:pPr>
        <w:pStyle w:val="TableFigureFooter"/>
        <w:keepNext/>
      </w:pPr>
      <w:r w:rsidRPr="00AB0640">
        <w:rPr>
          <w:shd w:val="clear" w:color="auto" w:fill="B8CCE4" w:themeFill="accent1" w:themeFillTint="66"/>
        </w:rPr>
        <w:t>Blue</w:t>
      </w:r>
      <w:r w:rsidRPr="00AB0640">
        <w:rPr>
          <w:shd w:val="clear" w:color="auto" w:fill="C6D9F1" w:themeFill="text2" w:themeFillTint="33"/>
        </w:rPr>
        <w:t xml:space="preserve"> </w:t>
      </w:r>
      <w:r w:rsidRPr="00AB0640">
        <w:t>shading represents results previously considered by the PBAC.</w:t>
      </w:r>
    </w:p>
    <w:p w14:paraId="75D38727" w14:textId="21408020" w:rsidR="006F5BDA" w:rsidRPr="00AB0640" w:rsidRDefault="006F5BDA" w:rsidP="008028C6">
      <w:pPr>
        <w:pStyle w:val="TableFigureFooter"/>
        <w:keepNext/>
      </w:pPr>
      <w:r w:rsidRPr="00AB0640">
        <w:rPr>
          <w:vertAlign w:val="superscript"/>
        </w:rPr>
        <w:t>a</w:t>
      </w:r>
      <w:r w:rsidRPr="00AB0640">
        <w:t xml:space="preserve"> Mean dose based on the PI dose (150 mg daily) × RDI reported in the trial</w:t>
      </w:r>
      <w:r w:rsidR="002372CE" w:rsidRPr="00AB0640">
        <w:t xml:space="preserve"> (86%), sourced from the MOXIe part II trial</w:t>
      </w:r>
      <w:r w:rsidRPr="00AB0640">
        <w:t>.</w:t>
      </w:r>
    </w:p>
    <w:p w14:paraId="46220503" w14:textId="17CC435C" w:rsidR="00CD2699" w:rsidRPr="00AB0640" w:rsidRDefault="006F5BDA" w:rsidP="008028C6">
      <w:pPr>
        <w:pStyle w:val="TableFigureFooter"/>
        <w:keepNext/>
      </w:pPr>
      <w:r w:rsidRPr="00AB0640">
        <w:rPr>
          <w:vertAlign w:val="superscript"/>
        </w:rPr>
        <w:t>b</w:t>
      </w:r>
      <w:r w:rsidRPr="00AB0640">
        <w:t xml:space="preserve"> In the economic analysis, the </w:t>
      </w:r>
      <w:r w:rsidR="0010618F" w:rsidRPr="00AB0640">
        <w:t>re</w:t>
      </w:r>
      <w:r w:rsidRPr="00AB0640">
        <w:t xml:space="preserve">submission applied an RDI of 87%, </w:t>
      </w:r>
      <w:r w:rsidR="00173463" w:rsidRPr="00AB0640">
        <w:t>sourced from the MOXIe extension study</w:t>
      </w:r>
      <w:r w:rsidR="00030454" w:rsidRPr="00AB0640">
        <w:t xml:space="preserve">, the </w:t>
      </w:r>
      <w:r w:rsidR="0010618F" w:rsidRPr="00AB0640">
        <w:t>re</w:t>
      </w:r>
      <w:r w:rsidR="00030454" w:rsidRPr="00AB0640">
        <w:t xml:space="preserve">submission has not described the inconsistency between the RDIs applied in the economic and financial analyses. </w:t>
      </w:r>
    </w:p>
    <w:p w14:paraId="4EF4CE64" w14:textId="5E145275" w:rsidR="006F5BDA" w:rsidRPr="00AB0640" w:rsidRDefault="00CD2699" w:rsidP="008028C6">
      <w:pPr>
        <w:pStyle w:val="TableFigureFooter"/>
      </w:pPr>
      <w:r w:rsidRPr="00AB0640">
        <w:rPr>
          <w:vertAlign w:val="superscript"/>
        </w:rPr>
        <w:t>c</w:t>
      </w:r>
      <w:r w:rsidRPr="00AB0640">
        <w:t xml:space="preserve"> Based on the </w:t>
      </w:r>
      <w:r w:rsidR="003D2A23" w:rsidRPr="00AB0640">
        <w:t>truncated</w:t>
      </w:r>
      <w:r w:rsidR="008407CF" w:rsidRPr="00AB0640">
        <w:t xml:space="preserve"> mean</w:t>
      </w:r>
      <w:r w:rsidR="003D2A23" w:rsidRPr="00AB0640">
        <w:t xml:space="preserve"> derived from the </w:t>
      </w:r>
      <w:r w:rsidR="008407CF" w:rsidRPr="00AB0640">
        <w:t>financial analysis</w:t>
      </w:r>
      <w:r w:rsidR="00633DC4" w:rsidRPr="00AB0640">
        <w:t xml:space="preserve"> and a R</w:t>
      </w:r>
      <w:r w:rsidR="00030454" w:rsidRPr="00AB0640">
        <w:t>D</w:t>
      </w:r>
      <w:r w:rsidR="00633DC4" w:rsidRPr="00AB0640">
        <w:t>I of 86%</w:t>
      </w:r>
      <w:r w:rsidR="003D2A23" w:rsidRPr="00AB0640">
        <w:t>.</w:t>
      </w:r>
      <w:r w:rsidR="00173463" w:rsidRPr="00AB0640">
        <w:t xml:space="preserve"> </w:t>
      </w:r>
    </w:p>
    <w:p w14:paraId="268768EF" w14:textId="3626F292" w:rsidR="00B60939" w:rsidRPr="00AB0640" w:rsidRDefault="00B60939" w:rsidP="008028C6">
      <w:pPr>
        <w:pStyle w:val="4-SubsectionHeading"/>
      </w:pPr>
      <w:bookmarkStart w:id="58" w:name="_Toc208932440"/>
      <w:r w:rsidRPr="00AB0640">
        <w:t>Estimated PBS usage &amp; financial implications</w:t>
      </w:r>
      <w:bookmarkEnd w:id="43"/>
      <w:bookmarkEnd w:id="58"/>
    </w:p>
    <w:p w14:paraId="7922D4A9" w14:textId="68308967" w:rsidR="00360A88" w:rsidRPr="00AB0640" w:rsidRDefault="00360A88" w:rsidP="008028C6">
      <w:pPr>
        <w:pStyle w:val="3-BodyText"/>
        <w:rPr>
          <w:rFonts w:ascii="Arial Narrow" w:hAnsi="Arial Narrow"/>
          <w:sz w:val="20"/>
          <w:szCs w:val="24"/>
        </w:rPr>
      </w:pPr>
      <w:bookmarkStart w:id="59" w:name="_Toc22897650"/>
      <w:r w:rsidRPr="00AB0640">
        <w:t xml:space="preserve">This </w:t>
      </w:r>
      <w:r w:rsidR="00527440" w:rsidRPr="00AB0640">
        <w:t>re</w:t>
      </w:r>
      <w:r w:rsidRPr="00AB0640">
        <w:t xml:space="preserve">submission </w:t>
      </w:r>
      <w:r w:rsidR="00655F32" w:rsidRPr="00AB0640">
        <w:t>was not</w:t>
      </w:r>
      <w:r w:rsidRPr="00AB0640">
        <w:t xml:space="preserve"> considered by DUSC</w:t>
      </w:r>
      <w:bookmarkStart w:id="60" w:name="_Ref104805262"/>
      <w:r w:rsidRPr="00AB0640">
        <w:t xml:space="preserve">. An epidemiological approach was used to estimate the financial impact of listing omaveloxolone on the PBS. </w:t>
      </w:r>
      <w:r w:rsidR="00FC4AA2" w:rsidRPr="00AB0640">
        <w:t xml:space="preserve">Following advice from DUSC in March 2025, the resubmission provided </w:t>
      </w:r>
      <w:r w:rsidR="00831E23" w:rsidRPr="00AB0640">
        <w:t>revised utilisation estimates.</w:t>
      </w:r>
      <w:r w:rsidRPr="00AB0640">
        <w:t xml:space="preserve"> </w:t>
      </w:r>
    </w:p>
    <w:p w14:paraId="6EB11AC4" w14:textId="0B4AF4FC" w:rsidR="004D0ACD" w:rsidRPr="00AB0640" w:rsidRDefault="00360A88" w:rsidP="008028C6">
      <w:pPr>
        <w:pStyle w:val="3-BodyText"/>
        <w:rPr>
          <w:rFonts w:ascii="Arial Narrow" w:hAnsi="Arial Narrow"/>
          <w:sz w:val="20"/>
          <w:szCs w:val="24"/>
        </w:rPr>
      </w:pPr>
      <w:r w:rsidRPr="00AB0640">
        <w:t xml:space="preserve">The key components of the financial analyses are presented in </w:t>
      </w:r>
      <w:r w:rsidR="00C55548" w:rsidRPr="00AB0640">
        <w:fldChar w:fldCharType="begin" w:fldLock="1"/>
      </w:r>
      <w:r w:rsidR="00C55548" w:rsidRPr="00AB0640">
        <w:instrText xml:space="preserve"> REF _Ref208241103 \h </w:instrText>
      </w:r>
      <w:r w:rsidR="00BF0410" w:rsidRPr="00AB0640">
        <w:instrText xml:space="preserve"> \* MERGEFORMAT </w:instrText>
      </w:r>
      <w:r w:rsidR="00C55548" w:rsidRPr="00AB0640">
        <w:fldChar w:fldCharType="separate"/>
      </w:r>
      <w:r w:rsidR="00E056AF" w:rsidRPr="00AB0640">
        <w:t xml:space="preserve">Table </w:t>
      </w:r>
      <w:r w:rsidR="00E056AF">
        <w:t>18</w:t>
      </w:r>
      <w:r w:rsidR="00C55548" w:rsidRPr="00AB0640">
        <w:fldChar w:fldCharType="end"/>
      </w:r>
      <w:r w:rsidR="00C55548" w:rsidRPr="00AB0640">
        <w:t xml:space="preserve">. </w:t>
      </w:r>
    </w:p>
    <w:p w14:paraId="681CC8BD" w14:textId="499A0916" w:rsidR="00610C48" w:rsidRPr="00AB0640" w:rsidRDefault="00610C48" w:rsidP="008028C6">
      <w:pPr>
        <w:pStyle w:val="Caption"/>
        <w:rPr>
          <w:szCs w:val="24"/>
        </w:rPr>
      </w:pPr>
      <w:bookmarkStart w:id="61" w:name="_Ref208241103"/>
      <w:r w:rsidRPr="00AB0640">
        <w:lastRenderedPageBreak/>
        <w:t xml:space="preserve">Table </w:t>
      </w:r>
      <w:r w:rsidR="00E056AF">
        <w:fldChar w:fldCharType="begin" w:fldLock="1"/>
      </w:r>
      <w:r w:rsidR="00E056AF">
        <w:instrText xml:space="preserve"> SEQ Table \* ARABIC </w:instrText>
      </w:r>
      <w:r w:rsidR="00E056AF">
        <w:fldChar w:fldCharType="separate"/>
      </w:r>
      <w:r w:rsidR="00E056AF">
        <w:rPr>
          <w:noProof/>
        </w:rPr>
        <w:t>18</w:t>
      </w:r>
      <w:r w:rsidR="00E056AF">
        <w:rPr>
          <w:noProof/>
        </w:rPr>
        <w:fldChar w:fldCharType="end"/>
      </w:r>
      <w:bookmarkEnd w:id="61"/>
      <w:r w:rsidRPr="00AB0640">
        <w:t>: Key inputs for the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8: Key inputs for the financial estimates"/>
      </w:tblPr>
      <w:tblGrid>
        <w:gridCol w:w="1414"/>
        <w:gridCol w:w="3684"/>
        <w:gridCol w:w="3919"/>
      </w:tblGrid>
      <w:tr w:rsidR="004D0ACD" w:rsidRPr="00AB0640" w14:paraId="058A3905" w14:textId="77777777" w:rsidTr="0065379D">
        <w:trPr>
          <w:tblHeader/>
        </w:trPr>
        <w:tc>
          <w:tcPr>
            <w:tcW w:w="784" w:type="pct"/>
            <w:tcBorders>
              <w:top w:val="single" w:sz="4" w:space="0" w:color="auto"/>
              <w:left w:val="single" w:sz="4" w:space="0" w:color="auto"/>
              <w:bottom w:val="single" w:sz="4" w:space="0" w:color="auto"/>
              <w:right w:val="single" w:sz="4" w:space="0" w:color="auto"/>
            </w:tcBorders>
            <w:vAlign w:val="center"/>
            <w:hideMark/>
          </w:tcPr>
          <w:bookmarkEnd w:id="60"/>
          <w:p w14:paraId="5F094FC8" w14:textId="04194C25" w:rsidR="004D0ACD" w:rsidRPr="00AB0640" w:rsidRDefault="004D0ACD" w:rsidP="008028C6">
            <w:pPr>
              <w:pStyle w:val="TableText0"/>
              <w:keepLines w:val="0"/>
              <w:jc w:val="center"/>
              <w:rPr>
                <w:b/>
                <w:bCs w:val="0"/>
              </w:rPr>
            </w:pPr>
            <w:r w:rsidRPr="00AB0640">
              <w:rPr>
                <w:b/>
                <w:bCs w:val="0"/>
              </w:rPr>
              <w:t>Data</w:t>
            </w:r>
          </w:p>
        </w:tc>
        <w:tc>
          <w:tcPr>
            <w:tcW w:w="2043" w:type="pct"/>
            <w:tcBorders>
              <w:top w:val="single" w:sz="4" w:space="0" w:color="auto"/>
              <w:left w:val="single" w:sz="4" w:space="0" w:color="auto"/>
              <w:bottom w:val="single" w:sz="4" w:space="0" w:color="auto"/>
              <w:right w:val="single" w:sz="4" w:space="0" w:color="auto"/>
            </w:tcBorders>
            <w:vAlign w:val="center"/>
            <w:hideMark/>
          </w:tcPr>
          <w:p w14:paraId="03468952" w14:textId="77777777" w:rsidR="004D0ACD" w:rsidRPr="00AB0640" w:rsidRDefault="004D0ACD" w:rsidP="008028C6">
            <w:pPr>
              <w:pStyle w:val="TableText0"/>
              <w:keepLines w:val="0"/>
              <w:jc w:val="center"/>
              <w:rPr>
                <w:b/>
                <w:bCs w:val="0"/>
              </w:rPr>
            </w:pPr>
            <w:r w:rsidRPr="00AB0640">
              <w:rPr>
                <w:b/>
                <w:bCs w:val="0"/>
              </w:rPr>
              <w:t>Value and Source</w:t>
            </w:r>
          </w:p>
        </w:tc>
        <w:tc>
          <w:tcPr>
            <w:tcW w:w="2173" w:type="pct"/>
            <w:tcBorders>
              <w:top w:val="single" w:sz="4" w:space="0" w:color="auto"/>
              <w:left w:val="single" w:sz="4" w:space="0" w:color="auto"/>
              <w:bottom w:val="single" w:sz="4" w:space="0" w:color="auto"/>
              <w:right w:val="single" w:sz="4" w:space="0" w:color="auto"/>
            </w:tcBorders>
            <w:vAlign w:val="center"/>
            <w:hideMark/>
          </w:tcPr>
          <w:p w14:paraId="440EC437" w14:textId="77777777" w:rsidR="004D0ACD" w:rsidRPr="00AB0640" w:rsidRDefault="004D0ACD" w:rsidP="008028C6">
            <w:pPr>
              <w:pStyle w:val="TableText0"/>
              <w:keepLines w:val="0"/>
              <w:jc w:val="center"/>
              <w:rPr>
                <w:b/>
                <w:bCs w:val="0"/>
              </w:rPr>
            </w:pPr>
            <w:r w:rsidRPr="00AB0640">
              <w:rPr>
                <w:b/>
                <w:bCs w:val="0"/>
              </w:rPr>
              <w:t>Comment</w:t>
            </w:r>
          </w:p>
        </w:tc>
      </w:tr>
      <w:tr w:rsidR="004D0ACD" w:rsidRPr="00AB0640" w14:paraId="597AC47F" w14:textId="77777777" w:rsidTr="0065379D">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22BA206D" w14:textId="77777777" w:rsidR="004D0ACD" w:rsidRPr="00AB0640" w:rsidRDefault="004D0ACD" w:rsidP="008028C6">
            <w:pPr>
              <w:pStyle w:val="TableText0"/>
              <w:keepLines w:val="0"/>
              <w:rPr>
                <w:b/>
                <w:bCs w:val="0"/>
              </w:rPr>
            </w:pPr>
            <w:r w:rsidRPr="00AB0640">
              <w:rPr>
                <w:b/>
                <w:bCs w:val="0"/>
              </w:rPr>
              <w:t>Eligible population</w:t>
            </w:r>
          </w:p>
        </w:tc>
      </w:tr>
      <w:tr w:rsidR="004D0ACD" w:rsidRPr="00AB0640" w14:paraId="7552E542" w14:textId="77777777" w:rsidTr="0065379D">
        <w:tc>
          <w:tcPr>
            <w:tcW w:w="7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5D1203D" w14:textId="77777777" w:rsidR="004D0ACD" w:rsidRPr="00AB0640" w:rsidRDefault="004D0ACD" w:rsidP="008028C6">
            <w:pPr>
              <w:pStyle w:val="TableText0"/>
              <w:keepLines w:val="0"/>
            </w:pPr>
            <w:r w:rsidRPr="00AB0640">
              <w:t>FA prevalence</w:t>
            </w:r>
          </w:p>
        </w:tc>
        <w:tc>
          <w:tcPr>
            <w:tcW w:w="204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2CEB7C6" w14:textId="77777777" w:rsidR="004D0ACD" w:rsidRPr="00AB0640" w:rsidRDefault="004D0ACD" w:rsidP="008028C6">
            <w:pPr>
              <w:pStyle w:val="TableText0"/>
              <w:keepLines w:val="0"/>
            </w:pPr>
            <w:r w:rsidRPr="00AB0640">
              <w:t>1 in 43,458. Average of prevalence rates reported in Spain, Portugal, UK, Greece and Italy.</w:t>
            </w:r>
            <w:bookmarkStart w:id="62" w:name="_Ref207967141"/>
            <w:r w:rsidRPr="00AB0640">
              <w:rPr>
                <w:rStyle w:val="FootnoteReference"/>
              </w:rPr>
              <w:footnoteReference w:id="11"/>
            </w:r>
            <w:bookmarkEnd w:id="62"/>
            <w:r w:rsidRPr="00AB0640">
              <w:t xml:space="preserve"> </w:t>
            </w:r>
          </w:p>
        </w:tc>
        <w:tc>
          <w:tcPr>
            <w:tcW w:w="2173" w:type="pct"/>
            <w:tcBorders>
              <w:top w:val="single" w:sz="4" w:space="0" w:color="auto"/>
              <w:left w:val="single" w:sz="4" w:space="0" w:color="auto"/>
              <w:bottom w:val="single" w:sz="4" w:space="0" w:color="auto"/>
              <w:right w:val="single" w:sz="4" w:space="0" w:color="auto"/>
            </w:tcBorders>
            <w:vAlign w:val="center"/>
            <w:hideMark/>
          </w:tcPr>
          <w:p w14:paraId="5F6D0B2F" w14:textId="77777777" w:rsidR="004D0ACD" w:rsidRPr="00AB0640" w:rsidRDefault="004D0ACD" w:rsidP="008028C6">
            <w:pPr>
              <w:pStyle w:val="TableText0"/>
              <w:keepLines w:val="0"/>
            </w:pPr>
            <w:r w:rsidRPr="00AB0640">
              <w:t>This was an area of uncertainty in the previous submission. However, the DUSC considered that the value may be reasonable, albeit uncertain, due to the lack of available options (para 6.82, omaveloxolone PSD, March 2025 PBAC meeting).</w:t>
            </w:r>
          </w:p>
        </w:tc>
      </w:tr>
      <w:tr w:rsidR="004D0ACD" w:rsidRPr="00AB0640" w14:paraId="1C42AB62" w14:textId="77777777" w:rsidTr="0065379D">
        <w:tc>
          <w:tcPr>
            <w:tcW w:w="7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832175B" w14:textId="77777777" w:rsidR="004D0ACD" w:rsidRPr="00AB0640" w:rsidRDefault="004D0ACD" w:rsidP="008028C6">
            <w:pPr>
              <w:pStyle w:val="TableText0"/>
              <w:keepLines w:val="0"/>
            </w:pPr>
            <w:r w:rsidRPr="00AB0640">
              <w:t>Proportion of FA patients over 16 years</w:t>
            </w:r>
          </w:p>
        </w:tc>
        <w:tc>
          <w:tcPr>
            <w:tcW w:w="204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4B6B3A3" w14:textId="77777777" w:rsidR="004D0ACD" w:rsidRPr="00AB0640" w:rsidRDefault="004D0ACD" w:rsidP="008028C6">
            <w:pPr>
              <w:pStyle w:val="TableText0"/>
              <w:keepLines w:val="0"/>
            </w:pPr>
            <w:r w:rsidRPr="00AB0640">
              <w:t>75%. Australian FACOMS registry.</w:t>
            </w:r>
          </w:p>
        </w:tc>
        <w:tc>
          <w:tcPr>
            <w:tcW w:w="2173" w:type="pct"/>
            <w:tcBorders>
              <w:top w:val="single" w:sz="4" w:space="0" w:color="auto"/>
              <w:left w:val="single" w:sz="4" w:space="0" w:color="auto"/>
              <w:right w:val="single" w:sz="4" w:space="0" w:color="auto"/>
            </w:tcBorders>
            <w:vAlign w:val="center"/>
            <w:hideMark/>
          </w:tcPr>
          <w:p w14:paraId="701622D1" w14:textId="15D9AC39" w:rsidR="004D0ACD" w:rsidRPr="00AB0640" w:rsidRDefault="004D0ACD" w:rsidP="008028C6">
            <w:pPr>
              <w:pStyle w:val="TableText0"/>
              <w:keepLines w:val="0"/>
            </w:pPr>
            <w:r w:rsidRPr="00AB0640">
              <w:t>The DUSC noted that this registry is not population-based and may be unrepresentative of the Australian population with FA. However, the pre-PBAC response stated that it is the most accurate Australian estimate available with regards to the proportion of patients aged ≥ 16 years (para 6.83, omaveloxolone PSD, March 2025 PBAC meeting).</w:t>
            </w:r>
            <w:r w:rsidR="00202AE4">
              <w:t xml:space="preserve"> </w:t>
            </w:r>
          </w:p>
        </w:tc>
      </w:tr>
      <w:tr w:rsidR="004D0ACD" w:rsidRPr="00AB0640" w14:paraId="73A80327" w14:textId="77777777" w:rsidTr="0065379D">
        <w:tc>
          <w:tcPr>
            <w:tcW w:w="784" w:type="pct"/>
            <w:tcBorders>
              <w:top w:val="single" w:sz="4" w:space="0" w:color="auto"/>
              <w:left w:val="single" w:sz="4" w:space="0" w:color="auto"/>
              <w:bottom w:val="single" w:sz="4" w:space="0" w:color="auto"/>
              <w:right w:val="single" w:sz="4" w:space="0" w:color="auto"/>
            </w:tcBorders>
            <w:vAlign w:val="center"/>
          </w:tcPr>
          <w:p w14:paraId="44B58107" w14:textId="77777777" w:rsidR="004D0ACD" w:rsidRPr="00AB0640" w:rsidRDefault="004D0ACD" w:rsidP="008028C6">
            <w:pPr>
              <w:pStyle w:val="TableText0"/>
              <w:keepLines w:val="0"/>
            </w:pPr>
            <w:r w:rsidRPr="00AB0640">
              <w:t>Proportion of FA patients with mFARS 20 – 80</w:t>
            </w:r>
          </w:p>
        </w:tc>
        <w:tc>
          <w:tcPr>
            <w:tcW w:w="2043" w:type="pct"/>
            <w:tcBorders>
              <w:top w:val="single" w:sz="4" w:space="0" w:color="auto"/>
              <w:left w:val="single" w:sz="4" w:space="0" w:color="auto"/>
              <w:bottom w:val="single" w:sz="4" w:space="0" w:color="auto"/>
              <w:right w:val="single" w:sz="4" w:space="0" w:color="auto"/>
            </w:tcBorders>
            <w:vAlign w:val="center"/>
          </w:tcPr>
          <w:p w14:paraId="0223CCC1" w14:textId="77777777" w:rsidR="004D0ACD" w:rsidRPr="00AB0640" w:rsidRDefault="004D0ACD" w:rsidP="008028C6">
            <w:pPr>
              <w:pStyle w:val="TableText0"/>
              <w:keepLines w:val="0"/>
            </w:pPr>
            <w:r w:rsidRPr="00AB0640">
              <w:t>91%. Australian FACOMS registry.</w:t>
            </w:r>
          </w:p>
        </w:tc>
        <w:tc>
          <w:tcPr>
            <w:tcW w:w="2173" w:type="pct"/>
            <w:tcBorders>
              <w:left w:val="single" w:sz="4" w:space="0" w:color="auto"/>
              <w:bottom w:val="single" w:sz="4" w:space="0" w:color="auto"/>
              <w:right w:val="single" w:sz="4" w:space="0" w:color="auto"/>
            </w:tcBorders>
            <w:vAlign w:val="center"/>
          </w:tcPr>
          <w:p w14:paraId="3272A81C" w14:textId="440C5463" w:rsidR="004D0ACD" w:rsidRPr="00AB0640" w:rsidRDefault="004D0ACD" w:rsidP="008028C6">
            <w:pPr>
              <w:pStyle w:val="TableText0"/>
              <w:keepLines w:val="0"/>
            </w:pPr>
            <w:r w:rsidRPr="00AB0640">
              <w:t>This input was added due to the inclusion of the relevant clinical criterion in the proposed PBS restriction. Th</w:t>
            </w:r>
            <w:r w:rsidR="00D41A44" w:rsidRPr="00AB0640">
              <w:t xml:space="preserve">e value </w:t>
            </w:r>
            <w:r w:rsidRPr="00AB0640">
              <w:t xml:space="preserve">was reasonable, noting the limitations </w:t>
            </w:r>
            <w:r w:rsidR="00D41A44" w:rsidRPr="00AB0640">
              <w:t xml:space="preserve">with the registry data </w:t>
            </w:r>
            <w:r w:rsidRPr="00AB0640">
              <w:t xml:space="preserve">mentioned above. </w:t>
            </w:r>
          </w:p>
        </w:tc>
      </w:tr>
      <w:tr w:rsidR="009C24BB" w:rsidRPr="00AB0640" w14:paraId="74D80B4A" w14:textId="77777777" w:rsidTr="0065379D">
        <w:tc>
          <w:tcPr>
            <w:tcW w:w="784" w:type="pct"/>
            <w:tcBorders>
              <w:top w:val="single" w:sz="4" w:space="0" w:color="auto"/>
              <w:left w:val="single" w:sz="4" w:space="0" w:color="auto"/>
              <w:bottom w:val="single" w:sz="4" w:space="0" w:color="auto"/>
              <w:right w:val="single" w:sz="4" w:space="0" w:color="auto"/>
            </w:tcBorders>
            <w:vAlign w:val="center"/>
          </w:tcPr>
          <w:p w14:paraId="0183171F" w14:textId="7A4860DB" w:rsidR="009C24BB" w:rsidRPr="00AB0640" w:rsidRDefault="009C24BB" w:rsidP="008028C6">
            <w:pPr>
              <w:pStyle w:val="TableText0"/>
              <w:keepLines w:val="0"/>
            </w:pPr>
            <w:r w:rsidRPr="00AB0640">
              <w:t>Grandfathered patients</w:t>
            </w:r>
          </w:p>
        </w:tc>
        <w:tc>
          <w:tcPr>
            <w:tcW w:w="2043" w:type="pct"/>
            <w:tcBorders>
              <w:top w:val="single" w:sz="4" w:space="0" w:color="auto"/>
              <w:left w:val="single" w:sz="4" w:space="0" w:color="auto"/>
              <w:bottom w:val="single" w:sz="4" w:space="0" w:color="auto"/>
              <w:right w:val="single" w:sz="4" w:space="0" w:color="auto"/>
            </w:tcBorders>
            <w:vAlign w:val="center"/>
          </w:tcPr>
          <w:p w14:paraId="1D1AA44E" w14:textId="57C5F60A" w:rsidR="009C24BB" w:rsidRPr="00AB0640" w:rsidRDefault="009C24BB" w:rsidP="008028C6">
            <w:pPr>
              <w:pStyle w:val="TableText0"/>
              <w:keepLines w:val="0"/>
            </w:pPr>
            <w:r w:rsidRPr="00AB0640">
              <w:t xml:space="preserve">The resubmission estimated that there would be </w:t>
            </w:r>
            <w:r w:rsidR="001F43CD" w:rsidRPr="001F43CD">
              <w:rPr>
                <w:highlight w:val="black"/>
              </w:rPr>
              <w:t>@@@@</w:t>
            </w:r>
            <w:r w:rsidR="001326BF">
              <w:rPr>
                <w:vertAlign w:val="superscript"/>
              </w:rPr>
              <w:t>1</w:t>
            </w:r>
            <w:r w:rsidRPr="00AB0640">
              <w:t xml:space="preserve"> patients enrolled in an Early Access Program which would be grandfathered on to the PBS listing. These patients were subtracted from the eligible prevalent pool in Year 1. </w:t>
            </w:r>
          </w:p>
        </w:tc>
        <w:tc>
          <w:tcPr>
            <w:tcW w:w="2173" w:type="pct"/>
            <w:tcBorders>
              <w:left w:val="single" w:sz="4" w:space="0" w:color="auto"/>
              <w:bottom w:val="single" w:sz="4" w:space="0" w:color="auto"/>
              <w:right w:val="single" w:sz="4" w:space="0" w:color="auto"/>
            </w:tcBorders>
            <w:vAlign w:val="center"/>
          </w:tcPr>
          <w:p w14:paraId="221E05FA" w14:textId="2CDF2A39" w:rsidR="009C24BB" w:rsidRPr="00AB0640" w:rsidRDefault="009C24BB" w:rsidP="008028C6">
            <w:pPr>
              <w:pStyle w:val="TableText0"/>
              <w:keepLines w:val="0"/>
            </w:pPr>
            <w:r w:rsidRPr="00AB0640">
              <w:t xml:space="preserve">While these patients were not included in the previous submission, this </w:t>
            </w:r>
            <w:r w:rsidR="00BD35F2" w:rsidRPr="00AB0640">
              <w:t xml:space="preserve">approach </w:t>
            </w:r>
            <w:r w:rsidRPr="00AB0640">
              <w:t>was reasonable.</w:t>
            </w:r>
          </w:p>
        </w:tc>
      </w:tr>
      <w:tr w:rsidR="004D0ACD" w:rsidRPr="00AB0640" w14:paraId="505EE120" w14:textId="77777777" w:rsidTr="0065379D">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F8DDCDE" w14:textId="77777777" w:rsidR="004D0ACD" w:rsidRPr="00AB0640" w:rsidRDefault="004D0ACD" w:rsidP="008028C6">
            <w:pPr>
              <w:pStyle w:val="TableText0"/>
              <w:keepLines w:val="0"/>
              <w:rPr>
                <w:b/>
                <w:bCs w:val="0"/>
              </w:rPr>
            </w:pPr>
            <w:r w:rsidRPr="00AB0640">
              <w:rPr>
                <w:b/>
                <w:bCs w:val="0"/>
              </w:rPr>
              <w:t>Treatment utilisation</w:t>
            </w:r>
          </w:p>
        </w:tc>
      </w:tr>
      <w:tr w:rsidR="004D0ACD" w:rsidRPr="00AB0640" w14:paraId="7673C60F" w14:textId="77777777" w:rsidTr="0065379D">
        <w:tc>
          <w:tcPr>
            <w:tcW w:w="784" w:type="pct"/>
            <w:tcBorders>
              <w:top w:val="single" w:sz="4" w:space="0" w:color="auto"/>
              <w:left w:val="single" w:sz="4" w:space="0" w:color="auto"/>
              <w:bottom w:val="single" w:sz="4" w:space="0" w:color="auto"/>
              <w:right w:val="single" w:sz="4" w:space="0" w:color="auto"/>
            </w:tcBorders>
            <w:vAlign w:val="center"/>
            <w:hideMark/>
          </w:tcPr>
          <w:p w14:paraId="62EF7678" w14:textId="56A5014D" w:rsidR="004D0ACD" w:rsidRPr="00AB0640" w:rsidRDefault="004D0ACD" w:rsidP="008028C6">
            <w:pPr>
              <w:pStyle w:val="TableText0"/>
              <w:keepLines w:val="0"/>
            </w:pPr>
            <w:r w:rsidRPr="00AB0640">
              <w:t>Uptake rate</w:t>
            </w:r>
          </w:p>
        </w:tc>
        <w:tc>
          <w:tcPr>
            <w:tcW w:w="2043" w:type="pct"/>
            <w:tcBorders>
              <w:top w:val="single" w:sz="4" w:space="0" w:color="auto"/>
              <w:left w:val="single" w:sz="4" w:space="0" w:color="auto"/>
              <w:bottom w:val="single" w:sz="4" w:space="0" w:color="auto"/>
              <w:right w:val="single" w:sz="4" w:space="0" w:color="auto"/>
            </w:tcBorders>
            <w:vAlign w:val="center"/>
            <w:hideMark/>
          </w:tcPr>
          <w:p w14:paraId="17A0BE60" w14:textId="69071EA4" w:rsidR="004D0ACD" w:rsidRPr="00AB0640" w:rsidRDefault="001F43CD" w:rsidP="008028C6">
            <w:pPr>
              <w:pStyle w:val="TableText0"/>
              <w:keepLines w:val="0"/>
            </w:pPr>
            <w:r w:rsidRPr="001F43CD">
              <w:rPr>
                <w:highlight w:val="black"/>
              </w:rPr>
              <w:t>@@@@</w:t>
            </w:r>
            <w:r w:rsidR="004D0ACD" w:rsidRPr="00AB0640">
              <w:t xml:space="preserve">% in Year 1, increasing to </w:t>
            </w:r>
            <w:r w:rsidRPr="001F43CD">
              <w:rPr>
                <w:highlight w:val="black"/>
              </w:rPr>
              <w:t>@@@@</w:t>
            </w:r>
            <w:r w:rsidR="004D0ACD" w:rsidRPr="00AB0640">
              <w:t xml:space="preserve">% in Year 6. Assumption. </w:t>
            </w:r>
          </w:p>
        </w:tc>
        <w:tc>
          <w:tcPr>
            <w:tcW w:w="2173" w:type="pct"/>
            <w:tcBorders>
              <w:top w:val="single" w:sz="4" w:space="0" w:color="auto"/>
              <w:left w:val="single" w:sz="4" w:space="0" w:color="auto"/>
              <w:bottom w:val="single" w:sz="4" w:space="0" w:color="auto"/>
              <w:right w:val="single" w:sz="4" w:space="0" w:color="auto"/>
            </w:tcBorders>
            <w:vAlign w:val="center"/>
            <w:hideMark/>
          </w:tcPr>
          <w:p w14:paraId="0CB4281E" w14:textId="14007B2E" w:rsidR="004D0ACD" w:rsidRPr="00AB0640" w:rsidRDefault="000625A2" w:rsidP="008028C6">
            <w:pPr>
              <w:pStyle w:val="TableText0"/>
              <w:keepLines w:val="0"/>
            </w:pPr>
            <w:r w:rsidRPr="00AB0640">
              <w:t xml:space="preserve">Uptake was increased from </w:t>
            </w:r>
            <w:r w:rsidR="001F43CD" w:rsidRPr="001F43CD">
              <w:rPr>
                <w:highlight w:val="black"/>
              </w:rPr>
              <w:t>@@@@</w:t>
            </w:r>
            <w:r w:rsidRPr="00AB0640">
              <w:t xml:space="preserve">% in Year 1 and </w:t>
            </w:r>
            <w:r w:rsidR="001F43CD" w:rsidRPr="001F43CD">
              <w:rPr>
                <w:highlight w:val="black"/>
              </w:rPr>
              <w:t>@@@@</w:t>
            </w:r>
            <w:r w:rsidRPr="00AB0640">
              <w:t>% in Year 6 in the March 2025 submission</w:t>
            </w:r>
            <w:r w:rsidR="0097559D" w:rsidRPr="00AB0640">
              <w:t>. The resubmission stated that this was due to</w:t>
            </w:r>
            <w:r w:rsidR="004D0ACD" w:rsidRPr="00AB0640">
              <w:t xml:space="preserve"> the lack of alternative treatment </w:t>
            </w:r>
            <w:r w:rsidR="00502B49" w:rsidRPr="00AB0640">
              <w:t>options.</w:t>
            </w:r>
            <w:r w:rsidR="004D0ACD" w:rsidRPr="00AB0640">
              <w:t xml:space="preserve"> </w:t>
            </w:r>
          </w:p>
        </w:tc>
      </w:tr>
      <w:tr w:rsidR="004D0ACD" w:rsidRPr="00AB0640" w14:paraId="475C286B" w14:textId="77777777" w:rsidTr="0065379D">
        <w:tc>
          <w:tcPr>
            <w:tcW w:w="784" w:type="pct"/>
            <w:tcBorders>
              <w:top w:val="single" w:sz="4" w:space="0" w:color="auto"/>
              <w:left w:val="single" w:sz="4" w:space="0" w:color="auto"/>
              <w:bottom w:val="single" w:sz="4" w:space="0" w:color="auto"/>
              <w:right w:val="single" w:sz="4" w:space="0" w:color="auto"/>
            </w:tcBorders>
            <w:vAlign w:val="center"/>
            <w:hideMark/>
          </w:tcPr>
          <w:p w14:paraId="5282325F" w14:textId="77777777" w:rsidR="004D0ACD" w:rsidRPr="00AB0640" w:rsidRDefault="004D0ACD" w:rsidP="008028C6">
            <w:pPr>
              <w:pStyle w:val="TableText0"/>
              <w:keepLines w:val="0"/>
            </w:pPr>
            <w:r w:rsidRPr="00AB0640">
              <w:t>Discontinuation rate</w:t>
            </w:r>
          </w:p>
        </w:tc>
        <w:tc>
          <w:tcPr>
            <w:tcW w:w="2043" w:type="pct"/>
            <w:tcBorders>
              <w:top w:val="single" w:sz="4" w:space="0" w:color="auto"/>
              <w:left w:val="single" w:sz="4" w:space="0" w:color="auto"/>
              <w:bottom w:val="single" w:sz="4" w:space="0" w:color="auto"/>
              <w:right w:val="single" w:sz="4" w:space="0" w:color="auto"/>
            </w:tcBorders>
            <w:vAlign w:val="center"/>
            <w:hideMark/>
          </w:tcPr>
          <w:p w14:paraId="67D34957" w14:textId="474D286C" w:rsidR="004D0ACD" w:rsidRPr="00AB0640" w:rsidRDefault="004D0ACD" w:rsidP="008028C6">
            <w:pPr>
              <w:pStyle w:val="TableText0"/>
              <w:keepLines w:val="0"/>
            </w:pPr>
            <w:r w:rsidRPr="00AB0640">
              <w:t xml:space="preserve">13%, 6%, 6%, 3%, 1%, and 1% for Years 1, 2, 3, 4, 5, and 6 on treatment, respectively. Years 1 – 3 based on the economic model and </w:t>
            </w:r>
            <w:r w:rsidR="00A5346A" w:rsidRPr="00AB0640">
              <w:t xml:space="preserve">Years </w:t>
            </w:r>
            <w:r w:rsidRPr="00AB0640">
              <w:t>4 – 6 based on an assumption (discontinuing rate halving every year).</w:t>
            </w:r>
          </w:p>
        </w:tc>
        <w:tc>
          <w:tcPr>
            <w:tcW w:w="2173" w:type="pct"/>
            <w:tcBorders>
              <w:top w:val="single" w:sz="4" w:space="0" w:color="auto"/>
              <w:left w:val="single" w:sz="4" w:space="0" w:color="auto"/>
              <w:bottom w:val="single" w:sz="4" w:space="0" w:color="auto"/>
              <w:right w:val="single" w:sz="4" w:space="0" w:color="auto"/>
            </w:tcBorders>
            <w:vAlign w:val="center"/>
            <w:hideMark/>
          </w:tcPr>
          <w:p w14:paraId="2FB17ED9" w14:textId="337148BF" w:rsidR="004D0ACD" w:rsidRPr="0041193F" w:rsidRDefault="00830C73" w:rsidP="008028C6">
            <w:pPr>
              <w:pStyle w:val="TableText0"/>
              <w:keepLines w:val="0"/>
            </w:pPr>
            <w:r w:rsidRPr="0041193F">
              <w:t xml:space="preserve">Discontinuation in the March 2025 submission was 0% from Year 2 onwards. </w:t>
            </w:r>
            <w:r w:rsidR="008B3B97" w:rsidRPr="0041193F">
              <w:t xml:space="preserve">The </w:t>
            </w:r>
            <w:r w:rsidR="00D40C08">
              <w:t xml:space="preserve">PBAC </w:t>
            </w:r>
            <w:r w:rsidR="00D9090C" w:rsidRPr="0041193F">
              <w:t xml:space="preserve">agreed with the </w:t>
            </w:r>
            <w:r w:rsidR="008B3B97" w:rsidRPr="0041193F">
              <w:t xml:space="preserve">DUSC </w:t>
            </w:r>
            <w:r w:rsidR="00D9090C" w:rsidRPr="0041193F">
              <w:t xml:space="preserve">Advice from March 2025 </w:t>
            </w:r>
            <w:r w:rsidR="008B3B97" w:rsidRPr="0041193F">
              <w:t xml:space="preserve">that the discontinuation </w:t>
            </w:r>
            <w:r w:rsidR="00505CB6" w:rsidRPr="0041193F">
              <w:t>r</w:t>
            </w:r>
            <w:r w:rsidR="008B3B97" w:rsidRPr="0041193F">
              <w:t xml:space="preserve">ate should be consistent with the economic model (i.e. </w:t>
            </w:r>
            <w:r w:rsidR="00505CB6" w:rsidRPr="0041193F">
              <w:t xml:space="preserve">6% from Year 2 onwards). </w:t>
            </w:r>
          </w:p>
        </w:tc>
      </w:tr>
      <w:tr w:rsidR="004D0ACD" w:rsidRPr="00AB0640" w14:paraId="4C398392" w14:textId="77777777" w:rsidTr="0065379D">
        <w:tc>
          <w:tcPr>
            <w:tcW w:w="7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58765B1" w14:textId="4C2E12DD" w:rsidR="004D0ACD" w:rsidRPr="00AB0640" w:rsidRDefault="004D0ACD" w:rsidP="008028C6">
            <w:pPr>
              <w:pStyle w:val="TableText0"/>
              <w:keepLines w:val="0"/>
            </w:pPr>
            <w:r w:rsidRPr="00AB0640">
              <w:t>Scripts per patient</w:t>
            </w:r>
            <w:r w:rsidR="00505CB6" w:rsidRPr="00AB0640">
              <w:t xml:space="preserve"> per year</w:t>
            </w:r>
          </w:p>
        </w:tc>
        <w:tc>
          <w:tcPr>
            <w:tcW w:w="204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6550275" w14:textId="77777777" w:rsidR="004D0ACD" w:rsidRPr="00AB0640" w:rsidRDefault="004D0ACD" w:rsidP="008028C6">
            <w:pPr>
              <w:pStyle w:val="TableText0"/>
              <w:keepLines w:val="0"/>
            </w:pPr>
            <w:r w:rsidRPr="00AB0640">
              <w:t xml:space="preserve">10.5. Assuming a dosage of 150 mg per day × 87% compliance. Each script contains 90 × 50 mg capsules. </w:t>
            </w:r>
          </w:p>
        </w:tc>
        <w:tc>
          <w:tcPr>
            <w:tcW w:w="217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64BFD1A" w14:textId="3BC840F2" w:rsidR="004D0ACD" w:rsidRPr="00AB0640" w:rsidRDefault="004D0ACD" w:rsidP="008028C6">
            <w:pPr>
              <w:pStyle w:val="TableText0"/>
              <w:keepLines w:val="0"/>
            </w:pPr>
            <w:r w:rsidRPr="00AB0640">
              <w:t>This unchanged from the previous submission.</w:t>
            </w:r>
          </w:p>
        </w:tc>
      </w:tr>
      <w:tr w:rsidR="004D0ACD" w:rsidRPr="00AB0640" w14:paraId="2907E4C4" w14:textId="77777777" w:rsidTr="0065379D">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579498F" w14:textId="77777777" w:rsidR="004D0ACD" w:rsidRPr="00AB0640" w:rsidRDefault="004D0ACD" w:rsidP="008028C6">
            <w:pPr>
              <w:pStyle w:val="TableText0"/>
              <w:keepLines w:val="0"/>
              <w:rPr>
                <w:b/>
                <w:bCs w:val="0"/>
              </w:rPr>
            </w:pPr>
            <w:r w:rsidRPr="00AB0640">
              <w:rPr>
                <w:b/>
                <w:bCs w:val="0"/>
              </w:rPr>
              <w:t>Costs</w:t>
            </w:r>
          </w:p>
        </w:tc>
      </w:tr>
      <w:tr w:rsidR="004D0ACD" w:rsidRPr="00AB0640" w14:paraId="7A64FBB0" w14:textId="77777777" w:rsidTr="0065379D">
        <w:tc>
          <w:tcPr>
            <w:tcW w:w="784" w:type="pct"/>
            <w:tcBorders>
              <w:top w:val="single" w:sz="4" w:space="0" w:color="auto"/>
              <w:left w:val="single" w:sz="4" w:space="0" w:color="auto"/>
              <w:bottom w:val="single" w:sz="4" w:space="0" w:color="auto"/>
              <w:right w:val="single" w:sz="4" w:space="0" w:color="auto"/>
            </w:tcBorders>
            <w:vAlign w:val="center"/>
            <w:hideMark/>
          </w:tcPr>
          <w:p w14:paraId="2EE009AC" w14:textId="77777777" w:rsidR="004D0ACD" w:rsidRPr="00AB0640" w:rsidRDefault="004D0ACD" w:rsidP="008028C6">
            <w:pPr>
              <w:pStyle w:val="TableText0"/>
              <w:keepLines w:val="0"/>
            </w:pPr>
            <w:r w:rsidRPr="00AB0640">
              <w:t>Proposed medicine</w:t>
            </w:r>
          </w:p>
        </w:tc>
        <w:tc>
          <w:tcPr>
            <w:tcW w:w="2043" w:type="pct"/>
            <w:tcBorders>
              <w:top w:val="single" w:sz="4" w:space="0" w:color="auto"/>
              <w:left w:val="single" w:sz="4" w:space="0" w:color="auto"/>
              <w:bottom w:val="single" w:sz="4" w:space="0" w:color="auto"/>
              <w:right w:val="single" w:sz="4" w:space="0" w:color="auto"/>
            </w:tcBorders>
            <w:vAlign w:val="center"/>
            <w:hideMark/>
          </w:tcPr>
          <w:p w14:paraId="63DFD67C" w14:textId="31F12012" w:rsidR="004D0ACD" w:rsidRPr="00AB0640" w:rsidRDefault="004D0ACD" w:rsidP="008028C6">
            <w:pPr>
              <w:pStyle w:val="TableText0"/>
              <w:keepLines w:val="0"/>
            </w:pPr>
            <w:r w:rsidRPr="00AB0640">
              <w:t>$</w:t>
            </w:r>
            <w:r w:rsidR="001F43CD" w:rsidRPr="001F43CD">
              <w:rPr>
                <w:highlight w:val="black"/>
              </w:rPr>
              <w:t>@@@@</w:t>
            </w:r>
            <w:r w:rsidRPr="00AB0640">
              <w:t xml:space="preserve"> per 90 × 50 mg capsules. </w:t>
            </w:r>
          </w:p>
        </w:tc>
        <w:tc>
          <w:tcPr>
            <w:tcW w:w="2173" w:type="pct"/>
            <w:tcBorders>
              <w:top w:val="single" w:sz="4" w:space="0" w:color="auto"/>
              <w:left w:val="single" w:sz="4" w:space="0" w:color="auto"/>
              <w:bottom w:val="single" w:sz="4" w:space="0" w:color="auto"/>
              <w:right w:val="single" w:sz="4" w:space="0" w:color="auto"/>
            </w:tcBorders>
            <w:vAlign w:val="center"/>
            <w:hideMark/>
          </w:tcPr>
          <w:p w14:paraId="1D344C6F" w14:textId="6D1A3982" w:rsidR="004D0ACD" w:rsidRPr="00AB0640" w:rsidRDefault="00D40C08" w:rsidP="008028C6">
            <w:pPr>
              <w:pStyle w:val="TableText0"/>
              <w:keepLines w:val="0"/>
            </w:pPr>
            <w:r>
              <w:t>-</w:t>
            </w:r>
            <w:r w:rsidR="004D0ACD" w:rsidRPr="00AB0640">
              <w:t xml:space="preserve"> </w:t>
            </w:r>
          </w:p>
        </w:tc>
      </w:tr>
      <w:tr w:rsidR="004D0ACD" w:rsidRPr="00AB0640" w14:paraId="49A3128D" w14:textId="77777777" w:rsidTr="0065379D">
        <w:tc>
          <w:tcPr>
            <w:tcW w:w="784" w:type="pct"/>
            <w:tcBorders>
              <w:top w:val="single" w:sz="4" w:space="0" w:color="auto"/>
              <w:left w:val="single" w:sz="4" w:space="0" w:color="auto"/>
              <w:bottom w:val="single" w:sz="4" w:space="0" w:color="auto"/>
              <w:right w:val="single" w:sz="4" w:space="0" w:color="auto"/>
            </w:tcBorders>
            <w:vAlign w:val="center"/>
            <w:hideMark/>
          </w:tcPr>
          <w:p w14:paraId="0F188614" w14:textId="77777777" w:rsidR="004D0ACD" w:rsidRPr="00AB0640" w:rsidRDefault="004D0ACD" w:rsidP="008028C6">
            <w:pPr>
              <w:pStyle w:val="TableText0"/>
              <w:keepLines w:val="0"/>
            </w:pPr>
            <w:r w:rsidRPr="00AB0640">
              <w:t>Patient copayment</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ADC598D" w14:textId="77777777" w:rsidR="004D0ACD" w:rsidRPr="00AB0640" w:rsidRDefault="004D0ACD" w:rsidP="008028C6">
            <w:pPr>
              <w:pStyle w:val="TableText0"/>
              <w:keepLines w:val="0"/>
            </w:pPr>
            <w:r w:rsidRPr="00AB0640">
              <w:t>$14.02. Weighted PBS copayment (by beneficiary type) of PBS items elexacaftor/tezacaftor/ivacaftor for cystic fibrosis.</w:t>
            </w:r>
            <w:r w:rsidRPr="00AB0640">
              <w:rPr>
                <w:vertAlign w:val="superscript"/>
              </w:rPr>
              <w:t xml:space="preserve">c </w:t>
            </w:r>
            <w:r w:rsidRPr="00AB0640">
              <w:t>Assuming no RPBS scripts.</w:t>
            </w:r>
          </w:p>
        </w:tc>
        <w:tc>
          <w:tcPr>
            <w:tcW w:w="2173" w:type="pct"/>
            <w:tcBorders>
              <w:top w:val="single" w:sz="4" w:space="0" w:color="auto"/>
              <w:left w:val="single" w:sz="4" w:space="0" w:color="auto"/>
              <w:bottom w:val="single" w:sz="4" w:space="0" w:color="auto"/>
              <w:right w:val="single" w:sz="4" w:space="0" w:color="auto"/>
            </w:tcBorders>
            <w:vAlign w:val="center"/>
            <w:hideMark/>
          </w:tcPr>
          <w:p w14:paraId="3264371D" w14:textId="523C511B" w:rsidR="004D0ACD" w:rsidRPr="00AB0640" w:rsidRDefault="00E23B24" w:rsidP="008028C6">
            <w:pPr>
              <w:pStyle w:val="TableText0"/>
              <w:keepLines w:val="0"/>
            </w:pPr>
            <w:r>
              <w:t>-</w:t>
            </w:r>
          </w:p>
        </w:tc>
      </w:tr>
      <w:tr w:rsidR="004D0ACD" w:rsidRPr="00AB0640" w14:paraId="7CE0CBF8" w14:textId="77777777" w:rsidTr="0065379D">
        <w:tc>
          <w:tcPr>
            <w:tcW w:w="78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100B7BD9" w14:textId="77777777" w:rsidR="004D0ACD" w:rsidRPr="00AB0640" w:rsidRDefault="004D0ACD" w:rsidP="008028C6">
            <w:pPr>
              <w:pStyle w:val="TableText0"/>
              <w:keepLines w:val="0"/>
            </w:pPr>
            <w:r w:rsidRPr="00AB0640">
              <w:t>Monitoring costs</w:t>
            </w:r>
          </w:p>
        </w:tc>
        <w:tc>
          <w:tcPr>
            <w:tcW w:w="204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39AF865" w14:textId="77777777" w:rsidR="004D0ACD" w:rsidRPr="00AB0640" w:rsidRDefault="004D0ACD" w:rsidP="008028C6">
            <w:pPr>
              <w:pStyle w:val="TableText0"/>
              <w:keepLines w:val="0"/>
            </w:pPr>
            <w:r w:rsidRPr="00AB0640">
              <w:t>$14.16 (MBS item 66512). As per the PI, for monitoring of lipids, liver and cardiac function. Three times in the first year of treatment, annually thereafter.</w:t>
            </w:r>
          </w:p>
        </w:tc>
        <w:tc>
          <w:tcPr>
            <w:tcW w:w="217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B37F5E3" w14:textId="6F004A07" w:rsidR="004D0ACD" w:rsidRPr="00AB0640" w:rsidRDefault="00E23B24" w:rsidP="008028C6">
            <w:pPr>
              <w:pStyle w:val="TableText0"/>
              <w:keepLines w:val="0"/>
            </w:pPr>
            <w:r>
              <w:t>-</w:t>
            </w:r>
          </w:p>
        </w:tc>
      </w:tr>
    </w:tbl>
    <w:p w14:paraId="572CF7C0" w14:textId="77777777" w:rsidR="004D0ACD" w:rsidRPr="00AB0640" w:rsidRDefault="00360A88" w:rsidP="008028C6">
      <w:pPr>
        <w:keepNext/>
        <w:keepLines/>
        <w:snapToGrid w:val="0"/>
        <w:spacing w:after="120"/>
        <w:contextualSpacing/>
        <w:jc w:val="left"/>
        <w:rPr>
          <w:rFonts w:ascii="Arial Narrow" w:hAnsi="Arial Narrow"/>
          <w:sz w:val="18"/>
          <w:szCs w:val="22"/>
        </w:rPr>
      </w:pPr>
      <w:r w:rsidRPr="00AB0640">
        <w:rPr>
          <w:rFonts w:ascii="Arial Narrow" w:hAnsi="Arial Narrow"/>
          <w:sz w:val="18"/>
          <w:szCs w:val="22"/>
        </w:rPr>
        <w:t xml:space="preserve">Source: Constructed during the evaluation from the “Attachment 12 - Utilisation and cost model (Section 4)” provided with the </w:t>
      </w:r>
      <w:r w:rsidR="00EF5067" w:rsidRPr="00AB0640">
        <w:rPr>
          <w:rFonts w:ascii="Arial Narrow" w:hAnsi="Arial Narrow"/>
          <w:sz w:val="18"/>
          <w:szCs w:val="22"/>
        </w:rPr>
        <w:t>re</w:t>
      </w:r>
      <w:r w:rsidRPr="00AB0640">
        <w:rPr>
          <w:rFonts w:ascii="Arial Narrow" w:hAnsi="Arial Narrow"/>
          <w:sz w:val="18"/>
          <w:szCs w:val="22"/>
        </w:rPr>
        <w:t>submission.</w:t>
      </w:r>
    </w:p>
    <w:p w14:paraId="7CF0E15A" w14:textId="311D96BF" w:rsidR="004D0ACD" w:rsidRPr="00AB0640" w:rsidRDefault="004D0ACD" w:rsidP="008028C6">
      <w:pPr>
        <w:keepNext/>
        <w:keepLines/>
        <w:snapToGrid w:val="0"/>
        <w:contextualSpacing/>
        <w:rPr>
          <w:rFonts w:ascii="Arial Narrow" w:hAnsi="Arial Narrow"/>
          <w:sz w:val="18"/>
          <w:szCs w:val="22"/>
        </w:rPr>
      </w:pPr>
      <w:r w:rsidRPr="00AB0640">
        <w:rPr>
          <w:rFonts w:ascii="Arial Narrow" w:hAnsi="Arial Narrow"/>
          <w:sz w:val="18"/>
          <w:szCs w:val="22"/>
          <w:shd w:val="clear" w:color="auto" w:fill="B8CCE4" w:themeFill="accent1" w:themeFillTint="66"/>
        </w:rPr>
        <w:t>Blue</w:t>
      </w:r>
      <w:r w:rsidRPr="00AB0640">
        <w:rPr>
          <w:rFonts w:ascii="Arial Narrow" w:hAnsi="Arial Narrow"/>
          <w:sz w:val="18"/>
          <w:szCs w:val="22"/>
        </w:rPr>
        <w:t xml:space="preserve"> shading represents financial inputs previously considered by the PBAC.</w:t>
      </w:r>
    </w:p>
    <w:p w14:paraId="5ECC0E00" w14:textId="03AE587F" w:rsidR="00360A88" w:rsidRPr="001326BF" w:rsidRDefault="00360A88" w:rsidP="008028C6">
      <w:pPr>
        <w:keepLines/>
        <w:snapToGrid w:val="0"/>
        <w:contextualSpacing/>
        <w:jc w:val="left"/>
        <w:rPr>
          <w:rFonts w:ascii="Arial Narrow" w:hAnsi="Arial Narrow"/>
          <w:i/>
          <w:iCs/>
          <w:sz w:val="18"/>
          <w:szCs w:val="22"/>
        </w:rPr>
      </w:pPr>
      <w:r w:rsidRPr="00AB0640">
        <w:rPr>
          <w:rFonts w:ascii="Arial Narrow" w:hAnsi="Arial Narrow"/>
          <w:sz w:val="18"/>
          <w:szCs w:val="22"/>
        </w:rPr>
        <w:lastRenderedPageBreak/>
        <w:t xml:space="preserve">AEMP = approved ex-manufacturer price; FA = Friedreich's Ataxia; FACOMS = Friedreich's Ataxia Clinical Outcome Measures Study; MBS = Medicare Benefits Schedule; </w:t>
      </w:r>
      <w:r w:rsidR="003A4497" w:rsidRPr="00AB0640">
        <w:rPr>
          <w:rFonts w:ascii="Arial Narrow" w:hAnsi="Arial Narrow"/>
          <w:sz w:val="18"/>
          <w:szCs w:val="22"/>
        </w:rPr>
        <w:t xml:space="preserve">mFARS = modified Friedreich’s Ataxia rating scale; </w:t>
      </w:r>
      <w:r w:rsidRPr="00AB0640">
        <w:rPr>
          <w:rFonts w:ascii="Arial Narrow" w:hAnsi="Arial Narrow"/>
          <w:sz w:val="18"/>
          <w:szCs w:val="22"/>
        </w:rPr>
        <w:t xml:space="preserve">PBAC = Pharmaceutical Benefits Advisory Committee; PBS = Pharmaceutical Benefits Scheme; PI = product information; PSD = Public Summary Document; RPBS = Repatriation Pharmaceutical Benefits Scheme; UK = United Kingdom. </w:t>
      </w:r>
      <w:r w:rsidR="001326BF">
        <w:rPr>
          <w:rFonts w:ascii="Arial Narrow" w:hAnsi="Arial Narrow"/>
          <w:sz w:val="18"/>
          <w:szCs w:val="22"/>
        </w:rPr>
        <w:br/>
      </w:r>
      <w:r w:rsidR="001326BF">
        <w:rPr>
          <w:rFonts w:ascii="Arial Narrow" w:hAnsi="Arial Narrow"/>
          <w:i/>
          <w:iCs/>
          <w:sz w:val="18"/>
          <w:szCs w:val="22"/>
        </w:rPr>
        <w:t>The redacted values correspond to the following ranges:</w:t>
      </w:r>
      <w:r w:rsidR="001326BF">
        <w:rPr>
          <w:rFonts w:ascii="Arial Narrow" w:hAnsi="Arial Narrow"/>
          <w:i/>
          <w:iCs/>
          <w:sz w:val="18"/>
          <w:szCs w:val="22"/>
        </w:rPr>
        <w:br/>
      </w:r>
      <w:r w:rsidR="001326BF">
        <w:rPr>
          <w:rFonts w:ascii="Arial Narrow" w:hAnsi="Arial Narrow"/>
          <w:i/>
          <w:iCs/>
          <w:sz w:val="18"/>
          <w:szCs w:val="22"/>
          <w:vertAlign w:val="superscript"/>
        </w:rPr>
        <w:t>1</w:t>
      </w:r>
      <w:r w:rsidR="001326BF">
        <w:rPr>
          <w:rFonts w:ascii="Arial Narrow" w:hAnsi="Arial Narrow"/>
          <w:i/>
          <w:iCs/>
          <w:sz w:val="18"/>
          <w:szCs w:val="22"/>
        </w:rPr>
        <w:t xml:space="preserve"> </w:t>
      </w:r>
      <w:r w:rsidR="00202AE4">
        <w:rPr>
          <w:rFonts w:ascii="Arial Narrow" w:hAnsi="Arial Narrow"/>
          <w:i/>
          <w:iCs/>
          <w:sz w:val="18"/>
          <w:szCs w:val="22"/>
        </w:rPr>
        <w:t xml:space="preserve">&lt; </w:t>
      </w:r>
      <w:r w:rsidR="001326BF">
        <w:rPr>
          <w:rFonts w:ascii="Arial Narrow" w:hAnsi="Arial Narrow"/>
          <w:i/>
          <w:iCs/>
          <w:sz w:val="18"/>
          <w:szCs w:val="22"/>
        </w:rPr>
        <w:t>500</w:t>
      </w:r>
    </w:p>
    <w:p w14:paraId="5541F6F5" w14:textId="58433567" w:rsidR="00360A88" w:rsidRPr="00AB0640" w:rsidRDefault="00360A88" w:rsidP="008028C6">
      <w:pPr>
        <w:pStyle w:val="3-BodyText"/>
      </w:pPr>
      <w:r w:rsidRPr="00AB0640">
        <w:t xml:space="preserve">The estimated number of patients treated with omaveloxolone and the net cost to the PBS per year are presented in </w:t>
      </w:r>
      <w:r w:rsidR="00E056AF">
        <w:fldChar w:fldCharType="begin" w:fldLock="1"/>
      </w:r>
      <w:r w:rsidR="00E056AF">
        <w:instrText xml:space="preserve"> REF _Ref207712007 </w:instrText>
      </w:r>
      <w:r w:rsidR="00E056AF">
        <w:fldChar w:fldCharType="separate"/>
      </w:r>
      <w:r w:rsidR="00E056AF" w:rsidRPr="00AB0640">
        <w:t xml:space="preserve">Table </w:t>
      </w:r>
      <w:r w:rsidR="00E056AF">
        <w:rPr>
          <w:noProof/>
        </w:rPr>
        <w:t>19</w:t>
      </w:r>
      <w:r w:rsidR="00E056AF">
        <w:rPr>
          <w:noProof/>
        </w:rPr>
        <w:fldChar w:fldCharType="end"/>
      </w:r>
      <w:r w:rsidRPr="00AB0640">
        <w:t>.</w:t>
      </w:r>
    </w:p>
    <w:p w14:paraId="5EABF07D" w14:textId="5789851B" w:rsidR="00360A88" w:rsidRPr="00AB0640" w:rsidRDefault="00360A88" w:rsidP="008028C6">
      <w:pPr>
        <w:pStyle w:val="Caption"/>
        <w:rPr>
          <w:sz w:val="18"/>
          <w:szCs w:val="22"/>
          <w:vertAlign w:val="superscript"/>
        </w:rPr>
      </w:pPr>
      <w:bookmarkStart w:id="63" w:name="_Ref207712007"/>
      <w:r w:rsidRPr="00AB0640">
        <w:t xml:space="preserve">Table </w:t>
      </w:r>
      <w:r w:rsidR="00E056AF">
        <w:fldChar w:fldCharType="begin" w:fldLock="1"/>
      </w:r>
      <w:r w:rsidR="00E056AF">
        <w:instrText xml:space="preserve"> SEQ Table \* ARABIC </w:instrText>
      </w:r>
      <w:r w:rsidR="00E056AF">
        <w:fldChar w:fldCharType="separate"/>
      </w:r>
      <w:r w:rsidR="00E056AF">
        <w:rPr>
          <w:noProof/>
        </w:rPr>
        <w:t>19</w:t>
      </w:r>
      <w:r w:rsidR="00E056AF">
        <w:rPr>
          <w:noProof/>
        </w:rPr>
        <w:fldChar w:fldCharType="end"/>
      </w:r>
      <w:bookmarkEnd w:id="63"/>
      <w:r w:rsidRPr="00AB0640">
        <w:t>: Estimated use and cost of omaveloxolone</w:t>
      </w:r>
    </w:p>
    <w:tbl>
      <w:tblPr>
        <w:tblStyle w:val="TableGrid"/>
        <w:tblW w:w="5239" w:type="pct"/>
        <w:tblInd w:w="-5" w:type="dxa"/>
        <w:tblCellMar>
          <w:left w:w="28" w:type="dxa"/>
          <w:right w:w="28" w:type="dxa"/>
        </w:tblCellMar>
        <w:tblLook w:val="04A0" w:firstRow="1" w:lastRow="0" w:firstColumn="1" w:lastColumn="0" w:noHBand="0" w:noVBand="1"/>
        <w:tblCaption w:val="Table 19: Estimated use and cost of omaveloxolone"/>
      </w:tblPr>
      <w:tblGrid>
        <w:gridCol w:w="1594"/>
        <w:gridCol w:w="1309"/>
        <w:gridCol w:w="1309"/>
        <w:gridCol w:w="1309"/>
        <w:gridCol w:w="1309"/>
        <w:gridCol w:w="1309"/>
        <w:gridCol w:w="1309"/>
      </w:tblGrid>
      <w:tr w:rsidR="003C01F9" w:rsidRPr="006531FE" w14:paraId="544C49EE" w14:textId="77777777" w:rsidTr="001A3657">
        <w:tc>
          <w:tcPr>
            <w:tcW w:w="1418" w:type="pct"/>
            <w:tcBorders>
              <w:top w:val="single" w:sz="4" w:space="0" w:color="auto"/>
              <w:left w:val="single" w:sz="4" w:space="0" w:color="auto"/>
              <w:bottom w:val="single" w:sz="4" w:space="0" w:color="auto"/>
              <w:right w:val="single" w:sz="4" w:space="0" w:color="auto"/>
            </w:tcBorders>
            <w:vAlign w:val="center"/>
          </w:tcPr>
          <w:p w14:paraId="3C8D8492" w14:textId="77777777" w:rsidR="003C01F9" w:rsidRPr="006531FE" w:rsidRDefault="003C01F9" w:rsidP="008028C6">
            <w:pPr>
              <w:keepNext/>
              <w:keepLines/>
              <w:jc w:val="left"/>
              <w:rPr>
                <w:rFonts w:ascii="Arial Narrow" w:eastAsia="MS Gothic" w:hAnsi="Arial Narrow" w:cs="Times New Roman"/>
                <w:bCs/>
                <w:sz w:val="18"/>
                <w:szCs w:val="18"/>
              </w:rPr>
            </w:pPr>
          </w:p>
        </w:tc>
        <w:tc>
          <w:tcPr>
            <w:tcW w:w="597" w:type="pct"/>
            <w:tcBorders>
              <w:top w:val="single" w:sz="4" w:space="0" w:color="auto"/>
              <w:left w:val="single" w:sz="4" w:space="0" w:color="auto"/>
              <w:bottom w:val="single" w:sz="4" w:space="0" w:color="auto"/>
              <w:right w:val="single" w:sz="4" w:space="0" w:color="auto"/>
            </w:tcBorders>
            <w:vAlign w:val="bottom"/>
          </w:tcPr>
          <w:p w14:paraId="1C239E3F" w14:textId="7AB3BC9A" w:rsidR="003C01F9" w:rsidRPr="006531FE" w:rsidRDefault="00D84005" w:rsidP="008028C6">
            <w:pPr>
              <w:keepNext/>
              <w:keepLines/>
              <w:jc w:val="right"/>
              <w:rPr>
                <w:rFonts w:ascii="Arial Narrow" w:eastAsia="MS Gothic" w:hAnsi="Arial Narrow" w:cs="Times New Roman"/>
                <w:b/>
                <w:sz w:val="18"/>
                <w:szCs w:val="18"/>
              </w:rPr>
            </w:pPr>
            <w:r w:rsidRPr="006531FE">
              <w:rPr>
                <w:rFonts w:ascii="Arial Narrow" w:eastAsia="MS Gothic" w:hAnsi="Arial Narrow" w:cs="Times New Roman"/>
                <w:b/>
                <w:sz w:val="18"/>
                <w:szCs w:val="18"/>
              </w:rPr>
              <w:t>2026</w:t>
            </w:r>
          </w:p>
        </w:tc>
        <w:tc>
          <w:tcPr>
            <w:tcW w:w="597" w:type="pct"/>
            <w:tcBorders>
              <w:top w:val="single" w:sz="4" w:space="0" w:color="auto"/>
              <w:left w:val="single" w:sz="4" w:space="0" w:color="auto"/>
              <w:bottom w:val="single" w:sz="4" w:space="0" w:color="auto"/>
              <w:right w:val="single" w:sz="4" w:space="0" w:color="auto"/>
            </w:tcBorders>
            <w:vAlign w:val="bottom"/>
          </w:tcPr>
          <w:p w14:paraId="1D7A9C1F" w14:textId="71F8F897" w:rsidR="003C01F9" w:rsidRPr="006531FE" w:rsidRDefault="00D84005" w:rsidP="008028C6">
            <w:pPr>
              <w:keepNext/>
              <w:keepLines/>
              <w:jc w:val="right"/>
              <w:rPr>
                <w:rFonts w:ascii="Arial Narrow" w:eastAsia="MS Gothic" w:hAnsi="Arial Narrow" w:cs="Times New Roman"/>
                <w:b/>
                <w:sz w:val="18"/>
                <w:szCs w:val="18"/>
              </w:rPr>
            </w:pPr>
            <w:r w:rsidRPr="006531FE">
              <w:rPr>
                <w:rFonts w:ascii="Arial Narrow" w:eastAsia="MS Gothic" w:hAnsi="Arial Narrow" w:cs="Times New Roman"/>
                <w:b/>
                <w:sz w:val="18"/>
                <w:szCs w:val="18"/>
              </w:rPr>
              <w:t>2027</w:t>
            </w:r>
          </w:p>
        </w:tc>
        <w:tc>
          <w:tcPr>
            <w:tcW w:w="597" w:type="pct"/>
            <w:tcBorders>
              <w:top w:val="single" w:sz="4" w:space="0" w:color="auto"/>
              <w:left w:val="single" w:sz="4" w:space="0" w:color="auto"/>
              <w:bottom w:val="single" w:sz="4" w:space="0" w:color="auto"/>
              <w:right w:val="single" w:sz="4" w:space="0" w:color="auto"/>
            </w:tcBorders>
            <w:vAlign w:val="bottom"/>
          </w:tcPr>
          <w:p w14:paraId="03C424D0" w14:textId="654111EC" w:rsidR="003C01F9" w:rsidRPr="006531FE" w:rsidRDefault="00D84005" w:rsidP="008028C6">
            <w:pPr>
              <w:keepNext/>
              <w:keepLines/>
              <w:jc w:val="right"/>
              <w:rPr>
                <w:rFonts w:ascii="Arial Narrow" w:eastAsia="MS Gothic" w:hAnsi="Arial Narrow" w:cs="Times New Roman"/>
                <w:b/>
                <w:sz w:val="18"/>
                <w:szCs w:val="18"/>
              </w:rPr>
            </w:pPr>
            <w:r w:rsidRPr="006531FE">
              <w:rPr>
                <w:rFonts w:ascii="Arial Narrow" w:eastAsia="MS Gothic" w:hAnsi="Arial Narrow" w:cs="Times New Roman"/>
                <w:b/>
                <w:sz w:val="18"/>
                <w:szCs w:val="18"/>
              </w:rPr>
              <w:t>2028</w:t>
            </w:r>
          </w:p>
        </w:tc>
        <w:tc>
          <w:tcPr>
            <w:tcW w:w="597" w:type="pct"/>
            <w:tcBorders>
              <w:top w:val="single" w:sz="4" w:space="0" w:color="auto"/>
              <w:left w:val="single" w:sz="4" w:space="0" w:color="auto"/>
              <w:bottom w:val="single" w:sz="4" w:space="0" w:color="auto"/>
              <w:right w:val="single" w:sz="4" w:space="0" w:color="auto"/>
            </w:tcBorders>
            <w:vAlign w:val="bottom"/>
          </w:tcPr>
          <w:p w14:paraId="16C4E0FC" w14:textId="0525364F" w:rsidR="003C01F9" w:rsidRPr="006531FE" w:rsidRDefault="00D84005" w:rsidP="008028C6">
            <w:pPr>
              <w:keepNext/>
              <w:keepLines/>
              <w:jc w:val="right"/>
              <w:rPr>
                <w:rFonts w:ascii="Arial Narrow" w:eastAsia="MS Gothic" w:hAnsi="Arial Narrow" w:cs="Times New Roman"/>
                <w:b/>
                <w:sz w:val="18"/>
                <w:szCs w:val="18"/>
              </w:rPr>
            </w:pPr>
            <w:r w:rsidRPr="006531FE">
              <w:rPr>
                <w:rFonts w:ascii="Arial Narrow" w:eastAsia="MS Gothic" w:hAnsi="Arial Narrow" w:cs="Times New Roman"/>
                <w:b/>
                <w:sz w:val="18"/>
                <w:szCs w:val="18"/>
              </w:rPr>
              <w:t>2029</w:t>
            </w:r>
          </w:p>
        </w:tc>
        <w:tc>
          <w:tcPr>
            <w:tcW w:w="597" w:type="pct"/>
            <w:tcBorders>
              <w:top w:val="single" w:sz="4" w:space="0" w:color="auto"/>
              <w:left w:val="single" w:sz="4" w:space="0" w:color="auto"/>
              <w:bottom w:val="single" w:sz="4" w:space="0" w:color="auto"/>
              <w:right w:val="single" w:sz="4" w:space="0" w:color="auto"/>
            </w:tcBorders>
            <w:vAlign w:val="bottom"/>
          </w:tcPr>
          <w:p w14:paraId="19F7D77A" w14:textId="28297255" w:rsidR="003C01F9" w:rsidRPr="006531FE" w:rsidRDefault="00D84005" w:rsidP="008028C6">
            <w:pPr>
              <w:keepNext/>
              <w:keepLines/>
              <w:jc w:val="right"/>
              <w:rPr>
                <w:rFonts w:ascii="Arial Narrow" w:eastAsia="MS Gothic" w:hAnsi="Arial Narrow" w:cs="Times New Roman"/>
                <w:b/>
                <w:sz w:val="18"/>
                <w:szCs w:val="18"/>
              </w:rPr>
            </w:pPr>
            <w:r w:rsidRPr="006531FE">
              <w:rPr>
                <w:rFonts w:ascii="Arial Narrow" w:eastAsia="MS Gothic" w:hAnsi="Arial Narrow" w:cs="Times New Roman"/>
                <w:b/>
                <w:sz w:val="18"/>
                <w:szCs w:val="18"/>
              </w:rPr>
              <w:t>2030</w:t>
            </w:r>
          </w:p>
        </w:tc>
        <w:tc>
          <w:tcPr>
            <w:tcW w:w="597" w:type="pct"/>
            <w:tcBorders>
              <w:top w:val="single" w:sz="4" w:space="0" w:color="auto"/>
              <w:left w:val="single" w:sz="4" w:space="0" w:color="auto"/>
              <w:bottom w:val="single" w:sz="4" w:space="0" w:color="auto"/>
              <w:right w:val="single" w:sz="4" w:space="0" w:color="auto"/>
            </w:tcBorders>
            <w:vAlign w:val="bottom"/>
          </w:tcPr>
          <w:p w14:paraId="54121213" w14:textId="2C7ED383" w:rsidR="003C01F9" w:rsidRPr="006531FE" w:rsidRDefault="00D84005" w:rsidP="008028C6">
            <w:pPr>
              <w:keepNext/>
              <w:keepLines/>
              <w:jc w:val="right"/>
              <w:rPr>
                <w:rFonts w:ascii="Arial Narrow" w:eastAsia="MS Gothic" w:hAnsi="Arial Narrow" w:cs="Times New Roman"/>
                <w:b/>
                <w:sz w:val="18"/>
                <w:szCs w:val="18"/>
              </w:rPr>
            </w:pPr>
            <w:r w:rsidRPr="006531FE">
              <w:rPr>
                <w:rFonts w:ascii="Arial Narrow" w:eastAsia="MS Gothic" w:hAnsi="Arial Narrow" w:cs="Times New Roman"/>
                <w:b/>
                <w:sz w:val="18"/>
                <w:szCs w:val="18"/>
              </w:rPr>
              <w:t>2031</w:t>
            </w:r>
          </w:p>
        </w:tc>
      </w:tr>
      <w:tr w:rsidR="009160CC" w:rsidRPr="006531FE" w14:paraId="5712424B" w14:textId="77777777" w:rsidTr="001A3657">
        <w:tc>
          <w:tcPr>
            <w:tcW w:w="1418" w:type="pct"/>
            <w:tcBorders>
              <w:top w:val="single" w:sz="4" w:space="0" w:color="auto"/>
              <w:left w:val="single" w:sz="4" w:space="0" w:color="auto"/>
              <w:bottom w:val="single" w:sz="4" w:space="0" w:color="auto"/>
              <w:right w:val="single" w:sz="4" w:space="0" w:color="auto"/>
            </w:tcBorders>
            <w:vAlign w:val="center"/>
          </w:tcPr>
          <w:p w14:paraId="2035819B" w14:textId="77777777" w:rsidR="00360A88" w:rsidRPr="006531FE" w:rsidRDefault="00360A88" w:rsidP="008028C6">
            <w:pPr>
              <w:keepNext/>
              <w:keepLines/>
              <w:jc w:val="left"/>
              <w:rPr>
                <w:rFonts w:ascii="Arial Narrow" w:eastAsia="MS Gothic" w:hAnsi="Arial Narrow" w:cs="Times New Roman"/>
                <w:bCs/>
                <w:sz w:val="18"/>
                <w:szCs w:val="18"/>
              </w:rPr>
            </w:pPr>
            <w:r w:rsidRPr="006531FE">
              <w:rPr>
                <w:rFonts w:ascii="Arial Narrow" w:eastAsia="MS Gothic" w:hAnsi="Arial Narrow" w:cs="Times New Roman"/>
                <w:bCs/>
                <w:sz w:val="18"/>
                <w:szCs w:val="18"/>
              </w:rPr>
              <w:t>Initiating patients</w:t>
            </w:r>
          </w:p>
        </w:tc>
        <w:tc>
          <w:tcPr>
            <w:tcW w:w="597" w:type="pct"/>
            <w:tcBorders>
              <w:top w:val="single" w:sz="4" w:space="0" w:color="auto"/>
              <w:left w:val="single" w:sz="4" w:space="0" w:color="auto"/>
              <w:bottom w:val="single" w:sz="4" w:space="0" w:color="auto"/>
              <w:right w:val="single" w:sz="4" w:space="0" w:color="auto"/>
            </w:tcBorders>
            <w:vAlign w:val="bottom"/>
          </w:tcPr>
          <w:p w14:paraId="3FB9D892" w14:textId="580B6776" w:rsidR="00360A88" w:rsidRPr="006531FE" w:rsidRDefault="00360A88" w:rsidP="008028C6">
            <w:pPr>
              <w:keepNext/>
              <w:keepLines/>
              <w:jc w:val="right"/>
              <w:rPr>
                <w:rFonts w:ascii="Arial Narrow" w:eastAsia="MS Gothic" w:hAnsi="Arial Narrow" w:cs="Times New Roman"/>
                <w:bCs/>
                <w:sz w:val="18"/>
                <w:szCs w:val="18"/>
              </w:rPr>
            </w:pPr>
            <w:r w:rsidRPr="006531FE">
              <w:rPr>
                <w:rFonts w:ascii="Arial Narrow" w:eastAsia="MS Gothic" w:hAnsi="Arial Narrow" w:cs="Times New Roman"/>
                <w:bCs/>
                <w:sz w:val="18"/>
                <w:szCs w:val="18"/>
              </w:rPr>
              <w:t xml:space="preserve"> </w:t>
            </w:r>
            <w:r w:rsidR="001F43CD" w:rsidRPr="001F43CD">
              <w:rPr>
                <w:rFonts w:ascii="Arial Narrow" w:eastAsia="MS Gothic" w:hAnsi="Arial Narrow" w:cs="Times New Roman"/>
                <w:bCs/>
                <w:sz w:val="18"/>
                <w:szCs w:val="18"/>
                <w:highlight w:val="black"/>
              </w:rPr>
              <w:t>@@@@</w:t>
            </w:r>
            <w:r w:rsidR="00845530" w:rsidRPr="006531FE">
              <w:rPr>
                <w:rFonts w:ascii="Arial Narrow" w:eastAsia="MS Gothic" w:hAnsi="Arial Narrow" w:cs="Times New Roman"/>
                <w:bCs/>
                <w:sz w:val="18"/>
                <w:szCs w:val="18"/>
                <w:vertAlign w:val="superscript"/>
              </w:rPr>
              <w:t>1</w:t>
            </w:r>
            <w:r w:rsidRPr="006531FE">
              <w:rPr>
                <w:rFonts w:ascii="Arial Narrow" w:eastAsia="MS Gothic" w:hAnsi="Arial Narrow" w:cs="Times New Roman"/>
                <w:bCs/>
                <w:sz w:val="18"/>
                <w:szCs w:val="18"/>
              </w:rPr>
              <w:t xml:space="preserve"> </w:t>
            </w:r>
          </w:p>
        </w:tc>
        <w:tc>
          <w:tcPr>
            <w:tcW w:w="597" w:type="pct"/>
            <w:tcBorders>
              <w:top w:val="single" w:sz="4" w:space="0" w:color="auto"/>
              <w:left w:val="single" w:sz="4" w:space="0" w:color="auto"/>
              <w:bottom w:val="single" w:sz="4" w:space="0" w:color="auto"/>
              <w:right w:val="single" w:sz="4" w:space="0" w:color="auto"/>
            </w:tcBorders>
            <w:vAlign w:val="bottom"/>
          </w:tcPr>
          <w:p w14:paraId="57B63AE5" w14:textId="66ACC78A" w:rsidR="00360A88" w:rsidRPr="006531FE" w:rsidRDefault="00360A88" w:rsidP="008028C6">
            <w:pPr>
              <w:keepNext/>
              <w:keepLines/>
              <w:jc w:val="right"/>
              <w:rPr>
                <w:rFonts w:ascii="Arial Narrow" w:eastAsia="MS Gothic" w:hAnsi="Arial Narrow" w:cs="Times New Roman"/>
                <w:bCs/>
                <w:sz w:val="18"/>
                <w:szCs w:val="18"/>
              </w:rPr>
            </w:pPr>
            <w:r w:rsidRPr="006531FE">
              <w:rPr>
                <w:rFonts w:ascii="Arial Narrow" w:eastAsia="MS Gothic" w:hAnsi="Arial Narrow" w:cs="Times New Roman"/>
                <w:bCs/>
                <w:sz w:val="18"/>
                <w:szCs w:val="18"/>
              </w:rPr>
              <w:t xml:space="preserve"> </w:t>
            </w:r>
            <w:r w:rsidR="001F43CD" w:rsidRPr="001F43CD">
              <w:rPr>
                <w:rFonts w:ascii="Arial Narrow" w:eastAsia="MS Gothic" w:hAnsi="Arial Narrow" w:cs="Times New Roman"/>
                <w:bCs/>
                <w:sz w:val="18"/>
                <w:szCs w:val="18"/>
                <w:highlight w:val="black"/>
              </w:rPr>
              <w:t>@@@@</w:t>
            </w:r>
            <w:r w:rsidR="00845530" w:rsidRPr="006531FE">
              <w:rPr>
                <w:rFonts w:ascii="Arial Narrow" w:eastAsia="MS Gothic" w:hAnsi="Arial Narrow" w:cs="Times New Roman"/>
                <w:bCs/>
                <w:sz w:val="18"/>
                <w:szCs w:val="18"/>
                <w:vertAlign w:val="superscript"/>
              </w:rPr>
              <w:t>1</w:t>
            </w:r>
            <w:r w:rsidRPr="006531FE">
              <w:rPr>
                <w:rFonts w:ascii="Arial Narrow" w:eastAsia="MS Gothic" w:hAnsi="Arial Narrow" w:cs="Times New Roman"/>
                <w:bCs/>
                <w:sz w:val="18"/>
                <w:szCs w:val="18"/>
              </w:rPr>
              <w:t xml:space="preserve"> </w:t>
            </w:r>
          </w:p>
        </w:tc>
        <w:tc>
          <w:tcPr>
            <w:tcW w:w="597" w:type="pct"/>
            <w:tcBorders>
              <w:top w:val="single" w:sz="4" w:space="0" w:color="auto"/>
              <w:left w:val="single" w:sz="4" w:space="0" w:color="auto"/>
              <w:bottom w:val="single" w:sz="4" w:space="0" w:color="auto"/>
              <w:right w:val="single" w:sz="4" w:space="0" w:color="auto"/>
            </w:tcBorders>
            <w:vAlign w:val="bottom"/>
          </w:tcPr>
          <w:p w14:paraId="04FE4594" w14:textId="1830D2C9" w:rsidR="00360A88" w:rsidRPr="006531FE" w:rsidRDefault="00360A88" w:rsidP="008028C6">
            <w:pPr>
              <w:keepNext/>
              <w:keepLines/>
              <w:jc w:val="right"/>
              <w:rPr>
                <w:rFonts w:ascii="Arial Narrow" w:eastAsia="MS Gothic" w:hAnsi="Arial Narrow" w:cs="Times New Roman"/>
                <w:bCs/>
                <w:sz w:val="18"/>
                <w:szCs w:val="18"/>
              </w:rPr>
            </w:pPr>
            <w:r w:rsidRPr="006531FE">
              <w:rPr>
                <w:rFonts w:ascii="Arial Narrow" w:eastAsia="MS Gothic" w:hAnsi="Arial Narrow" w:cs="Times New Roman"/>
                <w:bCs/>
                <w:sz w:val="18"/>
                <w:szCs w:val="18"/>
              </w:rPr>
              <w:t xml:space="preserve"> </w:t>
            </w:r>
            <w:r w:rsidR="001F43CD" w:rsidRPr="001F43CD">
              <w:rPr>
                <w:rFonts w:ascii="Arial Narrow" w:eastAsia="MS Gothic" w:hAnsi="Arial Narrow" w:cs="Times New Roman"/>
                <w:bCs/>
                <w:sz w:val="18"/>
                <w:szCs w:val="18"/>
                <w:highlight w:val="black"/>
              </w:rPr>
              <w:t>@@@@</w:t>
            </w:r>
            <w:r w:rsidR="00845530" w:rsidRPr="006531FE">
              <w:rPr>
                <w:rFonts w:ascii="Arial Narrow" w:eastAsia="MS Gothic" w:hAnsi="Arial Narrow" w:cs="Times New Roman"/>
                <w:bCs/>
                <w:sz w:val="18"/>
                <w:szCs w:val="18"/>
                <w:vertAlign w:val="superscript"/>
              </w:rPr>
              <w:t>1</w:t>
            </w:r>
            <w:r w:rsidRPr="006531FE">
              <w:rPr>
                <w:rFonts w:ascii="Arial Narrow" w:eastAsia="MS Gothic" w:hAnsi="Arial Narrow" w:cs="Times New Roman"/>
                <w:bCs/>
                <w:sz w:val="18"/>
                <w:szCs w:val="18"/>
              </w:rPr>
              <w:t xml:space="preserve"> </w:t>
            </w:r>
          </w:p>
        </w:tc>
        <w:tc>
          <w:tcPr>
            <w:tcW w:w="597" w:type="pct"/>
            <w:tcBorders>
              <w:top w:val="single" w:sz="4" w:space="0" w:color="auto"/>
              <w:left w:val="single" w:sz="4" w:space="0" w:color="auto"/>
              <w:bottom w:val="single" w:sz="4" w:space="0" w:color="auto"/>
              <w:right w:val="single" w:sz="4" w:space="0" w:color="auto"/>
            </w:tcBorders>
            <w:vAlign w:val="bottom"/>
          </w:tcPr>
          <w:p w14:paraId="29BFDED6" w14:textId="0BD74A36" w:rsidR="00360A88" w:rsidRPr="006531FE" w:rsidRDefault="00360A88" w:rsidP="008028C6">
            <w:pPr>
              <w:keepNext/>
              <w:keepLines/>
              <w:jc w:val="right"/>
              <w:rPr>
                <w:rFonts w:ascii="Arial Narrow" w:eastAsia="MS Gothic" w:hAnsi="Arial Narrow" w:cs="Times New Roman"/>
                <w:bCs/>
                <w:sz w:val="18"/>
                <w:szCs w:val="18"/>
              </w:rPr>
            </w:pPr>
            <w:r w:rsidRPr="006531FE">
              <w:rPr>
                <w:rFonts w:ascii="Arial Narrow" w:eastAsia="MS Gothic" w:hAnsi="Arial Narrow" w:cs="Times New Roman"/>
                <w:bCs/>
                <w:sz w:val="18"/>
                <w:szCs w:val="18"/>
              </w:rPr>
              <w:t xml:space="preserve"> </w:t>
            </w:r>
            <w:r w:rsidR="001F43CD" w:rsidRPr="001F43CD">
              <w:rPr>
                <w:rFonts w:ascii="Arial Narrow" w:eastAsia="MS Gothic" w:hAnsi="Arial Narrow" w:cs="Times New Roman"/>
                <w:bCs/>
                <w:sz w:val="18"/>
                <w:szCs w:val="18"/>
                <w:highlight w:val="black"/>
              </w:rPr>
              <w:t>@@@@</w:t>
            </w:r>
            <w:r w:rsidR="00845530" w:rsidRPr="006531FE">
              <w:rPr>
                <w:rFonts w:ascii="Arial Narrow" w:eastAsia="MS Gothic" w:hAnsi="Arial Narrow" w:cs="Times New Roman"/>
                <w:bCs/>
                <w:sz w:val="18"/>
                <w:szCs w:val="18"/>
                <w:vertAlign w:val="superscript"/>
              </w:rPr>
              <w:t>1</w:t>
            </w:r>
            <w:r w:rsidRPr="006531FE">
              <w:rPr>
                <w:rFonts w:ascii="Arial Narrow" w:eastAsia="MS Gothic" w:hAnsi="Arial Narrow" w:cs="Times New Roman"/>
                <w:bCs/>
                <w:sz w:val="18"/>
                <w:szCs w:val="18"/>
              </w:rPr>
              <w:t xml:space="preserve"> </w:t>
            </w:r>
          </w:p>
        </w:tc>
        <w:tc>
          <w:tcPr>
            <w:tcW w:w="597" w:type="pct"/>
            <w:tcBorders>
              <w:top w:val="single" w:sz="4" w:space="0" w:color="auto"/>
              <w:left w:val="single" w:sz="4" w:space="0" w:color="auto"/>
              <w:bottom w:val="single" w:sz="4" w:space="0" w:color="auto"/>
              <w:right w:val="single" w:sz="4" w:space="0" w:color="auto"/>
            </w:tcBorders>
            <w:vAlign w:val="bottom"/>
          </w:tcPr>
          <w:p w14:paraId="40D487B1" w14:textId="795A5B2F" w:rsidR="00360A88" w:rsidRPr="006531FE" w:rsidRDefault="00360A88" w:rsidP="008028C6">
            <w:pPr>
              <w:keepNext/>
              <w:keepLines/>
              <w:jc w:val="right"/>
              <w:rPr>
                <w:rFonts w:ascii="Arial Narrow" w:eastAsia="MS Gothic" w:hAnsi="Arial Narrow" w:cs="Times New Roman"/>
                <w:bCs/>
                <w:sz w:val="18"/>
                <w:szCs w:val="18"/>
              </w:rPr>
            </w:pPr>
            <w:r w:rsidRPr="006531FE">
              <w:rPr>
                <w:rFonts w:ascii="Arial Narrow" w:eastAsia="MS Gothic" w:hAnsi="Arial Narrow" w:cs="Times New Roman"/>
                <w:bCs/>
                <w:sz w:val="18"/>
                <w:szCs w:val="18"/>
              </w:rPr>
              <w:t xml:space="preserve"> </w:t>
            </w:r>
            <w:r w:rsidR="001F43CD" w:rsidRPr="001F43CD">
              <w:rPr>
                <w:rFonts w:ascii="Arial Narrow" w:eastAsia="MS Gothic" w:hAnsi="Arial Narrow" w:cs="Times New Roman"/>
                <w:bCs/>
                <w:sz w:val="18"/>
                <w:szCs w:val="18"/>
                <w:highlight w:val="black"/>
              </w:rPr>
              <w:t>@@@@</w:t>
            </w:r>
            <w:r w:rsidR="00845530" w:rsidRPr="006531FE">
              <w:rPr>
                <w:rFonts w:ascii="Arial Narrow" w:eastAsia="MS Gothic" w:hAnsi="Arial Narrow" w:cs="Times New Roman"/>
                <w:bCs/>
                <w:sz w:val="18"/>
                <w:szCs w:val="18"/>
                <w:vertAlign w:val="superscript"/>
              </w:rPr>
              <w:t>1</w:t>
            </w:r>
            <w:r w:rsidRPr="006531FE">
              <w:rPr>
                <w:rFonts w:ascii="Arial Narrow" w:eastAsia="MS Gothic" w:hAnsi="Arial Narrow" w:cs="Times New Roman"/>
                <w:bCs/>
                <w:sz w:val="18"/>
                <w:szCs w:val="18"/>
              </w:rPr>
              <w:t xml:space="preserve"> </w:t>
            </w:r>
          </w:p>
        </w:tc>
        <w:tc>
          <w:tcPr>
            <w:tcW w:w="597" w:type="pct"/>
            <w:tcBorders>
              <w:top w:val="single" w:sz="4" w:space="0" w:color="auto"/>
              <w:left w:val="single" w:sz="4" w:space="0" w:color="auto"/>
              <w:bottom w:val="single" w:sz="4" w:space="0" w:color="auto"/>
              <w:right w:val="single" w:sz="4" w:space="0" w:color="auto"/>
            </w:tcBorders>
            <w:vAlign w:val="bottom"/>
          </w:tcPr>
          <w:p w14:paraId="346663DF" w14:textId="4BB7B7D6" w:rsidR="00360A88" w:rsidRPr="006531FE" w:rsidRDefault="00360A88" w:rsidP="008028C6">
            <w:pPr>
              <w:keepNext/>
              <w:keepLines/>
              <w:jc w:val="right"/>
              <w:rPr>
                <w:rFonts w:ascii="Arial Narrow" w:eastAsia="MS Gothic" w:hAnsi="Arial Narrow" w:cs="Times New Roman"/>
                <w:bCs/>
                <w:sz w:val="18"/>
                <w:szCs w:val="18"/>
              </w:rPr>
            </w:pPr>
            <w:r w:rsidRPr="006531FE">
              <w:rPr>
                <w:rFonts w:ascii="Arial Narrow" w:eastAsia="MS Gothic" w:hAnsi="Arial Narrow" w:cs="Times New Roman"/>
                <w:bCs/>
                <w:sz w:val="18"/>
                <w:szCs w:val="18"/>
              </w:rPr>
              <w:t xml:space="preserve"> </w:t>
            </w:r>
            <w:r w:rsidR="001F43CD" w:rsidRPr="001F43CD">
              <w:rPr>
                <w:rFonts w:ascii="Arial Narrow" w:eastAsia="MS Gothic" w:hAnsi="Arial Narrow" w:cs="Times New Roman"/>
                <w:bCs/>
                <w:sz w:val="18"/>
                <w:szCs w:val="18"/>
                <w:highlight w:val="black"/>
              </w:rPr>
              <w:t>@@@@</w:t>
            </w:r>
            <w:r w:rsidR="00845530" w:rsidRPr="006531FE">
              <w:rPr>
                <w:rFonts w:ascii="Arial Narrow" w:eastAsia="MS Gothic" w:hAnsi="Arial Narrow" w:cs="Times New Roman"/>
                <w:bCs/>
                <w:sz w:val="18"/>
                <w:szCs w:val="18"/>
                <w:vertAlign w:val="superscript"/>
              </w:rPr>
              <w:t>1</w:t>
            </w:r>
            <w:r w:rsidRPr="006531FE">
              <w:rPr>
                <w:rFonts w:ascii="Arial Narrow" w:eastAsia="MS Gothic" w:hAnsi="Arial Narrow" w:cs="Times New Roman"/>
                <w:bCs/>
                <w:sz w:val="18"/>
                <w:szCs w:val="18"/>
              </w:rPr>
              <w:t xml:space="preserve"> </w:t>
            </w:r>
          </w:p>
        </w:tc>
      </w:tr>
      <w:tr w:rsidR="009160CC" w:rsidRPr="006531FE" w14:paraId="46006E73" w14:textId="77777777" w:rsidTr="001A3657">
        <w:tc>
          <w:tcPr>
            <w:tcW w:w="1418" w:type="pct"/>
            <w:tcBorders>
              <w:top w:val="single" w:sz="4" w:space="0" w:color="auto"/>
              <w:left w:val="single" w:sz="4" w:space="0" w:color="auto"/>
              <w:bottom w:val="single" w:sz="4" w:space="0" w:color="auto"/>
              <w:right w:val="single" w:sz="4" w:space="0" w:color="auto"/>
            </w:tcBorders>
            <w:vAlign w:val="center"/>
          </w:tcPr>
          <w:p w14:paraId="728620BE" w14:textId="77777777" w:rsidR="00360A88" w:rsidRPr="006531FE" w:rsidRDefault="00360A88" w:rsidP="008028C6">
            <w:pPr>
              <w:keepNext/>
              <w:keepLines/>
              <w:jc w:val="left"/>
              <w:rPr>
                <w:rFonts w:ascii="Arial Narrow" w:eastAsia="MS Gothic" w:hAnsi="Arial Narrow" w:cs="Times New Roman"/>
                <w:bCs/>
                <w:sz w:val="18"/>
                <w:szCs w:val="18"/>
              </w:rPr>
            </w:pPr>
            <w:r w:rsidRPr="006531FE">
              <w:rPr>
                <w:rFonts w:ascii="Arial Narrow" w:eastAsia="MS Gothic" w:hAnsi="Arial Narrow" w:cs="Times New Roman"/>
                <w:bCs/>
                <w:sz w:val="18"/>
                <w:szCs w:val="18"/>
              </w:rPr>
              <w:t>Continuing patients</w:t>
            </w:r>
          </w:p>
        </w:tc>
        <w:tc>
          <w:tcPr>
            <w:tcW w:w="597" w:type="pct"/>
            <w:tcBorders>
              <w:top w:val="single" w:sz="4" w:space="0" w:color="auto"/>
              <w:left w:val="single" w:sz="4" w:space="0" w:color="auto"/>
              <w:bottom w:val="single" w:sz="4" w:space="0" w:color="auto"/>
              <w:right w:val="single" w:sz="4" w:space="0" w:color="auto"/>
            </w:tcBorders>
            <w:vAlign w:val="bottom"/>
          </w:tcPr>
          <w:p w14:paraId="1EA30FA3" w14:textId="478355E4" w:rsidR="00360A88"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845530" w:rsidRPr="006531FE">
              <w:rPr>
                <w:rFonts w:ascii="Arial Narrow" w:eastAsia="MS Gothic" w:hAnsi="Arial Narrow" w:cs="Times New Roman"/>
                <w:bCs/>
                <w:sz w:val="18"/>
                <w:szCs w:val="18"/>
                <w:vertAlign w:val="superscript"/>
              </w:rPr>
              <w:t>1</w:t>
            </w:r>
            <w:r w:rsidRPr="001F43CD">
              <w:rPr>
                <w:rFonts w:ascii="Arial Narrow" w:eastAsia="MS Gothic" w:hAnsi="Arial Narrow" w:cs="Times New Roman"/>
                <w:bCs/>
                <w:sz w:val="18"/>
                <w:szCs w:val="18"/>
                <w:highlight w:val="black"/>
              </w:rPr>
              <w:t>@@@@</w:t>
            </w:r>
          </w:p>
        </w:tc>
        <w:tc>
          <w:tcPr>
            <w:tcW w:w="597" w:type="pct"/>
            <w:tcBorders>
              <w:top w:val="single" w:sz="4" w:space="0" w:color="auto"/>
              <w:left w:val="single" w:sz="4" w:space="0" w:color="auto"/>
              <w:bottom w:val="single" w:sz="4" w:space="0" w:color="auto"/>
              <w:right w:val="single" w:sz="4" w:space="0" w:color="auto"/>
            </w:tcBorders>
            <w:vAlign w:val="bottom"/>
          </w:tcPr>
          <w:p w14:paraId="709BA85E" w14:textId="12859365" w:rsidR="00360A88"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845530" w:rsidRPr="006531FE">
              <w:rPr>
                <w:rFonts w:ascii="Arial Narrow" w:eastAsia="MS Gothic" w:hAnsi="Arial Narrow" w:cs="Times New Roman"/>
                <w:bCs/>
                <w:sz w:val="18"/>
                <w:szCs w:val="18"/>
                <w:vertAlign w:val="superscript"/>
              </w:rPr>
              <w:t>1</w:t>
            </w:r>
            <w:r w:rsidRPr="001F43CD">
              <w:rPr>
                <w:rFonts w:ascii="Arial Narrow" w:eastAsia="MS Gothic" w:hAnsi="Arial Narrow" w:cs="Times New Roman"/>
                <w:bCs/>
                <w:sz w:val="18"/>
                <w:szCs w:val="18"/>
                <w:highlight w:val="black"/>
              </w:rPr>
              <w:t>@@@@</w:t>
            </w:r>
          </w:p>
        </w:tc>
        <w:tc>
          <w:tcPr>
            <w:tcW w:w="597" w:type="pct"/>
            <w:tcBorders>
              <w:top w:val="single" w:sz="4" w:space="0" w:color="auto"/>
              <w:left w:val="single" w:sz="4" w:space="0" w:color="auto"/>
              <w:bottom w:val="single" w:sz="4" w:space="0" w:color="auto"/>
              <w:right w:val="single" w:sz="4" w:space="0" w:color="auto"/>
            </w:tcBorders>
            <w:vAlign w:val="bottom"/>
          </w:tcPr>
          <w:p w14:paraId="1E971B48" w14:textId="61CC5DB7" w:rsidR="00360A88"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845530" w:rsidRPr="006531FE">
              <w:rPr>
                <w:rFonts w:ascii="Arial Narrow" w:eastAsia="MS Gothic" w:hAnsi="Arial Narrow" w:cs="Times New Roman"/>
                <w:bCs/>
                <w:sz w:val="18"/>
                <w:szCs w:val="18"/>
                <w:vertAlign w:val="superscript"/>
              </w:rPr>
              <w:t>1</w:t>
            </w:r>
            <w:r w:rsidRPr="001F43CD">
              <w:rPr>
                <w:rFonts w:ascii="Arial Narrow" w:eastAsia="MS Gothic" w:hAnsi="Arial Narrow" w:cs="Times New Roman"/>
                <w:bCs/>
                <w:sz w:val="18"/>
                <w:szCs w:val="18"/>
                <w:highlight w:val="black"/>
              </w:rPr>
              <w:t>@@@@</w:t>
            </w:r>
          </w:p>
        </w:tc>
        <w:tc>
          <w:tcPr>
            <w:tcW w:w="597" w:type="pct"/>
            <w:tcBorders>
              <w:top w:val="single" w:sz="4" w:space="0" w:color="auto"/>
              <w:left w:val="single" w:sz="4" w:space="0" w:color="auto"/>
              <w:bottom w:val="single" w:sz="4" w:space="0" w:color="auto"/>
              <w:right w:val="single" w:sz="4" w:space="0" w:color="auto"/>
            </w:tcBorders>
            <w:vAlign w:val="bottom"/>
          </w:tcPr>
          <w:p w14:paraId="25FE59D2" w14:textId="49B24ECE" w:rsidR="00360A88"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845530" w:rsidRPr="006531FE">
              <w:rPr>
                <w:rFonts w:ascii="Arial Narrow" w:eastAsia="MS Gothic" w:hAnsi="Arial Narrow" w:cs="Times New Roman"/>
                <w:bCs/>
                <w:sz w:val="18"/>
                <w:szCs w:val="18"/>
                <w:vertAlign w:val="superscript"/>
              </w:rPr>
              <w:t>1</w:t>
            </w:r>
            <w:r w:rsidRPr="001F43CD">
              <w:rPr>
                <w:rFonts w:ascii="Arial Narrow" w:eastAsia="MS Gothic" w:hAnsi="Arial Narrow" w:cs="Times New Roman"/>
                <w:bCs/>
                <w:sz w:val="18"/>
                <w:szCs w:val="18"/>
                <w:highlight w:val="black"/>
              </w:rPr>
              <w:t>@@@@</w:t>
            </w:r>
          </w:p>
        </w:tc>
        <w:tc>
          <w:tcPr>
            <w:tcW w:w="597" w:type="pct"/>
            <w:tcBorders>
              <w:top w:val="single" w:sz="4" w:space="0" w:color="auto"/>
              <w:left w:val="single" w:sz="4" w:space="0" w:color="auto"/>
              <w:bottom w:val="single" w:sz="4" w:space="0" w:color="auto"/>
              <w:right w:val="single" w:sz="4" w:space="0" w:color="auto"/>
            </w:tcBorders>
            <w:vAlign w:val="bottom"/>
          </w:tcPr>
          <w:p w14:paraId="29C89DC4" w14:textId="52D882CE" w:rsidR="00360A88"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845530" w:rsidRPr="006531FE">
              <w:rPr>
                <w:rFonts w:ascii="Arial Narrow" w:eastAsia="MS Gothic" w:hAnsi="Arial Narrow" w:cs="Times New Roman"/>
                <w:bCs/>
                <w:sz w:val="18"/>
                <w:szCs w:val="18"/>
                <w:vertAlign w:val="superscript"/>
              </w:rPr>
              <w:t>1</w:t>
            </w:r>
            <w:r w:rsidRPr="001F43CD">
              <w:rPr>
                <w:rFonts w:ascii="Arial Narrow" w:eastAsia="MS Gothic" w:hAnsi="Arial Narrow" w:cs="Times New Roman"/>
                <w:bCs/>
                <w:sz w:val="18"/>
                <w:szCs w:val="18"/>
                <w:highlight w:val="black"/>
              </w:rPr>
              <w:t>@@@@</w:t>
            </w:r>
          </w:p>
        </w:tc>
        <w:tc>
          <w:tcPr>
            <w:tcW w:w="597" w:type="pct"/>
            <w:tcBorders>
              <w:top w:val="single" w:sz="4" w:space="0" w:color="auto"/>
              <w:left w:val="single" w:sz="4" w:space="0" w:color="auto"/>
              <w:bottom w:val="single" w:sz="4" w:space="0" w:color="auto"/>
              <w:right w:val="single" w:sz="4" w:space="0" w:color="auto"/>
            </w:tcBorders>
            <w:vAlign w:val="bottom"/>
          </w:tcPr>
          <w:p w14:paraId="10591ED4" w14:textId="0A3A4498" w:rsidR="00360A88"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845530" w:rsidRPr="006531FE">
              <w:rPr>
                <w:rFonts w:ascii="Arial Narrow" w:eastAsia="MS Gothic" w:hAnsi="Arial Narrow" w:cs="Times New Roman"/>
                <w:bCs/>
                <w:sz w:val="18"/>
                <w:szCs w:val="18"/>
                <w:vertAlign w:val="superscript"/>
              </w:rPr>
              <w:t>1</w:t>
            </w:r>
            <w:r w:rsidRPr="001F43CD">
              <w:rPr>
                <w:rFonts w:ascii="Arial Narrow" w:eastAsia="MS Gothic" w:hAnsi="Arial Narrow" w:cs="Times New Roman"/>
                <w:bCs/>
                <w:sz w:val="18"/>
                <w:szCs w:val="18"/>
                <w:highlight w:val="black"/>
              </w:rPr>
              <w:t>@@@@</w:t>
            </w:r>
          </w:p>
        </w:tc>
      </w:tr>
      <w:tr w:rsidR="009160CC" w:rsidRPr="006531FE" w14:paraId="2519B49B" w14:textId="77777777" w:rsidTr="001A3657">
        <w:tc>
          <w:tcPr>
            <w:tcW w:w="1418" w:type="pct"/>
            <w:tcBorders>
              <w:top w:val="single" w:sz="4" w:space="0" w:color="auto"/>
              <w:left w:val="single" w:sz="4" w:space="0" w:color="auto"/>
              <w:bottom w:val="single" w:sz="4" w:space="0" w:color="auto"/>
              <w:right w:val="single" w:sz="4" w:space="0" w:color="auto"/>
            </w:tcBorders>
            <w:vAlign w:val="center"/>
          </w:tcPr>
          <w:p w14:paraId="199A1DE7" w14:textId="77777777" w:rsidR="00360A88" w:rsidRPr="006531FE" w:rsidRDefault="00360A88" w:rsidP="008028C6">
            <w:pPr>
              <w:keepNext/>
              <w:keepLines/>
              <w:jc w:val="left"/>
              <w:rPr>
                <w:rFonts w:ascii="Arial Narrow" w:eastAsia="MS Gothic" w:hAnsi="Arial Narrow" w:cs="Times New Roman"/>
                <w:bCs/>
                <w:sz w:val="18"/>
                <w:szCs w:val="18"/>
              </w:rPr>
            </w:pPr>
            <w:r w:rsidRPr="006531FE">
              <w:rPr>
                <w:rFonts w:ascii="Arial Narrow" w:eastAsia="MS Gothic" w:hAnsi="Arial Narrow" w:cs="Times New Roman"/>
                <w:bCs/>
                <w:sz w:val="18"/>
                <w:szCs w:val="18"/>
              </w:rPr>
              <w:t>Total patients on treatment</w:t>
            </w:r>
          </w:p>
        </w:tc>
        <w:tc>
          <w:tcPr>
            <w:tcW w:w="597" w:type="pct"/>
            <w:tcBorders>
              <w:top w:val="single" w:sz="4" w:space="0" w:color="auto"/>
              <w:left w:val="single" w:sz="4" w:space="0" w:color="auto"/>
              <w:bottom w:val="single" w:sz="4" w:space="0" w:color="auto"/>
              <w:right w:val="single" w:sz="4" w:space="0" w:color="auto"/>
            </w:tcBorders>
            <w:vAlign w:val="bottom"/>
          </w:tcPr>
          <w:p w14:paraId="4879DE84" w14:textId="0B50A71C" w:rsidR="00360A88"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845530" w:rsidRPr="006531FE">
              <w:rPr>
                <w:rFonts w:ascii="Arial Narrow" w:eastAsia="MS Gothic" w:hAnsi="Arial Narrow" w:cs="Times New Roman"/>
                <w:bCs/>
                <w:sz w:val="18"/>
                <w:szCs w:val="18"/>
                <w:vertAlign w:val="superscript"/>
              </w:rPr>
              <w:t>1</w:t>
            </w:r>
            <w:r w:rsidRPr="001F43CD">
              <w:rPr>
                <w:rFonts w:ascii="Arial Narrow" w:eastAsia="MS Gothic" w:hAnsi="Arial Narrow" w:cs="Times New Roman"/>
                <w:bCs/>
                <w:sz w:val="18"/>
                <w:szCs w:val="18"/>
                <w:highlight w:val="black"/>
              </w:rPr>
              <w:t>@@@@</w:t>
            </w:r>
          </w:p>
        </w:tc>
        <w:tc>
          <w:tcPr>
            <w:tcW w:w="597" w:type="pct"/>
            <w:tcBorders>
              <w:top w:val="single" w:sz="4" w:space="0" w:color="auto"/>
              <w:left w:val="single" w:sz="4" w:space="0" w:color="auto"/>
              <w:bottom w:val="single" w:sz="4" w:space="0" w:color="auto"/>
              <w:right w:val="single" w:sz="4" w:space="0" w:color="auto"/>
            </w:tcBorders>
            <w:vAlign w:val="bottom"/>
          </w:tcPr>
          <w:p w14:paraId="065A3F41" w14:textId="76EB18BC" w:rsidR="00360A88"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845530" w:rsidRPr="006531FE">
              <w:rPr>
                <w:rFonts w:ascii="Arial Narrow" w:eastAsia="MS Gothic" w:hAnsi="Arial Narrow" w:cs="Times New Roman"/>
                <w:bCs/>
                <w:sz w:val="18"/>
                <w:szCs w:val="18"/>
                <w:vertAlign w:val="superscript"/>
              </w:rPr>
              <w:t>1</w:t>
            </w:r>
          </w:p>
        </w:tc>
        <w:tc>
          <w:tcPr>
            <w:tcW w:w="597" w:type="pct"/>
            <w:tcBorders>
              <w:top w:val="single" w:sz="4" w:space="0" w:color="auto"/>
              <w:left w:val="single" w:sz="4" w:space="0" w:color="auto"/>
              <w:bottom w:val="single" w:sz="4" w:space="0" w:color="auto"/>
              <w:right w:val="single" w:sz="4" w:space="0" w:color="auto"/>
            </w:tcBorders>
            <w:vAlign w:val="bottom"/>
          </w:tcPr>
          <w:p w14:paraId="4F395729" w14:textId="1F03310B" w:rsidR="00360A88"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845530" w:rsidRPr="006531FE">
              <w:rPr>
                <w:rFonts w:ascii="Arial Narrow" w:eastAsia="MS Gothic" w:hAnsi="Arial Narrow" w:cs="Times New Roman"/>
                <w:bCs/>
                <w:sz w:val="18"/>
                <w:szCs w:val="18"/>
                <w:vertAlign w:val="superscript"/>
              </w:rPr>
              <w:t>1</w:t>
            </w:r>
            <w:r w:rsidRPr="001F43CD">
              <w:rPr>
                <w:rFonts w:ascii="Arial Narrow" w:eastAsia="MS Gothic" w:hAnsi="Arial Narrow" w:cs="Times New Roman"/>
                <w:bCs/>
                <w:sz w:val="18"/>
                <w:szCs w:val="18"/>
                <w:highlight w:val="black"/>
              </w:rPr>
              <w:t>@@@@</w:t>
            </w:r>
          </w:p>
        </w:tc>
        <w:tc>
          <w:tcPr>
            <w:tcW w:w="597" w:type="pct"/>
            <w:tcBorders>
              <w:top w:val="single" w:sz="4" w:space="0" w:color="auto"/>
              <w:left w:val="single" w:sz="4" w:space="0" w:color="auto"/>
              <w:bottom w:val="single" w:sz="4" w:space="0" w:color="auto"/>
              <w:right w:val="single" w:sz="4" w:space="0" w:color="auto"/>
            </w:tcBorders>
            <w:vAlign w:val="bottom"/>
          </w:tcPr>
          <w:p w14:paraId="65D1A2B9" w14:textId="2CECB237" w:rsidR="00360A88"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845530" w:rsidRPr="006531FE">
              <w:rPr>
                <w:rFonts w:ascii="Arial Narrow" w:eastAsia="MS Gothic" w:hAnsi="Arial Narrow" w:cs="Times New Roman"/>
                <w:bCs/>
                <w:sz w:val="18"/>
                <w:szCs w:val="18"/>
                <w:vertAlign w:val="superscript"/>
              </w:rPr>
              <w:t>1</w:t>
            </w:r>
            <w:r w:rsidRPr="001F43CD">
              <w:rPr>
                <w:rFonts w:ascii="Arial Narrow" w:eastAsia="MS Gothic" w:hAnsi="Arial Narrow" w:cs="Times New Roman"/>
                <w:bCs/>
                <w:sz w:val="18"/>
                <w:szCs w:val="18"/>
                <w:highlight w:val="black"/>
              </w:rPr>
              <w:t>@@@@</w:t>
            </w:r>
          </w:p>
        </w:tc>
        <w:tc>
          <w:tcPr>
            <w:tcW w:w="597" w:type="pct"/>
            <w:tcBorders>
              <w:top w:val="single" w:sz="4" w:space="0" w:color="auto"/>
              <w:left w:val="single" w:sz="4" w:space="0" w:color="auto"/>
              <w:bottom w:val="single" w:sz="4" w:space="0" w:color="auto"/>
              <w:right w:val="single" w:sz="4" w:space="0" w:color="auto"/>
            </w:tcBorders>
            <w:vAlign w:val="bottom"/>
          </w:tcPr>
          <w:p w14:paraId="365C8373" w14:textId="5C600BB9" w:rsidR="00360A88"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845530" w:rsidRPr="006531FE">
              <w:rPr>
                <w:rFonts w:ascii="Arial Narrow" w:eastAsia="MS Gothic" w:hAnsi="Arial Narrow" w:cs="Times New Roman"/>
                <w:bCs/>
                <w:sz w:val="18"/>
                <w:szCs w:val="18"/>
                <w:vertAlign w:val="superscript"/>
              </w:rPr>
              <w:t>1</w:t>
            </w:r>
            <w:r w:rsidRPr="001F43CD">
              <w:rPr>
                <w:rFonts w:ascii="Arial Narrow" w:eastAsia="MS Gothic" w:hAnsi="Arial Narrow" w:cs="Times New Roman"/>
                <w:bCs/>
                <w:sz w:val="18"/>
                <w:szCs w:val="18"/>
                <w:highlight w:val="black"/>
              </w:rPr>
              <w:t>@@@@</w:t>
            </w:r>
          </w:p>
        </w:tc>
        <w:tc>
          <w:tcPr>
            <w:tcW w:w="597" w:type="pct"/>
            <w:tcBorders>
              <w:top w:val="single" w:sz="4" w:space="0" w:color="auto"/>
              <w:left w:val="single" w:sz="4" w:space="0" w:color="auto"/>
              <w:bottom w:val="single" w:sz="4" w:space="0" w:color="auto"/>
              <w:right w:val="single" w:sz="4" w:space="0" w:color="auto"/>
            </w:tcBorders>
            <w:vAlign w:val="bottom"/>
          </w:tcPr>
          <w:p w14:paraId="162BB05E" w14:textId="259B42B7" w:rsidR="00360A88"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845530" w:rsidRPr="006531FE">
              <w:rPr>
                <w:rFonts w:ascii="Arial Narrow" w:eastAsia="MS Gothic" w:hAnsi="Arial Narrow" w:cs="Times New Roman"/>
                <w:bCs/>
                <w:sz w:val="18"/>
                <w:szCs w:val="18"/>
                <w:vertAlign w:val="superscript"/>
              </w:rPr>
              <w:t>1</w:t>
            </w:r>
          </w:p>
        </w:tc>
      </w:tr>
      <w:tr w:rsidR="009160CC" w:rsidRPr="006531FE" w14:paraId="002D1D6A" w14:textId="77777777" w:rsidTr="001A3657">
        <w:tc>
          <w:tcPr>
            <w:tcW w:w="1418" w:type="pct"/>
            <w:tcBorders>
              <w:top w:val="single" w:sz="4" w:space="0" w:color="auto"/>
              <w:left w:val="single" w:sz="4" w:space="0" w:color="auto"/>
              <w:bottom w:val="single" w:sz="4" w:space="0" w:color="auto"/>
              <w:right w:val="single" w:sz="4" w:space="0" w:color="auto"/>
            </w:tcBorders>
            <w:vAlign w:val="center"/>
          </w:tcPr>
          <w:p w14:paraId="66326976" w14:textId="4AFEA534" w:rsidR="00360A88" w:rsidRPr="006531FE" w:rsidRDefault="00360A88" w:rsidP="008028C6">
            <w:pPr>
              <w:keepNext/>
              <w:keepLines/>
              <w:jc w:val="left"/>
              <w:rPr>
                <w:rFonts w:ascii="Arial Narrow" w:eastAsia="MS Gothic" w:hAnsi="Arial Narrow" w:cs="Times New Roman"/>
                <w:bCs/>
                <w:sz w:val="18"/>
                <w:szCs w:val="18"/>
                <w:vertAlign w:val="superscript"/>
              </w:rPr>
            </w:pPr>
            <w:r w:rsidRPr="006531FE">
              <w:rPr>
                <w:rFonts w:ascii="Arial Narrow" w:eastAsia="MS Gothic" w:hAnsi="Arial Narrow" w:cs="Times New Roman"/>
                <w:bCs/>
                <w:sz w:val="18"/>
                <w:szCs w:val="18"/>
              </w:rPr>
              <w:t>Script</w:t>
            </w:r>
            <w:r w:rsidR="00924498" w:rsidRPr="006531FE">
              <w:rPr>
                <w:rFonts w:ascii="Arial Narrow" w:eastAsia="MS Gothic" w:hAnsi="Arial Narrow" w:cs="Times New Roman"/>
                <w:bCs/>
                <w:sz w:val="18"/>
                <w:szCs w:val="18"/>
              </w:rPr>
              <w:t>s</w:t>
            </w:r>
            <w:r w:rsidRPr="006531FE">
              <w:rPr>
                <w:rFonts w:ascii="Arial Narrow" w:eastAsia="MS Gothic" w:hAnsi="Arial Narrow" w:cs="Times New Roman"/>
                <w:bCs/>
                <w:sz w:val="18"/>
                <w:szCs w:val="18"/>
              </w:rPr>
              <w:t xml:space="preserve"> per year</w:t>
            </w:r>
            <w:r w:rsidR="00BD5424" w:rsidRPr="006531FE">
              <w:rPr>
                <w:rFonts w:ascii="Arial Narrow" w:eastAsia="MS Gothic" w:hAnsi="Arial Narrow" w:cs="Times New Roman"/>
                <w:bCs/>
                <w:sz w:val="18"/>
                <w:szCs w:val="18"/>
              </w:rPr>
              <w:t xml:space="preserve"> (10.5 per patient)</w:t>
            </w:r>
            <w:r w:rsidR="009C24BB" w:rsidRPr="006531FE">
              <w:rPr>
                <w:rFonts w:ascii="Arial Narrow" w:eastAsia="MS Gothic" w:hAnsi="Arial Narrow" w:cs="Times New Roman"/>
                <w:bCs/>
                <w:sz w:val="18"/>
                <w:szCs w:val="18"/>
                <w:vertAlign w:val="superscript"/>
              </w:rPr>
              <w:t>a</w:t>
            </w:r>
          </w:p>
        </w:tc>
        <w:tc>
          <w:tcPr>
            <w:tcW w:w="597" w:type="pct"/>
            <w:tcBorders>
              <w:top w:val="single" w:sz="4" w:space="0" w:color="auto"/>
              <w:left w:val="single" w:sz="4" w:space="0" w:color="auto"/>
              <w:bottom w:val="single" w:sz="4" w:space="0" w:color="auto"/>
              <w:right w:val="single" w:sz="4" w:space="0" w:color="auto"/>
            </w:tcBorders>
            <w:vAlign w:val="bottom"/>
          </w:tcPr>
          <w:p w14:paraId="3704B4D3" w14:textId="73BF7CE7" w:rsidR="00360A88"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013BA7" w:rsidRPr="006531FE">
              <w:rPr>
                <w:rFonts w:ascii="Arial Narrow" w:eastAsia="MS Gothic" w:hAnsi="Arial Narrow" w:cs="Times New Roman"/>
                <w:bCs/>
                <w:sz w:val="18"/>
                <w:szCs w:val="18"/>
                <w:vertAlign w:val="superscript"/>
              </w:rPr>
              <w:t>2</w:t>
            </w:r>
            <w:r w:rsidRPr="001F43CD">
              <w:rPr>
                <w:rFonts w:ascii="Arial Narrow" w:eastAsia="MS Gothic" w:hAnsi="Arial Narrow" w:cs="Times New Roman"/>
                <w:bCs/>
                <w:sz w:val="18"/>
                <w:szCs w:val="18"/>
                <w:highlight w:val="black"/>
              </w:rPr>
              <w:t>@@@@</w:t>
            </w:r>
          </w:p>
        </w:tc>
        <w:tc>
          <w:tcPr>
            <w:tcW w:w="597" w:type="pct"/>
            <w:tcBorders>
              <w:top w:val="single" w:sz="4" w:space="0" w:color="auto"/>
              <w:left w:val="single" w:sz="4" w:space="0" w:color="auto"/>
              <w:bottom w:val="single" w:sz="4" w:space="0" w:color="auto"/>
              <w:right w:val="single" w:sz="4" w:space="0" w:color="auto"/>
            </w:tcBorders>
            <w:vAlign w:val="bottom"/>
          </w:tcPr>
          <w:p w14:paraId="4A99DE24" w14:textId="374CAE7A" w:rsidR="00360A88"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013BA7" w:rsidRPr="006531FE">
              <w:rPr>
                <w:rFonts w:ascii="Arial Narrow" w:eastAsia="MS Gothic" w:hAnsi="Arial Narrow" w:cs="Times New Roman"/>
                <w:bCs/>
                <w:sz w:val="18"/>
                <w:szCs w:val="18"/>
                <w:vertAlign w:val="superscript"/>
              </w:rPr>
              <w:t>2</w:t>
            </w:r>
            <w:r w:rsidRPr="001F43CD">
              <w:rPr>
                <w:rFonts w:ascii="Arial Narrow" w:eastAsia="MS Gothic" w:hAnsi="Arial Narrow" w:cs="Times New Roman"/>
                <w:bCs/>
                <w:sz w:val="18"/>
                <w:szCs w:val="18"/>
                <w:highlight w:val="black"/>
              </w:rPr>
              <w:t>@@@@</w:t>
            </w:r>
          </w:p>
        </w:tc>
        <w:tc>
          <w:tcPr>
            <w:tcW w:w="597" w:type="pct"/>
            <w:tcBorders>
              <w:top w:val="single" w:sz="4" w:space="0" w:color="auto"/>
              <w:left w:val="single" w:sz="4" w:space="0" w:color="auto"/>
              <w:bottom w:val="single" w:sz="4" w:space="0" w:color="auto"/>
              <w:right w:val="single" w:sz="4" w:space="0" w:color="auto"/>
            </w:tcBorders>
            <w:vAlign w:val="bottom"/>
          </w:tcPr>
          <w:p w14:paraId="0BEBDC9B" w14:textId="67C80BB7" w:rsidR="00360A88"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013BA7" w:rsidRPr="006531FE">
              <w:rPr>
                <w:rFonts w:ascii="Arial Narrow" w:eastAsia="MS Gothic" w:hAnsi="Arial Narrow" w:cs="Times New Roman"/>
                <w:bCs/>
                <w:sz w:val="18"/>
                <w:szCs w:val="18"/>
                <w:vertAlign w:val="superscript"/>
              </w:rPr>
              <w:t>2</w:t>
            </w:r>
            <w:r w:rsidRPr="001F43CD">
              <w:rPr>
                <w:rFonts w:ascii="Arial Narrow" w:eastAsia="MS Gothic" w:hAnsi="Arial Narrow" w:cs="Times New Roman"/>
                <w:bCs/>
                <w:sz w:val="18"/>
                <w:szCs w:val="18"/>
                <w:highlight w:val="black"/>
              </w:rPr>
              <w:t>@@@@</w:t>
            </w:r>
          </w:p>
        </w:tc>
        <w:tc>
          <w:tcPr>
            <w:tcW w:w="597" w:type="pct"/>
            <w:tcBorders>
              <w:top w:val="single" w:sz="4" w:space="0" w:color="auto"/>
              <w:left w:val="single" w:sz="4" w:space="0" w:color="auto"/>
              <w:bottom w:val="single" w:sz="4" w:space="0" w:color="auto"/>
              <w:right w:val="single" w:sz="4" w:space="0" w:color="auto"/>
            </w:tcBorders>
            <w:vAlign w:val="bottom"/>
          </w:tcPr>
          <w:p w14:paraId="727ACB65" w14:textId="4409A0C3" w:rsidR="00360A88"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013BA7" w:rsidRPr="006531FE">
              <w:rPr>
                <w:rFonts w:ascii="Arial Narrow" w:eastAsia="MS Gothic" w:hAnsi="Arial Narrow" w:cs="Times New Roman"/>
                <w:bCs/>
                <w:sz w:val="18"/>
                <w:szCs w:val="18"/>
                <w:vertAlign w:val="superscript"/>
              </w:rPr>
              <w:t>2</w:t>
            </w:r>
            <w:r w:rsidRPr="001F43CD">
              <w:rPr>
                <w:rFonts w:ascii="Arial Narrow" w:eastAsia="MS Gothic" w:hAnsi="Arial Narrow" w:cs="Times New Roman"/>
                <w:bCs/>
                <w:sz w:val="18"/>
                <w:szCs w:val="18"/>
                <w:highlight w:val="black"/>
              </w:rPr>
              <w:t>@@@@</w:t>
            </w:r>
          </w:p>
        </w:tc>
        <w:tc>
          <w:tcPr>
            <w:tcW w:w="597" w:type="pct"/>
            <w:tcBorders>
              <w:top w:val="single" w:sz="4" w:space="0" w:color="auto"/>
              <w:left w:val="single" w:sz="4" w:space="0" w:color="auto"/>
              <w:bottom w:val="single" w:sz="4" w:space="0" w:color="auto"/>
              <w:right w:val="single" w:sz="4" w:space="0" w:color="auto"/>
            </w:tcBorders>
            <w:vAlign w:val="bottom"/>
          </w:tcPr>
          <w:p w14:paraId="6BD9DE85" w14:textId="27E0AF87" w:rsidR="00360A88"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013BA7" w:rsidRPr="006531FE">
              <w:rPr>
                <w:rFonts w:ascii="Arial Narrow" w:eastAsia="MS Gothic" w:hAnsi="Arial Narrow" w:cs="Times New Roman"/>
                <w:bCs/>
                <w:sz w:val="18"/>
                <w:szCs w:val="18"/>
                <w:vertAlign w:val="superscript"/>
              </w:rPr>
              <w:t>2</w:t>
            </w:r>
            <w:r w:rsidRPr="001F43CD">
              <w:rPr>
                <w:rFonts w:ascii="Arial Narrow" w:eastAsia="MS Gothic" w:hAnsi="Arial Narrow" w:cs="Times New Roman"/>
                <w:bCs/>
                <w:sz w:val="18"/>
                <w:szCs w:val="18"/>
                <w:highlight w:val="black"/>
              </w:rPr>
              <w:t>@@@@</w:t>
            </w:r>
          </w:p>
        </w:tc>
        <w:tc>
          <w:tcPr>
            <w:tcW w:w="597" w:type="pct"/>
            <w:tcBorders>
              <w:top w:val="single" w:sz="4" w:space="0" w:color="auto"/>
              <w:left w:val="single" w:sz="4" w:space="0" w:color="auto"/>
              <w:bottom w:val="single" w:sz="4" w:space="0" w:color="auto"/>
              <w:right w:val="single" w:sz="4" w:space="0" w:color="auto"/>
            </w:tcBorders>
            <w:vAlign w:val="bottom"/>
          </w:tcPr>
          <w:p w14:paraId="203A85D6" w14:textId="03D75F13" w:rsidR="00360A88"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013BA7" w:rsidRPr="006531FE">
              <w:rPr>
                <w:rFonts w:ascii="Arial Narrow" w:eastAsia="MS Gothic" w:hAnsi="Arial Narrow" w:cs="Times New Roman"/>
                <w:bCs/>
                <w:sz w:val="18"/>
                <w:szCs w:val="18"/>
                <w:vertAlign w:val="superscript"/>
              </w:rPr>
              <w:t>2</w:t>
            </w:r>
            <w:r w:rsidRPr="001F43CD">
              <w:rPr>
                <w:rFonts w:ascii="Arial Narrow" w:eastAsia="MS Gothic" w:hAnsi="Arial Narrow" w:cs="Times New Roman"/>
                <w:bCs/>
                <w:sz w:val="18"/>
                <w:szCs w:val="18"/>
                <w:highlight w:val="black"/>
              </w:rPr>
              <w:t>@@@@</w:t>
            </w:r>
          </w:p>
        </w:tc>
      </w:tr>
      <w:tr w:rsidR="009160CC" w:rsidRPr="006531FE" w14:paraId="06255846" w14:textId="77777777" w:rsidTr="001A3657">
        <w:tc>
          <w:tcPr>
            <w:tcW w:w="1418" w:type="pct"/>
            <w:tcBorders>
              <w:top w:val="single" w:sz="4" w:space="0" w:color="auto"/>
              <w:left w:val="single" w:sz="4" w:space="0" w:color="auto"/>
              <w:bottom w:val="single" w:sz="4" w:space="0" w:color="auto"/>
              <w:right w:val="single" w:sz="4" w:space="0" w:color="auto"/>
            </w:tcBorders>
            <w:vAlign w:val="center"/>
          </w:tcPr>
          <w:p w14:paraId="5DCE2799" w14:textId="75BC9B01" w:rsidR="00360A88" w:rsidRPr="006531FE" w:rsidRDefault="00360A88" w:rsidP="008028C6">
            <w:pPr>
              <w:keepNext/>
              <w:keepLines/>
              <w:jc w:val="left"/>
              <w:rPr>
                <w:rFonts w:ascii="Arial Narrow" w:eastAsia="MS Gothic" w:hAnsi="Arial Narrow" w:cs="Times New Roman"/>
                <w:bCs/>
                <w:sz w:val="18"/>
                <w:szCs w:val="18"/>
              </w:rPr>
            </w:pPr>
            <w:r w:rsidRPr="006531FE">
              <w:rPr>
                <w:rFonts w:ascii="Arial Narrow" w:eastAsia="MS Gothic" w:hAnsi="Arial Narrow" w:cs="Times New Roman"/>
                <w:bCs/>
                <w:sz w:val="18"/>
                <w:szCs w:val="18"/>
              </w:rPr>
              <w:t xml:space="preserve">Cost </w:t>
            </w:r>
            <w:r w:rsidR="002E6B93" w:rsidRPr="006531FE">
              <w:rPr>
                <w:rFonts w:ascii="Arial Narrow" w:eastAsia="MS Gothic" w:hAnsi="Arial Narrow" w:cs="Times New Roman"/>
                <w:bCs/>
                <w:sz w:val="18"/>
                <w:szCs w:val="18"/>
              </w:rPr>
              <w:t>to PBS/RPBS</w:t>
            </w:r>
            <w:r w:rsidR="00013BA7" w:rsidRPr="006531FE">
              <w:rPr>
                <w:rFonts w:ascii="Arial Narrow" w:eastAsia="MS Gothic" w:hAnsi="Arial Narrow" w:cs="Times New Roman"/>
                <w:bCs/>
                <w:sz w:val="18"/>
                <w:szCs w:val="18"/>
              </w:rPr>
              <w:t xml:space="preserve"> ($)</w:t>
            </w:r>
          </w:p>
        </w:tc>
        <w:tc>
          <w:tcPr>
            <w:tcW w:w="597" w:type="pct"/>
            <w:tcBorders>
              <w:top w:val="single" w:sz="4" w:space="0" w:color="auto"/>
              <w:left w:val="single" w:sz="4" w:space="0" w:color="auto"/>
              <w:bottom w:val="single" w:sz="4" w:space="0" w:color="auto"/>
              <w:right w:val="single" w:sz="4" w:space="0" w:color="auto"/>
            </w:tcBorders>
            <w:vAlign w:val="bottom"/>
          </w:tcPr>
          <w:p w14:paraId="48D20C59" w14:textId="22AF25F8" w:rsidR="00360A88" w:rsidRPr="006531FE" w:rsidRDefault="001F43CD" w:rsidP="008028C6">
            <w:pPr>
              <w:keepNext/>
              <w:keepLines/>
              <w:jc w:val="right"/>
              <w:rPr>
                <w:rFonts w:ascii="Arial Narrow" w:eastAsia="MS Gothic" w:hAnsi="Arial Narrow" w:cs="Times New Roman"/>
                <w:bCs/>
                <w:sz w:val="18"/>
                <w:szCs w:val="18"/>
                <w:highlight w:val="darkGray"/>
                <w:vertAlign w:val="superscript"/>
              </w:rPr>
            </w:pPr>
            <w:r w:rsidRPr="001F43CD">
              <w:rPr>
                <w:rFonts w:ascii="Arial Narrow" w:eastAsia="MS Gothic" w:hAnsi="Arial Narrow" w:cs="Times New Roman"/>
                <w:bCs/>
                <w:sz w:val="18"/>
                <w:szCs w:val="18"/>
                <w:highlight w:val="black"/>
              </w:rPr>
              <w:t>@@@@</w:t>
            </w:r>
            <w:r w:rsidR="006B5B39" w:rsidRPr="006531FE">
              <w:rPr>
                <w:rFonts w:ascii="Arial Narrow" w:eastAsia="MS Gothic" w:hAnsi="Arial Narrow" w:cs="Times New Roman"/>
                <w:bCs/>
                <w:sz w:val="18"/>
                <w:szCs w:val="18"/>
                <w:vertAlign w:val="superscript"/>
              </w:rPr>
              <w:t>3</w:t>
            </w:r>
          </w:p>
        </w:tc>
        <w:tc>
          <w:tcPr>
            <w:tcW w:w="597" w:type="pct"/>
            <w:tcBorders>
              <w:top w:val="single" w:sz="4" w:space="0" w:color="auto"/>
              <w:left w:val="single" w:sz="4" w:space="0" w:color="auto"/>
              <w:bottom w:val="single" w:sz="4" w:space="0" w:color="auto"/>
              <w:right w:val="single" w:sz="4" w:space="0" w:color="auto"/>
            </w:tcBorders>
            <w:vAlign w:val="bottom"/>
          </w:tcPr>
          <w:p w14:paraId="3D308C8C" w14:textId="07B50AC9" w:rsidR="00360A88"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6B5B39" w:rsidRPr="006531FE">
              <w:rPr>
                <w:rFonts w:ascii="Arial Narrow" w:eastAsia="MS Gothic" w:hAnsi="Arial Narrow" w:cs="Times New Roman"/>
                <w:bCs/>
                <w:sz w:val="18"/>
                <w:szCs w:val="18"/>
                <w:vertAlign w:val="superscript"/>
              </w:rPr>
              <w:t>3</w:t>
            </w:r>
          </w:p>
        </w:tc>
        <w:tc>
          <w:tcPr>
            <w:tcW w:w="597" w:type="pct"/>
            <w:tcBorders>
              <w:top w:val="single" w:sz="4" w:space="0" w:color="auto"/>
              <w:left w:val="single" w:sz="4" w:space="0" w:color="auto"/>
              <w:bottom w:val="single" w:sz="4" w:space="0" w:color="auto"/>
              <w:right w:val="single" w:sz="4" w:space="0" w:color="auto"/>
            </w:tcBorders>
            <w:vAlign w:val="bottom"/>
          </w:tcPr>
          <w:p w14:paraId="0A8CA503" w14:textId="7EB1D134" w:rsidR="00360A88"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6B5B39" w:rsidRPr="006531FE">
              <w:rPr>
                <w:rFonts w:ascii="Arial Narrow" w:eastAsia="MS Gothic" w:hAnsi="Arial Narrow" w:cs="Times New Roman"/>
                <w:bCs/>
                <w:sz w:val="18"/>
                <w:szCs w:val="18"/>
                <w:vertAlign w:val="superscript"/>
              </w:rPr>
              <w:t>3</w:t>
            </w:r>
          </w:p>
        </w:tc>
        <w:tc>
          <w:tcPr>
            <w:tcW w:w="597" w:type="pct"/>
            <w:tcBorders>
              <w:top w:val="single" w:sz="4" w:space="0" w:color="auto"/>
              <w:left w:val="single" w:sz="4" w:space="0" w:color="auto"/>
              <w:bottom w:val="single" w:sz="4" w:space="0" w:color="auto"/>
              <w:right w:val="single" w:sz="4" w:space="0" w:color="auto"/>
            </w:tcBorders>
            <w:vAlign w:val="bottom"/>
          </w:tcPr>
          <w:p w14:paraId="50A328E0" w14:textId="383FBBBE" w:rsidR="00360A88"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6B5B39" w:rsidRPr="006531FE">
              <w:rPr>
                <w:rFonts w:ascii="Arial Narrow" w:eastAsia="MS Gothic" w:hAnsi="Arial Narrow" w:cs="Times New Roman"/>
                <w:bCs/>
                <w:sz w:val="18"/>
                <w:szCs w:val="18"/>
                <w:vertAlign w:val="superscript"/>
              </w:rPr>
              <w:t>3</w:t>
            </w:r>
          </w:p>
        </w:tc>
        <w:tc>
          <w:tcPr>
            <w:tcW w:w="597" w:type="pct"/>
            <w:tcBorders>
              <w:top w:val="single" w:sz="4" w:space="0" w:color="auto"/>
              <w:left w:val="single" w:sz="4" w:space="0" w:color="auto"/>
              <w:bottom w:val="single" w:sz="4" w:space="0" w:color="auto"/>
              <w:right w:val="single" w:sz="4" w:space="0" w:color="auto"/>
            </w:tcBorders>
            <w:vAlign w:val="bottom"/>
          </w:tcPr>
          <w:p w14:paraId="1E63E97A" w14:textId="55114881" w:rsidR="00360A88"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6B5B39" w:rsidRPr="006531FE">
              <w:rPr>
                <w:rFonts w:ascii="Arial Narrow" w:eastAsia="MS Gothic" w:hAnsi="Arial Narrow" w:cs="Times New Roman"/>
                <w:bCs/>
                <w:sz w:val="18"/>
                <w:szCs w:val="18"/>
                <w:vertAlign w:val="superscript"/>
              </w:rPr>
              <w:t>3</w:t>
            </w:r>
          </w:p>
        </w:tc>
        <w:tc>
          <w:tcPr>
            <w:tcW w:w="597" w:type="pct"/>
            <w:tcBorders>
              <w:top w:val="single" w:sz="4" w:space="0" w:color="auto"/>
              <w:left w:val="single" w:sz="4" w:space="0" w:color="auto"/>
              <w:bottom w:val="single" w:sz="4" w:space="0" w:color="auto"/>
              <w:right w:val="single" w:sz="4" w:space="0" w:color="auto"/>
            </w:tcBorders>
            <w:vAlign w:val="bottom"/>
          </w:tcPr>
          <w:p w14:paraId="7A00A776" w14:textId="00A57F5E" w:rsidR="00360A88"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6B5B39" w:rsidRPr="006531FE">
              <w:rPr>
                <w:rFonts w:ascii="Arial Narrow" w:eastAsia="MS Gothic" w:hAnsi="Arial Narrow" w:cs="Times New Roman"/>
                <w:bCs/>
                <w:sz w:val="18"/>
                <w:szCs w:val="18"/>
                <w:vertAlign w:val="superscript"/>
              </w:rPr>
              <w:t>3</w:t>
            </w:r>
          </w:p>
        </w:tc>
      </w:tr>
      <w:tr w:rsidR="009160CC" w:rsidRPr="006531FE" w14:paraId="56C4930A" w14:textId="77777777" w:rsidTr="001A3657">
        <w:tc>
          <w:tcPr>
            <w:tcW w:w="1418" w:type="pct"/>
            <w:tcBorders>
              <w:top w:val="single" w:sz="4" w:space="0" w:color="auto"/>
              <w:left w:val="single" w:sz="4" w:space="0" w:color="auto"/>
              <w:bottom w:val="single" w:sz="4" w:space="0" w:color="auto"/>
              <w:right w:val="single" w:sz="4" w:space="0" w:color="auto"/>
            </w:tcBorders>
            <w:vAlign w:val="center"/>
          </w:tcPr>
          <w:p w14:paraId="61B83963" w14:textId="373B4033" w:rsidR="00360A88" w:rsidRPr="006531FE" w:rsidRDefault="00360A88" w:rsidP="008028C6">
            <w:pPr>
              <w:keepNext/>
              <w:keepLines/>
              <w:jc w:val="left"/>
              <w:rPr>
                <w:rFonts w:ascii="Arial Narrow" w:eastAsia="MS Gothic" w:hAnsi="Arial Narrow" w:cs="Times New Roman"/>
                <w:bCs/>
                <w:sz w:val="18"/>
                <w:szCs w:val="18"/>
              </w:rPr>
            </w:pPr>
            <w:r w:rsidRPr="006531FE">
              <w:rPr>
                <w:rFonts w:ascii="Arial Narrow" w:eastAsia="MS Gothic" w:hAnsi="Arial Narrow" w:cs="Times New Roman"/>
                <w:bCs/>
                <w:sz w:val="18"/>
                <w:szCs w:val="18"/>
              </w:rPr>
              <w:t>PBS copayment</w:t>
            </w:r>
            <w:r w:rsidR="00BD5424" w:rsidRPr="006531FE">
              <w:rPr>
                <w:rFonts w:ascii="Arial Narrow" w:eastAsia="MS Gothic" w:hAnsi="Arial Narrow" w:cs="Times New Roman"/>
                <w:bCs/>
                <w:sz w:val="18"/>
                <w:szCs w:val="18"/>
              </w:rPr>
              <w:t xml:space="preserve"> </w:t>
            </w:r>
            <w:r w:rsidR="00013BA7" w:rsidRPr="006531FE">
              <w:rPr>
                <w:rFonts w:ascii="Arial Narrow" w:eastAsia="MS Gothic" w:hAnsi="Arial Narrow" w:cs="Times New Roman"/>
                <w:bCs/>
                <w:sz w:val="18"/>
                <w:szCs w:val="18"/>
              </w:rPr>
              <w:t>($)</w:t>
            </w:r>
          </w:p>
        </w:tc>
        <w:tc>
          <w:tcPr>
            <w:tcW w:w="597" w:type="pct"/>
            <w:tcBorders>
              <w:top w:val="single" w:sz="4" w:space="0" w:color="auto"/>
              <w:left w:val="single" w:sz="4" w:space="0" w:color="auto"/>
              <w:bottom w:val="single" w:sz="4" w:space="0" w:color="auto"/>
              <w:right w:val="single" w:sz="4" w:space="0" w:color="auto"/>
            </w:tcBorders>
            <w:vAlign w:val="bottom"/>
          </w:tcPr>
          <w:p w14:paraId="737E8180" w14:textId="60D0D7A1" w:rsidR="00360A88"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1A3657" w:rsidRPr="001A3657">
              <w:rPr>
                <w:rFonts w:ascii="Arial Narrow" w:eastAsia="MS Gothic" w:hAnsi="Arial Narrow" w:cs="Times New Roman"/>
                <w:bCs/>
                <w:sz w:val="18"/>
                <w:szCs w:val="18"/>
                <w:vertAlign w:val="superscript"/>
              </w:rPr>
              <w:t>4</w:t>
            </w:r>
          </w:p>
        </w:tc>
        <w:tc>
          <w:tcPr>
            <w:tcW w:w="597" w:type="pct"/>
            <w:tcBorders>
              <w:top w:val="single" w:sz="4" w:space="0" w:color="auto"/>
              <w:left w:val="single" w:sz="4" w:space="0" w:color="auto"/>
              <w:bottom w:val="single" w:sz="4" w:space="0" w:color="auto"/>
              <w:right w:val="single" w:sz="4" w:space="0" w:color="auto"/>
            </w:tcBorders>
            <w:vAlign w:val="bottom"/>
          </w:tcPr>
          <w:p w14:paraId="573AF2FA" w14:textId="1548D049" w:rsidR="00360A88"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1A3657" w:rsidRPr="001A3657">
              <w:rPr>
                <w:rFonts w:ascii="Arial Narrow" w:eastAsia="MS Gothic" w:hAnsi="Arial Narrow" w:cs="Times New Roman"/>
                <w:bCs/>
                <w:sz w:val="18"/>
                <w:szCs w:val="18"/>
                <w:vertAlign w:val="superscript"/>
              </w:rPr>
              <w:t>4</w:t>
            </w:r>
          </w:p>
        </w:tc>
        <w:tc>
          <w:tcPr>
            <w:tcW w:w="597" w:type="pct"/>
            <w:tcBorders>
              <w:top w:val="single" w:sz="4" w:space="0" w:color="auto"/>
              <w:left w:val="single" w:sz="4" w:space="0" w:color="auto"/>
              <w:bottom w:val="single" w:sz="4" w:space="0" w:color="auto"/>
              <w:right w:val="single" w:sz="4" w:space="0" w:color="auto"/>
            </w:tcBorders>
            <w:vAlign w:val="bottom"/>
          </w:tcPr>
          <w:p w14:paraId="0B8834D2" w14:textId="20DE1F76" w:rsidR="00360A88"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1A3657" w:rsidRPr="001A3657">
              <w:rPr>
                <w:rFonts w:ascii="Arial Narrow" w:eastAsia="MS Gothic" w:hAnsi="Arial Narrow" w:cs="Times New Roman"/>
                <w:bCs/>
                <w:sz w:val="18"/>
                <w:szCs w:val="18"/>
                <w:vertAlign w:val="superscript"/>
              </w:rPr>
              <w:t>4</w:t>
            </w:r>
          </w:p>
        </w:tc>
        <w:tc>
          <w:tcPr>
            <w:tcW w:w="597" w:type="pct"/>
            <w:tcBorders>
              <w:top w:val="single" w:sz="4" w:space="0" w:color="auto"/>
              <w:left w:val="single" w:sz="4" w:space="0" w:color="auto"/>
              <w:bottom w:val="single" w:sz="4" w:space="0" w:color="auto"/>
              <w:right w:val="single" w:sz="4" w:space="0" w:color="auto"/>
            </w:tcBorders>
            <w:vAlign w:val="bottom"/>
          </w:tcPr>
          <w:p w14:paraId="035F0128" w14:textId="655D629A" w:rsidR="00360A88"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1A3657" w:rsidRPr="001A3657">
              <w:rPr>
                <w:rFonts w:ascii="Arial Narrow" w:eastAsia="MS Gothic" w:hAnsi="Arial Narrow" w:cs="Times New Roman"/>
                <w:bCs/>
                <w:sz w:val="18"/>
                <w:szCs w:val="18"/>
                <w:vertAlign w:val="superscript"/>
              </w:rPr>
              <w:t>4</w:t>
            </w:r>
          </w:p>
        </w:tc>
        <w:tc>
          <w:tcPr>
            <w:tcW w:w="597" w:type="pct"/>
            <w:tcBorders>
              <w:top w:val="single" w:sz="4" w:space="0" w:color="auto"/>
              <w:left w:val="single" w:sz="4" w:space="0" w:color="auto"/>
              <w:bottom w:val="single" w:sz="4" w:space="0" w:color="auto"/>
              <w:right w:val="single" w:sz="4" w:space="0" w:color="auto"/>
            </w:tcBorders>
            <w:vAlign w:val="bottom"/>
          </w:tcPr>
          <w:p w14:paraId="6EBC1D17" w14:textId="75E90F75" w:rsidR="00360A88"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1A3657" w:rsidRPr="001A3657">
              <w:rPr>
                <w:rFonts w:ascii="Arial Narrow" w:eastAsia="MS Gothic" w:hAnsi="Arial Narrow" w:cs="Times New Roman"/>
                <w:bCs/>
                <w:sz w:val="18"/>
                <w:szCs w:val="18"/>
                <w:vertAlign w:val="superscript"/>
              </w:rPr>
              <w:t>4</w:t>
            </w:r>
          </w:p>
        </w:tc>
        <w:tc>
          <w:tcPr>
            <w:tcW w:w="597" w:type="pct"/>
            <w:tcBorders>
              <w:top w:val="single" w:sz="4" w:space="0" w:color="auto"/>
              <w:left w:val="single" w:sz="4" w:space="0" w:color="auto"/>
              <w:bottom w:val="single" w:sz="4" w:space="0" w:color="auto"/>
              <w:right w:val="single" w:sz="4" w:space="0" w:color="auto"/>
            </w:tcBorders>
            <w:vAlign w:val="bottom"/>
          </w:tcPr>
          <w:p w14:paraId="41B4F916" w14:textId="53EF0FF2" w:rsidR="00360A88"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1A3657" w:rsidRPr="001A3657">
              <w:rPr>
                <w:rFonts w:ascii="Arial Narrow" w:eastAsia="MS Gothic" w:hAnsi="Arial Narrow" w:cs="Times New Roman"/>
                <w:bCs/>
                <w:sz w:val="18"/>
                <w:szCs w:val="18"/>
                <w:vertAlign w:val="superscript"/>
              </w:rPr>
              <w:t>4</w:t>
            </w:r>
          </w:p>
        </w:tc>
      </w:tr>
      <w:tr w:rsidR="009160CC" w:rsidRPr="006531FE" w14:paraId="1BA66148" w14:textId="77777777" w:rsidTr="001A3657">
        <w:tc>
          <w:tcPr>
            <w:tcW w:w="1418" w:type="pct"/>
            <w:tcBorders>
              <w:top w:val="single" w:sz="4" w:space="0" w:color="auto"/>
              <w:left w:val="single" w:sz="4" w:space="0" w:color="auto"/>
              <w:bottom w:val="single" w:sz="4" w:space="0" w:color="auto"/>
              <w:right w:val="single" w:sz="4" w:space="0" w:color="auto"/>
            </w:tcBorders>
            <w:vAlign w:val="center"/>
          </w:tcPr>
          <w:p w14:paraId="4E49BC80" w14:textId="265404A8" w:rsidR="00360A88" w:rsidRPr="006531FE" w:rsidRDefault="00360A88" w:rsidP="008028C6">
            <w:pPr>
              <w:keepNext/>
              <w:keepLines/>
              <w:jc w:val="left"/>
              <w:rPr>
                <w:rFonts w:ascii="Arial Narrow" w:eastAsia="MS Gothic" w:hAnsi="Arial Narrow" w:cs="Times New Roman"/>
                <w:b/>
                <w:sz w:val="18"/>
                <w:szCs w:val="18"/>
              </w:rPr>
            </w:pPr>
            <w:r w:rsidRPr="006531FE">
              <w:rPr>
                <w:rFonts w:ascii="Arial Narrow" w:eastAsia="MS Gothic" w:hAnsi="Arial Narrow" w:cs="Times New Roman"/>
                <w:b/>
                <w:sz w:val="18"/>
                <w:szCs w:val="18"/>
              </w:rPr>
              <w:t>Cost to the PBS</w:t>
            </w:r>
            <w:r w:rsidR="002E6B93" w:rsidRPr="006531FE">
              <w:rPr>
                <w:rFonts w:ascii="Arial Narrow" w:eastAsia="MS Gothic" w:hAnsi="Arial Narrow" w:cs="Times New Roman"/>
                <w:b/>
                <w:sz w:val="18"/>
                <w:szCs w:val="18"/>
              </w:rPr>
              <w:t>/RPBS less copayments</w:t>
            </w:r>
            <w:r w:rsidR="00013BA7" w:rsidRPr="006531FE">
              <w:rPr>
                <w:rFonts w:ascii="Arial Narrow" w:eastAsia="MS Gothic" w:hAnsi="Arial Narrow" w:cs="Times New Roman"/>
                <w:b/>
                <w:sz w:val="18"/>
                <w:szCs w:val="18"/>
              </w:rPr>
              <w:t xml:space="preserve"> ($)</w:t>
            </w:r>
          </w:p>
        </w:tc>
        <w:tc>
          <w:tcPr>
            <w:tcW w:w="597" w:type="pct"/>
            <w:tcBorders>
              <w:top w:val="single" w:sz="4" w:space="0" w:color="auto"/>
              <w:left w:val="single" w:sz="4" w:space="0" w:color="auto"/>
              <w:bottom w:val="single" w:sz="4" w:space="0" w:color="auto"/>
              <w:right w:val="single" w:sz="4" w:space="0" w:color="auto"/>
            </w:tcBorders>
            <w:vAlign w:val="bottom"/>
          </w:tcPr>
          <w:p w14:paraId="7DD15A7B" w14:textId="5E7F11FB" w:rsidR="00360A88" w:rsidRPr="006531FE" w:rsidRDefault="001F43CD" w:rsidP="008028C6">
            <w:pPr>
              <w:keepNext/>
              <w:keepLines/>
              <w:jc w:val="right"/>
              <w:rPr>
                <w:rFonts w:ascii="Arial Narrow" w:eastAsia="MS Gothic" w:hAnsi="Arial Narrow" w:cs="Times New Roman"/>
                <w:b/>
                <w:sz w:val="18"/>
                <w:szCs w:val="18"/>
                <w:highlight w:val="darkGray"/>
              </w:rPr>
            </w:pPr>
            <w:r w:rsidRPr="001F43CD">
              <w:rPr>
                <w:rFonts w:ascii="Arial Narrow" w:eastAsia="MS Gothic" w:hAnsi="Arial Narrow" w:cs="Times New Roman"/>
                <w:b/>
                <w:sz w:val="18"/>
                <w:szCs w:val="18"/>
                <w:highlight w:val="black"/>
              </w:rPr>
              <w:t>@@@@</w:t>
            </w:r>
            <w:r w:rsidR="001A3657" w:rsidRPr="006B5B39">
              <w:rPr>
                <w:rFonts w:ascii="Arial Narrow" w:eastAsia="MS Gothic" w:hAnsi="Arial Narrow" w:cs="Times New Roman"/>
                <w:bCs/>
                <w:sz w:val="20"/>
                <w:vertAlign w:val="superscript"/>
              </w:rPr>
              <w:t>3</w:t>
            </w:r>
          </w:p>
        </w:tc>
        <w:tc>
          <w:tcPr>
            <w:tcW w:w="597" w:type="pct"/>
            <w:tcBorders>
              <w:top w:val="single" w:sz="4" w:space="0" w:color="auto"/>
              <w:left w:val="single" w:sz="4" w:space="0" w:color="auto"/>
              <w:bottom w:val="single" w:sz="4" w:space="0" w:color="auto"/>
              <w:right w:val="single" w:sz="4" w:space="0" w:color="auto"/>
            </w:tcBorders>
            <w:vAlign w:val="bottom"/>
          </w:tcPr>
          <w:p w14:paraId="638914AC" w14:textId="29C032F7" w:rsidR="00360A88" w:rsidRPr="006531FE" w:rsidRDefault="001F43CD" w:rsidP="008028C6">
            <w:pPr>
              <w:keepNext/>
              <w:keepLines/>
              <w:jc w:val="right"/>
              <w:rPr>
                <w:rFonts w:ascii="Arial Narrow" w:eastAsia="MS Gothic" w:hAnsi="Arial Narrow" w:cs="Times New Roman"/>
                <w:b/>
                <w:sz w:val="18"/>
                <w:szCs w:val="18"/>
                <w:highlight w:val="darkGray"/>
              </w:rPr>
            </w:pPr>
            <w:r w:rsidRPr="001F43CD">
              <w:rPr>
                <w:rFonts w:ascii="Arial Narrow" w:eastAsia="MS Gothic" w:hAnsi="Arial Narrow" w:cs="Times New Roman"/>
                <w:b/>
                <w:sz w:val="18"/>
                <w:szCs w:val="18"/>
                <w:highlight w:val="black"/>
              </w:rPr>
              <w:t>@@@@</w:t>
            </w:r>
            <w:r w:rsidR="001A3657" w:rsidRPr="006B5B39">
              <w:rPr>
                <w:rFonts w:ascii="Arial Narrow" w:eastAsia="MS Gothic" w:hAnsi="Arial Narrow" w:cs="Times New Roman"/>
                <w:bCs/>
                <w:sz w:val="20"/>
                <w:vertAlign w:val="superscript"/>
              </w:rPr>
              <w:t>3</w:t>
            </w:r>
          </w:p>
        </w:tc>
        <w:tc>
          <w:tcPr>
            <w:tcW w:w="597" w:type="pct"/>
            <w:tcBorders>
              <w:top w:val="single" w:sz="4" w:space="0" w:color="auto"/>
              <w:left w:val="single" w:sz="4" w:space="0" w:color="auto"/>
              <w:bottom w:val="single" w:sz="4" w:space="0" w:color="auto"/>
              <w:right w:val="single" w:sz="4" w:space="0" w:color="auto"/>
            </w:tcBorders>
            <w:vAlign w:val="bottom"/>
          </w:tcPr>
          <w:p w14:paraId="1CEAEB38" w14:textId="5D46E490" w:rsidR="00360A88" w:rsidRPr="006531FE" w:rsidRDefault="001F43CD" w:rsidP="008028C6">
            <w:pPr>
              <w:keepNext/>
              <w:keepLines/>
              <w:jc w:val="right"/>
              <w:rPr>
                <w:rFonts w:ascii="Arial Narrow" w:eastAsia="MS Gothic" w:hAnsi="Arial Narrow" w:cs="Times New Roman"/>
                <w:b/>
                <w:sz w:val="18"/>
                <w:szCs w:val="18"/>
                <w:highlight w:val="darkGray"/>
              </w:rPr>
            </w:pPr>
            <w:r w:rsidRPr="001F43CD">
              <w:rPr>
                <w:rFonts w:ascii="Arial Narrow" w:eastAsia="MS Gothic" w:hAnsi="Arial Narrow" w:cs="Times New Roman"/>
                <w:b/>
                <w:sz w:val="18"/>
                <w:szCs w:val="18"/>
                <w:highlight w:val="black"/>
              </w:rPr>
              <w:t>@@@@</w:t>
            </w:r>
            <w:r w:rsidR="001A3657" w:rsidRPr="006B5B39">
              <w:rPr>
                <w:rFonts w:ascii="Arial Narrow" w:eastAsia="MS Gothic" w:hAnsi="Arial Narrow" w:cs="Times New Roman"/>
                <w:bCs/>
                <w:sz w:val="20"/>
                <w:vertAlign w:val="superscript"/>
              </w:rPr>
              <w:t>3</w:t>
            </w:r>
          </w:p>
        </w:tc>
        <w:tc>
          <w:tcPr>
            <w:tcW w:w="597" w:type="pct"/>
            <w:tcBorders>
              <w:top w:val="single" w:sz="4" w:space="0" w:color="auto"/>
              <w:left w:val="single" w:sz="4" w:space="0" w:color="auto"/>
              <w:bottom w:val="single" w:sz="4" w:space="0" w:color="auto"/>
              <w:right w:val="single" w:sz="4" w:space="0" w:color="auto"/>
            </w:tcBorders>
            <w:vAlign w:val="bottom"/>
          </w:tcPr>
          <w:p w14:paraId="7B4E89EC" w14:textId="45D0D6B4" w:rsidR="00360A88" w:rsidRPr="006531FE" w:rsidRDefault="001F43CD" w:rsidP="008028C6">
            <w:pPr>
              <w:keepNext/>
              <w:keepLines/>
              <w:jc w:val="right"/>
              <w:rPr>
                <w:rFonts w:ascii="Arial Narrow" w:eastAsia="MS Gothic" w:hAnsi="Arial Narrow" w:cs="Times New Roman"/>
                <w:b/>
                <w:sz w:val="18"/>
                <w:szCs w:val="18"/>
                <w:highlight w:val="darkGray"/>
              </w:rPr>
            </w:pPr>
            <w:r w:rsidRPr="001F43CD">
              <w:rPr>
                <w:rFonts w:ascii="Arial Narrow" w:eastAsia="MS Gothic" w:hAnsi="Arial Narrow" w:cs="Times New Roman"/>
                <w:b/>
                <w:sz w:val="18"/>
                <w:szCs w:val="18"/>
                <w:highlight w:val="black"/>
              </w:rPr>
              <w:t>@@@@</w:t>
            </w:r>
            <w:r w:rsidR="001A3657" w:rsidRPr="006B5B39">
              <w:rPr>
                <w:rFonts w:ascii="Arial Narrow" w:eastAsia="MS Gothic" w:hAnsi="Arial Narrow" w:cs="Times New Roman"/>
                <w:bCs/>
                <w:sz w:val="20"/>
                <w:vertAlign w:val="superscript"/>
              </w:rPr>
              <w:t>3</w:t>
            </w:r>
          </w:p>
        </w:tc>
        <w:tc>
          <w:tcPr>
            <w:tcW w:w="597" w:type="pct"/>
            <w:tcBorders>
              <w:top w:val="single" w:sz="4" w:space="0" w:color="auto"/>
              <w:left w:val="single" w:sz="4" w:space="0" w:color="auto"/>
              <w:bottom w:val="single" w:sz="4" w:space="0" w:color="auto"/>
              <w:right w:val="single" w:sz="4" w:space="0" w:color="auto"/>
            </w:tcBorders>
            <w:vAlign w:val="bottom"/>
          </w:tcPr>
          <w:p w14:paraId="0F0E26FC" w14:textId="0DB25521" w:rsidR="00360A88" w:rsidRPr="006531FE" w:rsidRDefault="001F43CD" w:rsidP="008028C6">
            <w:pPr>
              <w:keepNext/>
              <w:keepLines/>
              <w:jc w:val="right"/>
              <w:rPr>
                <w:rFonts w:ascii="Arial Narrow" w:eastAsia="MS Gothic" w:hAnsi="Arial Narrow" w:cs="Times New Roman"/>
                <w:b/>
                <w:sz w:val="18"/>
                <w:szCs w:val="18"/>
                <w:highlight w:val="darkGray"/>
              </w:rPr>
            </w:pPr>
            <w:r w:rsidRPr="001F43CD">
              <w:rPr>
                <w:rFonts w:ascii="Arial Narrow" w:eastAsia="MS Gothic" w:hAnsi="Arial Narrow" w:cs="Times New Roman"/>
                <w:b/>
                <w:sz w:val="18"/>
                <w:szCs w:val="18"/>
                <w:highlight w:val="black"/>
              </w:rPr>
              <w:t>@@@@</w:t>
            </w:r>
            <w:r w:rsidR="001A3657" w:rsidRPr="006B5B39">
              <w:rPr>
                <w:rFonts w:ascii="Arial Narrow" w:eastAsia="MS Gothic" w:hAnsi="Arial Narrow" w:cs="Times New Roman"/>
                <w:bCs/>
                <w:sz w:val="20"/>
                <w:vertAlign w:val="superscript"/>
              </w:rPr>
              <w:t>3</w:t>
            </w:r>
          </w:p>
        </w:tc>
        <w:tc>
          <w:tcPr>
            <w:tcW w:w="597" w:type="pct"/>
            <w:tcBorders>
              <w:top w:val="single" w:sz="4" w:space="0" w:color="auto"/>
              <w:left w:val="single" w:sz="4" w:space="0" w:color="auto"/>
              <w:bottom w:val="single" w:sz="4" w:space="0" w:color="auto"/>
              <w:right w:val="single" w:sz="4" w:space="0" w:color="auto"/>
            </w:tcBorders>
            <w:vAlign w:val="bottom"/>
          </w:tcPr>
          <w:p w14:paraId="2CFA5BF4" w14:textId="673AED54" w:rsidR="00360A88" w:rsidRPr="006531FE" w:rsidRDefault="001F43CD" w:rsidP="008028C6">
            <w:pPr>
              <w:keepNext/>
              <w:keepLines/>
              <w:jc w:val="right"/>
              <w:rPr>
                <w:rFonts w:ascii="Arial Narrow" w:eastAsia="MS Gothic" w:hAnsi="Arial Narrow" w:cs="Times New Roman"/>
                <w:b/>
                <w:sz w:val="18"/>
                <w:szCs w:val="18"/>
                <w:highlight w:val="darkGray"/>
              </w:rPr>
            </w:pPr>
            <w:r w:rsidRPr="001F43CD">
              <w:rPr>
                <w:rFonts w:ascii="Arial Narrow" w:eastAsia="MS Gothic" w:hAnsi="Arial Narrow" w:cs="Times New Roman"/>
                <w:b/>
                <w:sz w:val="18"/>
                <w:szCs w:val="18"/>
                <w:highlight w:val="black"/>
              </w:rPr>
              <w:t>@@@@</w:t>
            </w:r>
            <w:r w:rsidR="001A3657" w:rsidRPr="006B5B39">
              <w:rPr>
                <w:rFonts w:ascii="Arial Narrow" w:eastAsia="MS Gothic" w:hAnsi="Arial Narrow" w:cs="Times New Roman"/>
                <w:bCs/>
                <w:sz w:val="20"/>
                <w:vertAlign w:val="superscript"/>
              </w:rPr>
              <w:t>3</w:t>
            </w:r>
          </w:p>
        </w:tc>
      </w:tr>
      <w:tr w:rsidR="009160CC" w:rsidRPr="006531FE" w14:paraId="63DC5D2B" w14:textId="77777777" w:rsidTr="001A3657">
        <w:tc>
          <w:tcPr>
            <w:tcW w:w="1418" w:type="pct"/>
            <w:tcBorders>
              <w:top w:val="single" w:sz="4" w:space="0" w:color="auto"/>
              <w:left w:val="single" w:sz="4" w:space="0" w:color="auto"/>
              <w:bottom w:val="single" w:sz="4" w:space="0" w:color="auto"/>
              <w:right w:val="single" w:sz="4" w:space="0" w:color="auto"/>
            </w:tcBorders>
            <w:vAlign w:val="center"/>
          </w:tcPr>
          <w:p w14:paraId="16B7FC72" w14:textId="373F5334" w:rsidR="009160CC" w:rsidRPr="006531FE" w:rsidRDefault="009160CC" w:rsidP="008028C6">
            <w:pPr>
              <w:keepNext/>
              <w:keepLines/>
              <w:jc w:val="left"/>
              <w:rPr>
                <w:rFonts w:ascii="Arial Narrow" w:eastAsia="MS Gothic" w:hAnsi="Arial Narrow" w:cs="Times New Roman"/>
                <w:bCs/>
                <w:sz w:val="18"/>
                <w:szCs w:val="18"/>
                <w:vertAlign w:val="superscript"/>
              </w:rPr>
            </w:pPr>
            <w:r w:rsidRPr="006531FE">
              <w:rPr>
                <w:rFonts w:ascii="Arial Narrow" w:eastAsia="MS Gothic" w:hAnsi="Arial Narrow" w:cs="Times New Roman"/>
                <w:bCs/>
                <w:sz w:val="18"/>
                <w:szCs w:val="18"/>
              </w:rPr>
              <w:t>Net cost to the MBS, revised</w:t>
            </w:r>
            <w:r w:rsidR="009C24BB" w:rsidRPr="006531FE">
              <w:rPr>
                <w:rFonts w:ascii="Arial Narrow" w:eastAsia="MS Gothic" w:hAnsi="Arial Narrow" w:cs="Times New Roman"/>
                <w:bCs/>
                <w:sz w:val="18"/>
                <w:szCs w:val="18"/>
                <w:vertAlign w:val="superscript"/>
              </w:rPr>
              <w:t>b</w:t>
            </w:r>
            <w:r w:rsidR="00013BA7" w:rsidRPr="006531FE">
              <w:rPr>
                <w:rFonts w:ascii="Arial Narrow" w:eastAsia="MS Gothic" w:hAnsi="Arial Narrow" w:cs="Times New Roman"/>
                <w:bCs/>
                <w:sz w:val="18"/>
                <w:szCs w:val="18"/>
                <w:vertAlign w:val="superscript"/>
              </w:rPr>
              <w:t xml:space="preserve"> </w:t>
            </w:r>
            <w:r w:rsidR="00013BA7" w:rsidRPr="006531FE">
              <w:rPr>
                <w:rFonts w:ascii="Arial Narrow" w:eastAsia="MS Gothic" w:hAnsi="Arial Narrow" w:cs="Times New Roman"/>
                <w:bCs/>
                <w:sz w:val="18"/>
                <w:szCs w:val="18"/>
              </w:rPr>
              <w:t>($)</w:t>
            </w:r>
          </w:p>
        </w:tc>
        <w:tc>
          <w:tcPr>
            <w:tcW w:w="597" w:type="pct"/>
            <w:tcBorders>
              <w:top w:val="single" w:sz="4" w:space="0" w:color="auto"/>
              <w:left w:val="single" w:sz="4" w:space="0" w:color="auto"/>
              <w:bottom w:val="single" w:sz="4" w:space="0" w:color="auto"/>
              <w:right w:val="single" w:sz="4" w:space="0" w:color="auto"/>
            </w:tcBorders>
            <w:vAlign w:val="bottom"/>
          </w:tcPr>
          <w:p w14:paraId="2B5C5A10" w14:textId="1BE1B1F9" w:rsidR="009160CC"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1A3657" w:rsidRPr="001A3657">
              <w:rPr>
                <w:rFonts w:ascii="Arial Narrow" w:eastAsia="MS Gothic" w:hAnsi="Arial Narrow" w:cs="Times New Roman"/>
                <w:bCs/>
                <w:sz w:val="18"/>
                <w:szCs w:val="18"/>
                <w:vertAlign w:val="superscript"/>
              </w:rPr>
              <w:t>4</w:t>
            </w:r>
          </w:p>
        </w:tc>
        <w:tc>
          <w:tcPr>
            <w:tcW w:w="597" w:type="pct"/>
            <w:tcBorders>
              <w:top w:val="single" w:sz="4" w:space="0" w:color="auto"/>
              <w:left w:val="single" w:sz="4" w:space="0" w:color="auto"/>
              <w:bottom w:val="single" w:sz="4" w:space="0" w:color="auto"/>
              <w:right w:val="single" w:sz="4" w:space="0" w:color="auto"/>
            </w:tcBorders>
            <w:vAlign w:val="bottom"/>
          </w:tcPr>
          <w:p w14:paraId="10F7D794" w14:textId="7ECDCE8A" w:rsidR="009160CC"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1A3657" w:rsidRPr="001A3657">
              <w:rPr>
                <w:rFonts w:ascii="Arial Narrow" w:eastAsia="MS Gothic" w:hAnsi="Arial Narrow" w:cs="Times New Roman"/>
                <w:bCs/>
                <w:sz w:val="18"/>
                <w:szCs w:val="18"/>
                <w:vertAlign w:val="superscript"/>
              </w:rPr>
              <w:t>4</w:t>
            </w:r>
          </w:p>
        </w:tc>
        <w:tc>
          <w:tcPr>
            <w:tcW w:w="597" w:type="pct"/>
            <w:tcBorders>
              <w:top w:val="single" w:sz="4" w:space="0" w:color="auto"/>
              <w:left w:val="single" w:sz="4" w:space="0" w:color="auto"/>
              <w:bottom w:val="single" w:sz="4" w:space="0" w:color="auto"/>
              <w:right w:val="single" w:sz="4" w:space="0" w:color="auto"/>
            </w:tcBorders>
            <w:vAlign w:val="bottom"/>
          </w:tcPr>
          <w:p w14:paraId="0F161259" w14:textId="298EA0B7" w:rsidR="009160CC"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1A3657" w:rsidRPr="001A3657">
              <w:rPr>
                <w:rFonts w:ascii="Arial Narrow" w:eastAsia="MS Gothic" w:hAnsi="Arial Narrow" w:cs="Times New Roman"/>
                <w:bCs/>
                <w:sz w:val="18"/>
                <w:szCs w:val="18"/>
                <w:vertAlign w:val="superscript"/>
              </w:rPr>
              <w:t>4</w:t>
            </w:r>
          </w:p>
        </w:tc>
        <w:tc>
          <w:tcPr>
            <w:tcW w:w="597" w:type="pct"/>
            <w:tcBorders>
              <w:top w:val="single" w:sz="4" w:space="0" w:color="auto"/>
              <w:left w:val="single" w:sz="4" w:space="0" w:color="auto"/>
              <w:bottom w:val="single" w:sz="4" w:space="0" w:color="auto"/>
              <w:right w:val="single" w:sz="4" w:space="0" w:color="auto"/>
            </w:tcBorders>
            <w:vAlign w:val="bottom"/>
          </w:tcPr>
          <w:p w14:paraId="5CCAA20B" w14:textId="3C2C7826" w:rsidR="009160CC"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1A3657" w:rsidRPr="001A3657">
              <w:rPr>
                <w:rFonts w:ascii="Arial Narrow" w:eastAsia="MS Gothic" w:hAnsi="Arial Narrow" w:cs="Times New Roman"/>
                <w:bCs/>
                <w:sz w:val="18"/>
                <w:szCs w:val="18"/>
                <w:vertAlign w:val="superscript"/>
              </w:rPr>
              <w:t>4</w:t>
            </w:r>
          </w:p>
        </w:tc>
        <w:tc>
          <w:tcPr>
            <w:tcW w:w="597" w:type="pct"/>
            <w:tcBorders>
              <w:top w:val="single" w:sz="4" w:space="0" w:color="auto"/>
              <w:left w:val="single" w:sz="4" w:space="0" w:color="auto"/>
              <w:bottom w:val="single" w:sz="4" w:space="0" w:color="auto"/>
              <w:right w:val="single" w:sz="4" w:space="0" w:color="auto"/>
            </w:tcBorders>
            <w:vAlign w:val="bottom"/>
          </w:tcPr>
          <w:p w14:paraId="64B7654C" w14:textId="4BB03201" w:rsidR="009160CC"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1A3657" w:rsidRPr="001A3657">
              <w:rPr>
                <w:rFonts w:ascii="Arial Narrow" w:eastAsia="MS Gothic" w:hAnsi="Arial Narrow" w:cs="Times New Roman"/>
                <w:bCs/>
                <w:sz w:val="18"/>
                <w:szCs w:val="18"/>
                <w:vertAlign w:val="superscript"/>
              </w:rPr>
              <w:t>4</w:t>
            </w:r>
          </w:p>
        </w:tc>
        <w:tc>
          <w:tcPr>
            <w:tcW w:w="597" w:type="pct"/>
            <w:tcBorders>
              <w:top w:val="single" w:sz="4" w:space="0" w:color="auto"/>
              <w:left w:val="single" w:sz="4" w:space="0" w:color="auto"/>
              <w:bottom w:val="single" w:sz="4" w:space="0" w:color="auto"/>
              <w:right w:val="single" w:sz="4" w:space="0" w:color="auto"/>
            </w:tcBorders>
            <w:vAlign w:val="bottom"/>
          </w:tcPr>
          <w:p w14:paraId="6AB604A0" w14:textId="2BBE8DB2" w:rsidR="009160CC"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1A3657" w:rsidRPr="001A3657">
              <w:rPr>
                <w:rFonts w:ascii="Arial Narrow" w:eastAsia="MS Gothic" w:hAnsi="Arial Narrow" w:cs="Times New Roman"/>
                <w:bCs/>
                <w:sz w:val="18"/>
                <w:szCs w:val="18"/>
                <w:vertAlign w:val="superscript"/>
              </w:rPr>
              <w:t>4</w:t>
            </w:r>
          </w:p>
        </w:tc>
      </w:tr>
      <w:tr w:rsidR="009160CC" w:rsidRPr="006531FE" w14:paraId="0A9A84EE" w14:textId="77777777" w:rsidTr="001A3657">
        <w:tc>
          <w:tcPr>
            <w:tcW w:w="1418" w:type="pct"/>
            <w:tcBorders>
              <w:top w:val="single" w:sz="4" w:space="0" w:color="auto"/>
              <w:left w:val="single" w:sz="4" w:space="0" w:color="auto"/>
              <w:bottom w:val="single" w:sz="4" w:space="0" w:color="auto"/>
              <w:right w:val="single" w:sz="4" w:space="0" w:color="auto"/>
            </w:tcBorders>
            <w:vAlign w:val="center"/>
          </w:tcPr>
          <w:p w14:paraId="7B7617F4" w14:textId="06A08072" w:rsidR="009160CC" w:rsidRPr="001A3657" w:rsidRDefault="009160CC" w:rsidP="008028C6">
            <w:pPr>
              <w:keepNext/>
              <w:keepLines/>
              <w:jc w:val="left"/>
              <w:rPr>
                <w:rFonts w:ascii="Arial Narrow" w:eastAsia="MS Gothic" w:hAnsi="Arial Narrow" w:cs="Times New Roman"/>
                <w:bCs/>
                <w:sz w:val="18"/>
                <w:szCs w:val="18"/>
              </w:rPr>
            </w:pPr>
            <w:r w:rsidRPr="006531FE">
              <w:rPr>
                <w:rFonts w:ascii="Arial Narrow" w:eastAsia="MS Gothic" w:hAnsi="Arial Narrow" w:cs="Times New Roman"/>
                <w:bCs/>
                <w:sz w:val="18"/>
                <w:szCs w:val="18"/>
              </w:rPr>
              <w:t>Net cost to the PBS, MBS, revised</w:t>
            </w:r>
            <w:r w:rsidR="009C24BB" w:rsidRPr="006531FE">
              <w:rPr>
                <w:rFonts w:ascii="Arial Narrow" w:eastAsia="MS Gothic" w:hAnsi="Arial Narrow" w:cs="Times New Roman"/>
                <w:bCs/>
                <w:sz w:val="18"/>
                <w:szCs w:val="18"/>
                <w:vertAlign w:val="superscript"/>
              </w:rPr>
              <w:t>b</w:t>
            </w:r>
            <w:r w:rsidR="001A3657">
              <w:rPr>
                <w:rFonts w:ascii="Arial Narrow" w:eastAsia="MS Gothic" w:hAnsi="Arial Narrow" w:cs="Times New Roman"/>
                <w:bCs/>
                <w:sz w:val="18"/>
                <w:szCs w:val="18"/>
                <w:vertAlign w:val="superscript"/>
              </w:rPr>
              <w:t xml:space="preserve"> </w:t>
            </w:r>
            <w:r w:rsidR="001A3657">
              <w:rPr>
                <w:rFonts w:ascii="Arial Narrow" w:eastAsia="MS Gothic" w:hAnsi="Arial Narrow" w:cs="Times New Roman"/>
                <w:bCs/>
                <w:sz w:val="18"/>
                <w:szCs w:val="18"/>
              </w:rPr>
              <w:t>($)</w:t>
            </w:r>
          </w:p>
        </w:tc>
        <w:tc>
          <w:tcPr>
            <w:tcW w:w="597" w:type="pct"/>
            <w:tcBorders>
              <w:top w:val="single" w:sz="4" w:space="0" w:color="auto"/>
              <w:left w:val="single" w:sz="4" w:space="0" w:color="auto"/>
              <w:bottom w:val="single" w:sz="4" w:space="0" w:color="auto"/>
              <w:right w:val="single" w:sz="4" w:space="0" w:color="auto"/>
            </w:tcBorders>
            <w:vAlign w:val="bottom"/>
          </w:tcPr>
          <w:p w14:paraId="7C81D98F" w14:textId="0D8906E5" w:rsidR="009160CC"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1A3657">
              <w:rPr>
                <w:rFonts w:ascii="Arial Narrow" w:eastAsia="MS Gothic" w:hAnsi="Arial Narrow" w:cs="Times New Roman"/>
                <w:bCs/>
                <w:sz w:val="18"/>
                <w:szCs w:val="18"/>
                <w:vertAlign w:val="superscript"/>
              </w:rPr>
              <w:t>3</w:t>
            </w:r>
          </w:p>
        </w:tc>
        <w:tc>
          <w:tcPr>
            <w:tcW w:w="597" w:type="pct"/>
            <w:tcBorders>
              <w:top w:val="single" w:sz="4" w:space="0" w:color="auto"/>
              <w:left w:val="single" w:sz="4" w:space="0" w:color="auto"/>
              <w:bottom w:val="single" w:sz="4" w:space="0" w:color="auto"/>
              <w:right w:val="single" w:sz="4" w:space="0" w:color="auto"/>
            </w:tcBorders>
            <w:vAlign w:val="bottom"/>
          </w:tcPr>
          <w:p w14:paraId="1C842EC6" w14:textId="3BFBA318" w:rsidR="009160CC"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1A3657">
              <w:rPr>
                <w:rFonts w:ascii="Arial Narrow" w:eastAsia="MS Gothic" w:hAnsi="Arial Narrow" w:cs="Times New Roman"/>
                <w:bCs/>
                <w:sz w:val="18"/>
                <w:szCs w:val="18"/>
                <w:vertAlign w:val="superscript"/>
              </w:rPr>
              <w:t>3</w:t>
            </w:r>
          </w:p>
        </w:tc>
        <w:tc>
          <w:tcPr>
            <w:tcW w:w="597" w:type="pct"/>
            <w:tcBorders>
              <w:top w:val="single" w:sz="4" w:space="0" w:color="auto"/>
              <w:left w:val="single" w:sz="4" w:space="0" w:color="auto"/>
              <w:bottom w:val="single" w:sz="4" w:space="0" w:color="auto"/>
              <w:right w:val="single" w:sz="4" w:space="0" w:color="auto"/>
            </w:tcBorders>
            <w:vAlign w:val="bottom"/>
          </w:tcPr>
          <w:p w14:paraId="16032418" w14:textId="5AE6A7AB" w:rsidR="009160CC"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1A3657">
              <w:rPr>
                <w:rFonts w:ascii="Arial Narrow" w:eastAsia="MS Gothic" w:hAnsi="Arial Narrow" w:cs="Times New Roman"/>
                <w:bCs/>
                <w:sz w:val="18"/>
                <w:szCs w:val="18"/>
                <w:vertAlign w:val="superscript"/>
              </w:rPr>
              <w:t>3</w:t>
            </w:r>
          </w:p>
        </w:tc>
        <w:tc>
          <w:tcPr>
            <w:tcW w:w="597" w:type="pct"/>
            <w:tcBorders>
              <w:top w:val="single" w:sz="4" w:space="0" w:color="auto"/>
              <w:left w:val="single" w:sz="4" w:space="0" w:color="auto"/>
              <w:bottom w:val="single" w:sz="4" w:space="0" w:color="auto"/>
              <w:right w:val="single" w:sz="4" w:space="0" w:color="auto"/>
            </w:tcBorders>
            <w:vAlign w:val="bottom"/>
          </w:tcPr>
          <w:p w14:paraId="118C6F1C" w14:textId="70185C71" w:rsidR="009160CC"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1A3657">
              <w:rPr>
                <w:rFonts w:ascii="Arial Narrow" w:eastAsia="MS Gothic" w:hAnsi="Arial Narrow" w:cs="Times New Roman"/>
                <w:bCs/>
                <w:sz w:val="18"/>
                <w:szCs w:val="18"/>
                <w:vertAlign w:val="superscript"/>
              </w:rPr>
              <w:t>3</w:t>
            </w:r>
          </w:p>
        </w:tc>
        <w:tc>
          <w:tcPr>
            <w:tcW w:w="597" w:type="pct"/>
            <w:tcBorders>
              <w:top w:val="single" w:sz="4" w:space="0" w:color="auto"/>
              <w:left w:val="single" w:sz="4" w:space="0" w:color="auto"/>
              <w:bottom w:val="single" w:sz="4" w:space="0" w:color="auto"/>
              <w:right w:val="single" w:sz="4" w:space="0" w:color="auto"/>
            </w:tcBorders>
            <w:vAlign w:val="bottom"/>
          </w:tcPr>
          <w:p w14:paraId="538F3619" w14:textId="06AB1EC0" w:rsidR="009160CC"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1A3657">
              <w:rPr>
                <w:rFonts w:ascii="Arial Narrow" w:eastAsia="MS Gothic" w:hAnsi="Arial Narrow" w:cs="Times New Roman"/>
                <w:bCs/>
                <w:sz w:val="18"/>
                <w:szCs w:val="18"/>
                <w:vertAlign w:val="superscript"/>
              </w:rPr>
              <w:t>3</w:t>
            </w:r>
          </w:p>
        </w:tc>
        <w:tc>
          <w:tcPr>
            <w:tcW w:w="597" w:type="pct"/>
            <w:tcBorders>
              <w:top w:val="single" w:sz="4" w:space="0" w:color="auto"/>
              <w:left w:val="single" w:sz="4" w:space="0" w:color="auto"/>
              <w:bottom w:val="single" w:sz="4" w:space="0" w:color="auto"/>
              <w:right w:val="single" w:sz="4" w:space="0" w:color="auto"/>
            </w:tcBorders>
            <w:vAlign w:val="bottom"/>
          </w:tcPr>
          <w:p w14:paraId="381B4E60" w14:textId="145808D9" w:rsidR="009160CC" w:rsidRPr="006531FE"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1A3657">
              <w:rPr>
                <w:rFonts w:ascii="Arial Narrow" w:eastAsia="MS Gothic" w:hAnsi="Arial Narrow" w:cs="Times New Roman"/>
                <w:bCs/>
                <w:sz w:val="18"/>
                <w:szCs w:val="18"/>
                <w:vertAlign w:val="superscript"/>
              </w:rPr>
              <w:t>3</w:t>
            </w:r>
          </w:p>
        </w:tc>
      </w:tr>
      <w:tr w:rsidR="00D84005" w:rsidRPr="006531FE" w14:paraId="4B42792A" w14:textId="77777777" w:rsidTr="001A3657">
        <w:tc>
          <w:tcPr>
            <w:tcW w:w="5000" w:type="pct"/>
            <w:gridSpan w:val="7"/>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480C641" w14:textId="55FA49B3" w:rsidR="00D84005" w:rsidRPr="006531FE" w:rsidRDefault="00D84005" w:rsidP="008028C6">
            <w:pPr>
              <w:keepNext/>
              <w:keepLines/>
              <w:jc w:val="left"/>
              <w:rPr>
                <w:rFonts w:ascii="Arial Narrow" w:eastAsia="MS Gothic" w:hAnsi="Arial Narrow" w:cs="Times New Roman"/>
                <w:b/>
                <w:sz w:val="18"/>
                <w:szCs w:val="18"/>
              </w:rPr>
            </w:pPr>
            <w:r w:rsidRPr="006531FE">
              <w:rPr>
                <w:rFonts w:ascii="Arial Narrow" w:eastAsia="MS Gothic" w:hAnsi="Arial Narrow" w:cs="Times New Roman"/>
                <w:b/>
                <w:sz w:val="18"/>
                <w:szCs w:val="18"/>
              </w:rPr>
              <w:t>March 2025 submission</w:t>
            </w:r>
          </w:p>
        </w:tc>
      </w:tr>
      <w:tr w:rsidR="009C24BB" w:rsidRPr="006531FE" w14:paraId="4B9B4A41" w14:textId="77777777" w:rsidTr="001A3657">
        <w:tc>
          <w:tcPr>
            <w:tcW w:w="141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4798212" w14:textId="75D675CE" w:rsidR="009C24BB" w:rsidRPr="006531FE" w:rsidRDefault="00D84005" w:rsidP="008028C6">
            <w:pPr>
              <w:keepNext/>
              <w:keepLines/>
              <w:jc w:val="left"/>
              <w:rPr>
                <w:rFonts w:ascii="Arial Narrow" w:eastAsia="MS Gothic" w:hAnsi="Arial Narrow" w:cs="Times New Roman"/>
                <w:bCs/>
                <w:sz w:val="18"/>
                <w:szCs w:val="18"/>
              </w:rPr>
            </w:pPr>
            <w:r w:rsidRPr="006531FE">
              <w:rPr>
                <w:rFonts w:ascii="Arial Narrow" w:eastAsia="MS Gothic" w:hAnsi="Arial Narrow" w:cs="Times New Roman"/>
                <w:bCs/>
                <w:sz w:val="18"/>
                <w:szCs w:val="18"/>
              </w:rPr>
              <w:t>Total patients on treatment</w:t>
            </w:r>
          </w:p>
        </w:tc>
        <w:tc>
          <w:tcPr>
            <w:tcW w:w="59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547FCF5E" w14:textId="2323A29C" w:rsidR="009C24BB" w:rsidRPr="001A3657"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1A3657" w:rsidRPr="006531FE">
              <w:rPr>
                <w:rFonts w:ascii="Arial Narrow" w:eastAsia="MS Gothic" w:hAnsi="Arial Narrow" w:cs="Times New Roman"/>
                <w:bCs/>
                <w:sz w:val="18"/>
                <w:szCs w:val="18"/>
                <w:vertAlign w:val="superscript"/>
              </w:rPr>
              <w:t>1</w:t>
            </w:r>
          </w:p>
        </w:tc>
        <w:tc>
          <w:tcPr>
            <w:tcW w:w="59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46433964" w14:textId="194C105B" w:rsidR="009C24BB" w:rsidRPr="001A3657"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1A3657" w:rsidRPr="006531FE">
              <w:rPr>
                <w:rFonts w:ascii="Arial Narrow" w:eastAsia="MS Gothic" w:hAnsi="Arial Narrow" w:cs="Times New Roman"/>
                <w:bCs/>
                <w:sz w:val="18"/>
                <w:szCs w:val="18"/>
                <w:vertAlign w:val="superscript"/>
              </w:rPr>
              <w:t>1</w:t>
            </w:r>
          </w:p>
        </w:tc>
        <w:tc>
          <w:tcPr>
            <w:tcW w:w="59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1BFD8EEB" w14:textId="500232D2" w:rsidR="009C24BB" w:rsidRPr="001A3657"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1A3657" w:rsidRPr="006531FE">
              <w:rPr>
                <w:rFonts w:ascii="Arial Narrow" w:eastAsia="MS Gothic" w:hAnsi="Arial Narrow" w:cs="Times New Roman"/>
                <w:bCs/>
                <w:sz w:val="18"/>
                <w:szCs w:val="18"/>
                <w:vertAlign w:val="superscript"/>
              </w:rPr>
              <w:t>1</w:t>
            </w:r>
          </w:p>
        </w:tc>
        <w:tc>
          <w:tcPr>
            <w:tcW w:w="59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69607BD3" w14:textId="4F84726F" w:rsidR="009C24BB" w:rsidRPr="001A3657"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1A3657" w:rsidRPr="006531FE">
              <w:rPr>
                <w:rFonts w:ascii="Arial Narrow" w:eastAsia="MS Gothic" w:hAnsi="Arial Narrow" w:cs="Times New Roman"/>
                <w:bCs/>
                <w:sz w:val="18"/>
                <w:szCs w:val="18"/>
                <w:vertAlign w:val="superscript"/>
              </w:rPr>
              <w:t>1</w:t>
            </w:r>
          </w:p>
        </w:tc>
        <w:tc>
          <w:tcPr>
            <w:tcW w:w="59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357B3F2B" w14:textId="18AF3E13" w:rsidR="009C24BB" w:rsidRPr="001A3657"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1A3657" w:rsidRPr="006531FE">
              <w:rPr>
                <w:rFonts w:ascii="Arial Narrow" w:eastAsia="MS Gothic" w:hAnsi="Arial Narrow" w:cs="Times New Roman"/>
                <w:bCs/>
                <w:sz w:val="18"/>
                <w:szCs w:val="18"/>
                <w:vertAlign w:val="superscript"/>
              </w:rPr>
              <w:t>1</w:t>
            </w:r>
          </w:p>
        </w:tc>
        <w:tc>
          <w:tcPr>
            <w:tcW w:w="59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54333594" w14:textId="42402C69" w:rsidR="009C24BB" w:rsidRPr="001A3657"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1A3657" w:rsidRPr="006531FE">
              <w:rPr>
                <w:rFonts w:ascii="Arial Narrow" w:eastAsia="MS Gothic" w:hAnsi="Arial Narrow" w:cs="Times New Roman"/>
                <w:bCs/>
                <w:sz w:val="18"/>
                <w:szCs w:val="18"/>
                <w:vertAlign w:val="superscript"/>
              </w:rPr>
              <w:t>1</w:t>
            </w:r>
          </w:p>
        </w:tc>
      </w:tr>
      <w:tr w:rsidR="009C24BB" w:rsidRPr="006531FE" w14:paraId="2ADBD178" w14:textId="77777777" w:rsidTr="001A3657">
        <w:tc>
          <w:tcPr>
            <w:tcW w:w="141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E04E35E" w14:textId="26149D86" w:rsidR="009C24BB" w:rsidRPr="006531FE" w:rsidRDefault="009C24BB" w:rsidP="008028C6">
            <w:pPr>
              <w:keepNext/>
              <w:keepLines/>
              <w:jc w:val="left"/>
              <w:rPr>
                <w:rFonts w:ascii="Arial Narrow" w:eastAsia="MS Gothic" w:hAnsi="Arial Narrow" w:cs="Times New Roman"/>
                <w:bCs/>
                <w:sz w:val="18"/>
                <w:szCs w:val="18"/>
              </w:rPr>
            </w:pPr>
            <w:r w:rsidRPr="006531FE">
              <w:rPr>
                <w:rFonts w:ascii="Arial Narrow" w:eastAsia="MS Gothic" w:hAnsi="Arial Narrow" w:cs="Times New Roman"/>
                <w:bCs/>
                <w:sz w:val="18"/>
                <w:szCs w:val="18"/>
              </w:rPr>
              <w:t xml:space="preserve">Scripts per year </w:t>
            </w:r>
          </w:p>
        </w:tc>
        <w:tc>
          <w:tcPr>
            <w:tcW w:w="59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3C9354B5" w14:textId="7B180C4E" w:rsidR="009C24BB" w:rsidRPr="001A3657"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1A3657" w:rsidRPr="006531FE">
              <w:rPr>
                <w:rFonts w:ascii="Arial Narrow" w:eastAsia="MS Gothic" w:hAnsi="Arial Narrow" w:cs="Times New Roman"/>
                <w:bCs/>
                <w:sz w:val="18"/>
                <w:szCs w:val="18"/>
                <w:vertAlign w:val="superscript"/>
              </w:rPr>
              <w:t>1</w:t>
            </w:r>
            <w:r w:rsidRPr="001F43CD">
              <w:rPr>
                <w:rFonts w:ascii="Arial Narrow" w:eastAsia="MS Gothic" w:hAnsi="Arial Narrow" w:cs="Times New Roman"/>
                <w:bCs/>
                <w:sz w:val="18"/>
                <w:szCs w:val="18"/>
                <w:highlight w:val="black"/>
              </w:rPr>
              <w:t>@@@@</w:t>
            </w:r>
          </w:p>
        </w:tc>
        <w:tc>
          <w:tcPr>
            <w:tcW w:w="59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7B256922" w14:textId="2A1C23EE" w:rsidR="009C24BB" w:rsidRPr="001A3657"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1A3657" w:rsidRPr="006531FE">
              <w:rPr>
                <w:rFonts w:ascii="Arial Narrow" w:eastAsia="MS Gothic" w:hAnsi="Arial Narrow" w:cs="Times New Roman"/>
                <w:bCs/>
                <w:sz w:val="18"/>
                <w:szCs w:val="18"/>
                <w:vertAlign w:val="superscript"/>
              </w:rPr>
              <w:t>1</w:t>
            </w:r>
            <w:r w:rsidRPr="001F43CD">
              <w:rPr>
                <w:rFonts w:ascii="Arial Narrow" w:eastAsia="MS Gothic" w:hAnsi="Arial Narrow" w:cs="Times New Roman"/>
                <w:bCs/>
                <w:sz w:val="18"/>
                <w:szCs w:val="18"/>
                <w:highlight w:val="black"/>
              </w:rPr>
              <w:t>@@@@</w:t>
            </w:r>
          </w:p>
        </w:tc>
        <w:tc>
          <w:tcPr>
            <w:tcW w:w="59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653F4532" w14:textId="2332C72F" w:rsidR="009C24BB" w:rsidRPr="001A3657"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1A3657" w:rsidRPr="006531FE">
              <w:rPr>
                <w:rFonts w:ascii="Arial Narrow" w:eastAsia="MS Gothic" w:hAnsi="Arial Narrow" w:cs="Times New Roman"/>
                <w:bCs/>
                <w:sz w:val="18"/>
                <w:szCs w:val="18"/>
                <w:vertAlign w:val="superscript"/>
              </w:rPr>
              <w:t>1</w:t>
            </w:r>
            <w:r w:rsidRPr="001F43CD">
              <w:rPr>
                <w:rFonts w:ascii="Arial Narrow" w:eastAsia="MS Gothic" w:hAnsi="Arial Narrow" w:cs="Times New Roman"/>
                <w:bCs/>
                <w:sz w:val="18"/>
                <w:szCs w:val="18"/>
                <w:highlight w:val="black"/>
              </w:rPr>
              <w:t>@@@@</w:t>
            </w:r>
          </w:p>
        </w:tc>
        <w:tc>
          <w:tcPr>
            <w:tcW w:w="59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474E7524" w14:textId="69CF90CF" w:rsidR="009C24BB" w:rsidRPr="001A3657"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1A3657" w:rsidRPr="006531FE">
              <w:rPr>
                <w:rFonts w:ascii="Arial Narrow" w:eastAsia="MS Gothic" w:hAnsi="Arial Narrow" w:cs="Times New Roman"/>
                <w:bCs/>
                <w:sz w:val="18"/>
                <w:szCs w:val="18"/>
                <w:vertAlign w:val="superscript"/>
              </w:rPr>
              <w:t>1</w:t>
            </w:r>
            <w:r w:rsidRPr="001F43CD">
              <w:rPr>
                <w:rFonts w:ascii="Arial Narrow" w:eastAsia="MS Gothic" w:hAnsi="Arial Narrow" w:cs="Times New Roman"/>
                <w:bCs/>
                <w:sz w:val="18"/>
                <w:szCs w:val="18"/>
                <w:highlight w:val="black"/>
              </w:rPr>
              <w:t>@@@@</w:t>
            </w:r>
          </w:p>
        </w:tc>
        <w:tc>
          <w:tcPr>
            <w:tcW w:w="59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27F0C816" w14:textId="6D0A7EFA" w:rsidR="009C24BB" w:rsidRPr="001A3657"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1A3657" w:rsidRPr="006531FE">
              <w:rPr>
                <w:rFonts w:ascii="Arial Narrow" w:eastAsia="MS Gothic" w:hAnsi="Arial Narrow" w:cs="Times New Roman"/>
                <w:bCs/>
                <w:sz w:val="18"/>
                <w:szCs w:val="18"/>
                <w:vertAlign w:val="superscript"/>
              </w:rPr>
              <w:t>1</w:t>
            </w:r>
            <w:r w:rsidRPr="001F43CD">
              <w:rPr>
                <w:rFonts w:ascii="Arial Narrow" w:eastAsia="MS Gothic" w:hAnsi="Arial Narrow" w:cs="Times New Roman"/>
                <w:bCs/>
                <w:sz w:val="18"/>
                <w:szCs w:val="18"/>
                <w:highlight w:val="black"/>
              </w:rPr>
              <w:t>@@@@</w:t>
            </w:r>
          </w:p>
        </w:tc>
        <w:tc>
          <w:tcPr>
            <w:tcW w:w="59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5B38BDF2" w14:textId="4A7A01BE" w:rsidR="009C24BB" w:rsidRPr="001A3657"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1A3657" w:rsidRPr="006531FE">
              <w:rPr>
                <w:rFonts w:ascii="Arial Narrow" w:eastAsia="MS Gothic" w:hAnsi="Arial Narrow" w:cs="Times New Roman"/>
                <w:bCs/>
                <w:sz w:val="18"/>
                <w:szCs w:val="18"/>
                <w:vertAlign w:val="superscript"/>
              </w:rPr>
              <w:t>1</w:t>
            </w:r>
            <w:r w:rsidRPr="001F43CD">
              <w:rPr>
                <w:rFonts w:ascii="Arial Narrow" w:eastAsia="MS Gothic" w:hAnsi="Arial Narrow" w:cs="Times New Roman"/>
                <w:bCs/>
                <w:sz w:val="18"/>
                <w:szCs w:val="18"/>
                <w:highlight w:val="black"/>
              </w:rPr>
              <w:t>@@@@</w:t>
            </w:r>
          </w:p>
        </w:tc>
      </w:tr>
      <w:tr w:rsidR="009160CC" w:rsidRPr="006531FE" w14:paraId="19A8001A" w14:textId="77777777" w:rsidTr="001A3657">
        <w:tc>
          <w:tcPr>
            <w:tcW w:w="1418"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03196EB" w14:textId="668F2837" w:rsidR="009160CC" w:rsidRPr="006531FE" w:rsidRDefault="009160CC" w:rsidP="008028C6">
            <w:pPr>
              <w:keepNext/>
              <w:keepLines/>
              <w:jc w:val="left"/>
              <w:rPr>
                <w:rFonts w:ascii="Arial Narrow" w:eastAsia="MS Gothic" w:hAnsi="Arial Narrow" w:cs="Times New Roman"/>
                <w:bCs/>
                <w:sz w:val="18"/>
                <w:szCs w:val="18"/>
              </w:rPr>
            </w:pPr>
            <w:r w:rsidRPr="006531FE">
              <w:rPr>
                <w:rFonts w:ascii="Arial Narrow" w:eastAsia="MS Gothic" w:hAnsi="Arial Narrow" w:cs="Times New Roman"/>
                <w:bCs/>
                <w:sz w:val="18"/>
                <w:szCs w:val="18"/>
              </w:rPr>
              <w:t>Net cost to the PBS</w:t>
            </w:r>
            <w:r w:rsidR="00407C51" w:rsidRPr="006531FE">
              <w:rPr>
                <w:rFonts w:ascii="Arial Narrow" w:eastAsia="MS Gothic" w:hAnsi="Arial Narrow" w:cs="Times New Roman"/>
                <w:bCs/>
                <w:sz w:val="18"/>
                <w:szCs w:val="18"/>
              </w:rPr>
              <w:t>/RPBS</w:t>
            </w:r>
            <w:r w:rsidRPr="006531FE">
              <w:rPr>
                <w:rFonts w:ascii="Arial Narrow" w:eastAsia="MS Gothic" w:hAnsi="Arial Narrow" w:cs="Times New Roman"/>
                <w:bCs/>
                <w:sz w:val="18"/>
                <w:szCs w:val="18"/>
              </w:rPr>
              <w:t xml:space="preserve"> </w:t>
            </w:r>
            <w:r w:rsidR="001A3657">
              <w:rPr>
                <w:rFonts w:ascii="Arial Narrow" w:eastAsia="MS Gothic" w:hAnsi="Arial Narrow" w:cs="Times New Roman"/>
                <w:bCs/>
                <w:sz w:val="18"/>
                <w:szCs w:val="18"/>
              </w:rPr>
              <w:t>($)</w:t>
            </w:r>
          </w:p>
        </w:tc>
        <w:tc>
          <w:tcPr>
            <w:tcW w:w="59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79777FEC" w14:textId="66016D2C" w:rsidR="009160CC" w:rsidRPr="001A3657"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AA2B46">
              <w:rPr>
                <w:rFonts w:ascii="Arial Narrow" w:eastAsia="MS Gothic" w:hAnsi="Arial Narrow" w:cs="Times New Roman"/>
                <w:bCs/>
                <w:sz w:val="18"/>
                <w:szCs w:val="18"/>
                <w:vertAlign w:val="superscript"/>
              </w:rPr>
              <w:t>5</w:t>
            </w:r>
          </w:p>
        </w:tc>
        <w:tc>
          <w:tcPr>
            <w:tcW w:w="59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787376AB" w14:textId="4E5492E6" w:rsidR="009160CC" w:rsidRPr="001A3657"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6C7FF5">
              <w:rPr>
                <w:rFonts w:ascii="Arial Narrow" w:eastAsia="MS Gothic" w:hAnsi="Arial Narrow" w:cs="Times New Roman"/>
                <w:bCs/>
                <w:sz w:val="18"/>
                <w:szCs w:val="18"/>
                <w:vertAlign w:val="superscript"/>
              </w:rPr>
              <w:t>6</w:t>
            </w:r>
          </w:p>
        </w:tc>
        <w:tc>
          <w:tcPr>
            <w:tcW w:w="59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009C7ABB" w14:textId="5ED96AFE" w:rsidR="009160CC" w:rsidRPr="001A3657"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6C7FF5">
              <w:rPr>
                <w:rFonts w:ascii="Arial Narrow" w:eastAsia="MS Gothic" w:hAnsi="Arial Narrow" w:cs="Times New Roman"/>
                <w:bCs/>
                <w:sz w:val="18"/>
                <w:szCs w:val="18"/>
                <w:vertAlign w:val="superscript"/>
              </w:rPr>
              <w:t>7</w:t>
            </w:r>
          </w:p>
        </w:tc>
        <w:tc>
          <w:tcPr>
            <w:tcW w:w="59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0E1D0E1C" w14:textId="1F22709D" w:rsidR="009160CC" w:rsidRPr="001A3657"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6C7FF5">
              <w:rPr>
                <w:rFonts w:ascii="Arial Narrow" w:eastAsia="MS Gothic" w:hAnsi="Arial Narrow" w:cs="Times New Roman"/>
                <w:bCs/>
                <w:sz w:val="18"/>
                <w:szCs w:val="18"/>
                <w:vertAlign w:val="superscript"/>
              </w:rPr>
              <w:t>7</w:t>
            </w:r>
          </w:p>
        </w:tc>
        <w:tc>
          <w:tcPr>
            <w:tcW w:w="59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0BB3082A" w14:textId="46E75207" w:rsidR="009160CC" w:rsidRPr="001A3657"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6C7FF5">
              <w:rPr>
                <w:rFonts w:ascii="Arial Narrow" w:eastAsia="MS Gothic" w:hAnsi="Arial Narrow" w:cs="Times New Roman"/>
                <w:bCs/>
                <w:sz w:val="18"/>
                <w:szCs w:val="18"/>
                <w:vertAlign w:val="superscript"/>
              </w:rPr>
              <w:t>7</w:t>
            </w:r>
          </w:p>
        </w:tc>
        <w:tc>
          <w:tcPr>
            <w:tcW w:w="59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bottom"/>
          </w:tcPr>
          <w:p w14:paraId="6E4CF6E1" w14:textId="2232FD3B" w:rsidR="009160CC" w:rsidRPr="001A3657" w:rsidRDefault="001F43CD" w:rsidP="008028C6">
            <w:pPr>
              <w:keepNext/>
              <w:keepLines/>
              <w:jc w:val="right"/>
              <w:rPr>
                <w:rFonts w:ascii="Arial Narrow" w:eastAsia="MS Gothic" w:hAnsi="Arial Narrow" w:cs="Times New Roman"/>
                <w:bCs/>
                <w:sz w:val="18"/>
                <w:szCs w:val="18"/>
                <w:highlight w:val="darkGray"/>
              </w:rPr>
            </w:pPr>
            <w:r w:rsidRPr="001F43CD">
              <w:rPr>
                <w:rFonts w:ascii="Arial Narrow" w:eastAsia="MS Gothic" w:hAnsi="Arial Narrow" w:cs="Times New Roman"/>
                <w:bCs/>
                <w:sz w:val="18"/>
                <w:szCs w:val="18"/>
                <w:highlight w:val="black"/>
              </w:rPr>
              <w:t>@@@@</w:t>
            </w:r>
            <w:r w:rsidR="006C7FF5">
              <w:rPr>
                <w:rFonts w:ascii="Arial Narrow" w:eastAsia="MS Gothic" w:hAnsi="Arial Narrow" w:cs="Times New Roman"/>
                <w:bCs/>
                <w:sz w:val="18"/>
                <w:szCs w:val="18"/>
                <w:vertAlign w:val="superscript"/>
              </w:rPr>
              <w:t>8</w:t>
            </w:r>
          </w:p>
        </w:tc>
      </w:tr>
    </w:tbl>
    <w:p w14:paraId="58EEBF20" w14:textId="77777777" w:rsidR="00360A88" w:rsidRPr="00AB0640" w:rsidRDefault="00360A88" w:rsidP="008028C6">
      <w:pPr>
        <w:pStyle w:val="TableFigureFooter"/>
      </w:pPr>
      <w:r w:rsidRPr="00AB0640">
        <w:t>Source: Constructed during the evaluation from the “Attachment 12 - Utilisation and cost model (Section 4)” provided with the resubmission.</w:t>
      </w:r>
    </w:p>
    <w:p w14:paraId="5BE97309" w14:textId="65E36C69" w:rsidR="009C24BB" w:rsidRPr="00AB0640" w:rsidRDefault="009C24BB" w:rsidP="008028C6">
      <w:pPr>
        <w:pStyle w:val="TableFigureFooter"/>
      </w:pPr>
      <w:r w:rsidRPr="00AB0640">
        <w:t>MBS=Medicare Benefits Schedule; PBS=Pharmaceutical Benefits Scheme; RPBS=Repatriation Pharmaceutical Benefits Scheme.</w:t>
      </w:r>
    </w:p>
    <w:p w14:paraId="274DA8EF" w14:textId="2C311D23" w:rsidR="00BD5424" w:rsidRPr="00AB0640" w:rsidRDefault="009160CC" w:rsidP="008028C6">
      <w:pPr>
        <w:pStyle w:val="TableFigureFooter"/>
        <w:keepNext/>
      </w:pPr>
      <w:r w:rsidRPr="00AB0640">
        <w:rPr>
          <w:shd w:val="clear" w:color="auto" w:fill="B8CCE4" w:themeFill="accent1" w:themeFillTint="66"/>
        </w:rPr>
        <w:t xml:space="preserve">Blue </w:t>
      </w:r>
      <w:r w:rsidRPr="00AB0640">
        <w:t>shading represents financial inputs previously considered by the PBAC.</w:t>
      </w:r>
    </w:p>
    <w:p w14:paraId="54A70EB4" w14:textId="36212E92" w:rsidR="009160CC" w:rsidRPr="00AB0640" w:rsidRDefault="009C24BB" w:rsidP="008028C6">
      <w:pPr>
        <w:pStyle w:val="TableFigureFooter"/>
      </w:pPr>
      <w:r w:rsidRPr="00AB0640">
        <w:rPr>
          <w:vertAlign w:val="superscript"/>
        </w:rPr>
        <w:t xml:space="preserve">a </w:t>
      </w:r>
      <w:r w:rsidR="00BD5424" w:rsidRPr="00AB0640">
        <w:t>Except for grandfathered patients in their first year of PBS-subsidised treatment who receive two fewer script</w:t>
      </w:r>
      <w:r w:rsidR="00661D23" w:rsidRPr="00AB0640">
        <w:t>s than treatment-naïve patients</w:t>
      </w:r>
      <w:r w:rsidR="00BD5424" w:rsidRPr="00AB0640">
        <w:t>.</w:t>
      </w:r>
    </w:p>
    <w:p w14:paraId="2BCA0228" w14:textId="10D10DAE" w:rsidR="00360A88" w:rsidRDefault="009C24BB" w:rsidP="008028C6">
      <w:pPr>
        <w:pStyle w:val="TableFigureFooter"/>
      </w:pPr>
      <w:r w:rsidRPr="00AB0640">
        <w:rPr>
          <w:vertAlign w:val="superscript"/>
        </w:rPr>
        <w:t>b</w:t>
      </w:r>
      <w:r w:rsidR="009160CC" w:rsidRPr="00AB0640">
        <w:t xml:space="preserve"> MBS 66512 ($14.16) service four times in the first year of treatment, annually thereafter per patient on treatment. Additional five services for 29% of patients in their initiating year for increased monitoring based on the MOXIe trial. However the </w:t>
      </w:r>
      <w:r w:rsidR="00E1324A" w:rsidRPr="00AB0640">
        <w:t>re</w:t>
      </w:r>
      <w:r w:rsidR="009160CC" w:rsidRPr="00AB0640">
        <w:t>submission miscalculated additional MBS services, this was revised during the evaluation.</w:t>
      </w:r>
    </w:p>
    <w:p w14:paraId="3EEABCC2" w14:textId="6D6549EC" w:rsidR="00845530" w:rsidRDefault="00845530" w:rsidP="008028C6">
      <w:pPr>
        <w:pStyle w:val="TableFigureFooter"/>
        <w:jc w:val="left"/>
        <w:rPr>
          <w:rFonts w:eastAsia="MS Gothic" w:cs="Times New Roman"/>
          <w:bCs/>
          <w:i/>
          <w:iCs/>
          <w:szCs w:val="20"/>
        </w:rPr>
      </w:pPr>
      <w:r>
        <w:rPr>
          <w:i/>
          <w:iCs/>
        </w:rPr>
        <w:t>The redacted values correspond to the following values:</w:t>
      </w:r>
      <w:r>
        <w:rPr>
          <w:i/>
          <w:iCs/>
        </w:rPr>
        <w:br/>
      </w:r>
      <w:r w:rsidRPr="00845530">
        <w:rPr>
          <w:rFonts w:eastAsia="MS Gothic" w:cs="Times New Roman"/>
          <w:bCs/>
          <w:i/>
          <w:iCs/>
          <w:szCs w:val="20"/>
          <w:vertAlign w:val="superscript"/>
        </w:rPr>
        <w:t xml:space="preserve">1 </w:t>
      </w:r>
      <w:r w:rsidR="00202AE4">
        <w:rPr>
          <w:rFonts w:eastAsia="MS Gothic" w:cs="Times New Roman"/>
          <w:bCs/>
          <w:i/>
          <w:iCs/>
          <w:szCs w:val="20"/>
        </w:rPr>
        <w:t xml:space="preserve">&lt; </w:t>
      </w:r>
      <w:r w:rsidRPr="00845530">
        <w:rPr>
          <w:rFonts w:eastAsia="MS Gothic" w:cs="Times New Roman"/>
          <w:bCs/>
          <w:i/>
          <w:iCs/>
          <w:szCs w:val="20"/>
        </w:rPr>
        <w:t>500</w:t>
      </w:r>
    </w:p>
    <w:p w14:paraId="6004EDFA" w14:textId="3840AE19" w:rsidR="00845530" w:rsidRDefault="00845530" w:rsidP="008028C6">
      <w:pPr>
        <w:pStyle w:val="TableFigureFooter"/>
        <w:jc w:val="left"/>
        <w:rPr>
          <w:rFonts w:eastAsia="MS Gothic" w:cs="Times New Roman"/>
          <w:bCs/>
          <w:i/>
          <w:iCs/>
          <w:szCs w:val="18"/>
        </w:rPr>
      </w:pPr>
      <w:r w:rsidRPr="00845530">
        <w:rPr>
          <w:rFonts w:eastAsia="MS Gothic" w:cs="Times New Roman"/>
          <w:bCs/>
          <w:i/>
          <w:iCs/>
          <w:szCs w:val="20"/>
          <w:vertAlign w:val="superscript"/>
        </w:rPr>
        <w:t>2</w:t>
      </w:r>
      <w:r>
        <w:rPr>
          <w:rFonts w:eastAsia="MS Gothic" w:cs="Times New Roman"/>
          <w:bCs/>
          <w:i/>
          <w:iCs/>
          <w:szCs w:val="20"/>
        </w:rPr>
        <w:t xml:space="preserve"> 500 to </w:t>
      </w:r>
      <w:r w:rsidR="00202AE4">
        <w:rPr>
          <w:rFonts w:eastAsia="MS Gothic" w:cs="Times New Roman"/>
          <w:bCs/>
          <w:i/>
          <w:iCs/>
          <w:szCs w:val="20"/>
        </w:rPr>
        <w:t xml:space="preserve">&lt; </w:t>
      </w:r>
      <w:r>
        <w:rPr>
          <w:rFonts w:eastAsia="MS Gothic" w:cs="Times New Roman"/>
          <w:bCs/>
          <w:i/>
          <w:iCs/>
          <w:szCs w:val="20"/>
        </w:rPr>
        <w:t>5,000</w:t>
      </w:r>
      <w:r w:rsidR="006B5B39">
        <w:rPr>
          <w:rFonts w:eastAsia="MS Gothic" w:cs="Times New Roman"/>
          <w:bCs/>
          <w:i/>
          <w:iCs/>
          <w:szCs w:val="20"/>
        </w:rPr>
        <w:br/>
      </w:r>
      <w:r w:rsidR="006B5B39" w:rsidRPr="006531FE">
        <w:rPr>
          <w:rFonts w:eastAsia="MS Gothic" w:cs="Times New Roman"/>
          <w:bCs/>
          <w:i/>
          <w:iCs/>
          <w:szCs w:val="20"/>
          <w:vertAlign w:val="superscript"/>
        </w:rPr>
        <w:t xml:space="preserve">3 </w:t>
      </w:r>
      <w:r w:rsidR="006531FE" w:rsidRPr="006531FE">
        <w:rPr>
          <w:rFonts w:eastAsia="MS Gothic" w:cs="Times New Roman"/>
          <w:bCs/>
          <w:i/>
          <w:iCs/>
          <w:szCs w:val="20"/>
        </w:rPr>
        <w:t>$80</w:t>
      </w:r>
      <w:r w:rsidR="006531FE">
        <w:rPr>
          <w:rFonts w:eastAsia="MS Gothic" w:cs="Times New Roman"/>
          <w:bCs/>
          <w:sz w:val="20"/>
          <w:vertAlign w:val="superscript"/>
        </w:rPr>
        <w:t xml:space="preserve"> </w:t>
      </w:r>
      <w:r w:rsidR="006531FE">
        <w:rPr>
          <w:rFonts w:eastAsia="MS Gothic" w:cs="Times New Roman"/>
          <w:bCs/>
          <w:i/>
          <w:iCs/>
          <w:szCs w:val="20"/>
        </w:rPr>
        <w:t xml:space="preserve">million to </w:t>
      </w:r>
      <w:r w:rsidR="00202AE4">
        <w:rPr>
          <w:rFonts w:eastAsia="MS Gothic" w:cs="Times New Roman"/>
          <w:bCs/>
          <w:i/>
          <w:iCs/>
          <w:szCs w:val="20"/>
        </w:rPr>
        <w:t xml:space="preserve">&lt; </w:t>
      </w:r>
      <w:r w:rsidR="006531FE">
        <w:rPr>
          <w:rFonts w:eastAsia="MS Gothic" w:cs="Times New Roman"/>
          <w:bCs/>
          <w:i/>
          <w:iCs/>
          <w:szCs w:val="20"/>
        </w:rPr>
        <w:t>$90 million</w:t>
      </w:r>
      <w:r>
        <w:rPr>
          <w:rFonts w:eastAsia="MS Gothic" w:cs="Times New Roman"/>
          <w:bCs/>
          <w:i/>
          <w:iCs/>
          <w:szCs w:val="20"/>
        </w:rPr>
        <w:br/>
      </w:r>
      <w:r w:rsidR="001A3657" w:rsidRPr="001A3657">
        <w:rPr>
          <w:rFonts w:eastAsia="MS Gothic" w:cs="Times New Roman"/>
          <w:bCs/>
          <w:i/>
          <w:iCs/>
          <w:szCs w:val="18"/>
          <w:vertAlign w:val="superscript"/>
        </w:rPr>
        <w:t xml:space="preserve">4 </w:t>
      </w:r>
      <w:r w:rsidR="001A3657" w:rsidRPr="001A3657">
        <w:rPr>
          <w:rFonts w:eastAsia="MS Gothic" w:cs="Times New Roman"/>
          <w:bCs/>
          <w:i/>
          <w:iCs/>
          <w:szCs w:val="18"/>
        </w:rPr>
        <w:t xml:space="preserve">$0 to </w:t>
      </w:r>
      <w:r w:rsidR="00202AE4">
        <w:rPr>
          <w:rFonts w:eastAsia="MS Gothic" w:cs="Times New Roman"/>
          <w:bCs/>
          <w:i/>
          <w:iCs/>
          <w:szCs w:val="18"/>
        </w:rPr>
        <w:t xml:space="preserve">&lt; </w:t>
      </w:r>
      <w:r w:rsidR="001A3657" w:rsidRPr="001A3657">
        <w:rPr>
          <w:rFonts w:eastAsia="MS Gothic" w:cs="Times New Roman"/>
          <w:bCs/>
          <w:i/>
          <w:iCs/>
          <w:szCs w:val="18"/>
        </w:rPr>
        <w:t>$10 million</w:t>
      </w:r>
    </w:p>
    <w:p w14:paraId="44143CC2" w14:textId="776C9392" w:rsidR="001A3657" w:rsidRDefault="001A3657" w:rsidP="008028C6">
      <w:pPr>
        <w:pStyle w:val="TableFigureFooter"/>
        <w:jc w:val="left"/>
        <w:rPr>
          <w:rFonts w:eastAsia="MS Gothic" w:cs="Times New Roman"/>
          <w:bCs/>
          <w:i/>
          <w:iCs/>
          <w:szCs w:val="18"/>
        </w:rPr>
      </w:pPr>
      <w:r w:rsidRPr="001A3657">
        <w:rPr>
          <w:rFonts w:eastAsia="MS Gothic" w:cs="Times New Roman"/>
          <w:bCs/>
          <w:i/>
          <w:iCs/>
          <w:szCs w:val="18"/>
          <w:vertAlign w:val="superscript"/>
        </w:rPr>
        <w:t>5</w:t>
      </w:r>
      <w:r>
        <w:rPr>
          <w:rFonts w:eastAsia="MS Gothic" w:cs="Times New Roman"/>
          <w:bCs/>
          <w:i/>
          <w:iCs/>
          <w:szCs w:val="18"/>
        </w:rPr>
        <w:t xml:space="preserve"> $120 million to </w:t>
      </w:r>
      <w:r w:rsidR="00202AE4">
        <w:rPr>
          <w:rFonts w:eastAsia="MS Gothic" w:cs="Times New Roman"/>
          <w:bCs/>
          <w:i/>
          <w:iCs/>
          <w:szCs w:val="18"/>
        </w:rPr>
        <w:t xml:space="preserve">&lt; </w:t>
      </w:r>
      <w:r>
        <w:rPr>
          <w:rFonts w:eastAsia="MS Gothic" w:cs="Times New Roman"/>
          <w:bCs/>
          <w:i/>
          <w:iCs/>
          <w:szCs w:val="18"/>
        </w:rPr>
        <w:t>$130 million</w:t>
      </w:r>
      <w:r>
        <w:rPr>
          <w:rFonts w:eastAsia="MS Gothic" w:cs="Times New Roman"/>
          <w:bCs/>
          <w:i/>
          <w:iCs/>
          <w:szCs w:val="18"/>
        </w:rPr>
        <w:br/>
      </w:r>
      <w:r w:rsidRPr="001A3657">
        <w:rPr>
          <w:rFonts w:eastAsia="MS Gothic" w:cs="Times New Roman"/>
          <w:bCs/>
          <w:i/>
          <w:iCs/>
          <w:szCs w:val="18"/>
          <w:vertAlign w:val="superscript"/>
        </w:rPr>
        <w:t>6</w:t>
      </w:r>
      <w:r>
        <w:rPr>
          <w:rFonts w:eastAsia="MS Gothic" w:cs="Times New Roman"/>
          <w:bCs/>
          <w:i/>
          <w:iCs/>
          <w:szCs w:val="18"/>
        </w:rPr>
        <w:t xml:space="preserve"> $150 million to </w:t>
      </w:r>
      <w:r w:rsidR="00202AE4">
        <w:rPr>
          <w:rFonts w:eastAsia="MS Gothic" w:cs="Times New Roman"/>
          <w:bCs/>
          <w:i/>
          <w:iCs/>
          <w:szCs w:val="18"/>
        </w:rPr>
        <w:t xml:space="preserve">&lt; </w:t>
      </w:r>
      <w:r>
        <w:rPr>
          <w:rFonts w:eastAsia="MS Gothic" w:cs="Times New Roman"/>
          <w:bCs/>
          <w:i/>
          <w:iCs/>
          <w:szCs w:val="18"/>
        </w:rPr>
        <w:t>$160 million</w:t>
      </w:r>
    </w:p>
    <w:p w14:paraId="64BFA4FB" w14:textId="06C1ECDD" w:rsidR="001A3657" w:rsidRPr="001A3657" w:rsidRDefault="001A3657" w:rsidP="008028C6">
      <w:pPr>
        <w:pStyle w:val="TableFigureFooter"/>
        <w:jc w:val="left"/>
        <w:rPr>
          <w:i/>
          <w:iCs/>
        </w:rPr>
      </w:pPr>
      <w:r w:rsidRPr="001A3657">
        <w:rPr>
          <w:i/>
          <w:iCs/>
          <w:vertAlign w:val="superscript"/>
        </w:rPr>
        <w:t xml:space="preserve">7 </w:t>
      </w:r>
      <w:r>
        <w:rPr>
          <w:i/>
          <w:iCs/>
        </w:rPr>
        <w:t xml:space="preserve">$160 million to </w:t>
      </w:r>
      <w:r w:rsidR="00202AE4">
        <w:rPr>
          <w:i/>
          <w:iCs/>
        </w:rPr>
        <w:t xml:space="preserve">&lt; </w:t>
      </w:r>
      <w:r>
        <w:rPr>
          <w:i/>
          <w:iCs/>
        </w:rPr>
        <w:t>$170 million</w:t>
      </w:r>
      <w:r>
        <w:rPr>
          <w:i/>
          <w:iCs/>
        </w:rPr>
        <w:br/>
      </w:r>
      <w:r w:rsidRPr="00AA2B46">
        <w:rPr>
          <w:i/>
          <w:iCs/>
          <w:vertAlign w:val="superscript"/>
        </w:rPr>
        <w:t>8</w:t>
      </w:r>
      <w:r w:rsidRPr="001A3657">
        <w:t xml:space="preserve"> </w:t>
      </w:r>
      <w:r>
        <w:rPr>
          <w:i/>
          <w:iCs/>
        </w:rPr>
        <w:t xml:space="preserve">$170 million to </w:t>
      </w:r>
      <w:r w:rsidR="00202AE4">
        <w:rPr>
          <w:i/>
          <w:iCs/>
        </w:rPr>
        <w:t xml:space="preserve">&lt; </w:t>
      </w:r>
      <w:r>
        <w:rPr>
          <w:i/>
          <w:iCs/>
        </w:rPr>
        <w:t>$180 million</w:t>
      </w:r>
    </w:p>
    <w:p w14:paraId="7FC1900B" w14:textId="25ED06EA" w:rsidR="00360A88" w:rsidRPr="003E7DF3" w:rsidRDefault="00360A88" w:rsidP="008028C6">
      <w:pPr>
        <w:pStyle w:val="3-BodyText"/>
      </w:pPr>
      <w:r w:rsidRPr="003E7DF3">
        <w:t xml:space="preserve">The total cost to the PBS of listing omaveloxolone was estimated to be </w:t>
      </w:r>
      <w:r w:rsidR="005923DA" w:rsidRPr="003E7DF3">
        <w:t>$</w:t>
      </w:r>
      <w:r w:rsidR="006275D0">
        <w:t xml:space="preserve">80 million to </w:t>
      </w:r>
      <w:r w:rsidR="00202AE4">
        <w:t xml:space="preserve">&lt; </w:t>
      </w:r>
      <w:r w:rsidR="006275D0">
        <w:t>$90 million</w:t>
      </w:r>
      <w:r w:rsidR="005923DA" w:rsidRPr="003E7DF3">
        <w:t xml:space="preserve"> in Year 1 of listing, decreasing to </w:t>
      </w:r>
      <w:r w:rsidR="006275D0" w:rsidRPr="003E7DF3">
        <w:t>$</w:t>
      </w:r>
      <w:r w:rsidR="006275D0">
        <w:t xml:space="preserve">80 million to </w:t>
      </w:r>
      <w:r w:rsidR="00202AE4">
        <w:t xml:space="preserve">&lt; </w:t>
      </w:r>
      <w:r w:rsidR="006275D0">
        <w:t>$90 million</w:t>
      </w:r>
      <w:r w:rsidR="006275D0" w:rsidRPr="003E7DF3" w:rsidDel="006275D0">
        <w:t xml:space="preserve"> </w:t>
      </w:r>
      <w:r w:rsidRPr="003E7DF3">
        <w:t>in Year 6, and total</w:t>
      </w:r>
      <w:r w:rsidR="00407C51" w:rsidRPr="003E7DF3">
        <w:t>ling</w:t>
      </w:r>
      <w:r w:rsidRPr="003E7DF3">
        <w:t xml:space="preserve"> </w:t>
      </w:r>
      <w:r w:rsidR="006275D0">
        <w:t xml:space="preserve">$500 million to $600 million </w:t>
      </w:r>
      <w:r w:rsidR="00407C51" w:rsidRPr="003E7DF3">
        <w:t xml:space="preserve">over </w:t>
      </w:r>
      <w:r w:rsidRPr="003E7DF3">
        <w:t xml:space="preserve">the first 6 years of listing. </w:t>
      </w:r>
      <w:r w:rsidR="00DF4A27" w:rsidRPr="003E7DF3">
        <w:t xml:space="preserve">This was reduced from a total of </w:t>
      </w:r>
      <w:r w:rsidR="006275D0">
        <w:t xml:space="preserve">$900 million to </w:t>
      </w:r>
      <w:r w:rsidR="00202AE4">
        <w:t xml:space="preserve">&lt; </w:t>
      </w:r>
      <w:r w:rsidR="006275D0">
        <w:t>$1 billion</w:t>
      </w:r>
      <w:r w:rsidR="00DF4A27" w:rsidRPr="003E7DF3">
        <w:t xml:space="preserve"> over the first </w:t>
      </w:r>
      <w:r w:rsidR="000249CB" w:rsidRPr="003E7DF3">
        <w:t>6</w:t>
      </w:r>
      <w:r w:rsidR="000249CB">
        <w:t> </w:t>
      </w:r>
      <w:r w:rsidR="00DF4A27" w:rsidRPr="003E7DF3">
        <w:t xml:space="preserve">years of listing in </w:t>
      </w:r>
      <w:r w:rsidR="00DF4A27" w:rsidRPr="003E7DF3">
        <w:lastRenderedPageBreak/>
        <w:t>the March 2025 submission.</w:t>
      </w:r>
      <w:r w:rsidR="0003089E" w:rsidRPr="003E7DF3">
        <w:t xml:space="preserve"> The resubmission expected that the listing of omaveloxolone would not change the extent of use of other medicines.</w:t>
      </w:r>
    </w:p>
    <w:p w14:paraId="3FBFFC31" w14:textId="5613EC20" w:rsidR="00360A88" w:rsidRPr="003E7DF3" w:rsidRDefault="00360A88" w:rsidP="008028C6">
      <w:pPr>
        <w:pStyle w:val="3-BodyText"/>
      </w:pPr>
      <w:r w:rsidRPr="003E7DF3">
        <w:t xml:space="preserve">The </w:t>
      </w:r>
      <w:r w:rsidR="0003089E" w:rsidRPr="003E7DF3">
        <w:t xml:space="preserve">ESC noted that the </w:t>
      </w:r>
      <w:r w:rsidRPr="003E7DF3">
        <w:t>key changes in the resubmission include</w:t>
      </w:r>
      <w:r w:rsidR="008F5495" w:rsidRPr="003E7DF3">
        <w:t>d</w:t>
      </w:r>
      <w:r w:rsidRPr="003E7DF3">
        <w:t>:</w:t>
      </w:r>
    </w:p>
    <w:p w14:paraId="6386D680" w14:textId="05A56345" w:rsidR="00E72D54" w:rsidRPr="003E7DF3" w:rsidRDefault="00E72D54" w:rsidP="008028C6">
      <w:pPr>
        <w:pStyle w:val="ListParagraph"/>
        <w:jc w:val="both"/>
      </w:pPr>
      <w:r w:rsidRPr="003E7DF3">
        <w:t xml:space="preserve">Restricting use of omaveloxolone to patients with a mFARS </w:t>
      </w:r>
      <w:r w:rsidR="003A4497" w:rsidRPr="003E7DF3">
        <w:t xml:space="preserve">score </w:t>
      </w:r>
      <w:r w:rsidRPr="003E7DF3">
        <w:t>of 20 to 80;</w:t>
      </w:r>
    </w:p>
    <w:p w14:paraId="433AC9EE" w14:textId="204072F5" w:rsidR="00360A88" w:rsidRPr="003E7DF3" w:rsidRDefault="00360A88" w:rsidP="008028C6">
      <w:pPr>
        <w:pStyle w:val="ListParagraph"/>
        <w:jc w:val="both"/>
      </w:pPr>
      <w:r w:rsidRPr="003E7DF3">
        <w:t xml:space="preserve">Implicitly including grandfathered patients; </w:t>
      </w:r>
    </w:p>
    <w:p w14:paraId="4161790A" w14:textId="3433725E" w:rsidR="00360A88" w:rsidRPr="0005723F" w:rsidRDefault="00360A88" w:rsidP="008028C6">
      <w:pPr>
        <w:pStyle w:val="ListParagraph"/>
        <w:jc w:val="both"/>
      </w:pPr>
      <w:r w:rsidRPr="0005723F">
        <w:t>Increasing</w:t>
      </w:r>
      <w:r w:rsidRPr="003E7DF3">
        <w:t xml:space="preserve"> the uptake rate (from </w:t>
      </w:r>
      <w:r w:rsidR="001F43CD" w:rsidRPr="001F43CD">
        <w:rPr>
          <w:highlight w:val="black"/>
        </w:rPr>
        <w:t>@@@@</w:t>
      </w:r>
      <w:r w:rsidRPr="0005723F">
        <w:t xml:space="preserve">% - </w:t>
      </w:r>
      <w:r w:rsidR="001F43CD" w:rsidRPr="001F43CD">
        <w:rPr>
          <w:highlight w:val="black"/>
        </w:rPr>
        <w:t>@@@@</w:t>
      </w:r>
      <w:r w:rsidRPr="0005723F">
        <w:t>%</w:t>
      </w:r>
      <w:r w:rsidRPr="003E7DF3">
        <w:t xml:space="preserve"> in the previous submission) to </w:t>
      </w:r>
      <w:r w:rsidR="001F43CD" w:rsidRPr="001F43CD">
        <w:rPr>
          <w:highlight w:val="black"/>
        </w:rPr>
        <w:t>@@@@</w:t>
      </w:r>
      <w:r w:rsidRPr="0005723F">
        <w:t xml:space="preserve">% - </w:t>
      </w:r>
      <w:r w:rsidR="001F43CD" w:rsidRPr="001F43CD">
        <w:rPr>
          <w:highlight w:val="black"/>
        </w:rPr>
        <w:t>@@@@</w:t>
      </w:r>
      <w:r w:rsidRPr="0005723F">
        <w:t xml:space="preserve">%; </w:t>
      </w:r>
    </w:p>
    <w:p w14:paraId="258A710F" w14:textId="5F093934" w:rsidR="00360A88" w:rsidRPr="003E7DF3" w:rsidRDefault="00360A88" w:rsidP="008028C6">
      <w:pPr>
        <w:pStyle w:val="ListParagraph"/>
        <w:jc w:val="both"/>
      </w:pPr>
      <w:r w:rsidRPr="003E7DF3">
        <w:t>Applying continuous treatment discontinuation rate; whereas the previous submission assumed no discontinuation for patients in Year 2+ of treatment.</w:t>
      </w:r>
      <w:r w:rsidR="00D9090C" w:rsidRPr="003E7DF3">
        <w:t xml:space="preserve"> The ESC considered that the discontinuation rate should align with </w:t>
      </w:r>
      <w:r w:rsidR="00636538" w:rsidRPr="003E7DF3">
        <w:t>that applied in the</w:t>
      </w:r>
      <w:r w:rsidR="00D9090C" w:rsidRPr="003E7DF3">
        <w:t xml:space="preserve"> economic model</w:t>
      </w:r>
      <w:r w:rsidR="00636538" w:rsidRPr="003E7DF3">
        <w:t xml:space="preserve"> (i.e. 6% from Year 2 onwards).</w:t>
      </w:r>
    </w:p>
    <w:p w14:paraId="39BF335F" w14:textId="77777777" w:rsidR="00924498" w:rsidRPr="003E7DF3" w:rsidRDefault="00360A88" w:rsidP="008028C6">
      <w:pPr>
        <w:pStyle w:val="3-BodyText"/>
      </w:pPr>
      <w:proofErr w:type="gramStart"/>
      <w:r w:rsidRPr="003E7DF3">
        <w:t>Similar to</w:t>
      </w:r>
      <w:proofErr w:type="gramEnd"/>
      <w:r w:rsidRPr="003E7DF3">
        <w:t xml:space="preserve"> the previous submission, the Australian FA prevalence estimate remain</w:t>
      </w:r>
      <w:r w:rsidR="000A01D8" w:rsidRPr="003E7DF3">
        <w:t>ed</w:t>
      </w:r>
      <w:r w:rsidRPr="003E7DF3">
        <w:t xml:space="preserve"> a</w:t>
      </w:r>
      <w:r w:rsidR="00E72D54" w:rsidRPr="003E7DF3">
        <w:t xml:space="preserve"> main area of </w:t>
      </w:r>
      <w:r w:rsidRPr="003E7DF3">
        <w:t xml:space="preserve">uncertainty in the resubmission. The </w:t>
      </w:r>
      <w:r w:rsidR="00E72D54" w:rsidRPr="003E7DF3">
        <w:t>re</w:t>
      </w:r>
      <w:r w:rsidRPr="003E7DF3">
        <w:t>submission has maintained the estimate used in the previous submission as the DUSC considered that the value may be reasonable, albeit uncertain, due to the lack of available options (para</w:t>
      </w:r>
      <w:r w:rsidR="00440151" w:rsidRPr="003E7DF3">
        <w:t>graph</w:t>
      </w:r>
      <w:r w:rsidRPr="003E7DF3">
        <w:t xml:space="preserve"> 6.82, omaveloxolone PSD, March 2025 PBAC </w:t>
      </w:r>
      <w:r w:rsidR="00E72D54" w:rsidRPr="003E7DF3">
        <w:t>m</w:t>
      </w:r>
      <w:r w:rsidRPr="003E7DF3">
        <w:t xml:space="preserve">eeting). </w:t>
      </w:r>
    </w:p>
    <w:p w14:paraId="0623E699" w14:textId="25649C3E" w:rsidR="00360A88" w:rsidRPr="003E7DF3" w:rsidRDefault="00360A88" w:rsidP="008028C6">
      <w:pPr>
        <w:pStyle w:val="3-BodyText"/>
      </w:pPr>
      <w:r w:rsidRPr="003E7DF3">
        <w:t xml:space="preserve">Sensitivity analyses performed on the financial estimates are presented in </w:t>
      </w:r>
      <w:r w:rsidR="002E271E" w:rsidRPr="003E7DF3">
        <w:fldChar w:fldCharType="begin" w:fldLock="1"/>
      </w:r>
      <w:r w:rsidR="002E271E" w:rsidRPr="003E7DF3">
        <w:instrText xml:space="preserve"> REF _Ref207713326 </w:instrText>
      </w:r>
      <w:r w:rsidR="00BF0410" w:rsidRPr="003E7DF3">
        <w:instrText xml:space="preserve"> \* MERGEFORMAT </w:instrText>
      </w:r>
      <w:r w:rsidR="002E271E" w:rsidRPr="003E7DF3">
        <w:fldChar w:fldCharType="separate"/>
      </w:r>
      <w:r w:rsidR="00E056AF" w:rsidRPr="00AB0640">
        <w:t xml:space="preserve">Table </w:t>
      </w:r>
      <w:r w:rsidR="00E056AF">
        <w:t>20</w:t>
      </w:r>
      <w:r w:rsidR="002E271E" w:rsidRPr="003E7DF3">
        <w:fldChar w:fldCharType="end"/>
      </w:r>
      <w:r w:rsidRPr="003E7DF3">
        <w:t xml:space="preserve">, below. </w:t>
      </w:r>
      <w:proofErr w:type="gramStart"/>
      <w:r w:rsidRPr="003E7DF3">
        <w:t>Similar to</w:t>
      </w:r>
      <w:proofErr w:type="gramEnd"/>
      <w:r w:rsidRPr="003E7DF3">
        <w:t xml:space="preserve"> the previous submission, the FA prevalence has the largest impact on the financial estimates</w:t>
      </w:r>
      <w:r w:rsidR="00E72D54" w:rsidRPr="003E7DF3">
        <w:t>.</w:t>
      </w:r>
      <w:r w:rsidRPr="003E7DF3">
        <w:t xml:space="preserve"> </w:t>
      </w:r>
    </w:p>
    <w:p w14:paraId="2A521F40" w14:textId="5E960E08" w:rsidR="00360A88" w:rsidRPr="00AB0640" w:rsidRDefault="00360A88" w:rsidP="008028C6">
      <w:pPr>
        <w:pStyle w:val="Caption"/>
        <w:rPr>
          <w:i/>
          <w:iCs/>
        </w:rPr>
      </w:pPr>
      <w:bookmarkStart w:id="64" w:name="_Ref207713326"/>
      <w:r w:rsidRPr="00AB0640">
        <w:lastRenderedPageBreak/>
        <w:t xml:space="preserve">Table </w:t>
      </w:r>
      <w:r w:rsidR="00E056AF">
        <w:fldChar w:fldCharType="begin" w:fldLock="1"/>
      </w:r>
      <w:r w:rsidR="00E056AF">
        <w:instrText xml:space="preserve"> SEQ Table \* ARABIC </w:instrText>
      </w:r>
      <w:r w:rsidR="00E056AF">
        <w:fldChar w:fldCharType="separate"/>
      </w:r>
      <w:r w:rsidR="00E056AF">
        <w:rPr>
          <w:noProof/>
        </w:rPr>
        <w:t>20</w:t>
      </w:r>
      <w:r w:rsidR="00E056AF">
        <w:rPr>
          <w:noProof/>
        </w:rPr>
        <w:fldChar w:fldCharType="end"/>
      </w:r>
      <w:bookmarkEnd w:id="64"/>
      <w:r w:rsidRPr="00AB0640">
        <w:t>: Sensitivity analyses on the net financial impact to the PBS</w:t>
      </w:r>
    </w:p>
    <w:tbl>
      <w:tblPr>
        <w:tblStyle w:val="TableGrid"/>
        <w:tblW w:w="5000" w:type="pct"/>
        <w:tblCellMar>
          <w:left w:w="28" w:type="dxa"/>
          <w:right w:w="28" w:type="dxa"/>
        </w:tblCellMar>
        <w:tblLook w:val="04A0" w:firstRow="1" w:lastRow="0" w:firstColumn="1" w:lastColumn="0" w:noHBand="0" w:noVBand="1"/>
        <w:tblCaption w:val="Table 20: Sensitivity analyses on the net financial impact to the PBS"/>
      </w:tblPr>
      <w:tblGrid>
        <w:gridCol w:w="1885"/>
        <w:gridCol w:w="1050"/>
        <w:gridCol w:w="1050"/>
        <w:gridCol w:w="1050"/>
        <w:gridCol w:w="1050"/>
        <w:gridCol w:w="1050"/>
        <w:gridCol w:w="1014"/>
        <w:gridCol w:w="868"/>
      </w:tblGrid>
      <w:tr w:rsidR="00360A88" w:rsidRPr="00AB0640" w14:paraId="3DEBAEB0" w14:textId="77777777" w:rsidTr="0065379D">
        <w:tc>
          <w:tcPr>
            <w:tcW w:w="1062" w:type="pct"/>
            <w:vAlign w:val="center"/>
          </w:tcPr>
          <w:p w14:paraId="2B859F69" w14:textId="77777777" w:rsidR="00360A88" w:rsidRPr="00AB0640" w:rsidRDefault="00360A88" w:rsidP="008028C6">
            <w:pPr>
              <w:pStyle w:val="TableText0"/>
              <w:jc w:val="center"/>
              <w:rPr>
                <w:b/>
                <w:bCs w:val="0"/>
              </w:rPr>
            </w:pPr>
            <w:r w:rsidRPr="00AB0640">
              <w:rPr>
                <w:b/>
                <w:bCs w:val="0"/>
              </w:rPr>
              <w:t>Analyses</w:t>
            </w:r>
          </w:p>
        </w:tc>
        <w:tc>
          <w:tcPr>
            <w:tcW w:w="599" w:type="pct"/>
            <w:vAlign w:val="center"/>
          </w:tcPr>
          <w:p w14:paraId="40414BB9" w14:textId="77777777" w:rsidR="00360A88" w:rsidRPr="00AB0640" w:rsidRDefault="00360A88" w:rsidP="008028C6">
            <w:pPr>
              <w:pStyle w:val="TableText0"/>
              <w:jc w:val="center"/>
              <w:rPr>
                <w:b/>
                <w:bCs w:val="0"/>
              </w:rPr>
            </w:pPr>
            <w:r w:rsidRPr="00AB0640">
              <w:rPr>
                <w:b/>
                <w:bCs w:val="0"/>
              </w:rPr>
              <w:t>2026</w:t>
            </w:r>
          </w:p>
        </w:tc>
        <w:tc>
          <w:tcPr>
            <w:tcW w:w="599" w:type="pct"/>
            <w:vAlign w:val="center"/>
          </w:tcPr>
          <w:p w14:paraId="2402C41D" w14:textId="77777777" w:rsidR="00360A88" w:rsidRPr="00AB0640" w:rsidRDefault="00360A88" w:rsidP="008028C6">
            <w:pPr>
              <w:pStyle w:val="TableText0"/>
              <w:jc w:val="center"/>
              <w:rPr>
                <w:b/>
                <w:bCs w:val="0"/>
              </w:rPr>
            </w:pPr>
            <w:r w:rsidRPr="00AB0640">
              <w:rPr>
                <w:b/>
                <w:bCs w:val="0"/>
              </w:rPr>
              <w:t>2027</w:t>
            </w:r>
          </w:p>
        </w:tc>
        <w:tc>
          <w:tcPr>
            <w:tcW w:w="599" w:type="pct"/>
            <w:vAlign w:val="center"/>
          </w:tcPr>
          <w:p w14:paraId="192A4017" w14:textId="77777777" w:rsidR="00360A88" w:rsidRPr="00AB0640" w:rsidRDefault="00360A88" w:rsidP="008028C6">
            <w:pPr>
              <w:pStyle w:val="TableText0"/>
              <w:jc w:val="center"/>
              <w:rPr>
                <w:b/>
                <w:bCs w:val="0"/>
              </w:rPr>
            </w:pPr>
            <w:r w:rsidRPr="00AB0640">
              <w:rPr>
                <w:b/>
                <w:bCs w:val="0"/>
              </w:rPr>
              <w:t>2028</w:t>
            </w:r>
          </w:p>
        </w:tc>
        <w:tc>
          <w:tcPr>
            <w:tcW w:w="599" w:type="pct"/>
            <w:vAlign w:val="center"/>
          </w:tcPr>
          <w:p w14:paraId="04E964A3" w14:textId="77777777" w:rsidR="00360A88" w:rsidRPr="00AB0640" w:rsidRDefault="00360A88" w:rsidP="008028C6">
            <w:pPr>
              <w:pStyle w:val="TableText0"/>
              <w:jc w:val="center"/>
              <w:rPr>
                <w:b/>
                <w:bCs w:val="0"/>
              </w:rPr>
            </w:pPr>
            <w:r w:rsidRPr="00AB0640">
              <w:rPr>
                <w:b/>
                <w:bCs w:val="0"/>
              </w:rPr>
              <w:t>2029</w:t>
            </w:r>
          </w:p>
        </w:tc>
        <w:tc>
          <w:tcPr>
            <w:tcW w:w="599" w:type="pct"/>
            <w:vAlign w:val="center"/>
          </w:tcPr>
          <w:p w14:paraId="08C67020" w14:textId="77777777" w:rsidR="00360A88" w:rsidRPr="00AB0640" w:rsidRDefault="00360A88" w:rsidP="008028C6">
            <w:pPr>
              <w:pStyle w:val="TableText0"/>
              <w:jc w:val="center"/>
              <w:rPr>
                <w:b/>
                <w:bCs w:val="0"/>
              </w:rPr>
            </w:pPr>
            <w:r w:rsidRPr="00AB0640">
              <w:rPr>
                <w:b/>
                <w:bCs w:val="0"/>
              </w:rPr>
              <w:t>2030</w:t>
            </w:r>
          </w:p>
        </w:tc>
        <w:tc>
          <w:tcPr>
            <w:tcW w:w="579" w:type="pct"/>
            <w:vAlign w:val="center"/>
          </w:tcPr>
          <w:p w14:paraId="3FC823DD" w14:textId="77777777" w:rsidR="00360A88" w:rsidRPr="00AB0640" w:rsidRDefault="00360A88" w:rsidP="008028C6">
            <w:pPr>
              <w:pStyle w:val="TableText0"/>
              <w:jc w:val="center"/>
              <w:rPr>
                <w:b/>
                <w:bCs w:val="0"/>
              </w:rPr>
            </w:pPr>
            <w:r w:rsidRPr="00AB0640">
              <w:rPr>
                <w:b/>
                <w:bCs w:val="0"/>
              </w:rPr>
              <w:t>2031</w:t>
            </w:r>
          </w:p>
        </w:tc>
        <w:tc>
          <w:tcPr>
            <w:tcW w:w="365" w:type="pct"/>
            <w:vAlign w:val="center"/>
          </w:tcPr>
          <w:p w14:paraId="7C149D83" w14:textId="77777777" w:rsidR="00360A88" w:rsidRPr="00AB0640" w:rsidRDefault="00360A88" w:rsidP="008028C6">
            <w:pPr>
              <w:pStyle w:val="TableText0"/>
              <w:jc w:val="center"/>
              <w:rPr>
                <w:b/>
                <w:bCs w:val="0"/>
              </w:rPr>
            </w:pPr>
            <w:r w:rsidRPr="00AB0640">
              <w:rPr>
                <w:b/>
                <w:bCs w:val="0"/>
              </w:rPr>
              <w:t>% change</w:t>
            </w:r>
          </w:p>
        </w:tc>
      </w:tr>
      <w:tr w:rsidR="00360A88" w:rsidRPr="00AB0640" w14:paraId="5A97902F" w14:textId="77777777" w:rsidTr="0065379D">
        <w:tc>
          <w:tcPr>
            <w:tcW w:w="1062" w:type="pct"/>
          </w:tcPr>
          <w:p w14:paraId="159978C5" w14:textId="77777777" w:rsidR="00360A88" w:rsidRPr="00AB0640" w:rsidRDefault="00360A88" w:rsidP="008028C6">
            <w:pPr>
              <w:pStyle w:val="TableText0"/>
              <w:rPr>
                <w:b/>
                <w:bCs w:val="0"/>
              </w:rPr>
            </w:pPr>
            <w:r w:rsidRPr="00AB0640">
              <w:rPr>
                <w:b/>
                <w:bCs w:val="0"/>
              </w:rPr>
              <w:t>Base case</w:t>
            </w:r>
          </w:p>
        </w:tc>
        <w:tc>
          <w:tcPr>
            <w:tcW w:w="599" w:type="pct"/>
          </w:tcPr>
          <w:p w14:paraId="3BBAE772" w14:textId="77074778" w:rsidR="00360A88" w:rsidRPr="004D12FE" w:rsidRDefault="00360A88" w:rsidP="008028C6">
            <w:pPr>
              <w:pStyle w:val="TableText0"/>
              <w:jc w:val="center"/>
              <w:rPr>
                <w:b/>
                <w:bCs w:val="0"/>
              </w:rPr>
            </w:pPr>
            <w:r w:rsidRPr="004D12FE">
              <w:rPr>
                <w:b/>
                <w:bCs w:val="0"/>
              </w:rPr>
              <w:t>$</w:t>
            </w:r>
            <w:r w:rsidR="001F43CD" w:rsidRPr="001F43CD">
              <w:rPr>
                <w:b/>
                <w:bCs w:val="0"/>
                <w:highlight w:val="black"/>
              </w:rPr>
              <w:t>@@@@</w:t>
            </w:r>
            <w:r w:rsidR="004D12FE" w:rsidRPr="004D12FE">
              <w:rPr>
                <w:b/>
                <w:bCs w:val="0"/>
                <w:vertAlign w:val="superscript"/>
              </w:rPr>
              <w:t>1</w:t>
            </w:r>
          </w:p>
        </w:tc>
        <w:tc>
          <w:tcPr>
            <w:tcW w:w="599" w:type="pct"/>
          </w:tcPr>
          <w:p w14:paraId="0C4DDE01" w14:textId="5BD331A7" w:rsidR="00360A88" w:rsidRPr="004D12FE" w:rsidRDefault="00360A88" w:rsidP="008028C6">
            <w:pPr>
              <w:pStyle w:val="TableText0"/>
              <w:jc w:val="center"/>
              <w:rPr>
                <w:b/>
                <w:bCs w:val="0"/>
              </w:rPr>
            </w:pPr>
            <w:r w:rsidRPr="004D12FE">
              <w:rPr>
                <w:b/>
                <w:bCs w:val="0"/>
              </w:rPr>
              <w:t>$</w:t>
            </w:r>
            <w:r w:rsidR="001F43CD" w:rsidRPr="001F43CD">
              <w:rPr>
                <w:b/>
                <w:bCs w:val="0"/>
                <w:highlight w:val="black"/>
              </w:rPr>
              <w:t>@@@@</w:t>
            </w:r>
            <w:r w:rsidR="004D12FE" w:rsidRPr="004D12FE">
              <w:rPr>
                <w:b/>
                <w:bCs w:val="0"/>
                <w:vertAlign w:val="superscript"/>
              </w:rPr>
              <w:t>1</w:t>
            </w:r>
          </w:p>
        </w:tc>
        <w:tc>
          <w:tcPr>
            <w:tcW w:w="599" w:type="pct"/>
          </w:tcPr>
          <w:p w14:paraId="224A7AD2" w14:textId="2974ADA9" w:rsidR="00360A88" w:rsidRPr="004D12FE" w:rsidRDefault="00360A88" w:rsidP="008028C6">
            <w:pPr>
              <w:pStyle w:val="TableText0"/>
              <w:jc w:val="center"/>
              <w:rPr>
                <w:b/>
                <w:bCs w:val="0"/>
              </w:rPr>
            </w:pPr>
            <w:r w:rsidRPr="004D12FE">
              <w:rPr>
                <w:b/>
                <w:bCs w:val="0"/>
              </w:rPr>
              <w:t>$</w:t>
            </w:r>
            <w:r w:rsidR="001F43CD" w:rsidRPr="001F43CD">
              <w:rPr>
                <w:b/>
                <w:bCs w:val="0"/>
                <w:highlight w:val="black"/>
              </w:rPr>
              <w:t>@@@@</w:t>
            </w:r>
            <w:r w:rsidR="004D12FE" w:rsidRPr="004D12FE">
              <w:rPr>
                <w:b/>
                <w:bCs w:val="0"/>
                <w:vertAlign w:val="superscript"/>
              </w:rPr>
              <w:t>1</w:t>
            </w:r>
          </w:p>
        </w:tc>
        <w:tc>
          <w:tcPr>
            <w:tcW w:w="599" w:type="pct"/>
          </w:tcPr>
          <w:p w14:paraId="1E569572" w14:textId="62B562F9" w:rsidR="00360A88" w:rsidRPr="004D12FE" w:rsidRDefault="00360A88" w:rsidP="008028C6">
            <w:pPr>
              <w:pStyle w:val="TableText0"/>
              <w:jc w:val="center"/>
              <w:rPr>
                <w:b/>
                <w:bCs w:val="0"/>
              </w:rPr>
            </w:pPr>
            <w:r w:rsidRPr="004D12FE">
              <w:rPr>
                <w:b/>
                <w:bCs w:val="0"/>
              </w:rPr>
              <w:t>$</w:t>
            </w:r>
            <w:r w:rsidR="001F43CD" w:rsidRPr="001F43CD">
              <w:rPr>
                <w:b/>
                <w:bCs w:val="0"/>
                <w:highlight w:val="black"/>
              </w:rPr>
              <w:t>@@@@</w:t>
            </w:r>
            <w:r w:rsidR="004D12FE" w:rsidRPr="004D12FE">
              <w:rPr>
                <w:b/>
                <w:bCs w:val="0"/>
                <w:vertAlign w:val="superscript"/>
              </w:rPr>
              <w:t>1</w:t>
            </w:r>
          </w:p>
        </w:tc>
        <w:tc>
          <w:tcPr>
            <w:tcW w:w="599" w:type="pct"/>
          </w:tcPr>
          <w:p w14:paraId="7AAFF101" w14:textId="77205FF7" w:rsidR="00360A88" w:rsidRPr="004D12FE" w:rsidRDefault="00360A88" w:rsidP="008028C6">
            <w:pPr>
              <w:pStyle w:val="TableText0"/>
              <w:jc w:val="center"/>
              <w:rPr>
                <w:b/>
                <w:bCs w:val="0"/>
              </w:rPr>
            </w:pPr>
            <w:r w:rsidRPr="004D12FE">
              <w:rPr>
                <w:b/>
                <w:bCs w:val="0"/>
              </w:rPr>
              <w:t>$</w:t>
            </w:r>
            <w:r w:rsidR="001F43CD" w:rsidRPr="001F43CD">
              <w:rPr>
                <w:b/>
                <w:bCs w:val="0"/>
                <w:highlight w:val="black"/>
              </w:rPr>
              <w:t>@@@@</w:t>
            </w:r>
            <w:r w:rsidR="004D12FE" w:rsidRPr="004D12FE">
              <w:rPr>
                <w:b/>
                <w:bCs w:val="0"/>
                <w:vertAlign w:val="superscript"/>
              </w:rPr>
              <w:t>1</w:t>
            </w:r>
          </w:p>
        </w:tc>
        <w:tc>
          <w:tcPr>
            <w:tcW w:w="579" w:type="pct"/>
          </w:tcPr>
          <w:p w14:paraId="4ABDB537" w14:textId="39D0FFC2" w:rsidR="00360A88" w:rsidRPr="004D12FE" w:rsidRDefault="00360A88" w:rsidP="008028C6">
            <w:pPr>
              <w:pStyle w:val="TableText0"/>
              <w:jc w:val="center"/>
              <w:rPr>
                <w:b/>
                <w:bCs w:val="0"/>
              </w:rPr>
            </w:pPr>
            <w:r w:rsidRPr="004D12FE">
              <w:rPr>
                <w:b/>
                <w:bCs w:val="0"/>
              </w:rPr>
              <w:t>$</w:t>
            </w:r>
            <w:r w:rsidR="001F43CD" w:rsidRPr="001F43CD">
              <w:rPr>
                <w:b/>
                <w:bCs w:val="0"/>
                <w:highlight w:val="black"/>
              </w:rPr>
              <w:t>@@@@</w:t>
            </w:r>
            <w:r w:rsidR="004D12FE" w:rsidRPr="004D12FE">
              <w:rPr>
                <w:b/>
                <w:bCs w:val="0"/>
                <w:vertAlign w:val="superscript"/>
              </w:rPr>
              <w:t>1</w:t>
            </w:r>
          </w:p>
        </w:tc>
        <w:tc>
          <w:tcPr>
            <w:tcW w:w="365" w:type="pct"/>
            <w:vAlign w:val="center"/>
          </w:tcPr>
          <w:p w14:paraId="6ADDD093" w14:textId="25E4BA85" w:rsidR="00360A88" w:rsidRPr="00AB0640" w:rsidRDefault="001F43CD" w:rsidP="008028C6">
            <w:pPr>
              <w:pStyle w:val="TableText0"/>
              <w:jc w:val="center"/>
              <w:rPr>
                <w:b/>
                <w:bCs w:val="0"/>
              </w:rPr>
            </w:pPr>
            <w:r w:rsidRPr="001F43CD">
              <w:rPr>
                <w:b/>
                <w:bCs w:val="0"/>
                <w:highlight w:val="black"/>
              </w:rPr>
              <w:t>@@@@</w:t>
            </w:r>
            <w:r w:rsidR="00360A88" w:rsidRPr="00AB0640">
              <w:rPr>
                <w:b/>
                <w:bCs w:val="0"/>
              </w:rPr>
              <w:t>%</w:t>
            </w:r>
          </w:p>
        </w:tc>
      </w:tr>
      <w:tr w:rsidR="00360A88" w:rsidRPr="00AB0640" w14:paraId="60321165" w14:textId="77777777" w:rsidTr="0065379D">
        <w:tc>
          <w:tcPr>
            <w:tcW w:w="5000" w:type="pct"/>
            <w:gridSpan w:val="8"/>
            <w:vAlign w:val="center"/>
          </w:tcPr>
          <w:p w14:paraId="038353CA" w14:textId="77777777" w:rsidR="00360A88" w:rsidRPr="00AB0640" w:rsidRDefault="00360A88" w:rsidP="008028C6">
            <w:pPr>
              <w:pStyle w:val="TableText0"/>
              <w:rPr>
                <w:b/>
                <w:bCs w:val="0"/>
              </w:rPr>
            </w:pPr>
            <w:r w:rsidRPr="00AB0640">
              <w:rPr>
                <w:b/>
                <w:bCs w:val="0"/>
              </w:rPr>
              <w:t>FA prevalence and incidence (base case: prevalence: 1 in 43,458)</w:t>
            </w:r>
          </w:p>
        </w:tc>
      </w:tr>
      <w:tr w:rsidR="00360A88" w:rsidRPr="00AB0640" w14:paraId="17269BB4" w14:textId="77777777" w:rsidTr="0065379D">
        <w:tc>
          <w:tcPr>
            <w:tcW w:w="1062" w:type="pct"/>
          </w:tcPr>
          <w:p w14:paraId="7BD2458D" w14:textId="77777777" w:rsidR="00360A88" w:rsidRPr="00AB0640" w:rsidRDefault="00360A88" w:rsidP="008028C6">
            <w:pPr>
              <w:pStyle w:val="TableText0"/>
            </w:pPr>
            <w:r w:rsidRPr="00AB0640">
              <w:t>1 in 38,462</w:t>
            </w:r>
          </w:p>
          <w:p w14:paraId="4CC327B6" w14:textId="77777777" w:rsidR="00360A88" w:rsidRPr="00AB0640" w:rsidRDefault="00360A88" w:rsidP="008028C6">
            <w:pPr>
              <w:pStyle w:val="TableText0"/>
            </w:pPr>
            <w:r w:rsidRPr="00AB0640">
              <w:t xml:space="preserve">(Canada) </w:t>
            </w:r>
          </w:p>
        </w:tc>
        <w:tc>
          <w:tcPr>
            <w:tcW w:w="599" w:type="pct"/>
            <w:vAlign w:val="center"/>
          </w:tcPr>
          <w:p w14:paraId="75D743C3" w14:textId="35E73579" w:rsidR="00360A88" w:rsidRPr="00AB0640" w:rsidRDefault="00360A88" w:rsidP="008028C6">
            <w:pPr>
              <w:pStyle w:val="TableText0"/>
              <w:jc w:val="center"/>
            </w:pPr>
            <w:r w:rsidRPr="00AB0640">
              <w:t>$</w:t>
            </w:r>
            <w:r w:rsidR="001F43CD" w:rsidRPr="001F43CD">
              <w:rPr>
                <w:highlight w:val="black"/>
              </w:rPr>
              <w:t>@@@@</w:t>
            </w:r>
            <w:r w:rsidR="004D12FE">
              <w:rPr>
                <w:b/>
                <w:bCs w:val="0"/>
                <w:vertAlign w:val="superscript"/>
              </w:rPr>
              <w:t>2</w:t>
            </w:r>
          </w:p>
        </w:tc>
        <w:tc>
          <w:tcPr>
            <w:tcW w:w="599" w:type="pct"/>
            <w:vAlign w:val="center"/>
          </w:tcPr>
          <w:p w14:paraId="5E4F7717" w14:textId="1E4F902C" w:rsidR="00360A88" w:rsidRPr="00AB0640" w:rsidRDefault="00360A88" w:rsidP="008028C6">
            <w:pPr>
              <w:pStyle w:val="TableText0"/>
              <w:jc w:val="center"/>
            </w:pPr>
            <w:r w:rsidRPr="00AB0640">
              <w:t>$</w:t>
            </w:r>
            <w:r w:rsidR="001F43CD" w:rsidRPr="001F43CD">
              <w:rPr>
                <w:highlight w:val="black"/>
              </w:rPr>
              <w:t>@@@@</w:t>
            </w:r>
            <w:r w:rsidR="004D12FE">
              <w:rPr>
                <w:b/>
                <w:bCs w:val="0"/>
                <w:vertAlign w:val="superscript"/>
              </w:rPr>
              <w:t>3</w:t>
            </w:r>
          </w:p>
        </w:tc>
        <w:tc>
          <w:tcPr>
            <w:tcW w:w="599" w:type="pct"/>
            <w:vAlign w:val="center"/>
          </w:tcPr>
          <w:p w14:paraId="299892E3" w14:textId="49D3F1FB" w:rsidR="00360A88" w:rsidRPr="00AB0640" w:rsidRDefault="00360A88" w:rsidP="008028C6">
            <w:pPr>
              <w:pStyle w:val="TableText0"/>
              <w:jc w:val="center"/>
            </w:pPr>
            <w:r w:rsidRPr="00AB0640">
              <w:t>$</w:t>
            </w:r>
            <w:r w:rsidR="001F43CD" w:rsidRPr="001F43CD">
              <w:rPr>
                <w:highlight w:val="black"/>
              </w:rPr>
              <w:t>@@@@</w:t>
            </w:r>
            <w:r w:rsidR="004D12FE">
              <w:rPr>
                <w:b/>
                <w:bCs w:val="0"/>
                <w:vertAlign w:val="superscript"/>
              </w:rPr>
              <w:t>2</w:t>
            </w:r>
          </w:p>
        </w:tc>
        <w:tc>
          <w:tcPr>
            <w:tcW w:w="599" w:type="pct"/>
            <w:vAlign w:val="center"/>
          </w:tcPr>
          <w:p w14:paraId="5D47C6A9" w14:textId="377F4194" w:rsidR="00360A88" w:rsidRPr="00AB0640" w:rsidRDefault="00360A88" w:rsidP="008028C6">
            <w:pPr>
              <w:pStyle w:val="TableText0"/>
              <w:jc w:val="center"/>
            </w:pPr>
            <w:r w:rsidRPr="00AB0640">
              <w:t>$</w:t>
            </w:r>
            <w:r w:rsidR="001F43CD" w:rsidRPr="001F43CD">
              <w:rPr>
                <w:highlight w:val="black"/>
              </w:rPr>
              <w:t>@@@@</w:t>
            </w:r>
            <w:r w:rsidR="004D12FE">
              <w:rPr>
                <w:b/>
                <w:bCs w:val="0"/>
                <w:vertAlign w:val="superscript"/>
              </w:rPr>
              <w:t>2</w:t>
            </w:r>
          </w:p>
        </w:tc>
        <w:tc>
          <w:tcPr>
            <w:tcW w:w="599" w:type="pct"/>
            <w:vAlign w:val="center"/>
          </w:tcPr>
          <w:p w14:paraId="259D2414" w14:textId="2F025DA7" w:rsidR="00360A88" w:rsidRPr="00AB0640" w:rsidRDefault="00360A88" w:rsidP="008028C6">
            <w:pPr>
              <w:pStyle w:val="TableText0"/>
              <w:jc w:val="center"/>
            </w:pPr>
            <w:r w:rsidRPr="00AB0640">
              <w:t>$</w:t>
            </w:r>
            <w:r w:rsidR="001F43CD" w:rsidRPr="001F43CD">
              <w:rPr>
                <w:highlight w:val="black"/>
              </w:rPr>
              <w:t>@@@@</w:t>
            </w:r>
            <w:r w:rsidR="004D12FE">
              <w:rPr>
                <w:b/>
                <w:bCs w:val="0"/>
                <w:vertAlign w:val="superscript"/>
              </w:rPr>
              <w:t>2</w:t>
            </w:r>
          </w:p>
        </w:tc>
        <w:tc>
          <w:tcPr>
            <w:tcW w:w="579" w:type="pct"/>
            <w:vAlign w:val="center"/>
          </w:tcPr>
          <w:p w14:paraId="187DCF36" w14:textId="21F72E48" w:rsidR="00360A88" w:rsidRPr="00AB0640" w:rsidRDefault="00360A88" w:rsidP="008028C6">
            <w:pPr>
              <w:pStyle w:val="TableText0"/>
              <w:jc w:val="center"/>
            </w:pPr>
            <w:r w:rsidRPr="00AB0640">
              <w:t>$</w:t>
            </w:r>
            <w:r w:rsidR="001F43CD" w:rsidRPr="001F43CD">
              <w:rPr>
                <w:highlight w:val="black"/>
              </w:rPr>
              <w:t>@@@@</w:t>
            </w:r>
            <w:r w:rsidR="004D12FE">
              <w:rPr>
                <w:b/>
                <w:bCs w:val="0"/>
                <w:vertAlign w:val="superscript"/>
              </w:rPr>
              <w:t>2</w:t>
            </w:r>
          </w:p>
        </w:tc>
        <w:tc>
          <w:tcPr>
            <w:tcW w:w="365" w:type="pct"/>
            <w:vAlign w:val="center"/>
          </w:tcPr>
          <w:p w14:paraId="2D830A15" w14:textId="6927E0D1" w:rsidR="00360A88" w:rsidRPr="00AB0640" w:rsidRDefault="001F43CD" w:rsidP="008028C6">
            <w:pPr>
              <w:pStyle w:val="TableText0"/>
              <w:jc w:val="center"/>
            </w:pPr>
            <w:r w:rsidRPr="001F43CD">
              <w:rPr>
                <w:highlight w:val="black"/>
              </w:rPr>
              <w:t>@@@@</w:t>
            </w:r>
            <w:r w:rsidR="00360A88" w:rsidRPr="00AB0640">
              <w:t>%</w:t>
            </w:r>
          </w:p>
        </w:tc>
      </w:tr>
      <w:tr w:rsidR="00360A88" w:rsidRPr="00AB0640" w14:paraId="64E5EBA9" w14:textId="77777777" w:rsidTr="0065379D">
        <w:tc>
          <w:tcPr>
            <w:tcW w:w="1062" w:type="pct"/>
          </w:tcPr>
          <w:p w14:paraId="3F2FF439" w14:textId="77777777" w:rsidR="00360A88" w:rsidRPr="00AB0640" w:rsidRDefault="00360A88" w:rsidP="008028C6">
            <w:pPr>
              <w:pStyle w:val="TableText0"/>
            </w:pPr>
            <w:r w:rsidRPr="00AB0640">
              <w:t xml:space="preserve">1 in 44,187 (Western Europe) </w:t>
            </w:r>
          </w:p>
        </w:tc>
        <w:tc>
          <w:tcPr>
            <w:tcW w:w="599" w:type="pct"/>
            <w:vAlign w:val="center"/>
          </w:tcPr>
          <w:p w14:paraId="2DB91283" w14:textId="29A2ABBD" w:rsidR="00360A88" w:rsidRPr="00AB0640" w:rsidRDefault="00360A88" w:rsidP="008028C6">
            <w:pPr>
              <w:pStyle w:val="TableText0"/>
              <w:jc w:val="center"/>
            </w:pPr>
            <w:r w:rsidRPr="00AB0640">
              <w:t>$</w:t>
            </w:r>
            <w:r w:rsidR="001F43CD" w:rsidRPr="001F43CD">
              <w:rPr>
                <w:highlight w:val="black"/>
              </w:rPr>
              <w:t>@@@@</w:t>
            </w:r>
            <w:r w:rsidR="004D12FE">
              <w:rPr>
                <w:b/>
                <w:bCs w:val="0"/>
                <w:vertAlign w:val="superscript"/>
              </w:rPr>
              <w:t>1</w:t>
            </w:r>
          </w:p>
        </w:tc>
        <w:tc>
          <w:tcPr>
            <w:tcW w:w="599" w:type="pct"/>
            <w:vAlign w:val="center"/>
          </w:tcPr>
          <w:p w14:paraId="30080355" w14:textId="70FF1CEA" w:rsidR="00360A88" w:rsidRPr="00AB0640" w:rsidRDefault="00360A88" w:rsidP="008028C6">
            <w:pPr>
              <w:pStyle w:val="TableText0"/>
              <w:jc w:val="center"/>
            </w:pPr>
            <w:r w:rsidRPr="00AB0640">
              <w:t>$</w:t>
            </w:r>
            <w:r w:rsidR="001F43CD" w:rsidRPr="001F43CD">
              <w:rPr>
                <w:highlight w:val="black"/>
              </w:rPr>
              <w:t>@@@@</w:t>
            </w:r>
            <w:r w:rsidR="004D12FE">
              <w:rPr>
                <w:b/>
                <w:bCs w:val="0"/>
                <w:vertAlign w:val="superscript"/>
              </w:rPr>
              <w:t>1</w:t>
            </w:r>
          </w:p>
        </w:tc>
        <w:tc>
          <w:tcPr>
            <w:tcW w:w="599" w:type="pct"/>
            <w:vAlign w:val="center"/>
          </w:tcPr>
          <w:p w14:paraId="3E74A241" w14:textId="1049A68B" w:rsidR="00360A88" w:rsidRPr="00AB0640" w:rsidRDefault="00360A88" w:rsidP="008028C6">
            <w:pPr>
              <w:pStyle w:val="TableText0"/>
              <w:jc w:val="center"/>
            </w:pPr>
            <w:r w:rsidRPr="00AB0640">
              <w:t>$</w:t>
            </w:r>
            <w:r w:rsidR="001F43CD" w:rsidRPr="001F43CD">
              <w:rPr>
                <w:highlight w:val="black"/>
              </w:rPr>
              <w:t>@@@@</w:t>
            </w:r>
            <w:r w:rsidR="004D12FE">
              <w:rPr>
                <w:b/>
                <w:bCs w:val="0"/>
                <w:vertAlign w:val="superscript"/>
              </w:rPr>
              <w:t>1</w:t>
            </w:r>
          </w:p>
        </w:tc>
        <w:tc>
          <w:tcPr>
            <w:tcW w:w="599" w:type="pct"/>
            <w:vAlign w:val="center"/>
          </w:tcPr>
          <w:p w14:paraId="1B81714E" w14:textId="736127E9" w:rsidR="00360A88" w:rsidRPr="00AB0640" w:rsidRDefault="00360A88" w:rsidP="008028C6">
            <w:pPr>
              <w:pStyle w:val="TableText0"/>
              <w:jc w:val="center"/>
            </w:pPr>
            <w:r w:rsidRPr="00AB0640">
              <w:t>$</w:t>
            </w:r>
            <w:r w:rsidR="001F43CD" w:rsidRPr="001F43CD">
              <w:rPr>
                <w:highlight w:val="black"/>
              </w:rPr>
              <w:t>@@@@</w:t>
            </w:r>
            <w:r w:rsidR="004D12FE">
              <w:rPr>
                <w:b/>
                <w:bCs w:val="0"/>
                <w:vertAlign w:val="superscript"/>
              </w:rPr>
              <w:t>1</w:t>
            </w:r>
          </w:p>
        </w:tc>
        <w:tc>
          <w:tcPr>
            <w:tcW w:w="599" w:type="pct"/>
            <w:vAlign w:val="center"/>
          </w:tcPr>
          <w:p w14:paraId="4FE48112" w14:textId="023039E9" w:rsidR="00360A88" w:rsidRPr="00AB0640" w:rsidRDefault="00360A88" w:rsidP="008028C6">
            <w:pPr>
              <w:pStyle w:val="TableText0"/>
              <w:jc w:val="center"/>
            </w:pPr>
            <w:r w:rsidRPr="00AB0640">
              <w:t>$</w:t>
            </w:r>
            <w:r w:rsidR="001F43CD" w:rsidRPr="001F43CD">
              <w:rPr>
                <w:highlight w:val="black"/>
              </w:rPr>
              <w:t>@@@@</w:t>
            </w:r>
            <w:r w:rsidR="004D12FE">
              <w:rPr>
                <w:b/>
                <w:bCs w:val="0"/>
                <w:vertAlign w:val="superscript"/>
              </w:rPr>
              <w:t>1</w:t>
            </w:r>
          </w:p>
        </w:tc>
        <w:tc>
          <w:tcPr>
            <w:tcW w:w="579" w:type="pct"/>
            <w:vAlign w:val="center"/>
          </w:tcPr>
          <w:p w14:paraId="0C38712D" w14:textId="665ED6F3" w:rsidR="00360A88" w:rsidRPr="00AB0640" w:rsidRDefault="00360A88" w:rsidP="008028C6">
            <w:pPr>
              <w:pStyle w:val="TableText0"/>
              <w:jc w:val="center"/>
            </w:pPr>
            <w:r w:rsidRPr="00AB0640">
              <w:t>$</w:t>
            </w:r>
            <w:r w:rsidR="001F43CD" w:rsidRPr="001F43CD">
              <w:rPr>
                <w:highlight w:val="black"/>
              </w:rPr>
              <w:t>@@@@</w:t>
            </w:r>
            <w:r w:rsidR="004D12FE">
              <w:rPr>
                <w:b/>
                <w:bCs w:val="0"/>
                <w:vertAlign w:val="superscript"/>
              </w:rPr>
              <w:t>1</w:t>
            </w:r>
          </w:p>
        </w:tc>
        <w:tc>
          <w:tcPr>
            <w:tcW w:w="365" w:type="pct"/>
            <w:vAlign w:val="center"/>
          </w:tcPr>
          <w:p w14:paraId="6C5A7275" w14:textId="5F097673" w:rsidR="00360A88" w:rsidRPr="00AB0640" w:rsidRDefault="00360A88" w:rsidP="008028C6">
            <w:pPr>
              <w:pStyle w:val="TableText0"/>
              <w:jc w:val="center"/>
            </w:pPr>
            <w:r w:rsidRPr="00AB0640">
              <w:t>-</w:t>
            </w:r>
            <w:r w:rsidR="001F43CD" w:rsidRPr="001F43CD">
              <w:rPr>
                <w:highlight w:val="black"/>
              </w:rPr>
              <w:t>@@@@</w:t>
            </w:r>
            <w:r w:rsidRPr="00AB0640">
              <w:t>%</w:t>
            </w:r>
          </w:p>
        </w:tc>
      </w:tr>
      <w:tr w:rsidR="00360A88" w:rsidRPr="00AB0640" w14:paraId="74CF9F41" w14:textId="77777777" w:rsidTr="0065379D">
        <w:tc>
          <w:tcPr>
            <w:tcW w:w="1062" w:type="pct"/>
          </w:tcPr>
          <w:p w14:paraId="638EA7A8" w14:textId="77777777" w:rsidR="00360A88" w:rsidRPr="00AB0640" w:rsidRDefault="00360A88" w:rsidP="008028C6">
            <w:pPr>
              <w:pStyle w:val="TableText0"/>
            </w:pPr>
            <w:r w:rsidRPr="00AB0640">
              <w:t xml:space="preserve">1 in 46,016 (Average of all estimates) </w:t>
            </w:r>
          </w:p>
        </w:tc>
        <w:tc>
          <w:tcPr>
            <w:tcW w:w="599" w:type="pct"/>
            <w:vAlign w:val="center"/>
          </w:tcPr>
          <w:p w14:paraId="72C2BC22" w14:textId="14BDF7E7" w:rsidR="00360A88" w:rsidRPr="00AB0640" w:rsidRDefault="00360A88" w:rsidP="008028C6">
            <w:pPr>
              <w:pStyle w:val="TableText0"/>
              <w:jc w:val="center"/>
            </w:pPr>
            <w:r w:rsidRPr="00AB0640">
              <w:t>$</w:t>
            </w:r>
            <w:r w:rsidR="001F43CD" w:rsidRPr="001F43CD">
              <w:rPr>
                <w:highlight w:val="black"/>
              </w:rPr>
              <w:t>@@@@</w:t>
            </w:r>
            <w:r w:rsidR="004D12FE">
              <w:rPr>
                <w:b/>
                <w:bCs w:val="0"/>
                <w:vertAlign w:val="superscript"/>
              </w:rPr>
              <w:t>1</w:t>
            </w:r>
          </w:p>
        </w:tc>
        <w:tc>
          <w:tcPr>
            <w:tcW w:w="599" w:type="pct"/>
            <w:vAlign w:val="center"/>
          </w:tcPr>
          <w:p w14:paraId="33B857F8" w14:textId="56804613" w:rsidR="00360A88" w:rsidRPr="00AB0640" w:rsidRDefault="00360A88" w:rsidP="008028C6">
            <w:pPr>
              <w:pStyle w:val="TableText0"/>
              <w:jc w:val="center"/>
            </w:pPr>
            <w:r w:rsidRPr="00AB0640">
              <w:t>$</w:t>
            </w:r>
            <w:r w:rsidR="001F43CD" w:rsidRPr="001F43CD">
              <w:rPr>
                <w:highlight w:val="black"/>
              </w:rPr>
              <w:t>@@@@</w:t>
            </w:r>
            <w:r w:rsidR="004D12FE">
              <w:rPr>
                <w:b/>
                <w:bCs w:val="0"/>
                <w:vertAlign w:val="superscript"/>
              </w:rPr>
              <w:t>1</w:t>
            </w:r>
          </w:p>
        </w:tc>
        <w:tc>
          <w:tcPr>
            <w:tcW w:w="599" w:type="pct"/>
            <w:vAlign w:val="center"/>
          </w:tcPr>
          <w:p w14:paraId="4213830F" w14:textId="1BE1D3E1" w:rsidR="00360A88" w:rsidRPr="00AB0640" w:rsidRDefault="00360A88" w:rsidP="008028C6">
            <w:pPr>
              <w:pStyle w:val="TableText0"/>
              <w:jc w:val="center"/>
            </w:pPr>
            <w:r w:rsidRPr="00AB0640">
              <w:t>$</w:t>
            </w:r>
            <w:r w:rsidR="001F43CD" w:rsidRPr="001F43CD">
              <w:rPr>
                <w:highlight w:val="black"/>
              </w:rPr>
              <w:t>@@@@</w:t>
            </w:r>
            <w:r w:rsidR="004D12FE">
              <w:rPr>
                <w:b/>
                <w:bCs w:val="0"/>
                <w:vertAlign w:val="superscript"/>
              </w:rPr>
              <w:t>1</w:t>
            </w:r>
          </w:p>
        </w:tc>
        <w:tc>
          <w:tcPr>
            <w:tcW w:w="599" w:type="pct"/>
            <w:vAlign w:val="center"/>
          </w:tcPr>
          <w:p w14:paraId="0197B89C" w14:textId="6C7310EA" w:rsidR="00360A88" w:rsidRPr="00AB0640" w:rsidRDefault="00360A88" w:rsidP="008028C6">
            <w:pPr>
              <w:pStyle w:val="TableText0"/>
              <w:jc w:val="center"/>
            </w:pPr>
            <w:r w:rsidRPr="00AB0640">
              <w:t>$</w:t>
            </w:r>
            <w:r w:rsidR="001F43CD" w:rsidRPr="001F43CD">
              <w:rPr>
                <w:highlight w:val="black"/>
              </w:rPr>
              <w:t>@@@@</w:t>
            </w:r>
            <w:r w:rsidR="004D12FE">
              <w:rPr>
                <w:b/>
                <w:bCs w:val="0"/>
                <w:vertAlign w:val="superscript"/>
              </w:rPr>
              <w:t>4</w:t>
            </w:r>
          </w:p>
        </w:tc>
        <w:tc>
          <w:tcPr>
            <w:tcW w:w="599" w:type="pct"/>
            <w:vAlign w:val="center"/>
          </w:tcPr>
          <w:p w14:paraId="3491EA33" w14:textId="22563E8C" w:rsidR="00360A88" w:rsidRPr="00AB0640" w:rsidRDefault="00360A88" w:rsidP="008028C6">
            <w:pPr>
              <w:pStyle w:val="TableText0"/>
              <w:jc w:val="center"/>
            </w:pPr>
            <w:r w:rsidRPr="00AB0640">
              <w:t>$</w:t>
            </w:r>
            <w:r w:rsidR="001F43CD" w:rsidRPr="001F43CD">
              <w:rPr>
                <w:highlight w:val="black"/>
              </w:rPr>
              <w:t>@@@@</w:t>
            </w:r>
            <w:r w:rsidR="004D12FE">
              <w:rPr>
                <w:b/>
                <w:bCs w:val="0"/>
                <w:vertAlign w:val="superscript"/>
              </w:rPr>
              <w:t>4</w:t>
            </w:r>
          </w:p>
        </w:tc>
        <w:tc>
          <w:tcPr>
            <w:tcW w:w="579" w:type="pct"/>
            <w:vAlign w:val="center"/>
          </w:tcPr>
          <w:p w14:paraId="5CD282D7" w14:textId="5DC58973" w:rsidR="00360A88" w:rsidRPr="00AB0640" w:rsidRDefault="00360A88" w:rsidP="008028C6">
            <w:pPr>
              <w:pStyle w:val="TableText0"/>
              <w:jc w:val="center"/>
            </w:pPr>
            <w:r w:rsidRPr="00AB0640">
              <w:t>$</w:t>
            </w:r>
            <w:r w:rsidR="001F43CD" w:rsidRPr="001F43CD">
              <w:rPr>
                <w:highlight w:val="black"/>
              </w:rPr>
              <w:t>@@@@</w:t>
            </w:r>
            <w:r w:rsidR="004D12FE">
              <w:rPr>
                <w:b/>
                <w:bCs w:val="0"/>
                <w:vertAlign w:val="superscript"/>
              </w:rPr>
              <w:t>4</w:t>
            </w:r>
          </w:p>
        </w:tc>
        <w:tc>
          <w:tcPr>
            <w:tcW w:w="365" w:type="pct"/>
            <w:vAlign w:val="center"/>
          </w:tcPr>
          <w:p w14:paraId="12F24F0F" w14:textId="1CAC6BB3" w:rsidR="00360A88" w:rsidRPr="00AB0640" w:rsidRDefault="00360A88" w:rsidP="008028C6">
            <w:pPr>
              <w:pStyle w:val="TableText0"/>
              <w:jc w:val="center"/>
            </w:pPr>
            <w:r w:rsidRPr="00AB0640">
              <w:t>-</w:t>
            </w:r>
            <w:r w:rsidR="001F43CD" w:rsidRPr="001F43CD">
              <w:rPr>
                <w:highlight w:val="black"/>
              </w:rPr>
              <w:t>@@@@</w:t>
            </w:r>
            <w:r w:rsidRPr="00AB0640">
              <w:t>%</w:t>
            </w:r>
          </w:p>
        </w:tc>
      </w:tr>
      <w:tr w:rsidR="00360A88" w:rsidRPr="00AB0640" w14:paraId="70B5FCC2" w14:textId="77777777" w:rsidTr="0065379D">
        <w:tc>
          <w:tcPr>
            <w:tcW w:w="5000" w:type="pct"/>
            <w:gridSpan w:val="8"/>
            <w:vAlign w:val="center"/>
          </w:tcPr>
          <w:p w14:paraId="5C1D7247" w14:textId="72D23984" w:rsidR="00360A88" w:rsidRPr="00AB0640" w:rsidRDefault="00360A88" w:rsidP="008028C6">
            <w:pPr>
              <w:pStyle w:val="TableText0"/>
              <w:rPr>
                <w:b/>
                <w:bCs w:val="0"/>
                <w:vertAlign w:val="superscript"/>
              </w:rPr>
            </w:pPr>
            <w:r w:rsidRPr="00AB0640">
              <w:rPr>
                <w:b/>
                <w:bCs w:val="0"/>
              </w:rPr>
              <w:t xml:space="preserve">Uptake rate (base case: </w:t>
            </w:r>
            <w:r w:rsidR="001F43CD" w:rsidRPr="001F43CD">
              <w:rPr>
                <w:b/>
                <w:bCs w:val="0"/>
                <w:highlight w:val="black"/>
              </w:rPr>
              <w:t>@@@@</w:t>
            </w:r>
            <w:r w:rsidRPr="00AB0640">
              <w:rPr>
                <w:b/>
                <w:bCs w:val="0"/>
              </w:rPr>
              <w:t xml:space="preserve">% - </w:t>
            </w:r>
            <w:r w:rsidR="001F43CD" w:rsidRPr="001F43CD">
              <w:rPr>
                <w:b/>
                <w:bCs w:val="0"/>
                <w:highlight w:val="black"/>
              </w:rPr>
              <w:t>@@@@</w:t>
            </w:r>
            <w:r w:rsidRPr="00AB0640">
              <w:rPr>
                <w:b/>
                <w:bCs w:val="0"/>
              </w:rPr>
              <w:t>%)</w:t>
            </w:r>
            <w:r w:rsidRPr="00AB0640">
              <w:rPr>
                <w:b/>
                <w:bCs w:val="0"/>
                <w:vertAlign w:val="superscript"/>
              </w:rPr>
              <w:t>a</w:t>
            </w:r>
          </w:p>
        </w:tc>
      </w:tr>
      <w:tr w:rsidR="009C24BB" w:rsidRPr="00AB0640" w14:paraId="02B81DCB" w14:textId="77777777" w:rsidTr="0065379D">
        <w:tc>
          <w:tcPr>
            <w:tcW w:w="1062" w:type="pct"/>
          </w:tcPr>
          <w:p w14:paraId="172C0AB5" w14:textId="6F29C921" w:rsidR="009C24BB" w:rsidRPr="00AB0640" w:rsidRDefault="009C24BB" w:rsidP="008028C6">
            <w:pPr>
              <w:pStyle w:val="TableText0"/>
              <w:rPr>
                <w:vertAlign w:val="superscript"/>
              </w:rPr>
            </w:pPr>
            <w:r w:rsidRPr="00AB0640">
              <w:t>Previous submission uptake rate</w:t>
            </w:r>
            <w:r w:rsidRPr="00AB0640">
              <w:rPr>
                <w:vertAlign w:val="superscript"/>
              </w:rPr>
              <w:t>d</w:t>
            </w:r>
          </w:p>
        </w:tc>
        <w:tc>
          <w:tcPr>
            <w:tcW w:w="599" w:type="pct"/>
            <w:vAlign w:val="center"/>
          </w:tcPr>
          <w:p w14:paraId="0FA38737" w14:textId="3245C1F1" w:rsidR="009C24BB" w:rsidRPr="00AB0640" w:rsidRDefault="009C24BB" w:rsidP="008028C6">
            <w:pPr>
              <w:pStyle w:val="TableText0"/>
              <w:jc w:val="center"/>
            </w:pPr>
            <w:r w:rsidRPr="00AB0640">
              <w:t>$</w:t>
            </w:r>
            <w:r w:rsidR="001F43CD" w:rsidRPr="001F43CD">
              <w:rPr>
                <w:highlight w:val="black"/>
              </w:rPr>
              <w:t>@@@@</w:t>
            </w:r>
            <w:r w:rsidR="004D12FE">
              <w:rPr>
                <w:b/>
                <w:bCs w:val="0"/>
                <w:vertAlign w:val="superscript"/>
              </w:rPr>
              <w:t>4</w:t>
            </w:r>
          </w:p>
        </w:tc>
        <w:tc>
          <w:tcPr>
            <w:tcW w:w="599" w:type="pct"/>
            <w:vAlign w:val="center"/>
          </w:tcPr>
          <w:p w14:paraId="0F870B12" w14:textId="36D13D83" w:rsidR="009C24BB" w:rsidRPr="00AB0640" w:rsidRDefault="009C24BB" w:rsidP="008028C6">
            <w:pPr>
              <w:pStyle w:val="TableText0"/>
              <w:jc w:val="center"/>
            </w:pPr>
            <w:r w:rsidRPr="00AB0640">
              <w:t>$</w:t>
            </w:r>
            <w:r w:rsidR="001F43CD" w:rsidRPr="001F43CD">
              <w:rPr>
                <w:highlight w:val="black"/>
              </w:rPr>
              <w:t>@@@@</w:t>
            </w:r>
            <w:r w:rsidR="004D12FE">
              <w:rPr>
                <w:b/>
                <w:bCs w:val="0"/>
                <w:vertAlign w:val="superscript"/>
              </w:rPr>
              <w:t>1</w:t>
            </w:r>
          </w:p>
        </w:tc>
        <w:tc>
          <w:tcPr>
            <w:tcW w:w="599" w:type="pct"/>
            <w:vAlign w:val="center"/>
          </w:tcPr>
          <w:p w14:paraId="4AC06CF5" w14:textId="4CE5DF82" w:rsidR="009C24BB" w:rsidRPr="00AB0640" w:rsidRDefault="009C24BB" w:rsidP="008028C6">
            <w:pPr>
              <w:pStyle w:val="TableText0"/>
              <w:jc w:val="center"/>
            </w:pPr>
            <w:r w:rsidRPr="00AB0640">
              <w:t>$</w:t>
            </w:r>
            <w:r w:rsidR="001F43CD" w:rsidRPr="001F43CD">
              <w:rPr>
                <w:highlight w:val="black"/>
              </w:rPr>
              <w:t>@@@@</w:t>
            </w:r>
            <w:r w:rsidR="004D12FE">
              <w:rPr>
                <w:b/>
                <w:bCs w:val="0"/>
                <w:vertAlign w:val="superscript"/>
              </w:rPr>
              <w:t>1</w:t>
            </w:r>
          </w:p>
        </w:tc>
        <w:tc>
          <w:tcPr>
            <w:tcW w:w="599" w:type="pct"/>
            <w:vAlign w:val="center"/>
          </w:tcPr>
          <w:p w14:paraId="5320CE6A" w14:textId="386902E9" w:rsidR="009C24BB" w:rsidRPr="00AB0640" w:rsidRDefault="009C24BB" w:rsidP="008028C6">
            <w:pPr>
              <w:pStyle w:val="TableText0"/>
              <w:jc w:val="center"/>
            </w:pPr>
            <w:r w:rsidRPr="00AB0640">
              <w:t>$</w:t>
            </w:r>
            <w:r w:rsidR="001F43CD" w:rsidRPr="001F43CD">
              <w:rPr>
                <w:highlight w:val="black"/>
              </w:rPr>
              <w:t>@@@@</w:t>
            </w:r>
            <w:r w:rsidR="004D12FE">
              <w:rPr>
                <w:b/>
                <w:bCs w:val="0"/>
                <w:vertAlign w:val="superscript"/>
              </w:rPr>
              <w:t>1</w:t>
            </w:r>
          </w:p>
        </w:tc>
        <w:tc>
          <w:tcPr>
            <w:tcW w:w="599" w:type="pct"/>
            <w:vAlign w:val="center"/>
          </w:tcPr>
          <w:p w14:paraId="2C9BA96D" w14:textId="608F9773" w:rsidR="009C24BB" w:rsidRPr="00AB0640" w:rsidRDefault="009C24BB" w:rsidP="008028C6">
            <w:pPr>
              <w:pStyle w:val="TableText0"/>
              <w:jc w:val="center"/>
            </w:pPr>
            <w:r w:rsidRPr="00AB0640">
              <w:t>$</w:t>
            </w:r>
            <w:r w:rsidR="001F43CD" w:rsidRPr="001F43CD">
              <w:rPr>
                <w:highlight w:val="black"/>
              </w:rPr>
              <w:t>@@@@</w:t>
            </w:r>
            <w:r w:rsidR="004D12FE">
              <w:rPr>
                <w:b/>
                <w:bCs w:val="0"/>
                <w:vertAlign w:val="superscript"/>
              </w:rPr>
              <w:t>1</w:t>
            </w:r>
          </w:p>
        </w:tc>
        <w:tc>
          <w:tcPr>
            <w:tcW w:w="579" w:type="pct"/>
            <w:vAlign w:val="center"/>
          </w:tcPr>
          <w:p w14:paraId="6ABF8A2B" w14:textId="6D9B9331" w:rsidR="009C24BB" w:rsidRPr="00AB0640" w:rsidRDefault="009C24BB" w:rsidP="008028C6">
            <w:pPr>
              <w:pStyle w:val="TableText0"/>
              <w:jc w:val="center"/>
            </w:pPr>
            <w:r w:rsidRPr="00AB0640">
              <w:t>$</w:t>
            </w:r>
            <w:r w:rsidR="001F43CD" w:rsidRPr="001F43CD">
              <w:rPr>
                <w:highlight w:val="black"/>
              </w:rPr>
              <w:t>@@@@</w:t>
            </w:r>
            <w:r w:rsidR="004D12FE">
              <w:rPr>
                <w:b/>
                <w:bCs w:val="0"/>
                <w:vertAlign w:val="superscript"/>
              </w:rPr>
              <w:t>1</w:t>
            </w:r>
          </w:p>
        </w:tc>
        <w:tc>
          <w:tcPr>
            <w:tcW w:w="365" w:type="pct"/>
            <w:vAlign w:val="center"/>
          </w:tcPr>
          <w:p w14:paraId="51249014" w14:textId="09E44C84" w:rsidR="009C24BB" w:rsidRPr="00AB0640" w:rsidRDefault="009C24BB" w:rsidP="008028C6">
            <w:pPr>
              <w:pStyle w:val="TableText0"/>
              <w:jc w:val="center"/>
            </w:pPr>
            <w:r w:rsidRPr="00AB0640">
              <w:t>-</w:t>
            </w:r>
            <w:r w:rsidR="001F43CD" w:rsidRPr="001F43CD">
              <w:rPr>
                <w:highlight w:val="black"/>
              </w:rPr>
              <w:t>@@@@</w:t>
            </w:r>
            <w:r w:rsidRPr="00AB0640">
              <w:t>%</w:t>
            </w:r>
          </w:p>
        </w:tc>
      </w:tr>
      <w:tr w:rsidR="00360A88" w:rsidRPr="00AB0640" w14:paraId="54563623" w14:textId="77777777" w:rsidTr="0065379D">
        <w:tc>
          <w:tcPr>
            <w:tcW w:w="5000" w:type="pct"/>
            <w:gridSpan w:val="8"/>
            <w:vAlign w:val="center"/>
          </w:tcPr>
          <w:p w14:paraId="66292AA7" w14:textId="77777777" w:rsidR="00360A88" w:rsidRPr="00AB0640" w:rsidRDefault="00360A88" w:rsidP="008028C6">
            <w:pPr>
              <w:pStyle w:val="TableText0"/>
              <w:rPr>
                <w:b/>
                <w:bCs w:val="0"/>
                <w:vertAlign w:val="superscript"/>
              </w:rPr>
            </w:pPr>
            <w:r w:rsidRPr="00AB0640">
              <w:rPr>
                <w:b/>
                <w:bCs w:val="0"/>
              </w:rPr>
              <w:t>Treatment discontinuation rate (base case: 13% - 1%</w:t>
            </w:r>
            <w:r w:rsidRPr="00AB0640">
              <w:rPr>
                <w:b/>
                <w:bCs w:val="0"/>
                <w:vertAlign w:val="superscript"/>
              </w:rPr>
              <w:t>c</w:t>
            </w:r>
            <w:r w:rsidRPr="00AB0640">
              <w:rPr>
                <w:b/>
                <w:bCs w:val="0"/>
              </w:rPr>
              <w:t>)</w:t>
            </w:r>
          </w:p>
        </w:tc>
      </w:tr>
      <w:tr w:rsidR="00360A88" w:rsidRPr="00AB0640" w14:paraId="02B3A2B7" w14:textId="77777777" w:rsidTr="0065379D">
        <w:tc>
          <w:tcPr>
            <w:tcW w:w="1062" w:type="pct"/>
          </w:tcPr>
          <w:p w14:paraId="0A67C505" w14:textId="7F9BEC8B" w:rsidR="00360A88" w:rsidRPr="00AB0640" w:rsidRDefault="00360A88" w:rsidP="008028C6">
            <w:pPr>
              <w:pStyle w:val="TableText0"/>
              <w:rPr>
                <w:vertAlign w:val="superscript"/>
              </w:rPr>
            </w:pPr>
            <w:r w:rsidRPr="00AB0640">
              <w:t>13% in Year 1, 6% in Year 2+</w:t>
            </w:r>
            <w:r w:rsidR="009C24BB" w:rsidRPr="00AB0640">
              <w:rPr>
                <w:vertAlign w:val="superscript"/>
              </w:rPr>
              <w:t>e</w:t>
            </w:r>
          </w:p>
        </w:tc>
        <w:tc>
          <w:tcPr>
            <w:tcW w:w="599" w:type="pct"/>
            <w:vAlign w:val="center"/>
          </w:tcPr>
          <w:p w14:paraId="49FDFE4C" w14:textId="4DB57B0E" w:rsidR="00360A88" w:rsidRPr="00AB0640" w:rsidRDefault="00360A88" w:rsidP="008028C6">
            <w:pPr>
              <w:pStyle w:val="TableText0"/>
              <w:jc w:val="center"/>
            </w:pPr>
            <w:r w:rsidRPr="00AB0640">
              <w:t>$</w:t>
            </w:r>
            <w:r w:rsidR="001F43CD" w:rsidRPr="001F43CD">
              <w:rPr>
                <w:highlight w:val="black"/>
              </w:rPr>
              <w:t>@@@@</w:t>
            </w:r>
            <w:r w:rsidR="004D12FE">
              <w:rPr>
                <w:b/>
                <w:bCs w:val="0"/>
                <w:vertAlign w:val="superscript"/>
              </w:rPr>
              <w:t>1</w:t>
            </w:r>
          </w:p>
        </w:tc>
        <w:tc>
          <w:tcPr>
            <w:tcW w:w="599" w:type="pct"/>
            <w:vAlign w:val="center"/>
          </w:tcPr>
          <w:p w14:paraId="30118D44" w14:textId="6A2A8609" w:rsidR="00360A88" w:rsidRPr="00AB0640" w:rsidRDefault="00360A88" w:rsidP="008028C6">
            <w:pPr>
              <w:pStyle w:val="TableText0"/>
              <w:jc w:val="center"/>
            </w:pPr>
            <w:r w:rsidRPr="00AB0640">
              <w:t>$</w:t>
            </w:r>
            <w:r w:rsidR="001F43CD" w:rsidRPr="001F43CD">
              <w:rPr>
                <w:highlight w:val="black"/>
              </w:rPr>
              <w:t>@@@@</w:t>
            </w:r>
            <w:r w:rsidR="004D12FE">
              <w:rPr>
                <w:b/>
                <w:bCs w:val="0"/>
                <w:vertAlign w:val="superscript"/>
              </w:rPr>
              <w:t>1</w:t>
            </w:r>
          </w:p>
        </w:tc>
        <w:tc>
          <w:tcPr>
            <w:tcW w:w="599" w:type="pct"/>
            <w:vAlign w:val="center"/>
          </w:tcPr>
          <w:p w14:paraId="2C653382" w14:textId="4AD3DF04" w:rsidR="00360A88" w:rsidRPr="00AB0640" w:rsidRDefault="00360A88" w:rsidP="008028C6">
            <w:pPr>
              <w:pStyle w:val="TableText0"/>
              <w:jc w:val="center"/>
            </w:pPr>
            <w:r w:rsidRPr="00AB0640">
              <w:t>$</w:t>
            </w:r>
            <w:r w:rsidR="001F43CD" w:rsidRPr="001F43CD">
              <w:rPr>
                <w:highlight w:val="black"/>
              </w:rPr>
              <w:t>@@@@</w:t>
            </w:r>
            <w:r w:rsidR="004D12FE">
              <w:rPr>
                <w:b/>
                <w:bCs w:val="0"/>
                <w:vertAlign w:val="superscript"/>
              </w:rPr>
              <w:t>1</w:t>
            </w:r>
          </w:p>
        </w:tc>
        <w:tc>
          <w:tcPr>
            <w:tcW w:w="599" w:type="pct"/>
            <w:vAlign w:val="center"/>
          </w:tcPr>
          <w:p w14:paraId="4175D8D8" w14:textId="7CD5D839" w:rsidR="00360A88" w:rsidRPr="00AB0640" w:rsidRDefault="00360A88" w:rsidP="008028C6">
            <w:pPr>
              <w:pStyle w:val="TableText0"/>
              <w:jc w:val="center"/>
            </w:pPr>
            <w:r w:rsidRPr="00AB0640">
              <w:t>$</w:t>
            </w:r>
            <w:r w:rsidR="001F43CD" w:rsidRPr="001F43CD">
              <w:rPr>
                <w:highlight w:val="black"/>
              </w:rPr>
              <w:t>@@@@</w:t>
            </w:r>
            <w:r w:rsidR="004D12FE">
              <w:rPr>
                <w:b/>
                <w:bCs w:val="0"/>
                <w:vertAlign w:val="superscript"/>
              </w:rPr>
              <w:t>1</w:t>
            </w:r>
          </w:p>
        </w:tc>
        <w:tc>
          <w:tcPr>
            <w:tcW w:w="599" w:type="pct"/>
            <w:vAlign w:val="center"/>
          </w:tcPr>
          <w:p w14:paraId="610CAF68" w14:textId="2FB84395" w:rsidR="00360A88" w:rsidRPr="00AB0640" w:rsidRDefault="00360A88" w:rsidP="008028C6">
            <w:pPr>
              <w:pStyle w:val="TableText0"/>
              <w:jc w:val="center"/>
            </w:pPr>
            <w:r w:rsidRPr="00AB0640">
              <w:t>$</w:t>
            </w:r>
            <w:r w:rsidR="001F43CD" w:rsidRPr="001F43CD">
              <w:rPr>
                <w:highlight w:val="black"/>
              </w:rPr>
              <w:t>@@@@</w:t>
            </w:r>
            <w:r w:rsidR="004D12FE">
              <w:rPr>
                <w:b/>
                <w:bCs w:val="0"/>
                <w:vertAlign w:val="superscript"/>
              </w:rPr>
              <w:t>4</w:t>
            </w:r>
          </w:p>
        </w:tc>
        <w:tc>
          <w:tcPr>
            <w:tcW w:w="579" w:type="pct"/>
            <w:vAlign w:val="center"/>
          </w:tcPr>
          <w:p w14:paraId="3EB219EC" w14:textId="2E85C75C" w:rsidR="00360A88" w:rsidRPr="00AB0640" w:rsidRDefault="00360A88" w:rsidP="008028C6">
            <w:pPr>
              <w:pStyle w:val="TableText0"/>
              <w:jc w:val="center"/>
            </w:pPr>
            <w:r w:rsidRPr="00AB0640">
              <w:t>$</w:t>
            </w:r>
            <w:r w:rsidR="001F43CD" w:rsidRPr="001F43CD">
              <w:rPr>
                <w:highlight w:val="black"/>
              </w:rPr>
              <w:t>@@@@</w:t>
            </w:r>
            <w:r w:rsidR="004D12FE">
              <w:rPr>
                <w:b/>
                <w:bCs w:val="0"/>
                <w:vertAlign w:val="superscript"/>
              </w:rPr>
              <w:t>4</w:t>
            </w:r>
          </w:p>
        </w:tc>
        <w:tc>
          <w:tcPr>
            <w:tcW w:w="365" w:type="pct"/>
            <w:vAlign w:val="center"/>
          </w:tcPr>
          <w:p w14:paraId="51995736" w14:textId="2BF2F1A0" w:rsidR="00360A88" w:rsidRPr="00AB0640" w:rsidRDefault="00360A88" w:rsidP="008028C6">
            <w:pPr>
              <w:pStyle w:val="TableText0"/>
              <w:jc w:val="center"/>
            </w:pPr>
            <w:r w:rsidRPr="00AB0640">
              <w:t>-</w:t>
            </w:r>
            <w:r w:rsidR="001F43CD" w:rsidRPr="001F43CD">
              <w:rPr>
                <w:highlight w:val="black"/>
              </w:rPr>
              <w:t>@@@@</w:t>
            </w:r>
            <w:r w:rsidRPr="00AB0640">
              <w:t>%</w:t>
            </w:r>
          </w:p>
        </w:tc>
      </w:tr>
    </w:tbl>
    <w:p w14:paraId="4075EFC4" w14:textId="77777777" w:rsidR="00360A88" w:rsidRPr="00AB0640" w:rsidRDefault="00360A88" w:rsidP="008028C6">
      <w:pPr>
        <w:keepNext/>
        <w:keepLines/>
        <w:snapToGrid w:val="0"/>
        <w:spacing w:after="120"/>
        <w:contextualSpacing/>
        <w:rPr>
          <w:rFonts w:ascii="Arial Narrow" w:hAnsi="Arial Narrow"/>
          <w:sz w:val="18"/>
          <w:szCs w:val="22"/>
        </w:rPr>
      </w:pPr>
      <w:r w:rsidRPr="00AB0640">
        <w:rPr>
          <w:rFonts w:ascii="Arial Narrow" w:hAnsi="Arial Narrow"/>
          <w:sz w:val="18"/>
          <w:szCs w:val="22"/>
        </w:rPr>
        <w:t>Source: Constructed during the evaluation from the “Attachment 12 - Utilisation and cost model (Section 4)” provided with the resubmission.</w:t>
      </w:r>
    </w:p>
    <w:p w14:paraId="077C0F45" w14:textId="77777777" w:rsidR="00360A88" w:rsidRPr="00AB0640" w:rsidRDefault="00360A88" w:rsidP="008028C6">
      <w:pPr>
        <w:keepNext/>
        <w:keepLines/>
        <w:snapToGrid w:val="0"/>
        <w:spacing w:after="120"/>
        <w:contextualSpacing/>
        <w:rPr>
          <w:rFonts w:ascii="Arial Narrow" w:hAnsi="Arial Narrow"/>
          <w:sz w:val="18"/>
          <w:szCs w:val="22"/>
        </w:rPr>
      </w:pPr>
      <w:r w:rsidRPr="00AB0640">
        <w:rPr>
          <w:rFonts w:ascii="Arial Narrow" w:hAnsi="Arial Narrow"/>
          <w:sz w:val="18"/>
          <w:szCs w:val="22"/>
        </w:rPr>
        <w:t>mFARS = modified Friedreich’s Ataxia rating scale; PBS = Pharmaceutical Benefits Scheme; PSD = Public Summary Document.</w:t>
      </w:r>
    </w:p>
    <w:p w14:paraId="295480C1" w14:textId="30FD4870" w:rsidR="00861CD2" w:rsidRPr="00AB0640" w:rsidRDefault="00861CD2" w:rsidP="008028C6">
      <w:pPr>
        <w:keepNext/>
        <w:keepLines/>
        <w:snapToGrid w:val="0"/>
        <w:spacing w:after="120"/>
        <w:contextualSpacing/>
        <w:rPr>
          <w:rFonts w:ascii="Arial Narrow" w:hAnsi="Arial Narrow"/>
          <w:sz w:val="18"/>
          <w:szCs w:val="22"/>
        </w:rPr>
      </w:pPr>
      <w:r w:rsidRPr="00AB0640">
        <w:rPr>
          <w:rFonts w:ascii="Arial Narrow" w:hAnsi="Arial Narrow"/>
          <w:sz w:val="18"/>
          <w:szCs w:val="22"/>
        </w:rPr>
        <w:t>Note: Analyses performed in italics are those performed during the evaluation.</w:t>
      </w:r>
    </w:p>
    <w:p w14:paraId="3D62851C" w14:textId="10A3D1D3" w:rsidR="00360A88" w:rsidRPr="00AB0640" w:rsidRDefault="00360A88" w:rsidP="008028C6">
      <w:pPr>
        <w:keepNext/>
        <w:keepLines/>
        <w:snapToGrid w:val="0"/>
        <w:spacing w:after="120"/>
        <w:contextualSpacing/>
        <w:rPr>
          <w:rFonts w:ascii="Arial Narrow" w:hAnsi="Arial Narrow"/>
          <w:sz w:val="18"/>
          <w:szCs w:val="22"/>
        </w:rPr>
      </w:pPr>
      <w:r w:rsidRPr="00AB0640">
        <w:rPr>
          <w:rFonts w:ascii="Arial Narrow" w:hAnsi="Arial Narrow"/>
          <w:sz w:val="18"/>
          <w:szCs w:val="22"/>
          <w:vertAlign w:val="superscript"/>
        </w:rPr>
        <w:t>a</w:t>
      </w:r>
      <w:r w:rsidRPr="00AB0640">
        <w:rPr>
          <w:rFonts w:ascii="Arial Narrow" w:hAnsi="Arial Narrow"/>
          <w:sz w:val="18"/>
          <w:szCs w:val="22"/>
        </w:rPr>
        <w:t xml:space="preserve"> Uptake of </w:t>
      </w:r>
      <w:r w:rsidR="001F43CD" w:rsidRPr="001F43CD">
        <w:rPr>
          <w:rFonts w:ascii="Arial Narrow" w:hAnsi="Arial Narrow"/>
          <w:sz w:val="18"/>
          <w:szCs w:val="22"/>
          <w:highlight w:val="black"/>
        </w:rPr>
        <w:t>@@@@</w:t>
      </w:r>
      <w:r w:rsidRPr="0005723F">
        <w:rPr>
          <w:rFonts w:ascii="Arial Narrow" w:hAnsi="Arial Narrow"/>
          <w:sz w:val="18"/>
          <w:szCs w:val="22"/>
        </w:rPr>
        <w:t xml:space="preserve">%, </w:t>
      </w:r>
      <w:r w:rsidR="001F43CD" w:rsidRPr="001F43CD">
        <w:rPr>
          <w:rFonts w:ascii="Arial Narrow" w:hAnsi="Arial Narrow"/>
          <w:sz w:val="18"/>
          <w:szCs w:val="22"/>
          <w:highlight w:val="black"/>
        </w:rPr>
        <w:t>@@@@</w:t>
      </w:r>
      <w:r w:rsidRPr="0005723F">
        <w:rPr>
          <w:rFonts w:ascii="Arial Narrow" w:hAnsi="Arial Narrow"/>
          <w:sz w:val="18"/>
          <w:szCs w:val="22"/>
        </w:rPr>
        <w:t xml:space="preserve">%, </w:t>
      </w:r>
      <w:r w:rsidR="001F43CD" w:rsidRPr="001F43CD">
        <w:rPr>
          <w:rFonts w:ascii="Arial Narrow" w:hAnsi="Arial Narrow"/>
          <w:sz w:val="18"/>
          <w:szCs w:val="22"/>
          <w:highlight w:val="black"/>
        </w:rPr>
        <w:t>@@@@</w:t>
      </w:r>
      <w:r w:rsidRPr="0005723F">
        <w:rPr>
          <w:rFonts w:ascii="Arial Narrow" w:hAnsi="Arial Narrow"/>
          <w:sz w:val="18"/>
          <w:szCs w:val="22"/>
        </w:rPr>
        <w:t xml:space="preserve">%, </w:t>
      </w:r>
      <w:r w:rsidR="001F43CD" w:rsidRPr="001F43CD">
        <w:rPr>
          <w:rFonts w:ascii="Arial Narrow" w:hAnsi="Arial Narrow"/>
          <w:sz w:val="18"/>
          <w:szCs w:val="22"/>
          <w:highlight w:val="black"/>
        </w:rPr>
        <w:t>@@@@</w:t>
      </w:r>
      <w:r w:rsidRPr="0005723F">
        <w:rPr>
          <w:rFonts w:ascii="Arial Narrow" w:hAnsi="Arial Narrow"/>
          <w:sz w:val="18"/>
          <w:szCs w:val="22"/>
        </w:rPr>
        <w:t xml:space="preserve">%, </w:t>
      </w:r>
      <w:r w:rsidR="001F43CD" w:rsidRPr="001F43CD">
        <w:rPr>
          <w:rFonts w:ascii="Arial Narrow" w:hAnsi="Arial Narrow"/>
          <w:sz w:val="18"/>
          <w:szCs w:val="22"/>
          <w:highlight w:val="black"/>
        </w:rPr>
        <w:t>@@@@</w:t>
      </w:r>
      <w:r w:rsidRPr="0005723F">
        <w:rPr>
          <w:rFonts w:ascii="Arial Narrow" w:hAnsi="Arial Narrow"/>
          <w:sz w:val="18"/>
          <w:szCs w:val="22"/>
        </w:rPr>
        <w:t xml:space="preserve">%, </w:t>
      </w:r>
      <w:r w:rsidR="001F43CD" w:rsidRPr="001F43CD">
        <w:rPr>
          <w:rFonts w:ascii="Arial Narrow" w:hAnsi="Arial Narrow"/>
          <w:sz w:val="18"/>
          <w:szCs w:val="22"/>
          <w:highlight w:val="black"/>
        </w:rPr>
        <w:t>@@@@</w:t>
      </w:r>
      <w:r w:rsidRPr="0005723F">
        <w:rPr>
          <w:rFonts w:ascii="Arial Narrow" w:hAnsi="Arial Narrow"/>
          <w:sz w:val="18"/>
          <w:szCs w:val="22"/>
        </w:rPr>
        <w:t>%</w:t>
      </w:r>
      <w:r w:rsidR="004E110C" w:rsidRPr="0005723F">
        <w:rPr>
          <w:rFonts w:ascii="Arial Narrow" w:hAnsi="Arial Narrow"/>
          <w:sz w:val="18"/>
          <w:szCs w:val="22"/>
        </w:rPr>
        <w:t>,</w:t>
      </w:r>
      <w:r w:rsidRPr="0005723F">
        <w:rPr>
          <w:rFonts w:ascii="Arial Narrow" w:hAnsi="Arial Narrow"/>
          <w:sz w:val="18"/>
          <w:szCs w:val="22"/>
        </w:rPr>
        <w:t xml:space="preserve"> and </w:t>
      </w:r>
      <w:r w:rsidR="001F43CD" w:rsidRPr="001F43CD">
        <w:rPr>
          <w:rFonts w:ascii="Arial Narrow" w:hAnsi="Arial Narrow"/>
          <w:sz w:val="18"/>
          <w:szCs w:val="22"/>
          <w:highlight w:val="black"/>
        </w:rPr>
        <w:t>@@@@</w:t>
      </w:r>
      <w:r w:rsidRPr="0005723F">
        <w:rPr>
          <w:rFonts w:ascii="Arial Narrow" w:hAnsi="Arial Narrow"/>
          <w:sz w:val="18"/>
          <w:szCs w:val="22"/>
        </w:rPr>
        <w:t>%</w:t>
      </w:r>
      <w:r w:rsidRPr="00AB0640">
        <w:rPr>
          <w:rFonts w:ascii="Arial Narrow" w:hAnsi="Arial Narrow"/>
          <w:sz w:val="18"/>
          <w:szCs w:val="22"/>
        </w:rPr>
        <w:t xml:space="preserve"> in </w:t>
      </w:r>
      <w:r w:rsidR="004E110C" w:rsidRPr="00AB0640">
        <w:rPr>
          <w:rFonts w:ascii="Arial Narrow" w:hAnsi="Arial Narrow"/>
          <w:sz w:val="18"/>
          <w:szCs w:val="22"/>
        </w:rPr>
        <w:t>Y</w:t>
      </w:r>
      <w:r w:rsidRPr="00AB0640">
        <w:rPr>
          <w:rFonts w:ascii="Arial Narrow" w:hAnsi="Arial Narrow"/>
          <w:sz w:val="18"/>
          <w:szCs w:val="22"/>
        </w:rPr>
        <w:t>ears 1, 2, 3, 4, 5</w:t>
      </w:r>
      <w:r w:rsidR="004E110C" w:rsidRPr="00AB0640">
        <w:rPr>
          <w:rFonts w:ascii="Arial Narrow" w:hAnsi="Arial Narrow"/>
          <w:sz w:val="18"/>
          <w:szCs w:val="22"/>
        </w:rPr>
        <w:t>,</w:t>
      </w:r>
      <w:r w:rsidRPr="00AB0640">
        <w:rPr>
          <w:rFonts w:ascii="Arial Narrow" w:hAnsi="Arial Narrow"/>
          <w:sz w:val="18"/>
          <w:szCs w:val="22"/>
        </w:rPr>
        <w:t xml:space="preserve"> and 6, respectively. </w:t>
      </w:r>
    </w:p>
    <w:p w14:paraId="0799621C" w14:textId="2D945E99" w:rsidR="00360A88" w:rsidRPr="00AB0640" w:rsidRDefault="00360A88" w:rsidP="008028C6">
      <w:pPr>
        <w:keepNext/>
        <w:keepLines/>
        <w:snapToGrid w:val="0"/>
        <w:spacing w:after="120"/>
        <w:contextualSpacing/>
        <w:rPr>
          <w:rFonts w:ascii="Arial Narrow" w:hAnsi="Arial Narrow"/>
          <w:sz w:val="18"/>
          <w:szCs w:val="22"/>
        </w:rPr>
      </w:pPr>
      <w:r w:rsidRPr="00AB0640">
        <w:rPr>
          <w:rFonts w:ascii="Arial Narrow" w:hAnsi="Arial Narrow"/>
          <w:sz w:val="18"/>
          <w:szCs w:val="22"/>
          <w:vertAlign w:val="superscript"/>
        </w:rPr>
        <w:t>b</w:t>
      </w:r>
      <w:r w:rsidRPr="00AB0640">
        <w:rPr>
          <w:rFonts w:ascii="Arial Narrow" w:hAnsi="Arial Narrow"/>
          <w:sz w:val="18"/>
          <w:szCs w:val="22"/>
        </w:rPr>
        <w:t xml:space="preserve"> Uptake presented in the PBAC submission of elexacaftor/tezacaftor/ivacaftor for cystic fibrosis (Elexacaftor with Tezacaftor and with Ivacaftor, and Ivacaftor PSD, March 2024 PBAC </w:t>
      </w:r>
      <w:r w:rsidR="00995C1B" w:rsidRPr="00AB0640">
        <w:rPr>
          <w:rFonts w:ascii="Arial Narrow" w:hAnsi="Arial Narrow"/>
          <w:sz w:val="18"/>
          <w:szCs w:val="22"/>
        </w:rPr>
        <w:t>m</w:t>
      </w:r>
      <w:r w:rsidRPr="00AB0640">
        <w:rPr>
          <w:rFonts w:ascii="Arial Narrow" w:hAnsi="Arial Narrow"/>
          <w:sz w:val="18"/>
          <w:szCs w:val="22"/>
        </w:rPr>
        <w:t>eeting).</w:t>
      </w:r>
    </w:p>
    <w:p w14:paraId="225584F8" w14:textId="14FD0FC4" w:rsidR="00360A88" w:rsidRPr="00AB0640" w:rsidRDefault="00360A88" w:rsidP="008028C6">
      <w:pPr>
        <w:keepNext/>
        <w:keepLines/>
        <w:snapToGrid w:val="0"/>
        <w:spacing w:after="120"/>
        <w:contextualSpacing/>
        <w:rPr>
          <w:rFonts w:ascii="Arial Narrow" w:hAnsi="Arial Narrow"/>
          <w:sz w:val="18"/>
          <w:szCs w:val="22"/>
        </w:rPr>
      </w:pPr>
      <w:r w:rsidRPr="00AB0640">
        <w:rPr>
          <w:rFonts w:ascii="Arial Narrow" w:hAnsi="Arial Narrow"/>
          <w:sz w:val="18"/>
          <w:szCs w:val="22"/>
          <w:vertAlign w:val="superscript"/>
        </w:rPr>
        <w:t xml:space="preserve">c </w:t>
      </w:r>
      <w:r w:rsidRPr="00AB0640">
        <w:rPr>
          <w:rFonts w:ascii="Arial Narrow" w:hAnsi="Arial Narrow"/>
          <w:sz w:val="18"/>
          <w:szCs w:val="22"/>
        </w:rPr>
        <w:t>13% in Year 1</w:t>
      </w:r>
      <w:r w:rsidR="004E110C" w:rsidRPr="00AB0640">
        <w:rPr>
          <w:rFonts w:ascii="Arial Narrow" w:hAnsi="Arial Narrow"/>
          <w:sz w:val="18"/>
          <w:szCs w:val="22"/>
        </w:rPr>
        <w:t xml:space="preserve"> on treatment</w:t>
      </w:r>
      <w:r w:rsidRPr="00AB0640">
        <w:rPr>
          <w:rFonts w:ascii="Arial Narrow" w:hAnsi="Arial Narrow"/>
          <w:sz w:val="18"/>
          <w:szCs w:val="22"/>
        </w:rPr>
        <w:t>, 5.6% for Years 2 and 3 and 3%, 1%</w:t>
      </w:r>
      <w:r w:rsidR="004E110C" w:rsidRPr="00AB0640">
        <w:rPr>
          <w:rFonts w:ascii="Arial Narrow" w:hAnsi="Arial Narrow"/>
          <w:sz w:val="18"/>
          <w:szCs w:val="22"/>
        </w:rPr>
        <w:t>,</w:t>
      </w:r>
      <w:r w:rsidRPr="00AB0640">
        <w:rPr>
          <w:rFonts w:ascii="Arial Narrow" w:hAnsi="Arial Narrow"/>
          <w:sz w:val="18"/>
          <w:szCs w:val="22"/>
        </w:rPr>
        <w:t xml:space="preserve"> and 1% for Years 4, 5</w:t>
      </w:r>
      <w:r w:rsidR="004E110C" w:rsidRPr="00AB0640">
        <w:rPr>
          <w:rFonts w:ascii="Arial Narrow" w:hAnsi="Arial Narrow"/>
          <w:sz w:val="18"/>
          <w:szCs w:val="22"/>
        </w:rPr>
        <w:t>,</w:t>
      </w:r>
      <w:r w:rsidRPr="00AB0640">
        <w:rPr>
          <w:rFonts w:ascii="Arial Narrow" w:hAnsi="Arial Narrow"/>
          <w:sz w:val="18"/>
          <w:szCs w:val="22"/>
        </w:rPr>
        <w:t xml:space="preserve"> and 6, respectively.</w:t>
      </w:r>
    </w:p>
    <w:p w14:paraId="603CCB20" w14:textId="643D3CDE" w:rsidR="009C24BB" w:rsidRPr="00AB0640" w:rsidRDefault="00360A88" w:rsidP="008028C6">
      <w:pPr>
        <w:keepNext/>
        <w:keepLines/>
        <w:snapToGrid w:val="0"/>
        <w:spacing w:after="120"/>
        <w:contextualSpacing/>
        <w:rPr>
          <w:rFonts w:ascii="Arial Narrow" w:hAnsi="Arial Narrow"/>
          <w:sz w:val="18"/>
          <w:szCs w:val="22"/>
        </w:rPr>
      </w:pPr>
      <w:r w:rsidRPr="00AB0640">
        <w:rPr>
          <w:rFonts w:ascii="Arial Narrow" w:hAnsi="Arial Narrow"/>
          <w:sz w:val="18"/>
          <w:szCs w:val="22"/>
          <w:vertAlign w:val="superscript"/>
        </w:rPr>
        <w:t xml:space="preserve">d </w:t>
      </w:r>
      <w:r w:rsidR="001F43CD" w:rsidRPr="001F43CD">
        <w:rPr>
          <w:rFonts w:ascii="Arial Narrow" w:hAnsi="Arial Narrow"/>
          <w:sz w:val="18"/>
          <w:szCs w:val="22"/>
          <w:highlight w:val="black"/>
        </w:rPr>
        <w:t>@@@@</w:t>
      </w:r>
      <w:r w:rsidR="009C24BB" w:rsidRPr="0005723F">
        <w:rPr>
          <w:rFonts w:ascii="Arial Narrow" w:hAnsi="Arial Narrow"/>
          <w:sz w:val="18"/>
          <w:szCs w:val="22"/>
        </w:rPr>
        <w:t xml:space="preserve">%, </w:t>
      </w:r>
      <w:r w:rsidR="001F43CD" w:rsidRPr="001F43CD">
        <w:rPr>
          <w:rFonts w:ascii="Arial Narrow" w:hAnsi="Arial Narrow"/>
          <w:sz w:val="18"/>
          <w:szCs w:val="22"/>
          <w:highlight w:val="black"/>
        </w:rPr>
        <w:t>@@@@</w:t>
      </w:r>
      <w:r w:rsidR="009C24BB" w:rsidRPr="0005723F">
        <w:rPr>
          <w:rFonts w:ascii="Arial Narrow" w:hAnsi="Arial Narrow"/>
          <w:sz w:val="18"/>
          <w:szCs w:val="22"/>
        </w:rPr>
        <w:t xml:space="preserve">%, </w:t>
      </w:r>
      <w:r w:rsidR="001F43CD" w:rsidRPr="001F43CD">
        <w:rPr>
          <w:rFonts w:ascii="Arial Narrow" w:hAnsi="Arial Narrow"/>
          <w:sz w:val="18"/>
          <w:szCs w:val="22"/>
          <w:highlight w:val="black"/>
        </w:rPr>
        <w:t>@@@@</w:t>
      </w:r>
      <w:r w:rsidR="009C24BB" w:rsidRPr="0005723F">
        <w:rPr>
          <w:rFonts w:ascii="Arial Narrow" w:hAnsi="Arial Narrow"/>
          <w:sz w:val="18"/>
          <w:szCs w:val="22"/>
        </w:rPr>
        <w:t xml:space="preserve">%, </w:t>
      </w:r>
      <w:r w:rsidR="001F43CD" w:rsidRPr="001F43CD">
        <w:rPr>
          <w:rFonts w:ascii="Arial Narrow" w:hAnsi="Arial Narrow"/>
          <w:sz w:val="18"/>
          <w:szCs w:val="22"/>
          <w:highlight w:val="black"/>
        </w:rPr>
        <w:t>@@@@</w:t>
      </w:r>
      <w:r w:rsidR="009C24BB" w:rsidRPr="0005723F">
        <w:rPr>
          <w:rFonts w:ascii="Arial Narrow" w:hAnsi="Arial Narrow"/>
          <w:sz w:val="18"/>
          <w:szCs w:val="22"/>
        </w:rPr>
        <w:t xml:space="preserve">%, </w:t>
      </w:r>
      <w:r w:rsidR="001F43CD" w:rsidRPr="001F43CD">
        <w:rPr>
          <w:rFonts w:ascii="Arial Narrow" w:hAnsi="Arial Narrow"/>
          <w:sz w:val="18"/>
          <w:szCs w:val="22"/>
          <w:highlight w:val="black"/>
        </w:rPr>
        <w:t>@@@@</w:t>
      </w:r>
      <w:r w:rsidR="009C24BB" w:rsidRPr="0005723F">
        <w:rPr>
          <w:rFonts w:ascii="Arial Narrow" w:hAnsi="Arial Narrow"/>
          <w:sz w:val="18"/>
          <w:szCs w:val="22"/>
        </w:rPr>
        <w:t xml:space="preserve">% and </w:t>
      </w:r>
      <w:r w:rsidR="001F43CD" w:rsidRPr="001F43CD">
        <w:rPr>
          <w:rFonts w:ascii="Arial Narrow" w:hAnsi="Arial Narrow"/>
          <w:sz w:val="18"/>
          <w:szCs w:val="22"/>
          <w:highlight w:val="black"/>
        </w:rPr>
        <w:t>@@@@</w:t>
      </w:r>
      <w:r w:rsidR="009C24BB" w:rsidRPr="00AB0640">
        <w:rPr>
          <w:rFonts w:ascii="Arial Narrow" w:hAnsi="Arial Narrow"/>
          <w:sz w:val="18"/>
          <w:szCs w:val="22"/>
        </w:rPr>
        <w:t>% in Years 1, 2, 3, 4, 5, and 6, respectively.</w:t>
      </w:r>
    </w:p>
    <w:p w14:paraId="3E6D10E6" w14:textId="6FA05B6F" w:rsidR="004D12FE" w:rsidRDefault="009C24BB" w:rsidP="008028C6">
      <w:pPr>
        <w:keepNext/>
        <w:keepLines/>
        <w:snapToGrid w:val="0"/>
        <w:spacing w:after="120"/>
        <w:contextualSpacing/>
        <w:jc w:val="left"/>
        <w:rPr>
          <w:rFonts w:ascii="Arial Narrow" w:hAnsi="Arial Narrow"/>
          <w:i/>
          <w:iCs/>
          <w:sz w:val="18"/>
          <w:szCs w:val="22"/>
        </w:rPr>
      </w:pPr>
      <w:r w:rsidRPr="00AB0640">
        <w:rPr>
          <w:rFonts w:ascii="Arial Narrow" w:hAnsi="Arial Narrow"/>
          <w:sz w:val="18"/>
          <w:szCs w:val="22"/>
          <w:vertAlign w:val="superscript"/>
        </w:rPr>
        <w:t xml:space="preserve">e </w:t>
      </w:r>
      <w:r w:rsidR="00360A88" w:rsidRPr="00AB0640">
        <w:rPr>
          <w:rFonts w:ascii="Arial Narrow" w:hAnsi="Arial Narrow"/>
          <w:sz w:val="18"/>
          <w:szCs w:val="22"/>
        </w:rPr>
        <w:t xml:space="preserve">Consistent with the economic model. </w:t>
      </w:r>
      <w:r w:rsidR="00D46BE4">
        <w:rPr>
          <w:rFonts w:ascii="Arial Narrow" w:hAnsi="Arial Narrow"/>
          <w:sz w:val="18"/>
          <w:szCs w:val="22"/>
        </w:rPr>
        <w:br/>
      </w:r>
      <w:r w:rsidR="00D46BE4" w:rsidRPr="00D46BE4">
        <w:rPr>
          <w:rFonts w:ascii="Arial Narrow" w:hAnsi="Arial Narrow"/>
          <w:i/>
          <w:iCs/>
          <w:sz w:val="18"/>
          <w:szCs w:val="22"/>
        </w:rPr>
        <w:t xml:space="preserve">The </w:t>
      </w:r>
      <w:r w:rsidR="00D46BE4">
        <w:rPr>
          <w:rFonts w:ascii="Arial Narrow" w:hAnsi="Arial Narrow"/>
          <w:i/>
          <w:iCs/>
          <w:sz w:val="18"/>
          <w:szCs w:val="22"/>
        </w:rPr>
        <w:t>redacted values correspond to the following values:</w:t>
      </w:r>
      <w:r w:rsidR="00D46BE4">
        <w:rPr>
          <w:rFonts w:ascii="Arial Narrow" w:hAnsi="Arial Narrow"/>
          <w:i/>
          <w:iCs/>
          <w:sz w:val="18"/>
          <w:szCs w:val="22"/>
        </w:rPr>
        <w:br/>
      </w:r>
      <w:r w:rsidR="00D46BE4">
        <w:rPr>
          <w:rFonts w:ascii="Arial Narrow" w:hAnsi="Arial Narrow"/>
          <w:i/>
          <w:iCs/>
          <w:sz w:val="18"/>
          <w:szCs w:val="22"/>
          <w:vertAlign w:val="superscript"/>
        </w:rPr>
        <w:t>1</w:t>
      </w:r>
      <w:r w:rsidR="00D46BE4">
        <w:rPr>
          <w:rFonts w:ascii="Arial Narrow" w:hAnsi="Arial Narrow"/>
          <w:i/>
          <w:iCs/>
          <w:sz w:val="18"/>
          <w:szCs w:val="22"/>
        </w:rPr>
        <w:t xml:space="preserve"> $80 million to </w:t>
      </w:r>
      <w:r w:rsidR="00202AE4">
        <w:rPr>
          <w:rFonts w:ascii="Arial Narrow" w:hAnsi="Arial Narrow"/>
          <w:i/>
          <w:iCs/>
          <w:sz w:val="18"/>
          <w:szCs w:val="22"/>
        </w:rPr>
        <w:t xml:space="preserve">&lt; </w:t>
      </w:r>
      <w:r w:rsidR="00D46BE4">
        <w:rPr>
          <w:rFonts w:ascii="Arial Narrow" w:hAnsi="Arial Narrow"/>
          <w:i/>
          <w:iCs/>
          <w:sz w:val="18"/>
          <w:szCs w:val="22"/>
        </w:rPr>
        <w:t>$90 million</w:t>
      </w:r>
      <w:r w:rsidR="00D46BE4">
        <w:rPr>
          <w:rFonts w:ascii="Arial Narrow" w:hAnsi="Arial Narrow"/>
          <w:i/>
          <w:iCs/>
          <w:sz w:val="18"/>
          <w:szCs w:val="22"/>
        </w:rPr>
        <w:br/>
      </w:r>
      <w:r w:rsidR="00D46BE4" w:rsidRPr="00D46BE4">
        <w:rPr>
          <w:rFonts w:ascii="Arial Narrow" w:hAnsi="Arial Narrow"/>
          <w:i/>
          <w:iCs/>
          <w:sz w:val="18"/>
          <w:szCs w:val="22"/>
          <w:vertAlign w:val="superscript"/>
        </w:rPr>
        <w:t>2</w:t>
      </w:r>
      <w:r w:rsidR="00D46BE4">
        <w:rPr>
          <w:rFonts w:ascii="Arial Narrow" w:hAnsi="Arial Narrow"/>
          <w:i/>
          <w:iCs/>
          <w:sz w:val="18"/>
          <w:szCs w:val="22"/>
        </w:rPr>
        <w:t xml:space="preserve"> $90 million to </w:t>
      </w:r>
      <w:r w:rsidR="00202AE4">
        <w:rPr>
          <w:rFonts w:ascii="Arial Narrow" w:hAnsi="Arial Narrow"/>
          <w:i/>
          <w:iCs/>
          <w:sz w:val="18"/>
          <w:szCs w:val="22"/>
        </w:rPr>
        <w:t xml:space="preserve">&lt; </w:t>
      </w:r>
      <w:r w:rsidR="00D46BE4">
        <w:rPr>
          <w:rFonts w:ascii="Arial Narrow" w:hAnsi="Arial Narrow"/>
          <w:i/>
          <w:iCs/>
          <w:sz w:val="18"/>
          <w:szCs w:val="22"/>
        </w:rPr>
        <w:t>$100 million</w:t>
      </w:r>
      <w:r w:rsidR="004D12FE">
        <w:rPr>
          <w:rFonts w:ascii="Arial Narrow" w:hAnsi="Arial Narrow"/>
          <w:i/>
          <w:iCs/>
          <w:sz w:val="18"/>
          <w:szCs w:val="22"/>
        </w:rPr>
        <w:br/>
      </w:r>
      <w:r w:rsidR="004D12FE" w:rsidRPr="004D12FE">
        <w:rPr>
          <w:rFonts w:ascii="Arial Narrow" w:hAnsi="Arial Narrow"/>
          <w:i/>
          <w:iCs/>
          <w:sz w:val="18"/>
          <w:szCs w:val="22"/>
          <w:vertAlign w:val="superscript"/>
        </w:rPr>
        <w:t>3</w:t>
      </w:r>
      <w:r w:rsidR="004D12FE">
        <w:rPr>
          <w:rFonts w:ascii="Arial Narrow" w:hAnsi="Arial Narrow"/>
          <w:i/>
          <w:iCs/>
          <w:sz w:val="18"/>
          <w:szCs w:val="22"/>
        </w:rPr>
        <w:t xml:space="preserve"> $100 million to </w:t>
      </w:r>
      <w:r w:rsidR="00202AE4">
        <w:rPr>
          <w:rFonts w:ascii="Arial Narrow" w:hAnsi="Arial Narrow"/>
          <w:i/>
          <w:iCs/>
          <w:sz w:val="18"/>
          <w:szCs w:val="22"/>
        </w:rPr>
        <w:t xml:space="preserve">&lt; </w:t>
      </w:r>
      <w:r w:rsidR="004D12FE">
        <w:rPr>
          <w:rFonts w:ascii="Arial Narrow" w:hAnsi="Arial Narrow"/>
          <w:i/>
          <w:iCs/>
          <w:sz w:val="18"/>
          <w:szCs w:val="22"/>
        </w:rPr>
        <w:t>$200 million</w:t>
      </w:r>
    </w:p>
    <w:p w14:paraId="3CD90A7F" w14:textId="44D41EB9" w:rsidR="00360A88" w:rsidRPr="00D46BE4" w:rsidRDefault="004D12FE" w:rsidP="008028C6">
      <w:pPr>
        <w:keepNext/>
        <w:keepLines/>
        <w:snapToGrid w:val="0"/>
        <w:spacing w:after="120"/>
        <w:contextualSpacing/>
        <w:jc w:val="left"/>
        <w:rPr>
          <w:rFonts w:ascii="Arial Narrow" w:hAnsi="Arial Narrow"/>
          <w:sz w:val="18"/>
          <w:szCs w:val="22"/>
        </w:rPr>
      </w:pPr>
      <w:r w:rsidRPr="004D12FE">
        <w:rPr>
          <w:rFonts w:ascii="Arial Narrow" w:hAnsi="Arial Narrow"/>
          <w:i/>
          <w:iCs/>
          <w:sz w:val="18"/>
          <w:szCs w:val="22"/>
          <w:vertAlign w:val="superscript"/>
        </w:rPr>
        <w:t xml:space="preserve">4 </w:t>
      </w:r>
      <w:r>
        <w:rPr>
          <w:rFonts w:ascii="Arial Narrow" w:hAnsi="Arial Narrow"/>
          <w:i/>
          <w:iCs/>
          <w:sz w:val="18"/>
          <w:szCs w:val="22"/>
        </w:rPr>
        <w:t xml:space="preserve">$70 million to </w:t>
      </w:r>
      <w:r w:rsidR="00202AE4">
        <w:rPr>
          <w:rFonts w:ascii="Arial Narrow" w:hAnsi="Arial Narrow"/>
          <w:i/>
          <w:iCs/>
          <w:sz w:val="18"/>
          <w:szCs w:val="22"/>
        </w:rPr>
        <w:t xml:space="preserve">&lt; </w:t>
      </w:r>
      <w:r>
        <w:rPr>
          <w:rFonts w:ascii="Arial Narrow" w:hAnsi="Arial Narrow"/>
          <w:i/>
          <w:iCs/>
          <w:sz w:val="18"/>
          <w:szCs w:val="22"/>
        </w:rPr>
        <w:t>$80 million</w:t>
      </w:r>
    </w:p>
    <w:p w14:paraId="6D7477E9" w14:textId="77777777" w:rsidR="00360A88" w:rsidRPr="00AB0640" w:rsidRDefault="00360A88" w:rsidP="008028C6">
      <w:pPr>
        <w:pStyle w:val="4-SubsectionHeading"/>
      </w:pPr>
      <w:bookmarkStart w:id="65" w:name="_Toc22897648"/>
      <w:bookmarkStart w:id="66" w:name="_Toc187925094"/>
      <w:bookmarkStart w:id="67" w:name="_Toc208932441"/>
      <w:r w:rsidRPr="00AB0640">
        <w:t>Quality Use of Medicines</w:t>
      </w:r>
      <w:bookmarkEnd w:id="65"/>
      <w:bookmarkEnd w:id="66"/>
      <w:bookmarkEnd w:id="67"/>
    </w:p>
    <w:p w14:paraId="28291451" w14:textId="0AD04298" w:rsidR="00360A88" w:rsidRPr="00AB0640" w:rsidRDefault="00360A88" w:rsidP="008028C6">
      <w:pPr>
        <w:pStyle w:val="3-BodyText"/>
      </w:pPr>
      <w:bookmarkStart w:id="68" w:name="_Toc22897649"/>
      <w:bookmarkStart w:id="69" w:name="_Toc187925095"/>
      <w:r w:rsidRPr="00AB0640">
        <w:t xml:space="preserve">The resubmission </w:t>
      </w:r>
      <w:r w:rsidR="00043178" w:rsidRPr="00AB0640">
        <w:t xml:space="preserve">again </w:t>
      </w:r>
      <w:r w:rsidRPr="00AB0640">
        <w:t>outlined the following quality use of medicine practices:</w:t>
      </w:r>
    </w:p>
    <w:p w14:paraId="4AFD25D7" w14:textId="77777777" w:rsidR="00360A88" w:rsidRPr="00AB0640" w:rsidRDefault="00360A88" w:rsidP="008028C6">
      <w:pPr>
        <w:pStyle w:val="ListParagraph"/>
        <w:ind w:left="1080"/>
      </w:pPr>
      <w:r w:rsidRPr="00AB0640">
        <w:t>Regular treatment monitoring with serology tests;</w:t>
      </w:r>
    </w:p>
    <w:p w14:paraId="6CA18EB5" w14:textId="77777777" w:rsidR="00360A88" w:rsidRPr="00AB0640" w:rsidRDefault="00360A88" w:rsidP="008028C6">
      <w:pPr>
        <w:pStyle w:val="ListParagraph"/>
        <w:ind w:left="1080"/>
      </w:pPr>
      <w:r w:rsidRPr="00AB0640">
        <w:t>Dose adjustments based on monitoring tests;</w:t>
      </w:r>
    </w:p>
    <w:p w14:paraId="0CEC9B49" w14:textId="77777777" w:rsidR="00360A88" w:rsidRPr="00AB0640" w:rsidRDefault="00360A88" w:rsidP="008028C6">
      <w:pPr>
        <w:pStyle w:val="ListParagraph"/>
        <w:ind w:left="1080"/>
      </w:pPr>
      <w:r w:rsidRPr="00AB0640">
        <w:t>Genetic diagnosis required for access to omaveloxolone on the PBS;</w:t>
      </w:r>
    </w:p>
    <w:p w14:paraId="6C0DF7CA" w14:textId="2FFDCCE7" w:rsidR="00360A88" w:rsidRPr="00AB0640" w:rsidRDefault="00360A88" w:rsidP="008028C6">
      <w:pPr>
        <w:pStyle w:val="ListParagraph"/>
        <w:ind w:left="1080"/>
      </w:pPr>
      <w:r w:rsidRPr="00AB0640">
        <w:t>Routine pharmacovigilance activities</w:t>
      </w:r>
      <w:r w:rsidR="0069045C" w:rsidRPr="00AB0640">
        <w:t>;</w:t>
      </w:r>
      <w:r w:rsidRPr="00AB0640">
        <w:t xml:space="preserve"> and</w:t>
      </w:r>
    </w:p>
    <w:p w14:paraId="6EE7EA07" w14:textId="77777777" w:rsidR="00360A88" w:rsidRPr="00AB0640" w:rsidRDefault="00360A88" w:rsidP="008028C6">
      <w:pPr>
        <w:pStyle w:val="ListParagraph"/>
        <w:ind w:left="1080"/>
      </w:pPr>
      <w:r w:rsidRPr="00AB0640">
        <w:t>A long-term post market safety study which started in 2024.</w:t>
      </w:r>
    </w:p>
    <w:p w14:paraId="520A133D" w14:textId="77777777" w:rsidR="00360A88" w:rsidRPr="00AB0640" w:rsidRDefault="00360A88" w:rsidP="008028C6">
      <w:pPr>
        <w:pStyle w:val="4-SubsectionHeading"/>
      </w:pPr>
      <w:r w:rsidRPr="00AB0640">
        <w:t xml:space="preserve"> </w:t>
      </w:r>
      <w:bookmarkStart w:id="70" w:name="_Toc208932442"/>
      <w:r w:rsidRPr="00AB0640">
        <w:t>Financial Management – Risk Sharing Arrangements</w:t>
      </w:r>
      <w:bookmarkEnd w:id="68"/>
      <w:bookmarkEnd w:id="69"/>
      <w:bookmarkEnd w:id="70"/>
    </w:p>
    <w:p w14:paraId="6790FF5F" w14:textId="607B48EB" w:rsidR="00360A88" w:rsidRDefault="00360A88" w:rsidP="008028C6">
      <w:pPr>
        <w:pStyle w:val="3-BodyText"/>
      </w:pPr>
      <w:r w:rsidRPr="003E7DF3">
        <w:t>To account for the uncertaint</w:t>
      </w:r>
      <w:r w:rsidR="0069045C" w:rsidRPr="003E7DF3">
        <w:t>ies</w:t>
      </w:r>
      <w:r w:rsidRPr="003E7DF3">
        <w:t xml:space="preserve"> regarding the </w:t>
      </w:r>
      <w:r w:rsidR="004E110C" w:rsidRPr="003E7DF3">
        <w:t xml:space="preserve">size of the </w:t>
      </w:r>
      <w:r w:rsidRPr="003E7DF3">
        <w:t>eligible patient population</w:t>
      </w:r>
      <w:r w:rsidR="0069045C" w:rsidRPr="003E7DF3">
        <w:t xml:space="preserve"> and, thus, the financial impact to the PBS</w:t>
      </w:r>
      <w:r w:rsidRPr="003E7DF3">
        <w:t xml:space="preserve">, the resubmission proposed a </w:t>
      </w:r>
      <w:r w:rsidR="001F43CD" w:rsidRPr="001F43CD">
        <w:rPr>
          <w:highlight w:val="black"/>
        </w:rPr>
        <w:t>@@@@</w:t>
      </w:r>
      <w:r w:rsidRPr="003E7DF3">
        <w:t xml:space="preserve"> </w:t>
      </w:r>
      <w:r w:rsidR="00F9293F">
        <w:t>cost</w:t>
      </w:r>
      <w:r w:rsidR="00F9293F" w:rsidRPr="003E7DF3">
        <w:t xml:space="preserve"> </w:t>
      </w:r>
      <w:r w:rsidRPr="003E7DF3">
        <w:t xml:space="preserve">sharing arrangement between the </w:t>
      </w:r>
      <w:r w:rsidR="004E110C" w:rsidRPr="003E7DF3">
        <w:t>s</w:t>
      </w:r>
      <w:r w:rsidRPr="003E7DF3">
        <w:t xml:space="preserve">ponsor and the Government in the event that the PBS expenditure exceeds the estimated financial impact of omaveloxolone in </w:t>
      </w:r>
      <w:r w:rsidR="002E271E" w:rsidRPr="003E7DF3">
        <w:fldChar w:fldCharType="begin" w:fldLock="1"/>
      </w:r>
      <w:r w:rsidR="002E271E" w:rsidRPr="003E7DF3">
        <w:instrText xml:space="preserve"> REF _Ref207712007 </w:instrText>
      </w:r>
      <w:r w:rsidR="003E7DF3" w:rsidRPr="003E7DF3">
        <w:instrText xml:space="preserve"> \* MERGEFORMAT </w:instrText>
      </w:r>
      <w:r w:rsidR="002E271E" w:rsidRPr="003E7DF3">
        <w:fldChar w:fldCharType="separate"/>
      </w:r>
      <w:r w:rsidR="00E056AF" w:rsidRPr="00AB0640">
        <w:t xml:space="preserve">Table </w:t>
      </w:r>
      <w:r w:rsidR="00E056AF">
        <w:t>19</w:t>
      </w:r>
      <w:r w:rsidR="002E271E" w:rsidRPr="003E7DF3">
        <w:fldChar w:fldCharType="end"/>
      </w:r>
      <w:r w:rsidRPr="003E7DF3">
        <w:t>.</w:t>
      </w:r>
      <w:r w:rsidR="00202AE4">
        <w:t xml:space="preserve"> </w:t>
      </w:r>
      <w:r w:rsidR="00E1574C" w:rsidRPr="003E7DF3">
        <w:t xml:space="preserve">The ESC considered that </w:t>
      </w:r>
      <w:r w:rsidR="00F05F8E" w:rsidRPr="003E7DF3">
        <w:t xml:space="preserve">a </w:t>
      </w:r>
      <w:r w:rsidR="001F43CD" w:rsidRPr="001F43CD">
        <w:rPr>
          <w:highlight w:val="black"/>
        </w:rPr>
        <w:t>@@@@</w:t>
      </w:r>
      <w:r w:rsidR="00F05F8E" w:rsidRPr="003E7DF3">
        <w:t xml:space="preserve">% rebate may not be sufficient given the uncertainties in the prevalence of </w:t>
      </w:r>
      <w:r w:rsidR="00C343D2" w:rsidRPr="003E7DF3">
        <w:t>FA</w:t>
      </w:r>
      <w:r w:rsidR="00F3163C" w:rsidRPr="003E7DF3">
        <w:t xml:space="preserve"> and the potential for use </w:t>
      </w:r>
      <w:r w:rsidR="00C343D2" w:rsidRPr="003E7DF3">
        <w:t xml:space="preserve">in </w:t>
      </w:r>
      <w:r w:rsidR="00F3163C" w:rsidRPr="003E7DF3">
        <w:t xml:space="preserve">patients with </w:t>
      </w:r>
      <w:r w:rsidR="00C343D2" w:rsidRPr="003E7DF3">
        <w:t xml:space="preserve">a </w:t>
      </w:r>
      <w:r w:rsidR="00F3163C" w:rsidRPr="003E7DF3">
        <w:t>mFARS score outside of the 20 to 80 range.</w:t>
      </w:r>
    </w:p>
    <w:p w14:paraId="21DDDF2C" w14:textId="7EC9DE33" w:rsidR="002A0777" w:rsidRPr="003E7DF3" w:rsidRDefault="002A0777" w:rsidP="008028C6">
      <w:pPr>
        <w:pStyle w:val="3-BodyText"/>
        <w:numPr>
          <w:ilvl w:val="0"/>
          <w:numId w:val="0"/>
        </w:numPr>
        <w:ind w:left="720"/>
      </w:pPr>
      <w:r w:rsidRPr="002A0777">
        <w:rPr>
          <w:i/>
          <w:iCs/>
        </w:rPr>
        <w:lastRenderedPageBreak/>
        <w:t>For more detail on PBAC’s view, see section 7 PBAC outcome.</w:t>
      </w:r>
    </w:p>
    <w:p w14:paraId="2497A664" w14:textId="77777777" w:rsidR="00C56D8D" w:rsidRPr="0090150D" w:rsidRDefault="00C56D8D" w:rsidP="008028C6">
      <w:pPr>
        <w:pStyle w:val="2-SectionHeading"/>
        <w:numPr>
          <w:ilvl w:val="0"/>
          <w:numId w:val="1"/>
        </w:numPr>
      </w:pPr>
      <w:bookmarkStart w:id="71" w:name="_Hlk76381249"/>
      <w:bookmarkStart w:id="72" w:name="_Hlk76377955"/>
      <w:bookmarkStart w:id="73" w:name="_Toc208932444"/>
      <w:bookmarkEnd w:id="59"/>
      <w:r w:rsidRPr="0090150D">
        <w:t>PBAC Outcome</w:t>
      </w:r>
    </w:p>
    <w:p w14:paraId="54E56BD4" w14:textId="2E704404" w:rsidR="0082508F" w:rsidRPr="001B7B68" w:rsidRDefault="0082508F" w:rsidP="008028C6">
      <w:pPr>
        <w:pStyle w:val="3-BodyText"/>
        <w:rPr>
          <w:rFonts w:ascii="Aptos" w:hAnsi="Aptos" w:cs="Aptos"/>
          <w:szCs w:val="24"/>
        </w:rPr>
      </w:pPr>
      <w:bookmarkStart w:id="74" w:name="_Hlk111543188"/>
      <w:r>
        <w:t xml:space="preserve">The PBAC recommended </w:t>
      </w:r>
      <w:r w:rsidR="009B7602">
        <w:t xml:space="preserve">the </w:t>
      </w:r>
      <w:r w:rsidR="00793D60" w:rsidRPr="00AB0640">
        <w:t>General Schedule</w:t>
      </w:r>
      <w:r w:rsidR="00793D60">
        <w:t>,</w:t>
      </w:r>
      <w:r w:rsidR="00793D60" w:rsidRPr="00AB0640">
        <w:t xml:space="preserve"> Authority Required (</w:t>
      </w:r>
      <w:r w:rsidR="00793D60">
        <w:t>t</w:t>
      </w:r>
      <w:r w:rsidR="00793D60" w:rsidRPr="00AB0640">
        <w:t>elephone/</w:t>
      </w:r>
      <w:r w:rsidR="00BB2325">
        <w:t>online</w:t>
      </w:r>
      <w:r w:rsidR="00793D60" w:rsidRPr="00AB0640">
        <w:t xml:space="preserve">) </w:t>
      </w:r>
      <w:r w:rsidR="009B7602">
        <w:t xml:space="preserve">listing of </w:t>
      </w:r>
      <w:r>
        <w:t xml:space="preserve">omaveloxolone </w:t>
      </w:r>
      <w:r w:rsidR="009B7602">
        <w:t xml:space="preserve">on the PBS </w:t>
      </w:r>
      <w:r>
        <w:t>for the treatment of Friedreich's ataxia</w:t>
      </w:r>
      <w:r w:rsidR="00F04DC5">
        <w:t xml:space="preserve"> (FA)</w:t>
      </w:r>
      <w:r>
        <w:t xml:space="preserve"> in adults and adolescents aged 16 years and over. The PBAC noted the high unmet need for treatments for </w:t>
      </w:r>
      <w:r w:rsidR="00F04DC5">
        <w:t>FA</w:t>
      </w:r>
      <w:r>
        <w:t>. The PBAC considered that omaveloxolone was likely to be clinically superior compared to best supportive care</w:t>
      </w:r>
      <w:r w:rsidR="000C2EFC">
        <w:t xml:space="preserve"> (BSC)</w:t>
      </w:r>
      <w:r w:rsidR="001B7B68">
        <w:t>.</w:t>
      </w:r>
      <w:r w:rsidR="00202AE4">
        <w:t xml:space="preserve"> </w:t>
      </w:r>
      <w:r w:rsidR="001B7B68">
        <w:t xml:space="preserve">The PBAC considered </w:t>
      </w:r>
      <w:r w:rsidR="009B7602">
        <w:t xml:space="preserve">that </w:t>
      </w:r>
      <w:r>
        <w:t>the magnitude of benefit was uncertain</w:t>
      </w:r>
      <w:r w:rsidR="008B2C00">
        <w:t>, and likely to be modest</w:t>
      </w:r>
      <w:r w:rsidR="0098426A">
        <w:t>;</w:t>
      </w:r>
      <w:r w:rsidR="001B7B68">
        <w:t xml:space="preserve"> however</w:t>
      </w:r>
      <w:r w:rsidR="0098426A">
        <w:t>,</w:t>
      </w:r>
      <w:r w:rsidR="001B7B68">
        <w:t xml:space="preserve"> </w:t>
      </w:r>
      <w:r w:rsidR="001B7B68" w:rsidRPr="001B7B68">
        <w:rPr>
          <w:iCs/>
          <w:snapToGrid w:val="0"/>
        </w:rPr>
        <w:t>given the progressive nature of FA, any stabilisation of disease would be beneficial for patients and their care</w:t>
      </w:r>
      <w:r w:rsidR="0031681B">
        <w:rPr>
          <w:iCs/>
          <w:snapToGrid w:val="0"/>
        </w:rPr>
        <w:t>giver</w:t>
      </w:r>
      <w:r w:rsidR="001B7B68" w:rsidRPr="001B7B68">
        <w:rPr>
          <w:iCs/>
          <w:snapToGrid w:val="0"/>
        </w:rPr>
        <w:t xml:space="preserve">s. </w:t>
      </w:r>
      <w:r>
        <w:t xml:space="preserve">The PBAC considered that the economic model was structurally sound but the treatment effect of omaveloxolone was </w:t>
      </w:r>
      <w:r w:rsidR="001B7B68">
        <w:t>overestimated.</w:t>
      </w:r>
      <w:r w:rsidR="00202AE4">
        <w:t xml:space="preserve"> </w:t>
      </w:r>
      <w:r w:rsidR="001B7B68">
        <w:t xml:space="preserve">The PBAC advised that </w:t>
      </w:r>
      <w:r>
        <w:t xml:space="preserve">amendments </w:t>
      </w:r>
      <w:r w:rsidR="00217ED8">
        <w:t xml:space="preserve">would be </w:t>
      </w:r>
      <w:r>
        <w:t xml:space="preserve">required to </w:t>
      </w:r>
      <w:proofErr w:type="gramStart"/>
      <w:r>
        <w:t>a number of</w:t>
      </w:r>
      <w:proofErr w:type="gramEnd"/>
      <w:r>
        <w:t xml:space="preserve"> inputs to make the model suitable for decision making. Noting that the incremental cost effectiveness ratio (ICER) was extremely high and uncertain, the PBAC recommended that a significant price reduction would be required. The PBAC considered that the </w:t>
      </w:r>
      <w:r w:rsidR="004C0970">
        <w:t xml:space="preserve">utilisation </w:t>
      </w:r>
      <w:r>
        <w:t>estimates presented in the resubmission</w:t>
      </w:r>
      <w:r w:rsidR="000A6815">
        <w:t>, with minor amendments,</w:t>
      </w:r>
      <w:r>
        <w:t xml:space="preserve"> were </w:t>
      </w:r>
      <w:r w:rsidR="004C0970">
        <w:t>acceptable</w:t>
      </w:r>
      <w:r>
        <w:t>.</w:t>
      </w:r>
    </w:p>
    <w:p w14:paraId="2101B9C1" w14:textId="247177E7" w:rsidR="00334430" w:rsidRDefault="00334430" w:rsidP="008028C6">
      <w:pPr>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the consumer input </w:t>
      </w:r>
      <w:r w:rsidR="00F04DC5">
        <w:rPr>
          <w:rFonts w:asciiTheme="minorHAnsi" w:hAnsiTheme="minorHAnsi"/>
          <w:snapToGrid w:val="0"/>
          <w:lang w:val="en-GB"/>
        </w:rPr>
        <w:t xml:space="preserve">received </w:t>
      </w:r>
      <w:r>
        <w:rPr>
          <w:rFonts w:asciiTheme="minorHAnsi" w:hAnsiTheme="minorHAnsi"/>
          <w:snapToGrid w:val="0"/>
          <w:lang w:val="en-GB"/>
        </w:rPr>
        <w:t xml:space="preserve">with this resubmission and </w:t>
      </w:r>
      <w:r w:rsidR="00F04DC5">
        <w:rPr>
          <w:rFonts w:asciiTheme="minorHAnsi" w:hAnsiTheme="minorHAnsi"/>
          <w:snapToGrid w:val="0"/>
          <w:lang w:val="en-GB"/>
        </w:rPr>
        <w:t xml:space="preserve">with the original submission in March 2025 </w:t>
      </w:r>
      <w:r>
        <w:rPr>
          <w:rFonts w:asciiTheme="minorHAnsi" w:hAnsiTheme="minorHAnsi"/>
          <w:snapToGrid w:val="0"/>
          <w:lang w:val="en-GB"/>
        </w:rPr>
        <w:t>which strongly supported the submission. The PBAC noted that the input highlighted the high need for treatments for FA</w:t>
      </w:r>
      <w:r w:rsidR="00211C11">
        <w:rPr>
          <w:rFonts w:asciiTheme="minorHAnsi" w:hAnsiTheme="minorHAnsi"/>
          <w:snapToGrid w:val="0"/>
          <w:lang w:val="en-GB"/>
        </w:rPr>
        <w:t xml:space="preserve">, </w:t>
      </w:r>
      <w:r>
        <w:rPr>
          <w:rFonts w:asciiTheme="minorHAnsi" w:hAnsiTheme="minorHAnsi"/>
          <w:snapToGrid w:val="0"/>
          <w:lang w:val="en-GB"/>
        </w:rPr>
        <w:t xml:space="preserve">the </w:t>
      </w:r>
      <w:r w:rsidRPr="002164B7">
        <w:rPr>
          <w:rFonts w:asciiTheme="minorHAnsi" w:hAnsiTheme="minorHAnsi"/>
          <w:snapToGrid w:val="0"/>
          <w:lang w:val="en-GB"/>
        </w:rPr>
        <w:t xml:space="preserve">debilitating </w:t>
      </w:r>
      <w:r w:rsidR="00211C11">
        <w:rPr>
          <w:rFonts w:asciiTheme="minorHAnsi" w:hAnsiTheme="minorHAnsi"/>
          <w:snapToGrid w:val="0"/>
          <w:lang w:val="en-GB"/>
        </w:rPr>
        <w:t xml:space="preserve">effect of </w:t>
      </w:r>
      <w:r w:rsidRPr="002164B7">
        <w:rPr>
          <w:rFonts w:asciiTheme="minorHAnsi" w:hAnsiTheme="minorHAnsi"/>
          <w:snapToGrid w:val="0"/>
          <w:lang w:val="en-GB"/>
        </w:rPr>
        <w:t xml:space="preserve">symptoms of </w:t>
      </w:r>
      <w:r>
        <w:rPr>
          <w:rFonts w:asciiTheme="minorHAnsi" w:hAnsiTheme="minorHAnsi"/>
          <w:snapToGrid w:val="0"/>
          <w:lang w:val="en-GB"/>
        </w:rPr>
        <w:t>FA on patients and the burden on patients and care</w:t>
      </w:r>
      <w:r w:rsidR="0031681B">
        <w:rPr>
          <w:rFonts w:asciiTheme="minorHAnsi" w:hAnsiTheme="minorHAnsi"/>
          <w:snapToGrid w:val="0"/>
          <w:lang w:val="en-GB"/>
        </w:rPr>
        <w:t>give</w:t>
      </w:r>
      <w:r>
        <w:rPr>
          <w:rFonts w:asciiTheme="minorHAnsi" w:hAnsiTheme="minorHAnsi"/>
          <w:snapToGrid w:val="0"/>
          <w:lang w:val="en-GB"/>
        </w:rPr>
        <w:t xml:space="preserve">rs. The PBAC </w:t>
      </w:r>
      <w:r w:rsidR="00217ED8">
        <w:rPr>
          <w:rFonts w:asciiTheme="minorHAnsi" w:hAnsiTheme="minorHAnsi"/>
          <w:snapToGrid w:val="0"/>
          <w:lang w:val="en-GB"/>
        </w:rPr>
        <w:t>considered</w:t>
      </w:r>
      <w:r>
        <w:rPr>
          <w:rFonts w:asciiTheme="minorHAnsi" w:hAnsiTheme="minorHAnsi"/>
          <w:snapToGrid w:val="0"/>
          <w:lang w:val="en-GB"/>
        </w:rPr>
        <w:t xml:space="preserve"> that the slowing of disease progression and the retention of functional capacities was a crucial factor in patient quality of life and that this</w:t>
      </w:r>
      <w:r w:rsidR="00217ED8">
        <w:rPr>
          <w:rFonts w:asciiTheme="minorHAnsi" w:hAnsiTheme="minorHAnsi"/>
          <w:snapToGrid w:val="0"/>
          <w:lang w:val="en-GB"/>
        </w:rPr>
        <w:t xml:space="preserve"> would</w:t>
      </w:r>
      <w:r>
        <w:rPr>
          <w:rFonts w:asciiTheme="minorHAnsi" w:hAnsiTheme="minorHAnsi"/>
          <w:snapToGrid w:val="0"/>
          <w:lang w:val="en-GB"/>
        </w:rPr>
        <w:t xml:space="preserve"> </w:t>
      </w:r>
      <w:proofErr w:type="gramStart"/>
      <w:r w:rsidR="00217ED8">
        <w:rPr>
          <w:rFonts w:asciiTheme="minorHAnsi" w:hAnsiTheme="minorHAnsi"/>
          <w:snapToGrid w:val="0"/>
          <w:lang w:val="en-GB"/>
        </w:rPr>
        <w:t xml:space="preserve">generally </w:t>
      </w:r>
      <w:r>
        <w:rPr>
          <w:rFonts w:asciiTheme="minorHAnsi" w:hAnsiTheme="minorHAnsi"/>
          <w:snapToGrid w:val="0"/>
          <w:lang w:val="en-GB"/>
        </w:rPr>
        <w:t>outweigh</w:t>
      </w:r>
      <w:proofErr w:type="gramEnd"/>
      <w:r>
        <w:rPr>
          <w:rFonts w:asciiTheme="minorHAnsi" w:hAnsiTheme="minorHAnsi"/>
          <w:snapToGrid w:val="0"/>
          <w:lang w:val="en-GB"/>
        </w:rPr>
        <w:t xml:space="preserve"> </w:t>
      </w:r>
      <w:r w:rsidR="00217ED8">
        <w:rPr>
          <w:rFonts w:asciiTheme="minorHAnsi" w:hAnsiTheme="minorHAnsi"/>
          <w:snapToGrid w:val="0"/>
          <w:lang w:val="en-GB"/>
        </w:rPr>
        <w:t xml:space="preserve">the impact of </w:t>
      </w:r>
      <w:r>
        <w:rPr>
          <w:rFonts w:asciiTheme="minorHAnsi" w:hAnsiTheme="minorHAnsi"/>
          <w:snapToGrid w:val="0"/>
          <w:lang w:val="en-GB"/>
        </w:rPr>
        <w:t>adverse events with omaveloxolone treatment.</w:t>
      </w:r>
    </w:p>
    <w:p w14:paraId="0470B91F" w14:textId="2BD4D878" w:rsidR="00A100C9" w:rsidRDefault="00A100C9" w:rsidP="008028C6">
      <w:pPr>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that the proposed comparator, best supportive care (BSC)</w:t>
      </w:r>
      <w:r w:rsidR="00BD2AF5">
        <w:rPr>
          <w:rFonts w:asciiTheme="minorHAnsi" w:hAnsiTheme="minorHAnsi"/>
          <w:snapToGrid w:val="0"/>
          <w:lang w:val="en-GB"/>
        </w:rPr>
        <w:t>,</w:t>
      </w:r>
      <w:r w:rsidR="007424E9">
        <w:rPr>
          <w:rFonts w:asciiTheme="minorHAnsi" w:hAnsiTheme="minorHAnsi"/>
          <w:snapToGrid w:val="0"/>
          <w:lang w:val="en-GB"/>
        </w:rPr>
        <w:t xml:space="preserve"> which consisted of the management of disease-related symptoms</w:t>
      </w:r>
      <w:r>
        <w:rPr>
          <w:rFonts w:asciiTheme="minorHAnsi" w:hAnsiTheme="minorHAnsi"/>
          <w:snapToGrid w:val="0"/>
          <w:lang w:val="en-GB"/>
        </w:rPr>
        <w:t>, was reasonable</w:t>
      </w:r>
      <w:r w:rsidR="005E5698">
        <w:rPr>
          <w:rFonts w:asciiTheme="minorHAnsi" w:hAnsiTheme="minorHAnsi"/>
          <w:snapToGrid w:val="0"/>
          <w:lang w:val="en-GB"/>
        </w:rPr>
        <w:t>.</w:t>
      </w:r>
    </w:p>
    <w:p w14:paraId="7C862B46" w14:textId="2DAA9E8A" w:rsidR="005E5698" w:rsidRDefault="005E5698" w:rsidP="008028C6">
      <w:pPr>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F76BAE">
        <w:rPr>
          <w:rFonts w:asciiTheme="minorHAnsi" w:hAnsiTheme="minorHAnsi"/>
          <w:snapToGrid w:val="0"/>
          <w:lang w:val="en-GB"/>
        </w:rPr>
        <w:t xml:space="preserve">noted that the resubmission was </w:t>
      </w:r>
      <w:r w:rsidR="008538BD">
        <w:rPr>
          <w:rFonts w:asciiTheme="minorHAnsi" w:hAnsiTheme="minorHAnsi"/>
          <w:snapToGrid w:val="0"/>
          <w:lang w:val="en-GB"/>
        </w:rPr>
        <w:t xml:space="preserve">primarily </w:t>
      </w:r>
      <w:r w:rsidR="00F76BAE">
        <w:rPr>
          <w:rFonts w:asciiTheme="minorHAnsi" w:hAnsiTheme="minorHAnsi"/>
          <w:snapToGrid w:val="0"/>
          <w:lang w:val="en-GB"/>
        </w:rPr>
        <w:t xml:space="preserve">based on the results of the MOXIE Part 2 trial which compared omaveloxolone with </w:t>
      </w:r>
      <w:r w:rsidR="00645970">
        <w:rPr>
          <w:rFonts w:asciiTheme="minorHAnsi" w:hAnsiTheme="minorHAnsi"/>
          <w:snapToGrid w:val="0"/>
          <w:lang w:val="en-GB"/>
        </w:rPr>
        <w:t xml:space="preserve">placebo </w:t>
      </w:r>
      <w:r w:rsidR="00606C34">
        <w:rPr>
          <w:rFonts w:asciiTheme="minorHAnsi" w:hAnsiTheme="minorHAnsi"/>
          <w:snapToGrid w:val="0"/>
          <w:lang w:val="en-GB"/>
        </w:rPr>
        <w:t xml:space="preserve">(as a proxy for BSC) </w:t>
      </w:r>
      <w:r w:rsidR="00645970">
        <w:rPr>
          <w:rFonts w:asciiTheme="minorHAnsi" w:hAnsiTheme="minorHAnsi"/>
          <w:snapToGrid w:val="0"/>
          <w:lang w:val="en-GB"/>
        </w:rPr>
        <w:t>over 48 weeks</w:t>
      </w:r>
      <w:r w:rsidR="008538BD">
        <w:rPr>
          <w:rFonts w:asciiTheme="minorHAnsi" w:hAnsiTheme="minorHAnsi"/>
          <w:snapToGrid w:val="0"/>
          <w:lang w:val="en-GB"/>
        </w:rPr>
        <w:t xml:space="preserve">. Supporting longer term data </w:t>
      </w:r>
      <w:r w:rsidR="009A38DD">
        <w:rPr>
          <w:rFonts w:asciiTheme="minorHAnsi" w:hAnsiTheme="minorHAnsi"/>
          <w:snapToGrid w:val="0"/>
          <w:lang w:val="en-GB"/>
        </w:rPr>
        <w:t xml:space="preserve">with a 3-year follow up </w:t>
      </w:r>
      <w:proofErr w:type="gramStart"/>
      <w:r w:rsidR="008538BD">
        <w:rPr>
          <w:rFonts w:asciiTheme="minorHAnsi" w:hAnsiTheme="minorHAnsi"/>
          <w:snapToGrid w:val="0"/>
          <w:lang w:val="en-GB"/>
        </w:rPr>
        <w:t>was provided</w:t>
      </w:r>
      <w:proofErr w:type="gramEnd"/>
      <w:r w:rsidR="008538BD">
        <w:rPr>
          <w:rFonts w:asciiTheme="minorHAnsi" w:hAnsiTheme="minorHAnsi"/>
          <w:snapToGrid w:val="0"/>
          <w:lang w:val="en-GB"/>
        </w:rPr>
        <w:t xml:space="preserve"> </w:t>
      </w:r>
      <w:r w:rsidR="009A38DD">
        <w:rPr>
          <w:rFonts w:asciiTheme="minorHAnsi" w:hAnsiTheme="minorHAnsi"/>
          <w:snapToGrid w:val="0"/>
          <w:lang w:val="en-GB"/>
        </w:rPr>
        <w:t>in the form of</w:t>
      </w:r>
      <w:r w:rsidR="008538BD">
        <w:rPr>
          <w:rFonts w:asciiTheme="minorHAnsi" w:hAnsiTheme="minorHAnsi"/>
          <w:snapToGrid w:val="0"/>
          <w:lang w:val="en-GB"/>
        </w:rPr>
        <w:t xml:space="preserve"> </w:t>
      </w:r>
      <w:r w:rsidR="00FC4EB0">
        <w:rPr>
          <w:rFonts w:asciiTheme="minorHAnsi" w:hAnsiTheme="minorHAnsi"/>
          <w:snapToGrid w:val="0"/>
          <w:lang w:val="en-GB"/>
        </w:rPr>
        <w:t xml:space="preserve">an unanchored propensity matched indirect comparison between </w:t>
      </w:r>
      <w:r w:rsidR="00A16E70">
        <w:rPr>
          <w:rFonts w:asciiTheme="minorHAnsi" w:hAnsiTheme="minorHAnsi"/>
          <w:snapToGrid w:val="0"/>
          <w:lang w:val="en-GB"/>
        </w:rPr>
        <w:t xml:space="preserve">omaveloxolone </w:t>
      </w:r>
      <w:r w:rsidR="00D02F4C">
        <w:rPr>
          <w:rFonts w:asciiTheme="minorHAnsi" w:hAnsiTheme="minorHAnsi"/>
          <w:snapToGrid w:val="0"/>
          <w:lang w:val="en-GB"/>
        </w:rPr>
        <w:t>patients in the open label extension study of the MOXIE Part 2 trial</w:t>
      </w:r>
      <w:r w:rsidR="00A16E70">
        <w:rPr>
          <w:rFonts w:asciiTheme="minorHAnsi" w:hAnsiTheme="minorHAnsi"/>
          <w:snapToGrid w:val="0"/>
          <w:lang w:val="en-GB"/>
        </w:rPr>
        <w:t xml:space="preserve"> </w:t>
      </w:r>
      <w:r w:rsidR="00FC4EB0">
        <w:rPr>
          <w:rFonts w:asciiTheme="minorHAnsi" w:hAnsiTheme="minorHAnsi"/>
          <w:snapToGrid w:val="0"/>
          <w:lang w:val="en-GB"/>
        </w:rPr>
        <w:t xml:space="preserve">and </w:t>
      </w:r>
      <w:r w:rsidR="00A16E70">
        <w:rPr>
          <w:rFonts w:asciiTheme="minorHAnsi" w:hAnsiTheme="minorHAnsi"/>
          <w:snapToGrid w:val="0"/>
          <w:lang w:val="en-GB"/>
        </w:rPr>
        <w:t>BSC patients from a natural history cohort</w:t>
      </w:r>
      <w:r w:rsidR="00645970">
        <w:rPr>
          <w:rFonts w:asciiTheme="minorHAnsi" w:hAnsiTheme="minorHAnsi"/>
          <w:snapToGrid w:val="0"/>
          <w:lang w:val="en-GB"/>
        </w:rPr>
        <w:t xml:space="preserve">. The PBAC noted that the resubmission </w:t>
      </w:r>
      <w:r w:rsidR="00F76BAE">
        <w:rPr>
          <w:rFonts w:asciiTheme="minorHAnsi" w:hAnsiTheme="minorHAnsi"/>
          <w:snapToGrid w:val="0"/>
          <w:lang w:val="en-GB"/>
        </w:rPr>
        <w:t>did not present any new clinical data</w:t>
      </w:r>
      <w:r w:rsidR="00645970">
        <w:rPr>
          <w:rFonts w:asciiTheme="minorHAnsi" w:hAnsiTheme="minorHAnsi"/>
          <w:snapToGrid w:val="0"/>
          <w:lang w:val="en-GB"/>
        </w:rPr>
        <w:t xml:space="preserve">, but </w:t>
      </w:r>
      <w:r w:rsidR="000E3ADA">
        <w:rPr>
          <w:rFonts w:asciiTheme="minorHAnsi" w:hAnsiTheme="minorHAnsi"/>
          <w:snapToGrid w:val="0"/>
          <w:lang w:val="en-GB"/>
        </w:rPr>
        <w:t xml:space="preserve">that </w:t>
      </w:r>
      <w:r w:rsidR="00C1186C">
        <w:rPr>
          <w:rFonts w:asciiTheme="minorHAnsi" w:hAnsiTheme="minorHAnsi"/>
          <w:snapToGrid w:val="0"/>
          <w:lang w:val="en-GB"/>
        </w:rPr>
        <w:t xml:space="preserve">updated </w:t>
      </w:r>
      <w:r w:rsidR="000E3ADA">
        <w:rPr>
          <w:rFonts w:asciiTheme="minorHAnsi" w:hAnsiTheme="minorHAnsi"/>
          <w:snapToGrid w:val="0"/>
          <w:lang w:val="en-GB"/>
        </w:rPr>
        <w:t>propensity matched indirect comparison</w:t>
      </w:r>
      <w:r w:rsidR="00151138">
        <w:rPr>
          <w:rFonts w:asciiTheme="minorHAnsi" w:hAnsiTheme="minorHAnsi"/>
          <w:snapToGrid w:val="0"/>
          <w:lang w:val="en-GB"/>
        </w:rPr>
        <w:t xml:space="preserve"> </w:t>
      </w:r>
      <w:r w:rsidR="00C1186C">
        <w:rPr>
          <w:rFonts w:asciiTheme="minorHAnsi" w:hAnsiTheme="minorHAnsi"/>
          <w:snapToGrid w:val="0"/>
          <w:lang w:val="en-GB"/>
        </w:rPr>
        <w:t xml:space="preserve">data </w:t>
      </w:r>
      <w:r w:rsidR="00151138">
        <w:rPr>
          <w:rFonts w:asciiTheme="minorHAnsi" w:hAnsiTheme="minorHAnsi"/>
          <w:snapToGrid w:val="0"/>
          <w:lang w:val="en-GB"/>
        </w:rPr>
        <w:t xml:space="preserve">with a follow up of 5 years </w:t>
      </w:r>
      <w:proofErr w:type="gramStart"/>
      <w:r w:rsidR="00151138">
        <w:rPr>
          <w:rFonts w:asciiTheme="minorHAnsi" w:hAnsiTheme="minorHAnsi"/>
          <w:snapToGrid w:val="0"/>
          <w:lang w:val="en-GB"/>
        </w:rPr>
        <w:t>was presented</w:t>
      </w:r>
      <w:proofErr w:type="gramEnd"/>
      <w:r w:rsidR="00151138">
        <w:rPr>
          <w:rFonts w:asciiTheme="minorHAnsi" w:hAnsiTheme="minorHAnsi"/>
          <w:snapToGrid w:val="0"/>
          <w:lang w:val="en-GB"/>
        </w:rPr>
        <w:t xml:space="preserve"> in the Pre-Sub-Committee response (PSCR)</w:t>
      </w:r>
      <w:r w:rsidR="00F76BAE">
        <w:rPr>
          <w:rFonts w:asciiTheme="minorHAnsi" w:hAnsiTheme="minorHAnsi"/>
          <w:snapToGrid w:val="0"/>
          <w:lang w:val="en-GB"/>
        </w:rPr>
        <w:t xml:space="preserve">. </w:t>
      </w:r>
    </w:p>
    <w:p w14:paraId="5E29776C" w14:textId="00AB8DD7" w:rsidR="000D2F12" w:rsidRDefault="003B1F87" w:rsidP="008028C6">
      <w:pPr>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recalled that it had previously considered that </w:t>
      </w:r>
      <w:r w:rsidR="00676453">
        <w:rPr>
          <w:rFonts w:asciiTheme="minorHAnsi" w:hAnsiTheme="minorHAnsi"/>
          <w:snapToGrid w:val="0"/>
          <w:lang w:val="en-GB"/>
        </w:rPr>
        <w:t xml:space="preserve">the data presented did not convincingly support the claim </w:t>
      </w:r>
      <w:r w:rsidR="00B51723">
        <w:rPr>
          <w:rFonts w:asciiTheme="minorHAnsi" w:hAnsiTheme="minorHAnsi"/>
          <w:snapToGrid w:val="0"/>
          <w:lang w:val="en-GB"/>
        </w:rPr>
        <w:t xml:space="preserve">that omaveloxolone was superior in terms of effectiveness compared to BSC. The PBAC </w:t>
      </w:r>
      <w:r w:rsidR="00DA0392">
        <w:rPr>
          <w:rFonts w:asciiTheme="minorHAnsi" w:hAnsiTheme="minorHAnsi"/>
          <w:snapToGrid w:val="0"/>
          <w:lang w:val="en-GB"/>
        </w:rPr>
        <w:t xml:space="preserve">also previously </w:t>
      </w:r>
      <w:r w:rsidR="00B51723">
        <w:rPr>
          <w:rFonts w:asciiTheme="minorHAnsi" w:hAnsiTheme="minorHAnsi"/>
          <w:snapToGrid w:val="0"/>
          <w:lang w:val="en-GB"/>
        </w:rPr>
        <w:t xml:space="preserve">noted that </w:t>
      </w:r>
      <w:r w:rsidR="009B579A">
        <w:rPr>
          <w:rFonts w:asciiTheme="minorHAnsi" w:hAnsiTheme="minorHAnsi"/>
          <w:snapToGrid w:val="0"/>
          <w:lang w:val="en-GB"/>
        </w:rPr>
        <w:t xml:space="preserve">although </w:t>
      </w:r>
      <w:r w:rsidR="00B51723">
        <w:rPr>
          <w:rFonts w:asciiTheme="minorHAnsi" w:hAnsiTheme="minorHAnsi"/>
          <w:snapToGrid w:val="0"/>
          <w:lang w:val="en-GB"/>
        </w:rPr>
        <w:t xml:space="preserve">the difference in the mFARS score </w:t>
      </w:r>
      <w:r w:rsidR="009B579A">
        <w:rPr>
          <w:rFonts w:asciiTheme="minorHAnsi" w:hAnsiTheme="minorHAnsi"/>
          <w:snapToGrid w:val="0"/>
          <w:lang w:val="en-GB"/>
        </w:rPr>
        <w:t xml:space="preserve">at Week 48 of -2.40 points </w:t>
      </w:r>
      <w:r w:rsidR="00606C34">
        <w:rPr>
          <w:rFonts w:asciiTheme="minorHAnsi" w:hAnsiTheme="minorHAnsi"/>
          <w:snapToGrid w:val="0"/>
          <w:lang w:val="en-GB"/>
        </w:rPr>
        <w:t>was statistically significant,</w:t>
      </w:r>
      <w:r w:rsidR="00B040CA">
        <w:rPr>
          <w:rFonts w:asciiTheme="minorHAnsi" w:hAnsiTheme="minorHAnsi"/>
          <w:snapToGrid w:val="0"/>
          <w:lang w:val="en-GB"/>
        </w:rPr>
        <w:t xml:space="preserve"> there were uncertainties associated with the</w:t>
      </w:r>
      <w:r w:rsidR="00BD2AF5">
        <w:rPr>
          <w:rFonts w:asciiTheme="minorHAnsi" w:hAnsiTheme="minorHAnsi"/>
          <w:snapToGrid w:val="0"/>
          <w:lang w:val="en-GB"/>
        </w:rPr>
        <w:t xml:space="preserve"> clinical meaningfulness of this change</w:t>
      </w:r>
      <w:r w:rsidR="00AB2B91">
        <w:rPr>
          <w:rFonts w:asciiTheme="minorHAnsi" w:hAnsiTheme="minorHAnsi"/>
          <w:snapToGrid w:val="0"/>
          <w:lang w:val="en-GB"/>
        </w:rPr>
        <w:t xml:space="preserve"> </w:t>
      </w:r>
      <w:r w:rsidR="00AB2B91">
        <w:rPr>
          <w:rFonts w:asciiTheme="minorHAnsi" w:hAnsiTheme="minorHAnsi"/>
          <w:snapToGrid w:val="0"/>
          <w:lang w:val="en-GB"/>
        </w:rPr>
        <w:lastRenderedPageBreak/>
        <w:t>and whether it would result in benefits in terms of disease outcomes for the patient</w:t>
      </w:r>
      <w:r w:rsidR="00303E80">
        <w:rPr>
          <w:rFonts w:asciiTheme="minorHAnsi" w:hAnsiTheme="minorHAnsi"/>
          <w:snapToGrid w:val="0"/>
          <w:lang w:val="en-GB"/>
        </w:rPr>
        <w:t xml:space="preserve">. </w:t>
      </w:r>
      <w:r w:rsidR="00DA0392">
        <w:rPr>
          <w:rFonts w:asciiTheme="minorHAnsi" w:hAnsiTheme="minorHAnsi"/>
          <w:snapToGrid w:val="0"/>
          <w:lang w:val="en-GB"/>
        </w:rPr>
        <w:t>However, at the November 2025 meeting the PBAC</w:t>
      </w:r>
      <w:r w:rsidR="000D2F12">
        <w:rPr>
          <w:rFonts w:asciiTheme="minorHAnsi" w:hAnsiTheme="minorHAnsi"/>
          <w:snapToGrid w:val="0"/>
          <w:lang w:val="en-GB"/>
        </w:rPr>
        <w:t>, the PBAC</w:t>
      </w:r>
      <w:r w:rsidR="00DA0392">
        <w:rPr>
          <w:rFonts w:asciiTheme="minorHAnsi" w:hAnsiTheme="minorHAnsi"/>
          <w:snapToGrid w:val="0"/>
          <w:lang w:val="en-GB"/>
        </w:rPr>
        <w:t xml:space="preserve"> </w:t>
      </w:r>
      <w:r w:rsidR="000D2F12" w:rsidRPr="00ED0564">
        <w:t xml:space="preserve">considered that a </w:t>
      </w:r>
      <w:proofErr w:type="gramStart"/>
      <w:r w:rsidR="000D2F12" w:rsidRPr="00ED0564">
        <w:t>2</w:t>
      </w:r>
      <w:proofErr w:type="gramEnd"/>
      <w:r w:rsidR="000D2F12">
        <w:noBreakHyphen/>
      </w:r>
      <w:r w:rsidR="000D2F12" w:rsidRPr="00ED0564">
        <w:t>point change in mFARS score was likely to be clinically meaningful in the context of the proposed use</w:t>
      </w:r>
      <w:r w:rsidR="000D2F12">
        <w:t xml:space="preserve"> of omaveloxolone.</w:t>
      </w:r>
      <w:r w:rsidR="00202AE4">
        <w:t xml:space="preserve"> </w:t>
      </w:r>
      <w:r w:rsidR="000D2F12" w:rsidRPr="000D2F12">
        <w:rPr>
          <w:rFonts w:asciiTheme="minorHAnsi" w:hAnsiTheme="minorHAnsi"/>
          <w:snapToGrid w:val="0"/>
          <w:lang w:val="en-GB"/>
        </w:rPr>
        <w:t xml:space="preserve">The PBAC noted the 3- and 5-year follow up data and considered, notwithstanding the issues associated with the indirect treatment comparisons outlined in paragraph </w:t>
      </w:r>
      <w:r w:rsidR="000D2F12" w:rsidRPr="000D2F12">
        <w:rPr>
          <w:rFonts w:asciiTheme="minorHAnsi" w:hAnsiTheme="minorHAnsi"/>
          <w:snapToGrid w:val="0"/>
          <w:lang w:val="en-GB"/>
        </w:rPr>
        <w:fldChar w:fldCharType="begin" w:fldLock="1"/>
      </w:r>
      <w:r w:rsidR="000D2F12" w:rsidRPr="000D2F12">
        <w:rPr>
          <w:rFonts w:asciiTheme="minorHAnsi" w:hAnsiTheme="minorHAnsi"/>
          <w:snapToGrid w:val="0"/>
          <w:lang w:val="en-GB"/>
        </w:rPr>
        <w:instrText xml:space="preserve"> REF _Ref207798075 \r \h </w:instrText>
      </w:r>
      <w:r w:rsidR="000D2F12" w:rsidRPr="000D2F12">
        <w:rPr>
          <w:rFonts w:asciiTheme="minorHAnsi" w:hAnsiTheme="minorHAnsi"/>
          <w:snapToGrid w:val="0"/>
          <w:lang w:val="en-GB"/>
        </w:rPr>
      </w:r>
      <w:r w:rsidR="000D2F12" w:rsidRPr="000D2F12">
        <w:rPr>
          <w:rFonts w:asciiTheme="minorHAnsi" w:hAnsiTheme="minorHAnsi"/>
          <w:snapToGrid w:val="0"/>
          <w:lang w:val="en-GB"/>
        </w:rPr>
        <w:fldChar w:fldCharType="separate"/>
      </w:r>
      <w:r w:rsidR="00623D52">
        <w:rPr>
          <w:rFonts w:asciiTheme="minorHAnsi" w:hAnsiTheme="minorHAnsi"/>
          <w:snapToGrid w:val="0"/>
          <w:lang w:val="en-GB"/>
        </w:rPr>
        <w:t>6.37</w:t>
      </w:r>
      <w:r w:rsidR="000D2F12" w:rsidRPr="000D2F12">
        <w:rPr>
          <w:rFonts w:asciiTheme="minorHAnsi" w:hAnsiTheme="minorHAnsi"/>
          <w:snapToGrid w:val="0"/>
          <w:lang w:val="en-GB"/>
        </w:rPr>
        <w:fldChar w:fldCharType="end"/>
      </w:r>
      <w:r w:rsidR="000D2F12" w:rsidRPr="000D2F12">
        <w:rPr>
          <w:rFonts w:asciiTheme="minorHAnsi" w:hAnsiTheme="minorHAnsi"/>
          <w:snapToGrid w:val="0"/>
          <w:lang w:val="en-GB"/>
        </w:rPr>
        <w:t xml:space="preserve">, that omaveloxolone </w:t>
      </w:r>
      <w:r w:rsidR="000D2F12">
        <w:rPr>
          <w:rFonts w:asciiTheme="minorHAnsi" w:hAnsiTheme="minorHAnsi"/>
          <w:snapToGrid w:val="0"/>
          <w:lang w:val="en-GB"/>
        </w:rPr>
        <w:t xml:space="preserve">appeared to </w:t>
      </w:r>
      <w:r w:rsidR="000D2F12" w:rsidRPr="000D2F12">
        <w:rPr>
          <w:rFonts w:asciiTheme="minorHAnsi" w:hAnsiTheme="minorHAnsi"/>
          <w:snapToGrid w:val="0"/>
          <w:lang w:val="en-GB"/>
        </w:rPr>
        <w:t xml:space="preserve">provide </w:t>
      </w:r>
      <w:r w:rsidR="000D2F12">
        <w:rPr>
          <w:rFonts w:asciiTheme="minorHAnsi" w:hAnsiTheme="minorHAnsi"/>
          <w:snapToGrid w:val="0"/>
          <w:lang w:val="en-GB"/>
        </w:rPr>
        <w:t>an ongoing benefit</w:t>
      </w:r>
      <w:r w:rsidR="000D2F12" w:rsidRPr="000D2F12">
        <w:rPr>
          <w:rFonts w:asciiTheme="minorHAnsi" w:hAnsiTheme="minorHAnsi"/>
          <w:snapToGrid w:val="0"/>
          <w:lang w:val="en-GB"/>
        </w:rPr>
        <w:t xml:space="preserve"> for some patients. The PBAC also considered that given the progressive nature of FA, any stabilisation of disease would be beneficial for patients and their care</w:t>
      </w:r>
      <w:r w:rsidR="0031681B">
        <w:rPr>
          <w:rFonts w:asciiTheme="minorHAnsi" w:hAnsiTheme="minorHAnsi"/>
          <w:snapToGrid w:val="0"/>
          <w:lang w:val="en-GB"/>
        </w:rPr>
        <w:t>give</w:t>
      </w:r>
      <w:r w:rsidR="000D2F12" w:rsidRPr="000D2F12">
        <w:rPr>
          <w:rFonts w:asciiTheme="minorHAnsi" w:hAnsiTheme="minorHAnsi"/>
          <w:snapToGrid w:val="0"/>
          <w:lang w:val="en-GB"/>
        </w:rPr>
        <w:t xml:space="preserve">rs. </w:t>
      </w:r>
      <w:r w:rsidR="000D2F12">
        <w:rPr>
          <w:rFonts w:asciiTheme="minorHAnsi" w:hAnsiTheme="minorHAnsi"/>
          <w:snapToGrid w:val="0"/>
          <w:lang w:val="en-GB"/>
        </w:rPr>
        <w:t xml:space="preserve">Overall, the PBAC considered that omaveloxolone was likely to be superior compared to BSC in the treatment of FA and would result in stabilisation of disease </w:t>
      </w:r>
      <w:r w:rsidR="009B4371">
        <w:rPr>
          <w:rFonts w:asciiTheme="minorHAnsi" w:hAnsiTheme="minorHAnsi"/>
          <w:snapToGrid w:val="0"/>
          <w:lang w:val="en-GB"/>
        </w:rPr>
        <w:t xml:space="preserve">for </w:t>
      </w:r>
      <w:proofErr w:type="gramStart"/>
      <w:r w:rsidR="009B4371">
        <w:rPr>
          <w:rFonts w:asciiTheme="minorHAnsi" w:hAnsiTheme="minorHAnsi"/>
          <w:snapToGrid w:val="0"/>
          <w:lang w:val="en-GB"/>
        </w:rPr>
        <w:t>a period of time</w:t>
      </w:r>
      <w:proofErr w:type="gramEnd"/>
      <w:r w:rsidR="009B4371">
        <w:rPr>
          <w:rFonts w:asciiTheme="minorHAnsi" w:hAnsiTheme="minorHAnsi"/>
          <w:snapToGrid w:val="0"/>
          <w:lang w:val="en-GB"/>
        </w:rPr>
        <w:t xml:space="preserve"> </w:t>
      </w:r>
      <w:r w:rsidR="000D2F12">
        <w:rPr>
          <w:rFonts w:asciiTheme="minorHAnsi" w:hAnsiTheme="minorHAnsi"/>
          <w:snapToGrid w:val="0"/>
          <w:lang w:val="en-GB"/>
        </w:rPr>
        <w:t xml:space="preserve">for </w:t>
      </w:r>
      <w:proofErr w:type="gramStart"/>
      <w:r w:rsidR="000D2F12">
        <w:rPr>
          <w:rFonts w:asciiTheme="minorHAnsi" w:hAnsiTheme="minorHAnsi"/>
          <w:snapToGrid w:val="0"/>
          <w:lang w:val="en-GB"/>
        </w:rPr>
        <w:t>some</w:t>
      </w:r>
      <w:proofErr w:type="gramEnd"/>
      <w:r w:rsidR="000D2F12">
        <w:rPr>
          <w:rFonts w:asciiTheme="minorHAnsi" w:hAnsiTheme="minorHAnsi"/>
          <w:snapToGrid w:val="0"/>
          <w:lang w:val="en-GB"/>
        </w:rPr>
        <w:t xml:space="preserve"> patients.</w:t>
      </w:r>
    </w:p>
    <w:p w14:paraId="3CE31800" w14:textId="5AD3F62B" w:rsidR="00E71EF2" w:rsidRDefault="00E71EF2" w:rsidP="008028C6">
      <w:pPr>
        <w:numPr>
          <w:ilvl w:val="1"/>
          <w:numId w:val="1"/>
        </w:numPr>
        <w:spacing w:after="120"/>
        <w:rPr>
          <w:rFonts w:asciiTheme="minorHAnsi" w:hAnsiTheme="minorHAnsi"/>
          <w:snapToGrid w:val="0"/>
          <w:lang w:val="en-GB"/>
        </w:rPr>
      </w:pPr>
      <w:r>
        <w:rPr>
          <w:rFonts w:asciiTheme="minorHAnsi" w:hAnsiTheme="minorHAnsi"/>
          <w:snapToGrid w:val="0"/>
          <w:lang w:val="en-GB"/>
        </w:rPr>
        <w:t>The PBAC again considered that omaveloxolone was inferior compared to BSC in terms of safety</w:t>
      </w:r>
      <w:r w:rsidR="0091127C">
        <w:rPr>
          <w:rFonts w:asciiTheme="minorHAnsi" w:hAnsiTheme="minorHAnsi"/>
          <w:snapToGrid w:val="0"/>
          <w:lang w:val="en-GB"/>
        </w:rPr>
        <w:t xml:space="preserve">, noting that omaveloxolone was associated with </w:t>
      </w:r>
      <w:r w:rsidR="004A7882">
        <w:rPr>
          <w:rFonts w:asciiTheme="minorHAnsi" w:hAnsiTheme="minorHAnsi"/>
          <w:snapToGrid w:val="0"/>
          <w:lang w:val="en-GB"/>
        </w:rPr>
        <w:t>cardiotoxicity</w:t>
      </w:r>
      <w:r w:rsidR="00B61903">
        <w:rPr>
          <w:rFonts w:asciiTheme="minorHAnsi" w:hAnsiTheme="minorHAnsi"/>
          <w:snapToGrid w:val="0"/>
          <w:lang w:val="en-GB"/>
        </w:rPr>
        <w:t xml:space="preserve">, increased </w:t>
      </w:r>
      <w:r w:rsidR="0030753C">
        <w:rPr>
          <w:rFonts w:asciiTheme="minorHAnsi" w:hAnsiTheme="minorHAnsi"/>
          <w:snapToGrid w:val="0"/>
          <w:lang w:val="en-GB"/>
        </w:rPr>
        <w:t xml:space="preserve">liver </w:t>
      </w:r>
      <w:proofErr w:type="gramStart"/>
      <w:r w:rsidR="0030753C">
        <w:rPr>
          <w:rFonts w:asciiTheme="minorHAnsi" w:hAnsiTheme="minorHAnsi"/>
          <w:snapToGrid w:val="0"/>
          <w:lang w:val="en-GB"/>
        </w:rPr>
        <w:t>enzymes</w:t>
      </w:r>
      <w:proofErr w:type="gramEnd"/>
      <w:r w:rsidR="0030753C">
        <w:rPr>
          <w:rFonts w:asciiTheme="minorHAnsi" w:hAnsiTheme="minorHAnsi"/>
          <w:snapToGrid w:val="0"/>
          <w:lang w:val="en-GB"/>
        </w:rPr>
        <w:t xml:space="preserve"> and headache.</w:t>
      </w:r>
    </w:p>
    <w:p w14:paraId="595064E8" w14:textId="548667D2" w:rsidR="0030753C" w:rsidRDefault="00D74AE7" w:rsidP="008028C6">
      <w:pPr>
        <w:numPr>
          <w:ilvl w:val="1"/>
          <w:numId w:val="1"/>
        </w:numPr>
        <w:spacing w:after="120"/>
        <w:rPr>
          <w:rFonts w:asciiTheme="minorHAnsi" w:hAnsiTheme="minorHAnsi"/>
          <w:snapToGrid w:val="0"/>
          <w:lang w:val="en-GB"/>
        </w:rPr>
      </w:pPr>
      <w:bookmarkStart w:id="75" w:name="_Ref213756390"/>
      <w:r>
        <w:rPr>
          <w:rFonts w:asciiTheme="minorHAnsi" w:hAnsiTheme="minorHAnsi"/>
          <w:snapToGrid w:val="0"/>
          <w:lang w:val="en-GB"/>
        </w:rPr>
        <w:t xml:space="preserve">The PBAC noted that the resubmission presented a revised economic model </w:t>
      </w:r>
      <w:r w:rsidR="006848B5">
        <w:rPr>
          <w:rFonts w:asciiTheme="minorHAnsi" w:hAnsiTheme="minorHAnsi"/>
          <w:snapToGrid w:val="0"/>
          <w:lang w:val="en-GB"/>
        </w:rPr>
        <w:t xml:space="preserve">which incorporated </w:t>
      </w:r>
      <w:proofErr w:type="gramStart"/>
      <w:r w:rsidR="006848B5">
        <w:rPr>
          <w:rFonts w:asciiTheme="minorHAnsi" w:hAnsiTheme="minorHAnsi"/>
          <w:snapToGrid w:val="0"/>
          <w:lang w:val="en-GB"/>
        </w:rPr>
        <w:t>some of</w:t>
      </w:r>
      <w:proofErr w:type="gramEnd"/>
      <w:r w:rsidR="006848B5">
        <w:rPr>
          <w:rFonts w:asciiTheme="minorHAnsi" w:hAnsiTheme="minorHAnsi"/>
          <w:snapToGrid w:val="0"/>
          <w:lang w:val="en-GB"/>
        </w:rPr>
        <w:t xml:space="preserve"> the changes suggested by ESC in March 2025. These included</w:t>
      </w:r>
      <w:r w:rsidR="00712511">
        <w:rPr>
          <w:rFonts w:asciiTheme="minorHAnsi" w:hAnsiTheme="minorHAnsi"/>
          <w:snapToGrid w:val="0"/>
          <w:lang w:val="en-GB"/>
        </w:rPr>
        <w:t xml:space="preserve"> (i) revised mortality inputs which </w:t>
      </w:r>
      <w:r w:rsidR="000875AE">
        <w:rPr>
          <w:rFonts w:asciiTheme="minorHAnsi" w:hAnsiTheme="minorHAnsi"/>
          <w:snapToGrid w:val="0"/>
          <w:lang w:val="en-GB"/>
        </w:rPr>
        <w:t xml:space="preserve">appropriately </w:t>
      </w:r>
      <w:r w:rsidR="00712511">
        <w:rPr>
          <w:rFonts w:asciiTheme="minorHAnsi" w:hAnsiTheme="minorHAnsi"/>
          <w:snapToGrid w:val="0"/>
          <w:lang w:val="en-GB"/>
        </w:rPr>
        <w:t xml:space="preserve">reduced overall survival </w:t>
      </w:r>
      <w:r w:rsidR="000875AE">
        <w:rPr>
          <w:rFonts w:asciiTheme="minorHAnsi" w:hAnsiTheme="minorHAnsi"/>
          <w:snapToGrid w:val="0"/>
          <w:lang w:val="en-GB"/>
        </w:rPr>
        <w:t xml:space="preserve">in the model; (ii) updated utility data which reflected quality of life </w:t>
      </w:r>
      <w:r w:rsidR="003C1913">
        <w:rPr>
          <w:rFonts w:asciiTheme="minorHAnsi" w:hAnsiTheme="minorHAnsi"/>
          <w:snapToGrid w:val="0"/>
          <w:lang w:val="en-GB"/>
        </w:rPr>
        <w:t xml:space="preserve">across the entire spectrum of mFARS scores; and (iii) </w:t>
      </w:r>
      <w:r w:rsidR="001E085D">
        <w:rPr>
          <w:rFonts w:asciiTheme="minorHAnsi" w:hAnsiTheme="minorHAnsi"/>
          <w:snapToGrid w:val="0"/>
          <w:lang w:val="en-GB"/>
        </w:rPr>
        <w:t xml:space="preserve">an effective price. The PBAC noted that the base case ICER presented in the submission was </w:t>
      </w:r>
      <w:r w:rsidR="00CF7141" w:rsidRPr="00E1140C">
        <w:rPr>
          <w:rFonts w:asciiTheme="minorHAnsi" w:hAnsiTheme="minorHAnsi"/>
          <w:snapToGrid w:val="0"/>
          <w:lang w:val="en-GB"/>
        </w:rPr>
        <w:t>more than</w:t>
      </w:r>
      <w:r w:rsidR="00FE555D">
        <w:rPr>
          <w:rFonts w:asciiTheme="minorHAnsi" w:hAnsiTheme="minorHAnsi"/>
          <w:snapToGrid w:val="0"/>
          <w:lang w:val="en-GB"/>
        </w:rPr>
        <w:t xml:space="preserve"> </w:t>
      </w:r>
      <w:r w:rsidR="006F5BFD">
        <w:rPr>
          <w:rFonts w:asciiTheme="minorHAnsi" w:hAnsiTheme="minorHAnsi"/>
          <w:snapToGrid w:val="0"/>
          <w:lang w:val="en-GB"/>
        </w:rPr>
        <w:t>(</w:t>
      </w:r>
      <w:r w:rsidR="00202AE4">
        <w:rPr>
          <w:rFonts w:asciiTheme="minorHAnsi" w:hAnsiTheme="minorHAnsi"/>
          <w:snapToGrid w:val="0"/>
          <w:lang w:val="en-GB"/>
        </w:rPr>
        <w:t xml:space="preserve">&gt; </w:t>
      </w:r>
      <w:r w:rsidR="004D12FE">
        <w:rPr>
          <w:rFonts w:asciiTheme="minorHAnsi" w:hAnsiTheme="minorHAnsi"/>
          <w:snapToGrid w:val="0"/>
          <w:lang w:val="en-GB"/>
        </w:rPr>
        <w:t>$1,055,000</w:t>
      </w:r>
      <w:r w:rsidR="006F5BFD">
        <w:rPr>
          <w:rFonts w:asciiTheme="minorHAnsi" w:hAnsiTheme="minorHAnsi"/>
          <w:snapToGrid w:val="0"/>
          <w:lang w:val="en-GB"/>
        </w:rPr>
        <w:t>)</w:t>
      </w:r>
      <w:r w:rsidR="00FE555D">
        <w:rPr>
          <w:rFonts w:asciiTheme="minorHAnsi" w:hAnsiTheme="minorHAnsi"/>
          <w:snapToGrid w:val="0"/>
          <w:lang w:val="en-GB"/>
        </w:rPr>
        <w:t xml:space="preserve"> per quality adjusted life year</w:t>
      </w:r>
      <w:r w:rsidR="006A6295">
        <w:rPr>
          <w:rFonts w:asciiTheme="minorHAnsi" w:hAnsiTheme="minorHAnsi"/>
          <w:snapToGrid w:val="0"/>
          <w:lang w:val="en-GB"/>
        </w:rPr>
        <w:t xml:space="preserve"> (QALY)</w:t>
      </w:r>
      <w:r w:rsidR="00076484">
        <w:rPr>
          <w:rFonts w:asciiTheme="minorHAnsi" w:hAnsiTheme="minorHAnsi"/>
          <w:snapToGrid w:val="0"/>
          <w:lang w:val="en-GB"/>
        </w:rPr>
        <w:t xml:space="preserve"> gained</w:t>
      </w:r>
      <w:r w:rsidR="00FE555D">
        <w:rPr>
          <w:rFonts w:asciiTheme="minorHAnsi" w:hAnsiTheme="minorHAnsi"/>
          <w:snapToGrid w:val="0"/>
          <w:lang w:val="en-GB"/>
        </w:rPr>
        <w:t xml:space="preserve">. The PBAC </w:t>
      </w:r>
      <w:r w:rsidR="00572B39">
        <w:rPr>
          <w:rFonts w:asciiTheme="minorHAnsi" w:hAnsiTheme="minorHAnsi"/>
          <w:snapToGrid w:val="0"/>
          <w:lang w:val="en-GB"/>
        </w:rPr>
        <w:t xml:space="preserve">considered that </w:t>
      </w:r>
      <w:proofErr w:type="gramStart"/>
      <w:r w:rsidR="00572B39">
        <w:rPr>
          <w:rFonts w:asciiTheme="minorHAnsi" w:hAnsiTheme="minorHAnsi"/>
          <w:snapToGrid w:val="0"/>
          <w:lang w:val="en-GB"/>
        </w:rPr>
        <w:t>a number of</w:t>
      </w:r>
      <w:proofErr w:type="gramEnd"/>
      <w:r w:rsidR="00572B39">
        <w:rPr>
          <w:rFonts w:asciiTheme="minorHAnsi" w:hAnsiTheme="minorHAnsi"/>
          <w:snapToGrid w:val="0"/>
          <w:lang w:val="en-GB"/>
        </w:rPr>
        <w:t xml:space="preserve"> the inputs into the model </w:t>
      </w:r>
      <w:r w:rsidR="00F565D4">
        <w:rPr>
          <w:rFonts w:asciiTheme="minorHAnsi" w:hAnsiTheme="minorHAnsi"/>
          <w:snapToGrid w:val="0"/>
          <w:lang w:val="en-GB"/>
        </w:rPr>
        <w:t>required amendment</w:t>
      </w:r>
      <w:r w:rsidR="00572B39">
        <w:rPr>
          <w:rFonts w:asciiTheme="minorHAnsi" w:hAnsiTheme="minorHAnsi"/>
          <w:snapToGrid w:val="0"/>
          <w:lang w:val="en-GB"/>
        </w:rPr>
        <w:t>, including:</w:t>
      </w:r>
      <w:bookmarkEnd w:id="75"/>
    </w:p>
    <w:p w14:paraId="1063EDEC" w14:textId="1F8CADF7" w:rsidR="00572B39" w:rsidRDefault="001E542F" w:rsidP="008028C6">
      <w:pPr>
        <w:numPr>
          <w:ilvl w:val="1"/>
          <w:numId w:val="34"/>
        </w:numPr>
        <w:spacing w:after="120"/>
        <w:ind w:left="1077" w:hanging="357"/>
        <w:rPr>
          <w:rFonts w:asciiTheme="minorHAnsi" w:hAnsiTheme="minorHAnsi"/>
          <w:snapToGrid w:val="0"/>
          <w:lang w:val="en-GB"/>
        </w:rPr>
      </w:pPr>
      <w:r>
        <w:rPr>
          <w:rFonts w:asciiTheme="minorHAnsi" w:hAnsiTheme="minorHAnsi"/>
          <w:snapToGrid w:val="0"/>
          <w:lang w:val="en-GB"/>
        </w:rPr>
        <w:t xml:space="preserve">Costs associated with </w:t>
      </w:r>
      <w:r w:rsidR="004B57ED">
        <w:rPr>
          <w:rFonts w:asciiTheme="minorHAnsi" w:hAnsiTheme="minorHAnsi"/>
          <w:snapToGrid w:val="0"/>
          <w:lang w:val="en-GB"/>
        </w:rPr>
        <w:t xml:space="preserve">carers, home modifications and medical aids </w:t>
      </w:r>
      <w:proofErr w:type="gramStart"/>
      <w:r w:rsidR="004B57ED">
        <w:rPr>
          <w:rFonts w:asciiTheme="minorHAnsi" w:hAnsiTheme="minorHAnsi"/>
          <w:snapToGrid w:val="0"/>
          <w:lang w:val="en-GB"/>
        </w:rPr>
        <w:t>were included</w:t>
      </w:r>
      <w:proofErr w:type="gramEnd"/>
      <w:r w:rsidR="006A5907">
        <w:rPr>
          <w:rFonts w:asciiTheme="minorHAnsi" w:hAnsiTheme="minorHAnsi"/>
          <w:snapToGrid w:val="0"/>
          <w:lang w:val="en-GB"/>
        </w:rPr>
        <w:t xml:space="preserve">. The PBAC </w:t>
      </w:r>
      <w:r w:rsidR="00B47214">
        <w:rPr>
          <w:rFonts w:asciiTheme="minorHAnsi" w:hAnsiTheme="minorHAnsi"/>
          <w:snapToGrid w:val="0"/>
          <w:lang w:val="en-GB"/>
        </w:rPr>
        <w:t xml:space="preserve">acknowledged </w:t>
      </w:r>
      <w:r w:rsidR="006A5907">
        <w:rPr>
          <w:rFonts w:asciiTheme="minorHAnsi" w:hAnsiTheme="minorHAnsi"/>
          <w:snapToGrid w:val="0"/>
          <w:lang w:val="en-GB"/>
        </w:rPr>
        <w:t xml:space="preserve">these costs </w:t>
      </w:r>
      <w:r w:rsidR="001B3C9F">
        <w:rPr>
          <w:rFonts w:asciiTheme="minorHAnsi" w:hAnsiTheme="minorHAnsi"/>
          <w:snapToGrid w:val="0"/>
          <w:lang w:val="en-GB"/>
        </w:rPr>
        <w:t xml:space="preserve">but considered that </w:t>
      </w:r>
      <w:r w:rsidR="007059F0">
        <w:rPr>
          <w:rFonts w:asciiTheme="minorHAnsi" w:hAnsiTheme="minorHAnsi"/>
          <w:snapToGrid w:val="0"/>
          <w:lang w:val="en-GB"/>
        </w:rPr>
        <w:t xml:space="preserve">they </w:t>
      </w:r>
      <w:r w:rsidR="006A5907">
        <w:rPr>
          <w:rFonts w:asciiTheme="minorHAnsi" w:hAnsiTheme="minorHAnsi"/>
          <w:snapToGrid w:val="0"/>
          <w:lang w:val="en-GB"/>
        </w:rPr>
        <w:t xml:space="preserve">should </w:t>
      </w:r>
      <w:proofErr w:type="gramStart"/>
      <w:r w:rsidR="006A5907">
        <w:rPr>
          <w:rFonts w:asciiTheme="minorHAnsi" w:hAnsiTheme="minorHAnsi"/>
          <w:snapToGrid w:val="0"/>
          <w:lang w:val="en-GB"/>
        </w:rPr>
        <w:t>be excluded</w:t>
      </w:r>
      <w:proofErr w:type="gramEnd"/>
      <w:r w:rsidR="00F565D4">
        <w:rPr>
          <w:rFonts w:asciiTheme="minorHAnsi" w:hAnsiTheme="minorHAnsi"/>
          <w:snapToGrid w:val="0"/>
          <w:lang w:val="en-GB"/>
        </w:rPr>
        <w:t xml:space="preserve"> </w:t>
      </w:r>
      <w:r w:rsidR="00210F27">
        <w:rPr>
          <w:rFonts w:asciiTheme="minorHAnsi" w:hAnsiTheme="minorHAnsi"/>
          <w:snapToGrid w:val="0"/>
          <w:lang w:val="en-GB"/>
        </w:rPr>
        <w:t xml:space="preserve">from the base case analysis </w:t>
      </w:r>
      <w:r w:rsidR="00F565D4">
        <w:rPr>
          <w:rFonts w:asciiTheme="minorHAnsi" w:hAnsiTheme="minorHAnsi"/>
          <w:snapToGrid w:val="0"/>
          <w:lang w:val="en-GB"/>
        </w:rPr>
        <w:t>consistent with PBAC guidelines</w:t>
      </w:r>
      <w:r w:rsidR="004B57ED">
        <w:rPr>
          <w:rFonts w:asciiTheme="minorHAnsi" w:hAnsiTheme="minorHAnsi"/>
          <w:snapToGrid w:val="0"/>
          <w:lang w:val="en-GB"/>
        </w:rPr>
        <w:t>;</w:t>
      </w:r>
    </w:p>
    <w:p w14:paraId="60340BEA" w14:textId="12B511B8" w:rsidR="004B57ED" w:rsidRDefault="004B57ED" w:rsidP="008028C6">
      <w:pPr>
        <w:numPr>
          <w:ilvl w:val="1"/>
          <w:numId w:val="34"/>
        </w:numPr>
        <w:spacing w:after="120"/>
        <w:ind w:left="1077" w:hanging="357"/>
        <w:rPr>
          <w:rFonts w:asciiTheme="minorHAnsi" w:hAnsiTheme="minorHAnsi"/>
          <w:snapToGrid w:val="0"/>
          <w:lang w:val="en-GB"/>
        </w:rPr>
      </w:pPr>
      <w:r>
        <w:rPr>
          <w:rFonts w:asciiTheme="minorHAnsi" w:hAnsiTheme="minorHAnsi"/>
          <w:snapToGrid w:val="0"/>
          <w:lang w:val="en-GB"/>
        </w:rPr>
        <w:t>The time horizon of 84 years was long</w:t>
      </w:r>
      <w:r w:rsidR="006A5907">
        <w:rPr>
          <w:rFonts w:asciiTheme="minorHAnsi" w:hAnsiTheme="minorHAnsi"/>
          <w:snapToGrid w:val="0"/>
          <w:lang w:val="en-GB"/>
        </w:rPr>
        <w:t xml:space="preserve">, particularly when considering the average life expectance of patients with FA is 30 to 40 years. The PBAC advised that the time horizon should </w:t>
      </w:r>
      <w:proofErr w:type="gramStart"/>
      <w:r w:rsidR="006A5907">
        <w:rPr>
          <w:rFonts w:asciiTheme="minorHAnsi" w:hAnsiTheme="minorHAnsi"/>
          <w:snapToGrid w:val="0"/>
          <w:lang w:val="en-GB"/>
        </w:rPr>
        <w:t>be reduced</w:t>
      </w:r>
      <w:proofErr w:type="gramEnd"/>
      <w:r w:rsidR="006A5907">
        <w:rPr>
          <w:rFonts w:asciiTheme="minorHAnsi" w:hAnsiTheme="minorHAnsi"/>
          <w:snapToGrid w:val="0"/>
          <w:lang w:val="en-GB"/>
        </w:rPr>
        <w:t xml:space="preserve"> to 40 years;</w:t>
      </w:r>
    </w:p>
    <w:p w14:paraId="1482C6D7" w14:textId="77777777" w:rsidR="0034747E" w:rsidRDefault="0046123F" w:rsidP="008028C6">
      <w:pPr>
        <w:numPr>
          <w:ilvl w:val="1"/>
          <w:numId w:val="34"/>
        </w:numPr>
        <w:spacing w:after="120"/>
        <w:ind w:left="1077" w:hanging="357"/>
        <w:rPr>
          <w:rFonts w:asciiTheme="minorHAnsi" w:hAnsiTheme="minorHAnsi"/>
          <w:snapToGrid w:val="0"/>
          <w:lang w:val="en-GB"/>
        </w:rPr>
      </w:pPr>
      <w:r>
        <w:rPr>
          <w:rFonts w:asciiTheme="minorHAnsi" w:hAnsiTheme="minorHAnsi"/>
          <w:snapToGrid w:val="0"/>
          <w:lang w:val="en-GB"/>
        </w:rPr>
        <w:t xml:space="preserve">An average treatment effect </w:t>
      </w:r>
      <w:proofErr w:type="gramStart"/>
      <w:r>
        <w:rPr>
          <w:rFonts w:asciiTheme="minorHAnsi" w:hAnsiTheme="minorHAnsi"/>
          <w:snapToGrid w:val="0"/>
          <w:lang w:val="en-GB"/>
        </w:rPr>
        <w:t>was applied</w:t>
      </w:r>
      <w:proofErr w:type="gramEnd"/>
      <w:r w:rsidR="00DC7026">
        <w:rPr>
          <w:rFonts w:asciiTheme="minorHAnsi" w:hAnsiTheme="minorHAnsi"/>
          <w:snapToGrid w:val="0"/>
          <w:lang w:val="en-GB"/>
        </w:rPr>
        <w:t xml:space="preserve">, calculated from the cumulative change in mFARS score over the first 3 years of treatment. The PBAC advised that </w:t>
      </w:r>
      <w:r w:rsidR="00B4694E">
        <w:rPr>
          <w:rFonts w:asciiTheme="minorHAnsi" w:hAnsiTheme="minorHAnsi"/>
          <w:snapToGrid w:val="0"/>
          <w:lang w:val="en-GB"/>
        </w:rPr>
        <w:t>individual rate ratios</w:t>
      </w:r>
      <w:r w:rsidR="0034747E">
        <w:rPr>
          <w:rFonts w:asciiTheme="minorHAnsi" w:hAnsiTheme="minorHAnsi"/>
          <w:snapToGrid w:val="0"/>
          <w:lang w:val="en-GB"/>
        </w:rPr>
        <w:t xml:space="preserve"> should </w:t>
      </w:r>
      <w:proofErr w:type="gramStart"/>
      <w:r w:rsidR="0034747E">
        <w:rPr>
          <w:rFonts w:asciiTheme="minorHAnsi" w:hAnsiTheme="minorHAnsi"/>
          <w:snapToGrid w:val="0"/>
          <w:lang w:val="en-GB"/>
        </w:rPr>
        <w:t>be applied</w:t>
      </w:r>
      <w:proofErr w:type="gramEnd"/>
      <w:r w:rsidR="0034747E">
        <w:rPr>
          <w:rFonts w:asciiTheme="minorHAnsi" w:hAnsiTheme="minorHAnsi"/>
          <w:snapToGrid w:val="0"/>
          <w:lang w:val="en-GB"/>
        </w:rPr>
        <w:t xml:space="preserve"> for the first 3 years, with the rate ratio calculated in Year 3 applied over the lifetime of the model;</w:t>
      </w:r>
    </w:p>
    <w:p w14:paraId="00833A28" w14:textId="1132DCE3" w:rsidR="0045533D" w:rsidRDefault="001C3C97" w:rsidP="008028C6">
      <w:pPr>
        <w:numPr>
          <w:ilvl w:val="1"/>
          <w:numId w:val="34"/>
        </w:numPr>
        <w:spacing w:after="120"/>
        <w:ind w:left="1077" w:hanging="357"/>
        <w:rPr>
          <w:rFonts w:asciiTheme="minorHAnsi" w:hAnsiTheme="minorHAnsi"/>
          <w:snapToGrid w:val="0"/>
          <w:lang w:val="en-GB"/>
        </w:rPr>
      </w:pPr>
      <w:r>
        <w:rPr>
          <w:rFonts w:asciiTheme="minorHAnsi" w:hAnsiTheme="minorHAnsi"/>
          <w:snapToGrid w:val="0"/>
          <w:lang w:val="en-GB"/>
        </w:rPr>
        <w:t xml:space="preserve">The </w:t>
      </w:r>
      <w:r w:rsidR="00A44C5F">
        <w:rPr>
          <w:rFonts w:asciiTheme="minorHAnsi" w:hAnsiTheme="minorHAnsi"/>
          <w:snapToGrid w:val="0"/>
          <w:lang w:val="en-GB"/>
        </w:rPr>
        <w:t xml:space="preserve">model assumed a constant treatment effect over the time </w:t>
      </w:r>
      <w:r w:rsidR="000A5CF2">
        <w:rPr>
          <w:rFonts w:asciiTheme="minorHAnsi" w:hAnsiTheme="minorHAnsi"/>
          <w:snapToGrid w:val="0"/>
          <w:lang w:val="en-GB"/>
        </w:rPr>
        <w:t xml:space="preserve">horizon which </w:t>
      </w:r>
      <w:proofErr w:type="gramStart"/>
      <w:r w:rsidR="000A5CF2">
        <w:rPr>
          <w:rFonts w:asciiTheme="minorHAnsi" w:hAnsiTheme="minorHAnsi"/>
          <w:snapToGrid w:val="0"/>
          <w:lang w:val="en-GB"/>
        </w:rPr>
        <w:t>was not justified</w:t>
      </w:r>
      <w:proofErr w:type="gramEnd"/>
      <w:r w:rsidR="000A5CF2">
        <w:rPr>
          <w:rFonts w:asciiTheme="minorHAnsi" w:hAnsiTheme="minorHAnsi"/>
          <w:snapToGrid w:val="0"/>
          <w:lang w:val="en-GB"/>
        </w:rPr>
        <w:t xml:space="preserve"> in the resubmission</w:t>
      </w:r>
      <w:r>
        <w:rPr>
          <w:rFonts w:asciiTheme="minorHAnsi" w:hAnsiTheme="minorHAnsi"/>
          <w:snapToGrid w:val="0"/>
          <w:lang w:val="en-GB"/>
        </w:rPr>
        <w:t xml:space="preserve">. The PBAC advised that </w:t>
      </w:r>
      <w:r w:rsidR="0045533D">
        <w:rPr>
          <w:rFonts w:asciiTheme="minorHAnsi" w:hAnsiTheme="minorHAnsi"/>
          <w:snapToGrid w:val="0"/>
          <w:lang w:val="en-GB"/>
        </w:rPr>
        <w:t>there should be linear waning applied from Year 4</w:t>
      </w:r>
      <w:r w:rsidR="000A365F">
        <w:rPr>
          <w:rFonts w:asciiTheme="minorHAnsi" w:hAnsiTheme="minorHAnsi"/>
          <w:snapToGrid w:val="0"/>
          <w:lang w:val="en-GB"/>
        </w:rPr>
        <w:t xml:space="preserve"> to Year 18</w:t>
      </w:r>
      <w:r w:rsidR="0045533D">
        <w:rPr>
          <w:rFonts w:asciiTheme="minorHAnsi" w:hAnsiTheme="minorHAnsi"/>
          <w:snapToGrid w:val="0"/>
          <w:lang w:val="en-GB"/>
        </w:rPr>
        <w:t>.</w:t>
      </w:r>
    </w:p>
    <w:p w14:paraId="0BE51B6D" w14:textId="036F58D8" w:rsidR="006A5907" w:rsidRPr="00E056AF" w:rsidRDefault="00E65FF5" w:rsidP="008028C6">
      <w:pPr>
        <w:numPr>
          <w:ilvl w:val="1"/>
          <w:numId w:val="1"/>
        </w:numPr>
        <w:spacing w:after="120"/>
        <w:rPr>
          <w:rFonts w:asciiTheme="minorHAnsi" w:hAnsiTheme="minorHAnsi"/>
          <w:snapToGrid w:val="0"/>
          <w:lang w:val="en-GB"/>
        </w:rPr>
      </w:pPr>
      <w:bookmarkStart w:id="76" w:name="_Ref213763837"/>
      <w:r w:rsidRPr="00E056AF">
        <w:rPr>
          <w:rFonts w:asciiTheme="minorHAnsi" w:hAnsiTheme="minorHAnsi"/>
          <w:snapToGrid w:val="0"/>
          <w:lang w:val="en-GB"/>
        </w:rPr>
        <w:t xml:space="preserve">The PBAC noted that the above changes significantly increased the ICER to </w:t>
      </w:r>
      <w:r w:rsidR="00630A5A" w:rsidRPr="001529B5">
        <w:rPr>
          <w:rFonts w:asciiTheme="minorHAnsi" w:hAnsiTheme="minorHAnsi"/>
          <w:snapToGrid w:val="0"/>
          <w:lang w:val="en-GB"/>
        </w:rPr>
        <w:t>over</w:t>
      </w:r>
      <w:r w:rsidR="00630A5A">
        <w:rPr>
          <w:rFonts w:asciiTheme="minorHAnsi" w:hAnsiTheme="minorHAnsi"/>
          <w:snapToGrid w:val="0"/>
          <w:lang w:val="en-GB"/>
        </w:rPr>
        <w:t xml:space="preserve"> </w:t>
      </w:r>
      <w:r w:rsidR="00805623">
        <w:rPr>
          <w:rFonts w:asciiTheme="minorHAnsi" w:hAnsiTheme="minorHAnsi"/>
          <w:snapToGrid w:val="0"/>
          <w:lang w:val="en-GB"/>
        </w:rPr>
        <w:br/>
      </w:r>
      <w:r w:rsidR="001529B5">
        <w:rPr>
          <w:rFonts w:asciiTheme="minorHAnsi" w:hAnsiTheme="minorHAnsi"/>
          <w:snapToGrid w:val="0"/>
          <w:lang w:val="en-GB"/>
        </w:rPr>
        <w:t>(</w:t>
      </w:r>
      <w:r w:rsidR="00202AE4">
        <w:rPr>
          <w:rFonts w:asciiTheme="minorHAnsi" w:hAnsiTheme="minorHAnsi"/>
          <w:snapToGrid w:val="0"/>
          <w:lang w:val="en-GB"/>
        </w:rPr>
        <w:t xml:space="preserve">&gt; </w:t>
      </w:r>
      <w:r w:rsidR="004D12FE">
        <w:rPr>
          <w:rFonts w:asciiTheme="minorHAnsi" w:hAnsiTheme="minorHAnsi"/>
          <w:snapToGrid w:val="0"/>
          <w:lang w:val="en-GB"/>
        </w:rPr>
        <w:t>$1,055,000</w:t>
      </w:r>
      <w:r w:rsidR="001529B5">
        <w:rPr>
          <w:rFonts w:asciiTheme="minorHAnsi" w:hAnsiTheme="minorHAnsi"/>
          <w:snapToGrid w:val="0"/>
          <w:lang w:val="en-GB"/>
        </w:rPr>
        <w:t>)</w:t>
      </w:r>
      <w:r w:rsidR="00313AE1">
        <w:rPr>
          <w:rFonts w:asciiTheme="minorHAnsi" w:hAnsiTheme="minorHAnsi"/>
          <w:snapToGrid w:val="0"/>
          <w:lang w:val="en-GB"/>
        </w:rPr>
        <w:t xml:space="preserve"> </w:t>
      </w:r>
      <w:r w:rsidR="00A81DD1" w:rsidRPr="00E056AF">
        <w:rPr>
          <w:rFonts w:asciiTheme="minorHAnsi" w:hAnsiTheme="minorHAnsi"/>
          <w:snapToGrid w:val="0"/>
          <w:lang w:val="en-GB"/>
        </w:rPr>
        <w:t>per QALY</w:t>
      </w:r>
      <w:r w:rsidR="00D223E6" w:rsidRPr="00E056AF">
        <w:rPr>
          <w:rFonts w:asciiTheme="minorHAnsi" w:hAnsiTheme="minorHAnsi"/>
          <w:snapToGrid w:val="0"/>
          <w:lang w:val="en-GB"/>
        </w:rPr>
        <w:t xml:space="preserve"> (see </w:t>
      </w:r>
      <w:r w:rsidR="00D223E6" w:rsidRPr="00E056AF">
        <w:rPr>
          <w:rFonts w:asciiTheme="minorHAnsi" w:hAnsiTheme="minorHAnsi"/>
          <w:snapToGrid w:val="0"/>
          <w:lang w:val="en-GB"/>
        </w:rPr>
        <w:fldChar w:fldCharType="begin" w:fldLock="1"/>
      </w:r>
      <w:r w:rsidR="00D223E6" w:rsidRPr="00E056AF">
        <w:rPr>
          <w:rFonts w:asciiTheme="minorHAnsi" w:hAnsiTheme="minorHAnsi"/>
          <w:snapToGrid w:val="0"/>
          <w:lang w:val="en-GB"/>
        </w:rPr>
        <w:instrText xml:space="preserve"> REF _Ref104804865 \h </w:instrText>
      </w:r>
      <w:r w:rsidR="00D223E6" w:rsidRPr="00E056AF">
        <w:rPr>
          <w:rFonts w:asciiTheme="minorHAnsi" w:hAnsiTheme="minorHAnsi"/>
          <w:snapToGrid w:val="0"/>
          <w:lang w:val="en-GB"/>
        </w:rPr>
      </w:r>
      <w:r w:rsidR="00D223E6" w:rsidRPr="00E056AF">
        <w:rPr>
          <w:rFonts w:asciiTheme="minorHAnsi" w:hAnsiTheme="minorHAnsi"/>
          <w:snapToGrid w:val="0"/>
          <w:lang w:val="en-GB"/>
        </w:rPr>
        <w:fldChar w:fldCharType="separate"/>
      </w:r>
      <w:r w:rsidR="00E056AF" w:rsidRPr="00AB0640">
        <w:t xml:space="preserve">Table </w:t>
      </w:r>
      <w:r w:rsidR="00E056AF">
        <w:rPr>
          <w:noProof/>
        </w:rPr>
        <w:t>16</w:t>
      </w:r>
      <w:r w:rsidR="00D223E6" w:rsidRPr="00E056AF">
        <w:rPr>
          <w:rFonts w:asciiTheme="minorHAnsi" w:hAnsiTheme="minorHAnsi"/>
          <w:snapToGrid w:val="0"/>
          <w:lang w:val="en-GB"/>
        </w:rPr>
        <w:fldChar w:fldCharType="end"/>
      </w:r>
      <w:r w:rsidR="00D223E6" w:rsidRPr="00E056AF">
        <w:rPr>
          <w:rFonts w:asciiTheme="minorHAnsi" w:hAnsiTheme="minorHAnsi"/>
          <w:snapToGrid w:val="0"/>
          <w:lang w:val="en-GB"/>
        </w:rPr>
        <w:t>)</w:t>
      </w:r>
      <w:r w:rsidR="00E056AF" w:rsidRPr="00E056AF">
        <w:rPr>
          <w:rFonts w:asciiTheme="minorHAnsi" w:hAnsiTheme="minorHAnsi"/>
          <w:snapToGrid w:val="0"/>
          <w:lang w:val="en-GB"/>
        </w:rPr>
        <w:t xml:space="preserve"> and considered that omaveloxolone was not cost-effective at the price proposed in the resubmission.</w:t>
      </w:r>
      <w:r w:rsidR="00202AE4">
        <w:rPr>
          <w:rFonts w:asciiTheme="minorHAnsi" w:hAnsiTheme="minorHAnsi"/>
          <w:snapToGrid w:val="0"/>
          <w:lang w:val="en-GB"/>
        </w:rPr>
        <w:t xml:space="preserve"> </w:t>
      </w:r>
      <w:r w:rsidR="00E056AF">
        <w:rPr>
          <w:rFonts w:asciiTheme="minorHAnsi" w:hAnsiTheme="minorHAnsi"/>
          <w:snapToGrid w:val="0"/>
          <w:lang w:val="en-GB"/>
        </w:rPr>
        <w:t>T</w:t>
      </w:r>
      <w:r w:rsidR="00125C15" w:rsidRPr="00E056AF">
        <w:rPr>
          <w:rFonts w:asciiTheme="minorHAnsi" w:hAnsiTheme="minorHAnsi"/>
          <w:snapToGrid w:val="0"/>
          <w:lang w:val="en-GB"/>
        </w:rPr>
        <w:t>he</w:t>
      </w:r>
      <w:r w:rsidR="00D03BB9" w:rsidRPr="00E056AF">
        <w:rPr>
          <w:rFonts w:asciiTheme="minorHAnsi" w:hAnsiTheme="minorHAnsi"/>
          <w:snapToGrid w:val="0"/>
          <w:lang w:val="en-GB"/>
        </w:rPr>
        <w:t xml:space="preserve"> PBAC considered that omaveloxolone would be cost effective </w:t>
      </w:r>
      <w:r w:rsidR="0052056F" w:rsidRPr="00E056AF">
        <w:rPr>
          <w:rFonts w:asciiTheme="minorHAnsi" w:hAnsiTheme="minorHAnsi"/>
          <w:snapToGrid w:val="0"/>
          <w:lang w:val="en-GB"/>
        </w:rPr>
        <w:t xml:space="preserve">with a price reduction that resulted in </w:t>
      </w:r>
      <w:r w:rsidR="00D03BB9" w:rsidRPr="00E056AF">
        <w:rPr>
          <w:rFonts w:asciiTheme="minorHAnsi" w:hAnsiTheme="minorHAnsi"/>
          <w:snapToGrid w:val="0"/>
          <w:lang w:val="en-GB"/>
        </w:rPr>
        <w:t xml:space="preserve">an ICER </w:t>
      </w:r>
      <w:r w:rsidR="00D03BB9" w:rsidRPr="00E056AF">
        <w:rPr>
          <w:rFonts w:asciiTheme="minorHAnsi" w:hAnsiTheme="minorHAnsi"/>
          <w:snapToGrid w:val="0"/>
          <w:lang w:val="en-GB"/>
        </w:rPr>
        <w:lastRenderedPageBreak/>
        <w:t xml:space="preserve">of </w:t>
      </w:r>
      <w:r w:rsidR="004D12FE">
        <w:rPr>
          <w:rFonts w:asciiTheme="minorHAnsi" w:hAnsiTheme="minorHAnsi"/>
          <w:snapToGrid w:val="0"/>
          <w:lang w:val="en-GB"/>
        </w:rPr>
        <w:t xml:space="preserve">$255,000 to </w:t>
      </w:r>
      <w:r w:rsidR="00202AE4">
        <w:rPr>
          <w:rFonts w:asciiTheme="minorHAnsi" w:hAnsiTheme="minorHAnsi"/>
          <w:snapToGrid w:val="0"/>
          <w:lang w:val="en-GB"/>
        </w:rPr>
        <w:t xml:space="preserve">&lt; </w:t>
      </w:r>
      <w:r w:rsidR="004D12FE">
        <w:rPr>
          <w:rFonts w:asciiTheme="minorHAnsi" w:hAnsiTheme="minorHAnsi"/>
          <w:snapToGrid w:val="0"/>
          <w:lang w:val="en-GB"/>
        </w:rPr>
        <w:t xml:space="preserve">$355,000 </w:t>
      </w:r>
      <w:r w:rsidR="00D03BB9" w:rsidRPr="00E056AF">
        <w:rPr>
          <w:rFonts w:asciiTheme="minorHAnsi" w:hAnsiTheme="minorHAnsi"/>
          <w:snapToGrid w:val="0"/>
          <w:lang w:val="en-GB"/>
        </w:rPr>
        <w:t>per QALY</w:t>
      </w:r>
      <w:r w:rsidR="008B3B89" w:rsidRPr="00E056AF">
        <w:rPr>
          <w:rFonts w:asciiTheme="minorHAnsi" w:hAnsiTheme="minorHAnsi"/>
          <w:snapToGrid w:val="0"/>
          <w:lang w:val="en-GB"/>
        </w:rPr>
        <w:t xml:space="preserve"> </w:t>
      </w:r>
      <w:r w:rsidR="004D48A5" w:rsidRPr="00E056AF">
        <w:rPr>
          <w:rFonts w:asciiTheme="minorHAnsi" w:hAnsiTheme="minorHAnsi"/>
          <w:snapToGrid w:val="0"/>
          <w:lang w:val="en-GB"/>
        </w:rPr>
        <w:t xml:space="preserve">when </w:t>
      </w:r>
      <w:r w:rsidR="008B3B89" w:rsidRPr="00E056AF">
        <w:rPr>
          <w:rFonts w:asciiTheme="minorHAnsi" w:hAnsiTheme="minorHAnsi"/>
          <w:snapToGrid w:val="0"/>
          <w:lang w:val="en-GB"/>
        </w:rPr>
        <w:t xml:space="preserve">applying the changes advised </w:t>
      </w:r>
      <w:r w:rsidR="006E4122" w:rsidRPr="00E056AF">
        <w:rPr>
          <w:rFonts w:asciiTheme="minorHAnsi" w:hAnsiTheme="minorHAnsi"/>
          <w:snapToGrid w:val="0"/>
          <w:lang w:val="en-GB"/>
        </w:rPr>
        <w:t xml:space="preserve">in paragraph </w:t>
      </w:r>
      <w:r w:rsidR="006E4122" w:rsidRPr="00E056AF">
        <w:rPr>
          <w:rFonts w:asciiTheme="minorHAnsi" w:hAnsiTheme="minorHAnsi"/>
          <w:snapToGrid w:val="0"/>
          <w:lang w:val="en-GB"/>
        </w:rPr>
        <w:fldChar w:fldCharType="begin" w:fldLock="1"/>
      </w:r>
      <w:r w:rsidR="006E4122" w:rsidRPr="00E056AF">
        <w:rPr>
          <w:rFonts w:asciiTheme="minorHAnsi" w:hAnsiTheme="minorHAnsi"/>
          <w:snapToGrid w:val="0"/>
          <w:lang w:val="en-GB"/>
        </w:rPr>
        <w:instrText xml:space="preserve"> REF _Ref213756390 \r \h </w:instrText>
      </w:r>
      <w:r w:rsidR="006E4122" w:rsidRPr="00E056AF">
        <w:rPr>
          <w:rFonts w:asciiTheme="minorHAnsi" w:hAnsiTheme="minorHAnsi"/>
          <w:snapToGrid w:val="0"/>
          <w:lang w:val="en-GB"/>
        </w:rPr>
      </w:r>
      <w:r w:rsidR="006E4122" w:rsidRPr="00E056AF">
        <w:rPr>
          <w:rFonts w:asciiTheme="minorHAnsi" w:hAnsiTheme="minorHAnsi"/>
          <w:snapToGrid w:val="0"/>
          <w:lang w:val="en-GB"/>
        </w:rPr>
        <w:fldChar w:fldCharType="separate"/>
      </w:r>
      <w:r w:rsidR="00623D52">
        <w:rPr>
          <w:rFonts w:asciiTheme="minorHAnsi" w:hAnsiTheme="minorHAnsi"/>
          <w:snapToGrid w:val="0"/>
          <w:lang w:val="en-GB"/>
        </w:rPr>
        <w:t>7.7</w:t>
      </w:r>
      <w:r w:rsidR="006E4122" w:rsidRPr="00E056AF">
        <w:rPr>
          <w:rFonts w:asciiTheme="minorHAnsi" w:hAnsiTheme="minorHAnsi"/>
          <w:snapToGrid w:val="0"/>
          <w:lang w:val="en-GB"/>
        </w:rPr>
        <w:fldChar w:fldCharType="end"/>
      </w:r>
      <w:r w:rsidR="004D48A5" w:rsidRPr="00E056AF">
        <w:rPr>
          <w:rFonts w:asciiTheme="minorHAnsi" w:hAnsiTheme="minorHAnsi"/>
          <w:snapToGrid w:val="0"/>
          <w:lang w:val="en-GB"/>
        </w:rPr>
        <w:t>.</w:t>
      </w:r>
      <w:bookmarkEnd w:id="76"/>
      <w:r w:rsidR="004D48A5" w:rsidRPr="00E056AF">
        <w:rPr>
          <w:rFonts w:asciiTheme="minorHAnsi" w:hAnsiTheme="minorHAnsi"/>
          <w:snapToGrid w:val="0"/>
          <w:lang w:val="en-GB"/>
        </w:rPr>
        <w:t xml:space="preserve"> </w:t>
      </w:r>
    </w:p>
    <w:p w14:paraId="4CA6C9FD" w14:textId="79A5DED9" w:rsidR="005B348A" w:rsidRDefault="00BE4DAC" w:rsidP="008028C6">
      <w:pPr>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that the submission targeted a well-defined population and the utilisation estimates provided </w:t>
      </w:r>
      <w:r w:rsidR="00AD1F31">
        <w:rPr>
          <w:rFonts w:asciiTheme="minorHAnsi" w:hAnsiTheme="minorHAnsi"/>
          <w:snapToGrid w:val="0"/>
          <w:lang w:val="en-GB"/>
        </w:rPr>
        <w:t>were reasonable.</w:t>
      </w:r>
    </w:p>
    <w:p w14:paraId="7E4417D8" w14:textId="61F0ED1E" w:rsidR="00137BCB" w:rsidRDefault="00137BCB" w:rsidP="008028C6">
      <w:pPr>
        <w:numPr>
          <w:ilvl w:val="1"/>
          <w:numId w:val="1"/>
        </w:numPr>
        <w:spacing w:after="120"/>
        <w:rPr>
          <w:rFonts w:asciiTheme="minorHAnsi" w:hAnsiTheme="minorHAnsi"/>
          <w:snapToGrid w:val="0"/>
          <w:lang w:val="en-GB"/>
        </w:rPr>
      </w:pPr>
      <w:r>
        <w:rPr>
          <w:rFonts w:asciiTheme="minorHAnsi" w:hAnsiTheme="minorHAnsi"/>
          <w:snapToGrid w:val="0"/>
          <w:lang w:val="en-GB"/>
        </w:rPr>
        <w:t>The PBAC considered that a</w:t>
      </w:r>
      <w:r w:rsidR="000A365F">
        <w:rPr>
          <w:rFonts w:asciiTheme="minorHAnsi" w:hAnsiTheme="minorHAnsi"/>
          <w:snapToGrid w:val="0"/>
          <w:lang w:val="en-GB"/>
        </w:rPr>
        <w:t xml:space="preserve"> risk sharing arrangement </w:t>
      </w:r>
      <w:r w:rsidR="009469B2">
        <w:rPr>
          <w:rFonts w:asciiTheme="minorHAnsi" w:hAnsiTheme="minorHAnsi"/>
          <w:snapToGrid w:val="0"/>
          <w:lang w:val="en-GB"/>
        </w:rPr>
        <w:t xml:space="preserve">(RSA) </w:t>
      </w:r>
      <w:r w:rsidR="008A5332">
        <w:rPr>
          <w:rFonts w:asciiTheme="minorHAnsi" w:hAnsiTheme="minorHAnsi"/>
          <w:snapToGrid w:val="0"/>
          <w:lang w:val="en-GB"/>
        </w:rPr>
        <w:t xml:space="preserve">would be required </w:t>
      </w:r>
      <w:r w:rsidR="000A365F">
        <w:rPr>
          <w:rFonts w:asciiTheme="minorHAnsi" w:hAnsiTheme="minorHAnsi"/>
          <w:snapToGrid w:val="0"/>
          <w:lang w:val="en-GB"/>
        </w:rPr>
        <w:t xml:space="preserve">with </w:t>
      </w:r>
      <w:r w:rsidR="001F43CD" w:rsidRPr="001F43CD">
        <w:rPr>
          <w:rFonts w:asciiTheme="minorHAnsi" w:hAnsiTheme="minorHAnsi"/>
          <w:snapToGrid w:val="0"/>
          <w:highlight w:val="black"/>
          <w:lang w:val="en-GB"/>
        </w:rPr>
        <w:t>@@@@</w:t>
      </w:r>
      <w:r>
        <w:rPr>
          <w:rFonts w:asciiTheme="minorHAnsi" w:hAnsiTheme="minorHAnsi"/>
          <w:snapToGrid w:val="0"/>
          <w:lang w:val="en-GB"/>
        </w:rPr>
        <w:t xml:space="preserve">% </w:t>
      </w:r>
      <w:r w:rsidR="004E75E0">
        <w:rPr>
          <w:rFonts w:asciiTheme="minorHAnsi" w:hAnsiTheme="minorHAnsi"/>
          <w:snapToGrid w:val="0"/>
          <w:lang w:val="en-GB"/>
        </w:rPr>
        <w:t xml:space="preserve">reimbursement </w:t>
      </w:r>
      <w:r>
        <w:rPr>
          <w:rFonts w:asciiTheme="minorHAnsi" w:hAnsiTheme="minorHAnsi"/>
          <w:snapToGrid w:val="0"/>
          <w:lang w:val="en-GB"/>
        </w:rPr>
        <w:t xml:space="preserve">for expenditure </w:t>
      </w:r>
      <w:r w:rsidR="00030C99">
        <w:rPr>
          <w:rFonts w:asciiTheme="minorHAnsi" w:hAnsiTheme="minorHAnsi"/>
          <w:snapToGrid w:val="0"/>
          <w:lang w:val="en-GB"/>
        </w:rPr>
        <w:t xml:space="preserve">above the utilisation estimates (based on the </w:t>
      </w:r>
      <w:r w:rsidR="00130A21">
        <w:rPr>
          <w:rFonts w:asciiTheme="minorHAnsi" w:hAnsiTheme="minorHAnsi"/>
          <w:snapToGrid w:val="0"/>
          <w:lang w:val="en-GB"/>
        </w:rPr>
        <w:t xml:space="preserve">reduced </w:t>
      </w:r>
      <w:r w:rsidR="00030C99">
        <w:rPr>
          <w:rFonts w:asciiTheme="minorHAnsi" w:hAnsiTheme="minorHAnsi"/>
          <w:snapToGrid w:val="0"/>
          <w:lang w:val="en-GB"/>
        </w:rPr>
        <w:t xml:space="preserve">price </w:t>
      </w:r>
      <w:r w:rsidR="008F6D0C">
        <w:rPr>
          <w:rFonts w:asciiTheme="minorHAnsi" w:hAnsiTheme="minorHAnsi"/>
          <w:snapToGrid w:val="0"/>
          <w:lang w:val="en-GB"/>
        </w:rPr>
        <w:t>required as</w:t>
      </w:r>
      <w:r w:rsidR="00030C99">
        <w:rPr>
          <w:rFonts w:asciiTheme="minorHAnsi" w:hAnsiTheme="minorHAnsi"/>
          <w:snapToGrid w:val="0"/>
          <w:lang w:val="en-GB"/>
        </w:rPr>
        <w:t xml:space="preserve"> outlined in paragraph </w:t>
      </w:r>
      <w:r w:rsidR="008A5332">
        <w:rPr>
          <w:rFonts w:asciiTheme="minorHAnsi" w:hAnsiTheme="minorHAnsi"/>
          <w:snapToGrid w:val="0"/>
          <w:lang w:val="en-GB"/>
        </w:rPr>
        <w:fldChar w:fldCharType="begin" w:fldLock="1"/>
      </w:r>
      <w:r w:rsidR="008A5332">
        <w:rPr>
          <w:rFonts w:asciiTheme="minorHAnsi" w:hAnsiTheme="minorHAnsi"/>
          <w:snapToGrid w:val="0"/>
          <w:lang w:val="en-GB"/>
        </w:rPr>
        <w:instrText xml:space="preserve"> REF _Ref213763837 \r \h </w:instrText>
      </w:r>
      <w:r w:rsidR="008A5332">
        <w:rPr>
          <w:rFonts w:asciiTheme="minorHAnsi" w:hAnsiTheme="minorHAnsi"/>
          <w:snapToGrid w:val="0"/>
          <w:lang w:val="en-GB"/>
        </w:rPr>
      </w:r>
      <w:r w:rsidR="008A5332">
        <w:rPr>
          <w:rFonts w:asciiTheme="minorHAnsi" w:hAnsiTheme="minorHAnsi"/>
          <w:snapToGrid w:val="0"/>
          <w:lang w:val="en-GB"/>
        </w:rPr>
        <w:fldChar w:fldCharType="separate"/>
      </w:r>
      <w:r w:rsidR="00623D52">
        <w:rPr>
          <w:rFonts w:asciiTheme="minorHAnsi" w:hAnsiTheme="minorHAnsi"/>
          <w:snapToGrid w:val="0"/>
          <w:lang w:val="en-GB"/>
        </w:rPr>
        <w:t>7.8</w:t>
      </w:r>
      <w:r w:rsidR="008A5332">
        <w:rPr>
          <w:rFonts w:asciiTheme="minorHAnsi" w:hAnsiTheme="minorHAnsi"/>
          <w:snapToGrid w:val="0"/>
          <w:lang w:val="en-GB"/>
        </w:rPr>
        <w:fldChar w:fldCharType="end"/>
      </w:r>
      <w:r w:rsidR="00030C99">
        <w:rPr>
          <w:rFonts w:asciiTheme="minorHAnsi" w:hAnsiTheme="minorHAnsi"/>
          <w:snapToGrid w:val="0"/>
          <w:lang w:val="en-GB"/>
        </w:rPr>
        <w:t xml:space="preserve">) to manage the total financial expenditure and to </w:t>
      </w:r>
      <w:r w:rsidR="00174AF1">
        <w:rPr>
          <w:rFonts w:asciiTheme="minorHAnsi" w:hAnsiTheme="minorHAnsi"/>
          <w:snapToGrid w:val="0"/>
          <w:lang w:val="en-GB"/>
        </w:rPr>
        <w:t xml:space="preserve">mitigate </w:t>
      </w:r>
      <w:r w:rsidR="00343FE9">
        <w:rPr>
          <w:rFonts w:asciiTheme="minorHAnsi" w:hAnsiTheme="minorHAnsi"/>
          <w:snapToGrid w:val="0"/>
          <w:lang w:val="en-GB"/>
        </w:rPr>
        <w:t>the uncertainty</w:t>
      </w:r>
      <w:r w:rsidR="00174AF1">
        <w:rPr>
          <w:rFonts w:asciiTheme="minorHAnsi" w:hAnsiTheme="minorHAnsi"/>
          <w:snapToGrid w:val="0"/>
          <w:lang w:val="en-GB"/>
        </w:rPr>
        <w:t xml:space="preserve"> associated with </w:t>
      </w:r>
      <w:r w:rsidR="00FC6A79">
        <w:rPr>
          <w:rFonts w:asciiTheme="minorHAnsi" w:hAnsiTheme="minorHAnsi"/>
          <w:snapToGrid w:val="0"/>
          <w:lang w:val="en-GB"/>
        </w:rPr>
        <w:t>the duration of treatment</w:t>
      </w:r>
      <w:r w:rsidR="00A92ACA">
        <w:rPr>
          <w:rFonts w:asciiTheme="minorHAnsi" w:hAnsiTheme="minorHAnsi"/>
          <w:snapToGrid w:val="0"/>
          <w:lang w:val="en-GB"/>
        </w:rPr>
        <w:t>, continuing treatment in non-responders</w:t>
      </w:r>
      <w:r w:rsidR="008A35A9">
        <w:rPr>
          <w:rFonts w:asciiTheme="minorHAnsi" w:hAnsiTheme="minorHAnsi"/>
          <w:snapToGrid w:val="0"/>
          <w:lang w:val="en-GB"/>
        </w:rPr>
        <w:t xml:space="preserve"> and the potential for use in patients with mFARS scores </w:t>
      </w:r>
      <w:r w:rsidR="00EF122E">
        <w:rPr>
          <w:rFonts w:asciiTheme="minorHAnsi" w:hAnsiTheme="minorHAnsi"/>
          <w:snapToGrid w:val="0"/>
          <w:lang w:val="en-GB"/>
        </w:rPr>
        <w:t xml:space="preserve">outside the range of 20 to </w:t>
      </w:r>
      <w:r w:rsidR="009E4264">
        <w:rPr>
          <w:rFonts w:asciiTheme="minorHAnsi" w:hAnsiTheme="minorHAnsi"/>
          <w:snapToGrid w:val="0"/>
          <w:lang w:val="en-GB"/>
        </w:rPr>
        <w:t>80</w:t>
      </w:r>
      <w:r w:rsidR="00EF122E">
        <w:rPr>
          <w:rFonts w:asciiTheme="minorHAnsi" w:hAnsiTheme="minorHAnsi"/>
          <w:snapToGrid w:val="0"/>
          <w:lang w:val="en-GB"/>
        </w:rPr>
        <w:t>.</w:t>
      </w:r>
    </w:p>
    <w:p w14:paraId="552B32FD" w14:textId="2602BD6E" w:rsidR="005B348A" w:rsidRDefault="005B348A" w:rsidP="008028C6">
      <w:pPr>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1501C6">
        <w:rPr>
          <w:rFonts w:asciiTheme="minorHAnsi" w:hAnsiTheme="minorHAnsi"/>
          <w:snapToGrid w:val="0"/>
          <w:lang w:val="en-GB"/>
        </w:rPr>
        <w:t xml:space="preserve">considered that </w:t>
      </w:r>
      <w:r w:rsidR="0014331E">
        <w:rPr>
          <w:rFonts w:asciiTheme="minorHAnsi" w:hAnsiTheme="minorHAnsi"/>
          <w:snapToGrid w:val="0"/>
          <w:lang w:val="en-GB"/>
        </w:rPr>
        <w:t>where</w:t>
      </w:r>
      <w:r w:rsidR="00C75E5E">
        <w:rPr>
          <w:rFonts w:asciiTheme="minorHAnsi" w:hAnsiTheme="minorHAnsi"/>
          <w:snapToGrid w:val="0"/>
          <w:lang w:val="en-GB"/>
        </w:rPr>
        <w:t xml:space="preserve"> </w:t>
      </w:r>
      <w:r w:rsidR="0014331E">
        <w:rPr>
          <w:rFonts w:asciiTheme="minorHAnsi" w:hAnsiTheme="minorHAnsi"/>
          <w:snapToGrid w:val="0"/>
          <w:lang w:val="en-GB"/>
        </w:rPr>
        <w:t>a</w:t>
      </w:r>
      <w:r w:rsidR="001501C6">
        <w:rPr>
          <w:rFonts w:asciiTheme="minorHAnsi" w:hAnsiTheme="minorHAnsi"/>
          <w:snapToGrid w:val="0"/>
          <w:lang w:val="en-GB"/>
        </w:rPr>
        <w:t xml:space="preserve"> price reduction </w:t>
      </w:r>
      <w:r w:rsidR="00AD10D1">
        <w:rPr>
          <w:rFonts w:asciiTheme="minorHAnsi" w:hAnsiTheme="minorHAnsi"/>
          <w:snapToGrid w:val="0"/>
          <w:lang w:val="en-GB"/>
        </w:rPr>
        <w:t>was not possible</w:t>
      </w:r>
      <w:r w:rsidR="0052558C">
        <w:rPr>
          <w:rFonts w:asciiTheme="minorHAnsi" w:hAnsiTheme="minorHAnsi"/>
          <w:snapToGrid w:val="0"/>
          <w:lang w:val="en-GB"/>
        </w:rPr>
        <w:t xml:space="preserve"> to achieve</w:t>
      </w:r>
      <w:r w:rsidR="00F6631B">
        <w:rPr>
          <w:rFonts w:asciiTheme="minorHAnsi" w:hAnsiTheme="minorHAnsi"/>
          <w:snapToGrid w:val="0"/>
          <w:lang w:val="en-GB"/>
        </w:rPr>
        <w:t xml:space="preserve"> an acceptable ICER as</w:t>
      </w:r>
      <w:r w:rsidR="001501C6">
        <w:rPr>
          <w:rFonts w:asciiTheme="minorHAnsi" w:hAnsiTheme="minorHAnsi"/>
          <w:snapToGrid w:val="0"/>
          <w:lang w:val="en-GB"/>
        </w:rPr>
        <w:t xml:space="preserve"> outlined in paragraph </w:t>
      </w:r>
      <w:r w:rsidR="008A5332">
        <w:rPr>
          <w:rFonts w:asciiTheme="minorHAnsi" w:hAnsiTheme="minorHAnsi"/>
          <w:snapToGrid w:val="0"/>
          <w:lang w:val="en-GB"/>
        </w:rPr>
        <w:fldChar w:fldCharType="begin" w:fldLock="1"/>
      </w:r>
      <w:r w:rsidR="008A5332">
        <w:rPr>
          <w:rFonts w:asciiTheme="minorHAnsi" w:hAnsiTheme="minorHAnsi"/>
          <w:snapToGrid w:val="0"/>
          <w:lang w:val="en-GB"/>
        </w:rPr>
        <w:instrText xml:space="preserve"> REF _Ref213763837 \r \h </w:instrText>
      </w:r>
      <w:r w:rsidR="008A5332">
        <w:rPr>
          <w:rFonts w:asciiTheme="minorHAnsi" w:hAnsiTheme="minorHAnsi"/>
          <w:snapToGrid w:val="0"/>
          <w:lang w:val="en-GB"/>
        </w:rPr>
      </w:r>
      <w:r w:rsidR="008A5332">
        <w:rPr>
          <w:rFonts w:asciiTheme="minorHAnsi" w:hAnsiTheme="minorHAnsi"/>
          <w:snapToGrid w:val="0"/>
          <w:lang w:val="en-GB"/>
        </w:rPr>
        <w:fldChar w:fldCharType="separate"/>
      </w:r>
      <w:r w:rsidR="00623D52">
        <w:rPr>
          <w:rFonts w:asciiTheme="minorHAnsi" w:hAnsiTheme="minorHAnsi"/>
          <w:snapToGrid w:val="0"/>
          <w:lang w:val="en-GB"/>
        </w:rPr>
        <w:t>7.8</w:t>
      </w:r>
      <w:r w:rsidR="008A5332">
        <w:rPr>
          <w:rFonts w:asciiTheme="minorHAnsi" w:hAnsiTheme="minorHAnsi"/>
          <w:snapToGrid w:val="0"/>
          <w:lang w:val="en-GB"/>
        </w:rPr>
        <w:fldChar w:fldCharType="end"/>
      </w:r>
      <w:r w:rsidR="0097564C">
        <w:rPr>
          <w:rFonts w:asciiTheme="minorHAnsi" w:hAnsiTheme="minorHAnsi"/>
          <w:snapToGrid w:val="0"/>
          <w:lang w:val="en-GB"/>
        </w:rPr>
        <w:t>,</w:t>
      </w:r>
      <w:r w:rsidR="001501C6">
        <w:rPr>
          <w:rFonts w:asciiTheme="minorHAnsi" w:hAnsiTheme="minorHAnsi"/>
          <w:snapToGrid w:val="0"/>
          <w:lang w:val="en-GB"/>
        </w:rPr>
        <w:t xml:space="preserve"> a combination of a </w:t>
      </w:r>
      <w:r w:rsidR="00AD10D1">
        <w:rPr>
          <w:rFonts w:asciiTheme="minorHAnsi" w:hAnsiTheme="minorHAnsi"/>
          <w:snapToGrid w:val="0"/>
          <w:lang w:val="en-GB"/>
        </w:rPr>
        <w:t xml:space="preserve">price </w:t>
      </w:r>
      <w:r w:rsidR="001501C6">
        <w:rPr>
          <w:rFonts w:asciiTheme="minorHAnsi" w:hAnsiTheme="minorHAnsi"/>
          <w:snapToGrid w:val="0"/>
          <w:lang w:val="en-GB"/>
        </w:rPr>
        <w:t xml:space="preserve">reduction and an RSA </w:t>
      </w:r>
      <w:r w:rsidR="002051BB">
        <w:rPr>
          <w:rFonts w:asciiTheme="minorHAnsi" w:hAnsiTheme="minorHAnsi"/>
          <w:snapToGrid w:val="0"/>
          <w:lang w:val="en-GB"/>
        </w:rPr>
        <w:t xml:space="preserve">may be </w:t>
      </w:r>
      <w:proofErr w:type="gramStart"/>
      <w:r w:rsidR="005105F4">
        <w:rPr>
          <w:rFonts w:asciiTheme="minorHAnsi" w:hAnsiTheme="minorHAnsi"/>
          <w:snapToGrid w:val="0"/>
          <w:lang w:val="en-GB"/>
        </w:rPr>
        <w:t>utilised</w:t>
      </w:r>
      <w:proofErr w:type="gramEnd"/>
      <w:r w:rsidR="00CD4198">
        <w:rPr>
          <w:rFonts w:asciiTheme="minorHAnsi" w:hAnsiTheme="minorHAnsi"/>
          <w:snapToGrid w:val="0"/>
          <w:lang w:val="en-GB"/>
        </w:rPr>
        <w:t xml:space="preserve">. The PBAC advised that while an RSA was not a preferred approach for achieving cost-effectiveness, it may be </w:t>
      </w:r>
      <w:r w:rsidR="00BB2548">
        <w:rPr>
          <w:rFonts w:asciiTheme="minorHAnsi" w:hAnsiTheme="minorHAnsi"/>
          <w:snapToGrid w:val="0"/>
          <w:lang w:val="en-GB"/>
        </w:rPr>
        <w:t xml:space="preserve">a mechanism </w:t>
      </w:r>
      <w:r w:rsidR="00CD4198">
        <w:rPr>
          <w:rFonts w:asciiTheme="minorHAnsi" w:hAnsiTheme="minorHAnsi"/>
          <w:snapToGrid w:val="0"/>
          <w:lang w:val="en-GB"/>
        </w:rPr>
        <w:t xml:space="preserve">to </w:t>
      </w:r>
      <w:r w:rsidR="002E6AE6">
        <w:rPr>
          <w:rFonts w:asciiTheme="minorHAnsi" w:hAnsiTheme="minorHAnsi"/>
          <w:snapToGrid w:val="0"/>
          <w:lang w:val="en-GB"/>
        </w:rPr>
        <w:t>cap the cost per patient</w:t>
      </w:r>
      <w:r w:rsidR="00DF7524">
        <w:rPr>
          <w:rFonts w:asciiTheme="minorHAnsi" w:hAnsiTheme="minorHAnsi"/>
          <w:snapToGrid w:val="0"/>
          <w:lang w:val="en-GB"/>
        </w:rPr>
        <w:t xml:space="preserve"> in the context of this rare condition, the high clinical need, </w:t>
      </w:r>
      <w:r w:rsidR="00DF7524" w:rsidRPr="00F80CE6">
        <w:rPr>
          <w:rFonts w:asciiTheme="minorHAnsi" w:hAnsiTheme="minorHAnsi"/>
          <w:snapToGrid w:val="0"/>
          <w:lang w:val="en-GB"/>
        </w:rPr>
        <w:t xml:space="preserve">and the </w:t>
      </w:r>
      <w:proofErr w:type="gramStart"/>
      <w:r w:rsidR="00F80CE6" w:rsidRPr="00F80CE6">
        <w:rPr>
          <w:rFonts w:asciiTheme="minorHAnsi" w:hAnsiTheme="minorHAnsi"/>
          <w:snapToGrid w:val="0"/>
          <w:lang w:val="en-GB"/>
        </w:rPr>
        <w:t xml:space="preserve">relatively </w:t>
      </w:r>
      <w:r w:rsidR="00DF7524" w:rsidRPr="00F80CE6">
        <w:rPr>
          <w:rFonts w:asciiTheme="minorHAnsi" w:hAnsiTheme="minorHAnsi"/>
          <w:snapToGrid w:val="0"/>
          <w:lang w:val="en-GB"/>
        </w:rPr>
        <w:t>high</w:t>
      </w:r>
      <w:proofErr w:type="gramEnd"/>
      <w:r w:rsidR="00DF7524" w:rsidRPr="00F80CE6">
        <w:rPr>
          <w:rFonts w:asciiTheme="minorHAnsi" w:hAnsiTheme="minorHAnsi"/>
          <w:snapToGrid w:val="0"/>
          <w:lang w:val="en-GB"/>
        </w:rPr>
        <w:t xml:space="preserve"> degree of certainty in the number of eligible patients</w:t>
      </w:r>
      <w:r w:rsidR="001C64A5">
        <w:rPr>
          <w:rFonts w:asciiTheme="minorHAnsi" w:hAnsiTheme="minorHAnsi"/>
          <w:snapToGrid w:val="0"/>
          <w:lang w:val="en-GB"/>
        </w:rPr>
        <w:t xml:space="preserve">. </w:t>
      </w:r>
    </w:p>
    <w:p w14:paraId="1353000B" w14:textId="4A4F0A00" w:rsidR="00F52BB5" w:rsidRDefault="00C64B85" w:rsidP="008028C6">
      <w:pPr>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considered that the initial and continuing restrictions proposed in the resubmission </w:t>
      </w:r>
      <w:r w:rsidR="00317B83">
        <w:rPr>
          <w:rFonts w:asciiTheme="minorHAnsi" w:hAnsiTheme="minorHAnsi"/>
          <w:snapToGrid w:val="0"/>
          <w:lang w:val="en-GB"/>
        </w:rPr>
        <w:t>were broadly acceptable</w:t>
      </w:r>
      <w:r>
        <w:rPr>
          <w:rFonts w:asciiTheme="minorHAnsi" w:hAnsiTheme="minorHAnsi"/>
          <w:snapToGrid w:val="0"/>
          <w:lang w:val="en-GB"/>
        </w:rPr>
        <w:t>. The PBAC considered that</w:t>
      </w:r>
      <w:r w:rsidR="00F52BB5">
        <w:rPr>
          <w:rFonts w:asciiTheme="minorHAnsi" w:hAnsiTheme="minorHAnsi"/>
          <w:snapToGrid w:val="0"/>
          <w:lang w:val="en-GB"/>
        </w:rPr>
        <w:t>:</w:t>
      </w:r>
      <w:r>
        <w:rPr>
          <w:rFonts w:asciiTheme="minorHAnsi" w:hAnsiTheme="minorHAnsi"/>
          <w:snapToGrid w:val="0"/>
          <w:lang w:val="en-GB"/>
        </w:rPr>
        <w:t xml:space="preserve"> </w:t>
      </w:r>
    </w:p>
    <w:p w14:paraId="643F198C" w14:textId="2CBE1CEB" w:rsidR="00F52BB5" w:rsidRDefault="00D4773E" w:rsidP="008028C6">
      <w:pPr>
        <w:numPr>
          <w:ilvl w:val="1"/>
          <w:numId w:val="39"/>
        </w:numPr>
        <w:spacing w:after="120"/>
        <w:ind w:left="1077" w:hanging="357"/>
        <w:rPr>
          <w:rFonts w:asciiTheme="minorHAnsi" w:hAnsiTheme="minorHAnsi"/>
          <w:snapToGrid w:val="0"/>
          <w:lang w:val="en-GB"/>
        </w:rPr>
      </w:pPr>
      <w:r>
        <w:rPr>
          <w:rFonts w:asciiTheme="minorHAnsi" w:hAnsiTheme="minorHAnsi"/>
          <w:snapToGrid w:val="0"/>
          <w:lang w:val="en-GB"/>
        </w:rPr>
        <w:t xml:space="preserve">the </w:t>
      </w:r>
      <w:r w:rsidR="00C64B85">
        <w:rPr>
          <w:rFonts w:asciiTheme="minorHAnsi" w:hAnsiTheme="minorHAnsi"/>
          <w:snapToGrid w:val="0"/>
          <w:lang w:val="en-GB"/>
        </w:rPr>
        <w:t>inclusion of the criterion requiring a modified Friedreich’s ataxia rating scale (mFARS) score of between 20 and 80 prior to initiation was appropriate</w:t>
      </w:r>
      <w:r w:rsidR="00EE211B">
        <w:rPr>
          <w:rFonts w:asciiTheme="minorHAnsi" w:hAnsiTheme="minorHAnsi"/>
          <w:snapToGrid w:val="0"/>
          <w:lang w:val="en-GB"/>
        </w:rPr>
        <w:t>;</w:t>
      </w:r>
    </w:p>
    <w:p w14:paraId="0AEE396C" w14:textId="35D7E7E4" w:rsidR="00EE211B" w:rsidRDefault="000046BF" w:rsidP="008028C6">
      <w:pPr>
        <w:numPr>
          <w:ilvl w:val="1"/>
          <w:numId w:val="39"/>
        </w:numPr>
        <w:spacing w:after="120"/>
        <w:ind w:left="1077" w:hanging="357"/>
        <w:rPr>
          <w:rFonts w:asciiTheme="minorHAnsi" w:hAnsiTheme="minorHAnsi"/>
          <w:snapToGrid w:val="0"/>
          <w:lang w:val="en-GB"/>
        </w:rPr>
      </w:pPr>
      <w:r>
        <w:rPr>
          <w:rFonts w:asciiTheme="minorHAnsi" w:hAnsiTheme="minorHAnsi"/>
          <w:snapToGrid w:val="0"/>
          <w:lang w:val="en-GB"/>
        </w:rPr>
        <w:t xml:space="preserve">for </w:t>
      </w:r>
      <w:r w:rsidR="0097310A">
        <w:rPr>
          <w:rFonts w:asciiTheme="minorHAnsi" w:hAnsiTheme="minorHAnsi"/>
          <w:snapToGrid w:val="0"/>
          <w:lang w:val="en-GB"/>
        </w:rPr>
        <w:t xml:space="preserve">the </w:t>
      </w:r>
      <w:r>
        <w:rPr>
          <w:rFonts w:asciiTheme="minorHAnsi" w:hAnsiTheme="minorHAnsi"/>
          <w:snapToGrid w:val="0"/>
          <w:lang w:val="en-GB"/>
        </w:rPr>
        <w:t>initial treatmen</w:t>
      </w:r>
      <w:r w:rsidR="00C60830">
        <w:rPr>
          <w:rFonts w:asciiTheme="minorHAnsi" w:hAnsiTheme="minorHAnsi"/>
          <w:snapToGrid w:val="0"/>
          <w:lang w:val="en-GB"/>
        </w:rPr>
        <w:t>t phase</w:t>
      </w:r>
      <w:r>
        <w:rPr>
          <w:rFonts w:asciiTheme="minorHAnsi" w:hAnsiTheme="minorHAnsi"/>
          <w:snapToGrid w:val="0"/>
          <w:lang w:val="en-GB"/>
        </w:rPr>
        <w:t xml:space="preserve">, </w:t>
      </w:r>
      <w:r w:rsidR="00C569B2">
        <w:rPr>
          <w:rFonts w:asciiTheme="minorHAnsi" w:hAnsiTheme="minorHAnsi"/>
          <w:snapToGrid w:val="0"/>
          <w:lang w:val="en-GB"/>
        </w:rPr>
        <w:t xml:space="preserve">treatment must </w:t>
      </w:r>
      <w:proofErr w:type="gramStart"/>
      <w:r w:rsidR="00C569B2">
        <w:rPr>
          <w:rFonts w:asciiTheme="minorHAnsi" w:hAnsiTheme="minorHAnsi"/>
          <w:snapToGrid w:val="0"/>
          <w:lang w:val="en-GB"/>
        </w:rPr>
        <w:t xml:space="preserve">be </w:t>
      </w:r>
      <w:r w:rsidR="00E21D7A">
        <w:rPr>
          <w:rFonts w:asciiTheme="minorHAnsi" w:hAnsiTheme="minorHAnsi"/>
          <w:snapToGrid w:val="0"/>
          <w:lang w:val="en-GB"/>
        </w:rPr>
        <w:t>prescribed</w:t>
      </w:r>
      <w:proofErr w:type="gramEnd"/>
      <w:r w:rsidR="00E21D7A">
        <w:rPr>
          <w:rFonts w:asciiTheme="minorHAnsi" w:hAnsiTheme="minorHAnsi"/>
          <w:snapToGrid w:val="0"/>
          <w:lang w:val="en-GB"/>
        </w:rPr>
        <w:t xml:space="preserve"> </w:t>
      </w:r>
      <w:r w:rsidR="00C569B2">
        <w:rPr>
          <w:rFonts w:asciiTheme="minorHAnsi" w:hAnsiTheme="minorHAnsi"/>
          <w:snapToGrid w:val="0"/>
          <w:lang w:val="en-GB"/>
        </w:rPr>
        <w:t xml:space="preserve">by a specialist with expertise in the management of FA or </w:t>
      </w:r>
      <w:r w:rsidR="00D12030">
        <w:rPr>
          <w:rFonts w:asciiTheme="minorHAnsi" w:hAnsiTheme="minorHAnsi"/>
          <w:snapToGrid w:val="0"/>
          <w:lang w:val="en-GB"/>
        </w:rPr>
        <w:t>by a medical practitioner in consultation with a specialist with expertise in the management of FA</w:t>
      </w:r>
      <w:r w:rsidR="00E21D7A">
        <w:rPr>
          <w:rFonts w:asciiTheme="minorHAnsi" w:hAnsiTheme="minorHAnsi"/>
          <w:snapToGrid w:val="0"/>
          <w:lang w:val="en-GB"/>
        </w:rPr>
        <w:t>. Con</w:t>
      </w:r>
      <w:r w:rsidR="00567C66">
        <w:rPr>
          <w:rFonts w:asciiTheme="minorHAnsi" w:hAnsiTheme="minorHAnsi"/>
          <w:snapToGrid w:val="0"/>
          <w:lang w:val="en-GB"/>
        </w:rPr>
        <w:t xml:space="preserve">tinuing </w:t>
      </w:r>
      <w:r w:rsidR="00E72719">
        <w:rPr>
          <w:rFonts w:asciiTheme="minorHAnsi" w:hAnsiTheme="minorHAnsi"/>
          <w:snapToGrid w:val="0"/>
          <w:lang w:val="en-GB"/>
        </w:rPr>
        <w:t>treatment</w:t>
      </w:r>
      <w:r w:rsidR="00DC0AA3">
        <w:rPr>
          <w:rFonts w:asciiTheme="minorHAnsi" w:hAnsiTheme="minorHAnsi"/>
          <w:snapToGrid w:val="0"/>
          <w:lang w:val="en-GB"/>
        </w:rPr>
        <w:t xml:space="preserve"> </w:t>
      </w:r>
      <w:r w:rsidR="00E72719">
        <w:rPr>
          <w:rFonts w:asciiTheme="minorHAnsi" w:hAnsiTheme="minorHAnsi"/>
          <w:snapToGrid w:val="0"/>
          <w:lang w:val="en-GB"/>
        </w:rPr>
        <w:t xml:space="preserve">must </w:t>
      </w:r>
      <w:proofErr w:type="gramStart"/>
      <w:r w:rsidR="00E72719">
        <w:rPr>
          <w:rFonts w:asciiTheme="minorHAnsi" w:hAnsiTheme="minorHAnsi"/>
          <w:snapToGrid w:val="0"/>
          <w:lang w:val="en-GB"/>
        </w:rPr>
        <w:t>be</w:t>
      </w:r>
      <w:r w:rsidR="00DC0AA3">
        <w:rPr>
          <w:rFonts w:asciiTheme="minorHAnsi" w:hAnsiTheme="minorHAnsi"/>
          <w:snapToGrid w:val="0"/>
          <w:lang w:val="en-GB"/>
        </w:rPr>
        <w:t xml:space="preserve"> </w:t>
      </w:r>
      <w:r w:rsidR="00E21D7A">
        <w:rPr>
          <w:rFonts w:asciiTheme="minorHAnsi" w:hAnsiTheme="minorHAnsi"/>
          <w:snapToGrid w:val="0"/>
          <w:lang w:val="en-GB"/>
        </w:rPr>
        <w:t>prescribed</w:t>
      </w:r>
      <w:proofErr w:type="gramEnd"/>
      <w:r w:rsidR="00E21D7A">
        <w:rPr>
          <w:rFonts w:asciiTheme="minorHAnsi" w:hAnsiTheme="minorHAnsi"/>
          <w:snapToGrid w:val="0"/>
          <w:lang w:val="en-GB"/>
        </w:rPr>
        <w:t xml:space="preserve"> </w:t>
      </w:r>
      <w:r w:rsidR="00DC0AA3">
        <w:rPr>
          <w:rFonts w:asciiTheme="minorHAnsi" w:hAnsiTheme="minorHAnsi"/>
          <w:snapToGrid w:val="0"/>
          <w:lang w:val="en-GB"/>
        </w:rPr>
        <w:t xml:space="preserve">by </w:t>
      </w:r>
      <w:r w:rsidR="00E72719">
        <w:rPr>
          <w:rFonts w:asciiTheme="minorHAnsi" w:hAnsiTheme="minorHAnsi"/>
          <w:snapToGrid w:val="0"/>
          <w:lang w:val="en-GB"/>
        </w:rPr>
        <w:t xml:space="preserve">a specialist or </w:t>
      </w:r>
      <w:r w:rsidR="00567C66">
        <w:rPr>
          <w:rFonts w:asciiTheme="minorHAnsi" w:hAnsiTheme="minorHAnsi"/>
          <w:snapToGrid w:val="0"/>
        </w:rPr>
        <w:t>either medical or</w:t>
      </w:r>
      <w:r w:rsidR="00E72719" w:rsidRPr="00E72719">
        <w:rPr>
          <w:rFonts w:asciiTheme="minorHAnsi" w:hAnsiTheme="minorHAnsi"/>
          <w:snapToGrid w:val="0"/>
        </w:rPr>
        <w:t xml:space="preserve"> nurse practitioner in consultation with a specialist with expertise in FA</w:t>
      </w:r>
      <w:r w:rsidR="00D12030">
        <w:rPr>
          <w:rFonts w:asciiTheme="minorHAnsi" w:hAnsiTheme="minorHAnsi"/>
          <w:snapToGrid w:val="0"/>
          <w:lang w:val="en-GB"/>
        </w:rPr>
        <w:t>;</w:t>
      </w:r>
    </w:p>
    <w:p w14:paraId="66648A17" w14:textId="3D672D5E" w:rsidR="00C64B85" w:rsidRDefault="00C64B85" w:rsidP="008028C6">
      <w:pPr>
        <w:numPr>
          <w:ilvl w:val="1"/>
          <w:numId w:val="39"/>
        </w:numPr>
        <w:spacing w:after="120"/>
        <w:ind w:left="1077" w:hanging="357"/>
        <w:rPr>
          <w:rFonts w:asciiTheme="minorHAnsi" w:hAnsiTheme="minorHAnsi"/>
          <w:snapToGrid w:val="0"/>
          <w:lang w:val="en-GB"/>
        </w:rPr>
      </w:pPr>
      <w:r>
        <w:rPr>
          <w:rFonts w:asciiTheme="minorHAnsi" w:hAnsiTheme="minorHAnsi"/>
          <w:snapToGrid w:val="0"/>
          <w:lang w:val="en-GB"/>
        </w:rPr>
        <w:t xml:space="preserve">the criterion that continuing patients did not have a mFARS score that increased by more than </w:t>
      </w:r>
      <w:proofErr w:type="gramStart"/>
      <w:r>
        <w:rPr>
          <w:rFonts w:asciiTheme="minorHAnsi" w:hAnsiTheme="minorHAnsi"/>
          <w:snapToGrid w:val="0"/>
          <w:lang w:val="en-GB"/>
        </w:rPr>
        <w:t>2</w:t>
      </w:r>
      <w:proofErr w:type="gramEnd"/>
      <w:r>
        <w:rPr>
          <w:rFonts w:asciiTheme="minorHAnsi" w:hAnsiTheme="minorHAnsi"/>
          <w:snapToGrid w:val="0"/>
          <w:lang w:val="en-GB"/>
        </w:rPr>
        <w:t xml:space="preserve"> points annually or exceeded </w:t>
      </w:r>
      <w:proofErr w:type="gramStart"/>
      <w:r>
        <w:rPr>
          <w:rFonts w:asciiTheme="minorHAnsi" w:hAnsiTheme="minorHAnsi"/>
          <w:snapToGrid w:val="0"/>
          <w:lang w:val="en-GB"/>
        </w:rPr>
        <w:t>80</w:t>
      </w:r>
      <w:proofErr w:type="gramEnd"/>
      <w:r>
        <w:rPr>
          <w:rFonts w:asciiTheme="minorHAnsi" w:hAnsiTheme="minorHAnsi"/>
          <w:snapToGrid w:val="0"/>
          <w:lang w:val="en-GB"/>
        </w:rPr>
        <w:t xml:space="preserve"> was appropriate. </w:t>
      </w:r>
    </w:p>
    <w:p w14:paraId="0AB5C861" w14:textId="737919C8" w:rsidR="00F52BB5" w:rsidRDefault="003101B4" w:rsidP="008028C6">
      <w:pPr>
        <w:numPr>
          <w:ilvl w:val="1"/>
          <w:numId w:val="39"/>
        </w:numPr>
        <w:spacing w:after="120"/>
        <w:ind w:left="1077" w:hanging="357"/>
        <w:rPr>
          <w:rFonts w:asciiTheme="minorHAnsi" w:hAnsiTheme="minorHAnsi"/>
          <w:snapToGrid w:val="0"/>
          <w:lang w:val="en-GB"/>
        </w:rPr>
      </w:pPr>
      <w:r>
        <w:rPr>
          <w:rFonts w:asciiTheme="minorHAnsi" w:hAnsiTheme="minorHAnsi"/>
          <w:snapToGrid w:val="0"/>
          <w:lang w:val="en-GB"/>
        </w:rPr>
        <w:t xml:space="preserve">a grandfather restriction </w:t>
      </w:r>
      <w:proofErr w:type="gramStart"/>
      <w:r>
        <w:rPr>
          <w:rFonts w:asciiTheme="minorHAnsi" w:hAnsiTheme="minorHAnsi"/>
          <w:snapToGrid w:val="0"/>
          <w:lang w:val="en-GB"/>
        </w:rPr>
        <w:t>was not required</w:t>
      </w:r>
      <w:proofErr w:type="gramEnd"/>
      <w:r>
        <w:rPr>
          <w:rFonts w:asciiTheme="minorHAnsi" w:hAnsiTheme="minorHAnsi"/>
          <w:snapToGrid w:val="0"/>
          <w:lang w:val="en-GB"/>
        </w:rPr>
        <w:t xml:space="preserve"> given the proposed initial restriction wording allows </w:t>
      </w:r>
      <w:r w:rsidR="009E68B3">
        <w:rPr>
          <w:rFonts w:asciiTheme="minorHAnsi" w:hAnsiTheme="minorHAnsi"/>
          <w:snapToGrid w:val="0"/>
          <w:lang w:val="en-GB"/>
        </w:rPr>
        <w:t>access for patients who have initiated on omaveloxolone prior to PBS listing.</w:t>
      </w:r>
    </w:p>
    <w:p w14:paraId="571D3CE6" w14:textId="7CC2EC55" w:rsidR="00632BBB" w:rsidRPr="009756F5" w:rsidRDefault="00632BBB" w:rsidP="008028C6">
      <w:pPr>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recommended that omaveloxolone should not </w:t>
      </w:r>
      <w:proofErr w:type="gramStart"/>
      <w:r>
        <w:rPr>
          <w:rFonts w:asciiTheme="minorHAnsi" w:hAnsiTheme="minorHAnsi"/>
          <w:snapToGrid w:val="0"/>
          <w:lang w:val="en-GB"/>
        </w:rPr>
        <w:t>be treated</w:t>
      </w:r>
      <w:proofErr w:type="gramEnd"/>
      <w:r>
        <w:rPr>
          <w:rFonts w:asciiTheme="minorHAnsi" w:hAnsiTheme="minorHAnsi"/>
          <w:snapToGrid w:val="0"/>
          <w:lang w:val="en-GB"/>
        </w:rPr>
        <w:t xml:space="preserve"> as interchangeable on an individual patient basis with any other drugs, according to s101(3BA) of the </w:t>
      </w:r>
      <w:r w:rsidRPr="00632BBB">
        <w:rPr>
          <w:rFonts w:asciiTheme="minorHAnsi" w:hAnsiTheme="minorHAnsi"/>
          <w:i/>
          <w:iCs/>
          <w:snapToGrid w:val="0"/>
          <w:lang w:val="en-GB"/>
        </w:rPr>
        <w:t>National Health Act.</w:t>
      </w:r>
    </w:p>
    <w:p w14:paraId="13E7F479" w14:textId="64B0777F" w:rsidR="009756F5" w:rsidRDefault="009756F5" w:rsidP="008028C6">
      <w:pPr>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advised that </w:t>
      </w:r>
      <w:r w:rsidR="00090235">
        <w:rPr>
          <w:rFonts w:asciiTheme="minorHAnsi" w:hAnsiTheme="minorHAnsi"/>
          <w:snapToGrid w:val="0"/>
          <w:lang w:val="en-GB"/>
        </w:rPr>
        <w:t xml:space="preserve">continuing treatment with </w:t>
      </w:r>
      <w:r>
        <w:rPr>
          <w:rFonts w:asciiTheme="minorHAnsi" w:hAnsiTheme="minorHAnsi"/>
          <w:snapToGrid w:val="0"/>
          <w:lang w:val="en-GB"/>
        </w:rPr>
        <w:t>omaveloxolone is suitable for prescribing by nurse practitioners.</w:t>
      </w:r>
    </w:p>
    <w:p w14:paraId="46BDC7A8" w14:textId="77777777" w:rsidR="00902195" w:rsidRDefault="009756F5" w:rsidP="008028C6">
      <w:pPr>
        <w:numPr>
          <w:ilvl w:val="1"/>
          <w:numId w:val="1"/>
        </w:numPr>
        <w:spacing w:after="120"/>
        <w:rPr>
          <w:rFonts w:asciiTheme="minorHAnsi" w:hAnsiTheme="minorHAnsi"/>
          <w:snapToGrid w:val="0"/>
          <w:lang w:val="en-GB"/>
        </w:rPr>
      </w:pPr>
      <w:r>
        <w:rPr>
          <w:rFonts w:asciiTheme="minorHAnsi" w:hAnsiTheme="minorHAnsi"/>
          <w:snapToGrid w:val="0"/>
          <w:lang w:val="en-GB"/>
        </w:rPr>
        <w:t>The PBAC recommended that the Early Supply Rule should apply.</w:t>
      </w:r>
      <w:bookmarkEnd w:id="74"/>
    </w:p>
    <w:p w14:paraId="3BA28353" w14:textId="73A1BC19" w:rsidR="00C56D8D" w:rsidRPr="00902195" w:rsidRDefault="00C56D8D" w:rsidP="008028C6">
      <w:pPr>
        <w:numPr>
          <w:ilvl w:val="1"/>
          <w:numId w:val="1"/>
        </w:numPr>
        <w:spacing w:after="120"/>
        <w:rPr>
          <w:rFonts w:asciiTheme="minorHAnsi" w:hAnsiTheme="minorHAnsi"/>
          <w:snapToGrid w:val="0"/>
          <w:lang w:val="en-GB"/>
        </w:rPr>
      </w:pPr>
      <w:r w:rsidRPr="00902195">
        <w:rPr>
          <w:rFonts w:asciiTheme="minorHAnsi" w:hAnsiTheme="minorHAnsi" w:cstheme="minorHAnsi"/>
          <w:lang w:val="en-GB"/>
        </w:rPr>
        <w:t xml:space="preserve">The PBAC found that the criteria prescribed by the </w:t>
      </w:r>
      <w:r w:rsidRPr="00902195">
        <w:rPr>
          <w:rFonts w:asciiTheme="minorHAnsi" w:hAnsiTheme="minorHAnsi" w:cstheme="minorHAnsi"/>
          <w:i/>
          <w:lang w:val="en-GB"/>
        </w:rPr>
        <w:t>National Health (Pharmaceuticals and Vaccines – Cost Recovery) Regulations 2022</w:t>
      </w:r>
      <w:r w:rsidRPr="00902195">
        <w:rPr>
          <w:rFonts w:asciiTheme="minorHAnsi" w:hAnsiTheme="minorHAnsi" w:cstheme="minorHAnsi"/>
          <w:lang w:val="en-GB"/>
        </w:rPr>
        <w:t xml:space="preserve"> for Pricing Pathway A </w:t>
      </w:r>
      <w:proofErr w:type="gramStart"/>
      <w:r w:rsidRPr="00902195">
        <w:rPr>
          <w:rFonts w:asciiTheme="minorHAnsi" w:hAnsiTheme="minorHAnsi" w:cstheme="minorHAnsi"/>
          <w:lang w:val="en-GB"/>
        </w:rPr>
        <w:t>were not met</w:t>
      </w:r>
      <w:proofErr w:type="gramEnd"/>
      <w:r w:rsidRPr="00902195">
        <w:rPr>
          <w:rFonts w:asciiTheme="minorHAnsi" w:hAnsiTheme="minorHAnsi" w:cstheme="minorHAnsi"/>
          <w:lang w:val="en-GB"/>
        </w:rPr>
        <w:t xml:space="preserve">. </w:t>
      </w:r>
      <w:r w:rsidRPr="00902195">
        <w:rPr>
          <w:rFonts w:asciiTheme="minorHAnsi" w:hAnsiTheme="minorHAnsi" w:cstheme="minorHAnsi"/>
          <w:lang w:val="en-GB"/>
        </w:rPr>
        <w:lastRenderedPageBreak/>
        <w:t>Specifically</w:t>
      </w:r>
      <w:r w:rsidR="00902195">
        <w:rPr>
          <w:rFonts w:asciiTheme="minorHAnsi" w:hAnsiTheme="minorHAnsi" w:cstheme="minorHAnsi"/>
          <w:lang w:val="en-GB"/>
        </w:rPr>
        <w:t>,</w:t>
      </w:r>
      <w:r w:rsidRPr="00902195">
        <w:rPr>
          <w:rFonts w:asciiTheme="minorHAnsi" w:hAnsiTheme="minorHAnsi" w:cstheme="minorHAnsi"/>
          <w:lang w:val="en-GB"/>
        </w:rPr>
        <w:t xml:space="preserve"> the PBAC found that in the circumstances of its recommendation for </w:t>
      </w:r>
      <w:r w:rsidR="00902195">
        <w:rPr>
          <w:rFonts w:asciiTheme="minorHAnsi" w:hAnsiTheme="minorHAnsi" w:cstheme="minorHAnsi"/>
          <w:lang w:val="en-GB"/>
        </w:rPr>
        <w:t>omavelox</w:t>
      </w:r>
      <w:r w:rsidR="00082234">
        <w:rPr>
          <w:rFonts w:asciiTheme="minorHAnsi" w:hAnsiTheme="minorHAnsi" w:cstheme="minorHAnsi"/>
          <w:lang w:val="en-GB"/>
        </w:rPr>
        <w:t>olone</w:t>
      </w:r>
      <w:r w:rsidRPr="00902195">
        <w:rPr>
          <w:rFonts w:asciiTheme="minorHAnsi" w:hAnsiTheme="minorHAnsi" w:cstheme="minorHAnsi"/>
          <w:lang w:val="en-GB"/>
        </w:rPr>
        <w:t>:</w:t>
      </w:r>
    </w:p>
    <w:p w14:paraId="6494D72D" w14:textId="5073FF0A" w:rsidR="00C56D8D" w:rsidRPr="00763DFB" w:rsidRDefault="00C56D8D" w:rsidP="008028C6">
      <w:pPr>
        <w:numPr>
          <w:ilvl w:val="1"/>
          <w:numId w:val="32"/>
        </w:numPr>
        <w:spacing w:after="120"/>
        <w:ind w:left="1077" w:hanging="357"/>
        <w:rPr>
          <w:rFonts w:asciiTheme="minorHAnsi" w:hAnsiTheme="minorHAnsi" w:cstheme="minorHAnsi"/>
          <w:lang w:val="en-GB"/>
        </w:rPr>
      </w:pPr>
      <w:r w:rsidRPr="00763DFB">
        <w:rPr>
          <w:rFonts w:asciiTheme="minorHAnsi" w:hAnsiTheme="minorHAnsi" w:cstheme="minorHAnsi"/>
          <w:lang w:val="en-GB"/>
        </w:rPr>
        <w:t xml:space="preserve">The treatment </w:t>
      </w:r>
      <w:proofErr w:type="gramStart"/>
      <w:r w:rsidRPr="00763DFB">
        <w:rPr>
          <w:rFonts w:asciiTheme="minorHAnsi" w:hAnsiTheme="minorHAnsi" w:cstheme="minorHAnsi"/>
          <w:lang w:val="en-GB"/>
        </w:rPr>
        <w:t>is</w:t>
      </w:r>
      <w:r w:rsidR="00EE1579">
        <w:rPr>
          <w:rFonts w:asciiTheme="minorHAnsi" w:hAnsiTheme="minorHAnsi" w:cstheme="minorHAnsi"/>
          <w:lang w:val="en-GB"/>
        </w:rPr>
        <w:t xml:space="preserve"> not</w:t>
      </w:r>
      <w:r w:rsidRPr="00763DFB">
        <w:rPr>
          <w:rFonts w:asciiTheme="minorHAnsi" w:hAnsiTheme="minorHAnsi" w:cstheme="minorHAnsi"/>
          <w:lang w:val="en-GB"/>
        </w:rPr>
        <w:t xml:space="preserve"> expected</w:t>
      </w:r>
      <w:proofErr w:type="gramEnd"/>
      <w:r w:rsidRPr="00763DFB">
        <w:rPr>
          <w:rFonts w:asciiTheme="minorHAnsi" w:hAnsiTheme="minorHAnsi" w:cstheme="minorHAnsi"/>
          <w:lang w:val="en-GB"/>
        </w:rPr>
        <w:t xml:space="preserve"> to provide a substantial improvement in efficacy, over </w:t>
      </w:r>
      <w:r w:rsidR="00671139">
        <w:rPr>
          <w:rFonts w:asciiTheme="minorHAnsi" w:hAnsiTheme="minorHAnsi" w:cstheme="minorHAnsi"/>
          <w:lang w:val="en-GB"/>
        </w:rPr>
        <w:t>BSC</w:t>
      </w:r>
      <w:r w:rsidR="00EE1579">
        <w:rPr>
          <w:rFonts w:asciiTheme="minorHAnsi" w:hAnsiTheme="minorHAnsi" w:cstheme="minorHAnsi"/>
          <w:lang w:val="en-GB"/>
        </w:rPr>
        <w:t>, based on the results of the MOXIE Part 2 trial</w:t>
      </w:r>
      <w:r w:rsidRPr="00763DFB">
        <w:rPr>
          <w:rFonts w:asciiTheme="minorHAnsi" w:hAnsiTheme="minorHAnsi" w:cstheme="minorHAnsi"/>
          <w:lang w:val="en-GB"/>
        </w:rPr>
        <w:t xml:space="preserve">; </w:t>
      </w:r>
    </w:p>
    <w:p w14:paraId="5B2EA29A" w14:textId="2A760728" w:rsidR="00FF6D88" w:rsidRPr="00FF6D88" w:rsidRDefault="00C56D8D" w:rsidP="008028C6">
      <w:pPr>
        <w:numPr>
          <w:ilvl w:val="1"/>
          <w:numId w:val="32"/>
        </w:numPr>
        <w:spacing w:after="120"/>
        <w:ind w:left="1077" w:hanging="357"/>
        <w:rPr>
          <w:rFonts w:asciiTheme="minorHAnsi" w:hAnsiTheme="minorHAnsi"/>
          <w:bCs/>
          <w:snapToGrid w:val="0"/>
          <w:lang w:val="en-GB"/>
        </w:rPr>
      </w:pPr>
      <w:r w:rsidRPr="00763DFB">
        <w:rPr>
          <w:rFonts w:asciiTheme="minorHAnsi" w:hAnsiTheme="minorHAnsi" w:cstheme="minorHAnsi"/>
          <w:lang w:val="en-GB"/>
        </w:rPr>
        <w:t xml:space="preserve">The treatment </w:t>
      </w:r>
      <w:proofErr w:type="gramStart"/>
      <w:r w:rsidRPr="00763DFB">
        <w:rPr>
          <w:rFonts w:asciiTheme="minorHAnsi" w:hAnsiTheme="minorHAnsi" w:cstheme="minorHAnsi"/>
          <w:lang w:val="en-GB"/>
        </w:rPr>
        <w:t>is expected</w:t>
      </w:r>
      <w:proofErr w:type="gramEnd"/>
      <w:r w:rsidRPr="00763DFB">
        <w:rPr>
          <w:rFonts w:asciiTheme="minorHAnsi" w:hAnsiTheme="minorHAnsi" w:cstheme="minorHAnsi"/>
          <w:lang w:val="en-GB"/>
        </w:rPr>
        <w:t xml:space="preserve"> to address a high and urgent unmet clinical need </w:t>
      </w:r>
      <w:r w:rsidR="00AA370E">
        <w:rPr>
          <w:rFonts w:asciiTheme="minorHAnsi" w:hAnsiTheme="minorHAnsi" w:cstheme="minorHAnsi"/>
          <w:lang w:val="en-GB"/>
        </w:rPr>
        <w:t xml:space="preserve">as there are currently </w:t>
      </w:r>
      <w:r w:rsidR="00EA51B0">
        <w:rPr>
          <w:rFonts w:asciiTheme="minorHAnsi" w:hAnsiTheme="minorHAnsi" w:cstheme="minorHAnsi"/>
          <w:lang w:val="en-GB"/>
        </w:rPr>
        <w:t>no effective treatments for this patient population;</w:t>
      </w:r>
      <w:r w:rsidR="00FF6D88">
        <w:rPr>
          <w:rFonts w:asciiTheme="minorHAnsi" w:hAnsiTheme="minorHAnsi" w:cstheme="minorHAnsi"/>
          <w:lang w:val="en-GB"/>
        </w:rPr>
        <w:t xml:space="preserve"> </w:t>
      </w:r>
    </w:p>
    <w:p w14:paraId="6CE04774" w14:textId="39DEF60F" w:rsidR="00FF6D88" w:rsidRPr="00FF6D88" w:rsidRDefault="00C56D8D" w:rsidP="008028C6">
      <w:pPr>
        <w:numPr>
          <w:ilvl w:val="1"/>
          <w:numId w:val="32"/>
        </w:numPr>
        <w:spacing w:after="120"/>
        <w:ind w:left="1077" w:hanging="357"/>
        <w:rPr>
          <w:rFonts w:asciiTheme="minorHAnsi" w:hAnsiTheme="minorHAnsi"/>
          <w:snapToGrid w:val="0"/>
        </w:rPr>
      </w:pPr>
      <w:r w:rsidRPr="4BA194F5">
        <w:rPr>
          <w:rFonts w:asciiTheme="minorHAnsi" w:hAnsiTheme="minorHAnsi" w:cstheme="minorBidi"/>
        </w:rPr>
        <w:t>It was not necessary to make a finding in relation to whether it would be in the public interest for the subsequent pricing application to be progressed under Pricing Pathway A because one or more of the preceding tests had failed</w:t>
      </w:r>
      <w:r w:rsidR="00EA51B0" w:rsidRPr="4BA194F5">
        <w:rPr>
          <w:rFonts w:asciiTheme="minorHAnsi" w:hAnsiTheme="minorHAnsi" w:cstheme="minorBidi"/>
        </w:rPr>
        <w:t>.</w:t>
      </w:r>
      <w:r w:rsidR="00202AE4">
        <w:rPr>
          <w:rFonts w:asciiTheme="minorHAnsi" w:hAnsiTheme="minorHAnsi" w:cstheme="minorBidi"/>
        </w:rPr>
        <w:t xml:space="preserve"> </w:t>
      </w:r>
    </w:p>
    <w:p w14:paraId="1BF2AC59" w14:textId="77777777" w:rsidR="00FF6D88" w:rsidRDefault="00C56D8D" w:rsidP="008028C6">
      <w:pPr>
        <w:pStyle w:val="3-BodyText"/>
        <w:rPr>
          <w:snapToGrid w:val="0"/>
          <w:lang w:val="en-GB"/>
        </w:rPr>
      </w:pPr>
      <w:r w:rsidRPr="00FF6D88">
        <w:rPr>
          <w:snapToGrid w:val="0"/>
          <w:lang w:val="en-GB"/>
        </w:rPr>
        <w:t>The PBAC noted that this submission is not eligible for an Independent Review</w:t>
      </w:r>
      <w:r w:rsidR="00FF6D88">
        <w:rPr>
          <w:snapToGrid w:val="0"/>
          <w:lang w:val="en-GB"/>
        </w:rPr>
        <w:t xml:space="preserve"> as it received a positive recommendation</w:t>
      </w:r>
      <w:r w:rsidRPr="00FF6D88">
        <w:rPr>
          <w:snapToGrid w:val="0"/>
          <w:lang w:val="en-GB"/>
        </w:rPr>
        <w:t xml:space="preserve">. </w:t>
      </w:r>
    </w:p>
    <w:p w14:paraId="481E349A" w14:textId="0C07A286" w:rsidR="00C56D8D" w:rsidRPr="00525B39" w:rsidRDefault="00C56D8D" w:rsidP="008028C6">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49D4D23C" w14:textId="588BA792" w:rsidR="00C56D8D" w:rsidRPr="00525B39" w:rsidRDefault="00C56D8D" w:rsidP="008028C6">
      <w:pPr>
        <w:rPr>
          <w:rFonts w:asciiTheme="minorHAnsi" w:hAnsiTheme="minorHAnsi"/>
          <w:bCs/>
          <w:snapToGrid w:val="0"/>
          <w:lang w:val="en-GB"/>
        </w:rPr>
      </w:pPr>
      <w:r w:rsidRPr="00525B39">
        <w:rPr>
          <w:rFonts w:asciiTheme="minorHAnsi" w:hAnsiTheme="minorHAnsi"/>
          <w:bCs/>
          <w:snapToGrid w:val="0"/>
          <w:lang w:val="en-GB"/>
        </w:rPr>
        <w:t>Recommended</w:t>
      </w:r>
    </w:p>
    <w:p w14:paraId="04921CEB" w14:textId="77777777" w:rsidR="00C56D8D" w:rsidRPr="00525B39" w:rsidRDefault="00C56D8D" w:rsidP="008028C6">
      <w:pPr>
        <w:rPr>
          <w:rFonts w:asciiTheme="minorHAnsi" w:hAnsiTheme="minorHAnsi"/>
          <w:b/>
          <w:bCs/>
          <w:snapToGrid w:val="0"/>
        </w:rPr>
      </w:pPr>
    </w:p>
    <w:bookmarkEnd w:id="71"/>
    <w:p w14:paraId="3BF49788" w14:textId="77777777" w:rsidR="00C56D8D" w:rsidRPr="00907671" w:rsidRDefault="00C56D8D" w:rsidP="008028C6">
      <w:pPr>
        <w:pStyle w:val="2-SectionHeading"/>
        <w:numPr>
          <w:ilvl w:val="0"/>
          <w:numId w:val="1"/>
        </w:numPr>
      </w:pPr>
      <w:r w:rsidRPr="00907671">
        <w:t>Recommended listing</w:t>
      </w:r>
    </w:p>
    <w:p w14:paraId="350899B5" w14:textId="77777777" w:rsidR="00C56D8D" w:rsidRPr="00C01C01" w:rsidRDefault="00C56D8D" w:rsidP="008028C6">
      <w:pPr>
        <w:numPr>
          <w:ilvl w:val="1"/>
          <w:numId w:val="1"/>
        </w:numPr>
        <w:spacing w:after="120"/>
        <w:contextualSpacing/>
        <w:rPr>
          <w:rFonts w:asciiTheme="minorHAnsi" w:hAnsiTheme="minorHAnsi"/>
          <w:bCs/>
          <w:snapToGrid w:val="0"/>
        </w:rPr>
      </w:pPr>
      <w:r w:rsidRPr="00C01C01">
        <w:rPr>
          <w:rFonts w:asciiTheme="minorHAnsi" w:hAnsiTheme="minorHAnsi"/>
          <w:bCs/>
          <w:snapToGrid w:val="0"/>
        </w:rPr>
        <w:t>Add new item:</w:t>
      </w:r>
    </w:p>
    <w:p w14:paraId="08F05DAE" w14:textId="77777777" w:rsidR="00D90733" w:rsidRDefault="00D90733" w:rsidP="008028C6">
      <w:pPr>
        <w:spacing w:before="120"/>
        <w:rPr>
          <w:rFonts w:asciiTheme="minorHAnsi" w:hAnsiTheme="minorHAnsi"/>
          <w:b/>
          <w:i/>
          <w:iCs/>
          <w:snapToGrid w:val="0"/>
          <w:lang w:val="en-GB"/>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w:tblPr>
      <w:tblGrid>
        <w:gridCol w:w="1270"/>
        <w:gridCol w:w="1981"/>
        <w:gridCol w:w="1492"/>
        <w:gridCol w:w="812"/>
        <w:gridCol w:w="812"/>
        <w:gridCol w:w="812"/>
        <w:gridCol w:w="1888"/>
      </w:tblGrid>
      <w:tr w:rsidR="00D90733" w:rsidRPr="00317B83" w14:paraId="4FC09BD5" w14:textId="77777777" w:rsidTr="00910ECE">
        <w:trPr>
          <w:cantSplit/>
          <w:trHeight w:val="20"/>
        </w:trPr>
        <w:tc>
          <w:tcPr>
            <w:tcW w:w="1792" w:type="pct"/>
            <w:gridSpan w:val="2"/>
            <w:vAlign w:val="center"/>
          </w:tcPr>
          <w:p w14:paraId="1B945308" w14:textId="77777777" w:rsidR="00D90733" w:rsidRPr="00317B83" w:rsidRDefault="00D90733" w:rsidP="008028C6">
            <w:pPr>
              <w:keepLines/>
              <w:rPr>
                <w:rFonts w:ascii="Arial Narrow" w:hAnsi="Arial Narrow"/>
                <w:b/>
                <w:bCs/>
                <w:sz w:val="20"/>
                <w:szCs w:val="20"/>
              </w:rPr>
            </w:pPr>
            <w:r w:rsidRPr="00317B83">
              <w:rPr>
                <w:rFonts w:ascii="Arial Narrow" w:hAnsi="Arial Narrow"/>
                <w:b/>
                <w:bCs/>
                <w:sz w:val="20"/>
                <w:szCs w:val="20"/>
              </w:rPr>
              <w:t>MEDICINAL PRODUCT</w:t>
            </w:r>
          </w:p>
          <w:p w14:paraId="244213D4" w14:textId="77777777" w:rsidR="00D90733" w:rsidRPr="00317B83" w:rsidRDefault="00D90733" w:rsidP="008028C6">
            <w:pPr>
              <w:keepLines/>
              <w:rPr>
                <w:rFonts w:ascii="Arial Narrow" w:hAnsi="Arial Narrow"/>
                <w:b/>
                <w:sz w:val="20"/>
                <w:szCs w:val="20"/>
              </w:rPr>
            </w:pPr>
            <w:r w:rsidRPr="00317B83">
              <w:rPr>
                <w:rFonts w:ascii="Arial Narrow" w:hAnsi="Arial Narrow"/>
                <w:b/>
                <w:bCs/>
                <w:sz w:val="20"/>
                <w:szCs w:val="20"/>
              </w:rPr>
              <w:t>medicinal product pack</w:t>
            </w:r>
          </w:p>
        </w:tc>
        <w:tc>
          <w:tcPr>
            <w:tcW w:w="823" w:type="pct"/>
            <w:vAlign w:val="center"/>
          </w:tcPr>
          <w:p w14:paraId="15FF6F27" w14:textId="77777777" w:rsidR="00D90733" w:rsidRPr="00317B83" w:rsidRDefault="00D90733" w:rsidP="008028C6">
            <w:pPr>
              <w:keepLines/>
              <w:jc w:val="center"/>
              <w:rPr>
                <w:rFonts w:ascii="Arial Narrow" w:hAnsi="Arial Narrow"/>
                <w:b/>
                <w:sz w:val="20"/>
                <w:szCs w:val="20"/>
              </w:rPr>
            </w:pPr>
            <w:r w:rsidRPr="00317B83">
              <w:rPr>
                <w:rFonts w:ascii="Arial Narrow" w:hAnsi="Arial Narrow"/>
                <w:b/>
                <w:sz w:val="20"/>
                <w:szCs w:val="20"/>
              </w:rPr>
              <w:t>PBS item code</w:t>
            </w:r>
          </w:p>
        </w:tc>
        <w:tc>
          <w:tcPr>
            <w:tcW w:w="448" w:type="pct"/>
            <w:vAlign w:val="center"/>
          </w:tcPr>
          <w:p w14:paraId="0357FB6C" w14:textId="77777777" w:rsidR="00D90733" w:rsidRPr="00317B83" w:rsidRDefault="00D90733" w:rsidP="008028C6">
            <w:pPr>
              <w:keepLines/>
              <w:jc w:val="center"/>
              <w:rPr>
                <w:rFonts w:ascii="Arial Narrow" w:hAnsi="Arial Narrow"/>
                <w:b/>
                <w:sz w:val="20"/>
                <w:szCs w:val="20"/>
              </w:rPr>
            </w:pPr>
            <w:r w:rsidRPr="00317B83">
              <w:rPr>
                <w:rFonts w:ascii="Arial Narrow" w:hAnsi="Arial Narrow"/>
                <w:b/>
                <w:sz w:val="20"/>
                <w:szCs w:val="20"/>
              </w:rPr>
              <w:t>Max. qty packs</w:t>
            </w:r>
          </w:p>
        </w:tc>
        <w:tc>
          <w:tcPr>
            <w:tcW w:w="448" w:type="pct"/>
            <w:vAlign w:val="center"/>
          </w:tcPr>
          <w:p w14:paraId="6154FFF3" w14:textId="77777777" w:rsidR="00D90733" w:rsidRPr="00317B83" w:rsidRDefault="00D90733" w:rsidP="008028C6">
            <w:pPr>
              <w:keepLines/>
              <w:jc w:val="center"/>
              <w:rPr>
                <w:rFonts w:ascii="Arial Narrow" w:hAnsi="Arial Narrow"/>
                <w:b/>
                <w:sz w:val="20"/>
                <w:szCs w:val="20"/>
              </w:rPr>
            </w:pPr>
            <w:r w:rsidRPr="00317B83">
              <w:rPr>
                <w:rFonts w:ascii="Arial Narrow" w:hAnsi="Arial Narrow"/>
                <w:b/>
                <w:sz w:val="20"/>
                <w:szCs w:val="20"/>
              </w:rPr>
              <w:t>Max. qty units</w:t>
            </w:r>
          </w:p>
        </w:tc>
        <w:tc>
          <w:tcPr>
            <w:tcW w:w="448" w:type="pct"/>
            <w:vAlign w:val="center"/>
          </w:tcPr>
          <w:p w14:paraId="14EC0371" w14:textId="77777777" w:rsidR="00D90733" w:rsidRPr="00317B83" w:rsidRDefault="00D90733" w:rsidP="008028C6">
            <w:pPr>
              <w:keepLines/>
              <w:jc w:val="center"/>
              <w:rPr>
                <w:rFonts w:ascii="Arial Narrow" w:hAnsi="Arial Narrow"/>
                <w:b/>
                <w:sz w:val="20"/>
                <w:szCs w:val="20"/>
              </w:rPr>
            </w:pPr>
            <w:r w:rsidRPr="00317B83">
              <w:rPr>
                <w:rFonts w:ascii="Arial Narrow" w:hAnsi="Arial Narrow"/>
                <w:b/>
                <w:sz w:val="20"/>
                <w:szCs w:val="20"/>
              </w:rPr>
              <w:t>№.of</w:t>
            </w:r>
          </w:p>
          <w:p w14:paraId="3D4CCAB0" w14:textId="77777777" w:rsidR="00D90733" w:rsidRPr="00317B83" w:rsidRDefault="00D90733" w:rsidP="008028C6">
            <w:pPr>
              <w:keepLines/>
              <w:jc w:val="center"/>
              <w:rPr>
                <w:rFonts w:ascii="Arial Narrow" w:hAnsi="Arial Narrow"/>
                <w:b/>
                <w:sz w:val="20"/>
                <w:szCs w:val="20"/>
              </w:rPr>
            </w:pPr>
            <w:r w:rsidRPr="00317B83">
              <w:rPr>
                <w:rFonts w:ascii="Arial Narrow" w:hAnsi="Arial Narrow"/>
                <w:b/>
                <w:sz w:val="20"/>
                <w:szCs w:val="20"/>
              </w:rPr>
              <w:t>Rpts</w:t>
            </w:r>
          </w:p>
        </w:tc>
        <w:tc>
          <w:tcPr>
            <w:tcW w:w="1042" w:type="pct"/>
            <w:vAlign w:val="center"/>
          </w:tcPr>
          <w:p w14:paraId="46088419" w14:textId="77777777" w:rsidR="00D90733" w:rsidRPr="00317B83" w:rsidRDefault="00D90733" w:rsidP="008028C6">
            <w:pPr>
              <w:keepLines/>
              <w:rPr>
                <w:rFonts w:ascii="Arial Narrow" w:hAnsi="Arial Narrow"/>
                <w:b/>
                <w:sz w:val="20"/>
                <w:szCs w:val="20"/>
              </w:rPr>
            </w:pPr>
            <w:r w:rsidRPr="00317B83">
              <w:rPr>
                <w:rFonts w:ascii="Arial Narrow" w:hAnsi="Arial Narrow"/>
                <w:b/>
                <w:sz w:val="20"/>
                <w:szCs w:val="20"/>
              </w:rPr>
              <w:t>Available brands</w:t>
            </w:r>
          </w:p>
        </w:tc>
      </w:tr>
      <w:tr w:rsidR="00D90733" w:rsidRPr="00317B83" w14:paraId="14DDBE6A" w14:textId="77777777" w:rsidTr="00910ECE">
        <w:trPr>
          <w:cantSplit/>
          <w:trHeight w:val="20"/>
        </w:trPr>
        <w:tc>
          <w:tcPr>
            <w:tcW w:w="5000" w:type="pct"/>
            <w:gridSpan w:val="7"/>
            <w:vAlign w:val="center"/>
          </w:tcPr>
          <w:p w14:paraId="2B2711AC" w14:textId="77777777" w:rsidR="00D90733" w:rsidRPr="00317B83" w:rsidRDefault="00D90733" w:rsidP="008028C6">
            <w:pPr>
              <w:keepLines/>
              <w:rPr>
                <w:rFonts w:ascii="Arial Narrow" w:hAnsi="Arial Narrow"/>
                <w:sz w:val="20"/>
                <w:szCs w:val="20"/>
              </w:rPr>
            </w:pPr>
            <w:r w:rsidRPr="00317B83">
              <w:rPr>
                <w:rFonts w:ascii="Arial Narrow" w:hAnsi="Arial Narrow"/>
                <w:sz w:val="20"/>
                <w:szCs w:val="20"/>
              </w:rPr>
              <w:t>OMAVELOXOLONE</w:t>
            </w:r>
          </w:p>
        </w:tc>
      </w:tr>
      <w:tr w:rsidR="00D90733" w:rsidRPr="00317B83" w14:paraId="58D6BF60" w14:textId="77777777" w:rsidTr="00910ECE">
        <w:trPr>
          <w:cantSplit/>
          <w:trHeight w:val="20"/>
        </w:trPr>
        <w:tc>
          <w:tcPr>
            <w:tcW w:w="1792" w:type="pct"/>
            <w:gridSpan w:val="2"/>
            <w:vAlign w:val="center"/>
          </w:tcPr>
          <w:p w14:paraId="19DEB490" w14:textId="78989375" w:rsidR="00D90733" w:rsidRPr="00317B83" w:rsidRDefault="00D90733" w:rsidP="008028C6">
            <w:pPr>
              <w:keepLines/>
              <w:rPr>
                <w:rFonts w:ascii="Arial Narrow" w:hAnsi="Arial Narrow"/>
                <w:sz w:val="20"/>
                <w:szCs w:val="20"/>
              </w:rPr>
            </w:pPr>
            <w:r w:rsidRPr="00317B83">
              <w:rPr>
                <w:rFonts w:ascii="Arial Narrow" w:hAnsi="Arial Narrow"/>
                <w:i/>
                <w:iCs/>
                <w:sz w:val="20"/>
                <w:szCs w:val="20"/>
              </w:rPr>
              <w:t>o</w:t>
            </w:r>
            <w:r w:rsidRPr="00317B83">
              <w:rPr>
                <w:rFonts w:ascii="Arial Narrow" w:hAnsi="Arial Narrow"/>
                <w:sz w:val="20"/>
                <w:szCs w:val="20"/>
              </w:rPr>
              <w:t>maveloxolone 50 mg capsule</w:t>
            </w:r>
            <w:r w:rsidRPr="00581D7F">
              <w:rPr>
                <w:rFonts w:ascii="Arial Narrow" w:hAnsi="Arial Narrow"/>
                <w:sz w:val="20"/>
                <w:szCs w:val="20"/>
              </w:rPr>
              <w:t>,</w:t>
            </w:r>
            <w:r w:rsidRPr="00317B83">
              <w:rPr>
                <w:rFonts w:ascii="Arial Narrow" w:hAnsi="Arial Narrow"/>
                <w:i/>
                <w:iCs/>
                <w:sz w:val="20"/>
                <w:szCs w:val="20"/>
              </w:rPr>
              <w:t xml:space="preserve"> </w:t>
            </w:r>
            <w:r w:rsidRPr="0024213B">
              <w:rPr>
                <w:rFonts w:ascii="Arial Narrow" w:hAnsi="Arial Narrow"/>
                <w:sz w:val="20"/>
                <w:szCs w:val="20"/>
              </w:rPr>
              <w:t>90</w:t>
            </w:r>
            <w:r w:rsidRPr="00317B83">
              <w:rPr>
                <w:rFonts w:ascii="Arial Narrow" w:hAnsi="Arial Narrow"/>
                <w:strike/>
                <w:sz w:val="20"/>
                <w:szCs w:val="20"/>
              </w:rPr>
              <w:t xml:space="preserve"> </w:t>
            </w:r>
          </w:p>
        </w:tc>
        <w:tc>
          <w:tcPr>
            <w:tcW w:w="823" w:type="pct"/>
            <w:vAlign w:val="center"/>
          </w:tcPr>
          <w:p w14:paraId="158FACAC" w14:textId="77777777" w:rsidR="007166C1" w:rsidRDefault="00D90733" w:rsidP="008028C6">
            <w:pPr>
              <w:keepLines/>
              <w:jc w:val="center"/>
              <w:rPr>
                <w:rFonts w:ascii="Arial Narrow" w:hAnsi="Arial Narrow"/>
                <w:sz w:val="20"/>
                <w:szCs w:val="20"/>
              </w:rPr>
            </w:pPr>
            <w:r w:rsidRPr="00317B83">
              <w:rPr>
                <w:rFonts w:ascii="Arial Narrow" w:hAnsi="Arial Narrow"/>
                <w:sz w:val="20"/>
                <w:szCs w:val="20"/>
              </w:rPr>
              <w:t xml:space="preserve">NEW </w:t>
            </w:r>
          </w:p>
          <w:p w14:paraId="5BDDEA07" w14:textId="42A6D6EA" w:rsidR="00D90733" w:rsidRPr="00317B83" w:rsidRDefault="00D90733" w:rsidP="008028C6">
            <w:pPr>
              <w:keepLines/>
              <w:jc w:val="center"/>
              <w:rPr>
                <w:rFonts w:ascii="Arial Narrow" w:hAnsi="Arial Narrow"/>
                <w:sz w:val="20"/>
                <w:szCs w:val="20"/>
                <w:vertAlign w:val="superscript"/>
              </w:rPr>
            </w:pPr>
            <w:r w:rsidRPr="00317B83">
              <w:rPr>
                <w:rFonts w:ascii="Arial Narrow" w:hAnsi="Arial Narrow"/>
                <w:sz w:val="20"/>
                <w:szCs w:val="20"/>
                <w:vertAlign w:val="superscript"/>
              </w:rPr>
              <w:t>MP</w:t>
            </w:r>
          </w:p>
        </w:tc>
        <w:tc>
          <w:tcPr>
            <w:tcW w:w="448" w:type="pct"/>
            <w:vAlign w:val="center"/>
          </w:tcPr>
          <w:p w14:paraId="6B67FC76" w14:textId="77777777" w:rsidR="00D90733" w:rsidRPr="00317B83" w:rsidRDefault="00D90733" w:rsidP="008028C6">
            <w:pPr>
              <w:keepLines/>
              <w:jc w:val="center"/>
              <w:rPr>
                <w:rFonts w:ascii="Arial Narrow" w:hAnsi="Arial Narrow"/>
                <w:sz w:val="20"/>
                <w:szCs w:val="20"/>
              </w:rPr>
            </w:pPr>
            <w:r w:rsidRPr="00317B83">
              <w:rPr>
                <w:rFonts w:ascii="Arial Narrow" w:hAnsi="Arial Narrow"/>
                <w:sz w:val="20"/>
                <w:szCs w:val="20"/>
              </w:rPr>
              <w:t>1</w:t>
            </w:r>
          </w:p>
        </w:tc>
        <w:tc>
          <w:tcPr>
            <w:tcW w:w="448" w:type="pct"/>
            <w:vAlign w:val="center"/>
          </w:tcPr>
          <w:p w14:paraId="0F4D269E" w14:textId="77777777" w:rsidR="00D90733" w:rsidRPr="00317B83" w:rsidRDefault="00D90733" w:rsidP="008028C6">
            <w:pPr>
              <w:keepLines/>
              <w:jc w:val="center"/>
              <w:rPr>
                <w:rFonts w:ascii="Arial Narrow" w:hAnsi="Arial Narrow"/>
                <w:sz w:val="20"/>
                <w:szCs w:val="20"/>
              </w:rPr>
            </w:pPr>
            <w:r w:rsidRPr="00317B83">
              <w:rPr>
                <w:rFonts w:ascii="Arial Narrow" w:hAnsi="Arial Narrow"/>
                <w:sz w:val="20"/>
                <w:szCs w:val="20"/>
              </w:rPr>
              <w:t>90</w:t>
            </w:r>
          </w:p>
        </w:tc>
        <w:tc>
          <w:tcPr>
            <w:tcW w:w="448" w:type="pct"/>
            <w:vAlign w:val="center"/>
          </w:tcPr>
          <w:p w14:paraId="1DCF36AB" w14:textId="77777777" w:rsidR="00D90733" w:rsidRPr="00317B83" w:rsidRDefault="00D90733" w:rsidP="008028C6">
            <w:pPr>
              <w:keepLines/>
              <w:jc w:val="center"/>
              <w:rPr>
                <w:rFonts w:ascii="Arial Narrow" w:hAnsi="Arial Narrow"/>
                <w:sz w:val="20"/>
                <w:szCs w:val="20"/>
              </w:rPr>
            </w:pPr>
            <w:r w:rsidRPr="00317B83">
              <w:rPr>
                <w:rFonts w:ascii="Arial Narrow" w:hAnsi="Arial Narrow"/>
                <w:sz w:val="20"/>
                <w:szCs w:val="20"/>
              </w:rPr>
              <w:t>5</w:t>
            </w:r>
          </w:p>
        </w:tc>
        <w:tc>
          <w:tcPr>
            <w:tcW w:w="1042" w:type="pct"/>
            <w:vAlign w:val="center"/>
          </w:tcPr>
          <w:p w14:paraId="31710B99" w14:textId="77777777" w:rsidR="00D90733" w:rsidRPr="00317B83" w:rsidRDefault="00D90733" w:rsidP="008028C6">
            <w:pPr>
              <w:keepLines/>
              <w:rPr>
                <w:rFonts w:ascii="Arial Narrow" w:hAnsi="Arial Narrow"/>
                <w:sz w:val="20"/>
                <w:szCs w:val="20"/>
              </w:rPr>
            </w:pPr>
            <w:r w:rsidRPr="00317B83">
              <w:rPr>
                <w:rFonts w:ascii="Arial Narrow" w:hAnsi="Arial Narrow"/>
                <w:sz w:val="20"/>
                <w:szCs w:val="20"/>
              </w:rPr>
              <w:t>Skyclarys</w:t>
            </w:r>
          </w:p>
        </w:tc>
      </w:tr>
      <w:tr w:rsidR="00D90733" w:rsidRPr="00317B83" w14:paraId="4FAD31F3" w14:textId="77777777" w:rsidTr="00910ECE">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4178BB10" w14:textId="77777777" w:rsidR="00D90733" w:rsidRPr="00317B83" w:rsidRDefault="00D90733" w:rsidP="008028C6">
            <w:pPr>
              <w:rPr>
                <w:rFonts w:ascii="Arial Narrow" w:hAnsi="Arial Narrow"/>
                <w:sz w:val="20"/>
                <w:szCs w:val="20"/>
              </w:rPr>
            </w:pPr>
          </w:p>
        </w:tc>
      </w:tr>
      <w:tr w:rsidR="004D12FE" w:rsidRPr="00317B83" w14:paraId="4E819A46" w14:textId="77777777" w:rsidTr="00910ECE">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9C465CA" w14:textId="77777777" w:rsidR="004D12FE" w:rsidRPr="00317B83" w:rsidRDefault="004D12FE" w:rsidP="008028C6">
            <w:pPr>
              <w:keepLines/>
              <w:rPr>
                <w:rFonts w:ascii="Arial Narrow" w:hAnsi="Arial Narrow"/>
                <w:sz w:val="20"/>
                <w:szCs w:val="20"/>
              </w:rPr>
            </w:pPr>
            <w:r w:rsidRPr="00317B83">
              <w:rPr>
                <w:rFonts w:ascii="Arial Narrow" w:hAnsi="Arial Narrow"/>
                <w:b/>
                <w:sz w:val="20"/>
                <w:szCs w:val="20"/>
              </w:rPr>
              <w:t>Category / Program:</w:t>
            </w:r>
            <w:r w:rsidRPr="00317B83">
              <w:rPr>
                <w:rFonts w:ascii="Arial Narrow" w:hAnsi="Arial Narrow"/>
                <w:sz w:val="20"/>
                <w:szCs w:val="20"/>
              </w:rPr>
              <w:t xml:space="preserve"> </w:t>
            </w:r>
            <w:r w:rsidRPr="00317B83">
              <w:rPr>
                <w:rFonts w:ascii="Arial Narrow" w:hAnsi="Arial Narrow"/>
                <w:sz w:val="20"/>
                <w:szCs w:val="20"/>
              </w:rPr>
              <w:fldChar w:fldCharType="begin" w:fldLock="1">
                <w:ffData>
                  <w:name w:val=""/>
                  <w:enabled/>
                  <w:calcOnExit w:val="0"/>
                  <w:checkBox>
                    <w:sizeAuto/>
                    <w:default w:val="1"/>
                  </w:checkBox>
                </w:ffData>
              </w:fldChar>
            </w:r>
            <w:r w:rsidRPr="00317B83">
              <w:rPr>
                <w:rFonts w:ascii="Arial Narrow" w:hAnsi="Arial Narrow"/>
                <w:sz w:val="20"/>
                <w:szCs w:val="20"/>
              </w:rPr>
              <w:instrText xml:space="preserve"> FORMCHECKBOX </w:instrText>
            </w:r>
            <w:r w:rsidRPr="00317B83">
              <w:rPr>
                <w:rFonts w:ascii="Arial Narrow" w:hAnsi="Arial Narrow"/>
                <w:sz w:val="20"/>
                <w:szCs w:val="20"/>
              </w:rPr>
            </w:r>
            <w:r w:rsidRPr="00317B83">
              <w:rPr>
                <w:rFonts w:ascii="Arial Narrow" w:hAnsi="Arial Narrow"/>
                <w:sz w:val="20"/>
                <w:szCs w:val="20"/>
              </w:rPr>
              <w:fldChar w:fldCharType="separate"/>
            </w:r>
            <w:r w:rsidRPr="00317B83">
              <w:rPr>
                <w:rFonts w:ascii="Arial Narrow" w:hAnsi="Arial Narrow"/>
                <w:sz w:val="20"/>
                <w:szCs w:val="20"/>
              </w:rPr>
              <w:fldChar w:fldCharType="end"/>
            </w:r>
            <w:r w:rsidRPr="00317B83">
              <w:rPr>
                <w:rFonts w:ascii="Arial Narrow" w:hAnsi="Arial Narrow"/>
                <w:sz w:val="20"/>
                <w:szCs w:val="20"/>
              </w:rPr>
              <w:t xml:space="preserve"> </w:t>
            </w:r>
            <w:r w:rsidRPr="00317B83">
              <w:rPr>
                <w:rFonts w:ascii="Arial Narrow" w:eastAsia="Calibri" w:hAnsi="Arial Narrow"/>
                <w:sz w:val="20"/>
                <w:szCs w:val="20"/>
              </w:rPr>
              <w:t xml:space="preserve">GENERAL - General Schedule (Code GE) </w:t>
            </w:r>
          </w:p>
        </w:tc>
      </w:tr>
      <w:tr w:rsidR="004D12FE" w:rsidRPr="00317B83" w14:paraId="4DBC42B9" w14:textId="77777777" w:rsidTr="00910ECE">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21F84D5A" w14:textId="77777777" w:rsidR="004D12FE" w:rsidRPr="00317B83" w:rsidRDefault="004D12FE" w:rsidP="008028C6">
            <w:pPr>
              <w:keepLines/>
              <w:rPr>
                <w:rFonts w:ascii="Arial Narrow" w:hAnsi="Arial Narrow"/>
                <w:b/>
                <w:sz w:val="20"/>
                <w:szCs w:val="20"/>
              </w:rPr>
            </w:pPr>
            <w:r w:rsidRPr="00317B83">
              <w:rPr>
                <w:rFonts w:ascii="Arial Narrow" w:hAnsi="Arial Narrow"/>
                <w:b/>
                <w:sz w:val="20"/>
                <w:szCs w:val="20"/>
              </w:rPr>
              <w:t xml:space="preserve">Prescriber type: </w:t>
            </w:r>
            <w:r w:rsidRPr="00317B83">
              <w:rPr>
                <w:rFonts w:ascii="Arial Narrow" w:hAnsi="Arial Narrow"/>
                <w:sz w:val="20"/>
                <w:szCs w:val="20"/>
              </w:rPr>
              <w:fldChar w:fldCharType="begin" w:fldLock="1">
                <w:ffData>
                  <w:name w:val=""/>
                  <w:enabled/>
                  <w:calcOnExit w:val="0"/>
                  <w:checkBox>
                    <w:sizeAuto/>
                    <w:default w:val="1"/>
                  </w:checkBox>
                </w:ffData>
              </w:fldChar>
            </w:r>
            <w:r w:rsidRPr="00317B83">
              <w:rPr>
                <w:rFonts w:ascii="Arial Narrow" w:hAnsi="Arial Narrow"/>
                <w:sz w:val="20"/>
                <w:szCs w:val="20"/>
              </w:rPr>
              <w:instrText xml:space="preserve"> FORMCHECKBOX </w:instrText>
            </w:r>
            <w:r w:rsidRPr="00317B83">
              <w:rPr>
                <w:rFonts w:ascii="Arial Narrow" w:hAnsi="Arial Narrow"/>
                <w:sz w:val="20"/>
                <w:szCs w:val="20"/>
              </w:rPr>
            </w:r>
            <w:r w:rsidRPr="00317B83">
              <w:rPr>
                <w:rFonts w:ascii="Arial Narrow" w:hAnsi="Arial Narrow"/>
                <w:sz w:val="20"/>
                <w:szCs w:val="20"/>
              </w:rPr>
              <w:fldChar w:fldCharType="separate"/>
            </w:r>
            <w:r w:rsidRPr="00317B83">
              <w:rPr>
                <w:rFonts w:ascii="Arial Narrow" w:hAnsi="Arial Narrow"/>
                <w:sz w:val="20"/>
                <w:szCs w:val="20"/>
              </w:rPr>
              <w:fldChar w:fldCharType="end"/>
            </w:r>
            <w:r w:rsidRPr="00317B83">
              <w:rPr>
                <w:rFonts w:ascii="Arial Narrow" w:hAnsi="Arial Narrow"/>
                <w:sz w:val="20"/>
                <w:szCs w:val="20"/>
              </w:rPr>
              <w:t xml:space="preserve"> Medical Practitioners </w:t>
            </w:r>
          </w:p>
        </w:tc>
      </w:tr>
      <w:tr w:rsidR="004D12FE" w:rsidRPr="00317B83" w14:paraId="3EEF3E9A" w14:textId="77777777" w:rsidTr="00910ECE">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40956923" w14:textId="77777777" w:rsidR="004D12FE" w:rsidRPr="00317B83" w:rsidRDefault="004D12FE" w:rsidP="008028C6">
            <w:pPr>
              <w:keepLines/>
              <w:jc w:val="left"/>
              <w:rPr>
                <w:rFonts w:ascii="Arial Narrow" w:hAnsi="Arial Narrow"/>
                <w:sz w:val="20"/>
                <w:szCs w:val="20"/>
              </w:rPr>
            </w:pPr>
            <w:r w:rsidRPr="00317B83">
              <w:rPr>
                <w:rFonts w:ascii="Arial Narrow" w:hAnsi="Arial Narrow"/>
                <w:b/>
                <w:sz w:val="20"/>
                <w:szCs w:val="20"/>
              </w:rPr>
              <w:t xml:space="preserve">Benefit type: </w:t>
            </w:r>
            <w:r w:rsidRPr="00317B83">
              <w:rPr>
                <w:rFonts w:ascii="Arial Narrow" w:hAnsi="Arial Narrow"/>
                <w:sz w:val="20"/>
                <w:szCs w:val="20"/>
              </w:rPr>
              <w:fldChar w:fldCharType="begin" w:fldLock="1">
                <w:ffData>
                  <w:name w:val=""/>
                  <w:enabled/>
                  <w:calcOnExit w:val="0"/>
                  <w:checkBox>
                    <w:sizeAuto/>
                    <w:default w:val="1"/>
                  </w:checkBox>
                </w:ffData>
              </w:fldChar>
            </w:r>
            <w:r w:rsidRPr="00317B83">
              <w:rPr>
                <w:rFonts w:ascii="Arial Narrow" w:hAnsi="Arial Narrow"/>
                <w:sz w:val="20"/>
                <w:szCs w:val="20"/>
              </w:rPr>
              <w:instrText xml:space="preserve"> FORMCHECKBOX </w:instrText>
            </w:r>
            <w:r w:rsidRPr="00317B83">
              <w:rPr>
                <w:rFonts w:ascii="Arial Narrow" w:hAnsi="Arial Narrow"/>
                <w:sz w:val="20"/>
                <w:szCs w:val="20"/>
              </w:rPr>
            </w:r>
            <w:r w:rsidRPr="00317B83">
              <w:rPr>
                <w:rFonts w:ascii="Arial Narrow" w:hAnsi="Arial Narrow"/>
                <w:sz w:val="20"/>
                <w:szCs w:val="20"/>
              </w:rPr>
              <w:fldChar w:fldCharType="separate"/>
            </w:r>
            <w:r w:rsidRPr="00317B83">
              <w:rPr>
                <w:rFonts w:ascii="Arial Narrow" w:hAnsi="Arial Narrow"/>
                <w:sz w:val="20"/>
                <w:szCs w:val="20"/>
              </w:rPr>
              <w:fldChar w:fldCharType="end"/>
            </w:r>
            <w:r w:rsidRPr="00317B83">
              <w:rPr>
                <w:rFonts w:ascii="Arial Narrow" w:hAnsi="Arial Narrow"/>
                <w:sz w:val="20"/>
                <w:szCs w:val="20"/>
              </w:rPr>
              <w:t xml:space="preserve"> </w:t>
            </w:r>
            <w:r w:rsidRPr="00317B83">
              <w:rPr>
                <w:rFonts w:ascii="Arial Narrow" w:eastAsia="Calibri" w:hAnsi="Arial Narrow"/>
                <w:sz w:val="20"/>
                <w:szCs w:val="20"/>
              </w:rPr>
              <w:t xml:space="preserve">Authority Required (Telephone/ Online PBS Authorities System) </w:t>
            </w:r>
          </w:p>
        </w:tc>
      </w:tr>
      <w:tr w:rsidR="004D12FE" w:rsidRPr="00317B83" w14:paraId="0B26C24A" w14:textId="77777777" w:rsidTr="00910ECE">
        <w:tblPrEx>
          <w:tblCellMar>
            <w:top w:w="15" w:type="dxa"/>
            <w:bottom w:w="15" w:type="dxa"/>
          </w:tblCellMar>
          <w:tblLook w:val="04A0" w:firstRow="1" w:lastRow="0" w:firstColumn="1" w:lastColumn="0" w:noHBand="0" w:noVBand="1"/>
        </w:tblPrEx>
        <w:trPr>
          <w:trHeight w:val="28"/>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AE981D7" w14:textId="4447746C" w:rsidR="004D12FE" w:rsidRPr="00317B83" w:rsidRDefault="004D12FE" w:rsidP="008028C6">
            <w:pPr>
              <w:pStyle w:val="pf0"/>
              <w:spacing w:before="0" w:beforeAutospacing="0" w:after="0" w:afterAutospacing="0"/>
              <w:rPr>
                <w:rFonts w:ascii="Arial Narrow" w:hAnsi="Arial Narrow" w:cs="Arial"/>
                <w:b/>
                <w:sz w:val="20"/>
                <w:szCs w:val="20"/>
              </w:rPr>
            </w:pPr>
            <w:r w:rsidRPr="00317B83">
              <w:rPr>
                <w:rFonts w:ascii="Arial Narrow" w:hAnsi="Arial Narrow" w:cs="Arial"/>
                <w:b/>
                <w:sz w:val="20"/>
                <w:szCs w:val="20"/>
              </w:rPr>
              <w:t>Prescribing rule level:</w:t>
            </w:r>
            <w:r w:rsidR="00202AE4">
              <w:rPr>
                <w:rFonts w:ascii="Arial Narrow" w:hAnsi="Arial Narrow" w:cs="Arial"/>
                <w:b/>
                <w:sz w:val="20"/>
                <w:szCs w:val="20"/>
              </w:rPr>
              <w:t xml:space="preserve"> </w:t>
            </w:r>
          </w:p>
        </w:tc>
      </w:tr>
      <w:tr w:rsidR="004D12FE" w:rsidRPr="00317B83" w14:paraId="7E0B5858" w14:textId="77777777" w:rsidTr="00910ECE">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1A6E4C0D" w14:textId="77777777" w:rsidR="004D12FE" w:rsidRPr="00317B83" w:rsidRDefault="004D12FE" w:rsidP="008028C6">
            <w:pPr>
              <w:keepNext/>
              <w:rPr>
                <w:rFonts w:ascii="Arial Narrow" w:hAnsi="Arial Narrow"/>
                <w:b/>
                <w:bCs/>
                <w:color w:val="333333"/>
                <w:sz w:val="20"/>
                <w:szCs w:val="20"/>
              </w:rPr>
            </w:pPr>
            <w:r w:rsidRPr="00317B83">
              <w:rPr>
                <w:rFonts w:ascii="Arial Narrow" w:hAnsi="Arial Narrow"/>
                <w:b/>
                <w:bCs/>
                <w:color w:val="333333"/>
                <w:sz w:val="20"/>
                <w:szCs w:val="20"/>
              </w:rPr>
              <w:t>Administrative Advice:</w:t>
            </w:r>
          </w:p>
          <w:p w14:paraId="14683D7B" w14:textId="77777777" w:rsidR="004D12FE" w:rsidRPr="00317B83" w:rsidRDefault="004D12FE" w:rsidP="008028C6">
            <w:pPr>
              <w:keepNext/>
              <w:rPr>
                <w:rFonts w:ascii="Arial Narrow" w:hAnsi="Arial Narrow"/>
                <w:color w:val="333333"/>
                <w:sz w:val="20"/>
                <w:szCs w:val="20"/>
              </w:rPr>
            </w:pPr>
            <w:r w:rsidRPr="00317B83">
              <w:rPr>
                <w:rFonts w:ascii="Arial Narrow" w:hAnsi="Arial Narrow"/>
                <w:color w:val="333333"/>
                <w:sz w:val="20"/>
                <w:szCs w:val="20"/>
              </w:rPr>
              <w:t>No increase in the maximum quantity or number of units may be authorised.</w:t>
            </w:r>
          </w:p>
        </w:tc>
      </w:tr>
      <w:tr w:rsidR="004D12FE" w:rsidRPr="00317B83" w14:paraId="4F8B0EE5" w14:textId="77777777" w:rsidTr="00910ECE">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42FA1F9" w14:textId="77777777" w:rsidR="004D12FE" w:rsidRPr="00317B83" w:rsidRDefault="004D12FE" w:rsidP="008028C6">
            <w:pPr>
              <w:keepLines/>
              <w:rPr>
                <w:rFonts w:ascii="Arial Narrow" w:hAnsi="Arial Narrow"/>
                <w:b/>
                <w:bCs/>
                <w:color w:val="333333"/>
                <w:sz w:val="20"/>
                <w:szCs w:val="20"/>
              </w:rPr>
            </w:pPr>
            <w:r w:rsidRPr="00317B83">
              <w:rPr>
                <w:rFonts w:ascii="Arial Narrow" w:hAnsi="Arial Narrow"/>
                <w:b/>
                <w:bCs/>
                <w:color w:val="333333"/>
                <w:sz w:val="20"/>
                <w:szCs w:val="20"/>
              </w:rPr>
              <w:t>Administrative Advice:</w:t>
            </w:r>
          </w:p>
          <w:p w14:paraId="42659ED4" w14:textId="77777777" w:rsidR="004D12FE" w:rsidRPr="00317B83" w:rsidRDefault="004D12FE" w:rsidP="008028C6">
            <w:pPr>
              <w:keepLines/>
              <w:rPr>
                <w:rFonts w:ascii="Arial Narrow" w:hAnsi="Arial Narrow"/>
                <w:bCs/>
                <w:sz w:val="20"/>
                <w:szCs w:val="20"/>
              </w:rPr>
            </w:pPr>
            <w:r w:rsidRPr="00317B83">
              <w:rPr>
                <w:rFonts w:ascii="Arial Narrow" w:hAnsi="Arial Narrow"/>
                <w:bCs/>
                <w:sz w:val="20"/>
                <w:szCs w:val="20"/>
              </w:rPr>
              <w:t>No increase in the maximum number of repeats may be authorised.</w:t>
            </w:r>
          </w:p>
        </w:tc>
      </w:tr>
      <w:tr w:rsidR="004D12FE" w:rsidRPr="00317B83" w14:paraId="08D81DF1" w14:textId="77777777" w:rsidTr="00910ECE">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BD1792D" w14:textId="77777777" w:rsidR="004D12FE" w:rsidRPr="00317B83" w:rsidRDefault="004D12FE" w:rsidP="008028C6">
            <w:pPr>
              <w:keepLines/>
              <w:rPr>
                <w:rFonts w:ascii="Arial Narrow" w:hAnsi="Arial Narrow"/>
                <w:b/>
                <w:bCs/>
                <w:color w:val="333333"/>
                <w:sz w:val="20"/>
                <w:szCs w:val="20"/>
              </w:rPr>
            </w:pPr>
            <w:r w:rsidRPr="00317B83">
              <w:rPr>
                <w:rFonts w:ascii="Arial Narrow" w:hAnsi="Arial Narrow"/>
                <w:b/>
                <w:bCs/>
                <w:color w:val="333333"/>
                <w:sz w:val="20"/>
                <w:szCs w:val="20"/>
              </w:rPr>
              <w:t>Administrative Advice:</w:t>
            </w:r>
          </w:p>
          <w:p w14:paraId="7E22670B" w14:textId="77777777" w:rsidR="004D12FE" w:rsidRPr="00317B83" w:rsidRDefault="004D12FE" w:rsidP="008028C6">
            <w:pPr>
              <w:keepLines/>
              <w:rPr>
                <w:rFonts w:ascii="Arial Narrow" w:hAnsi="Arial Narrow"/>
                <w:color w:val="333333"/>
                <w:sz w:val="20"/>
                <w:szCs w:val="20"/>
              </w:rPr>
            </w:pPr>
            <w:r w:rsidRPr="00317B83">
              <w:rPr>
                <w:rFonts w:ascii="Arial Narrow" w:hAnsi="Arial Narrow"/>
                <w:color w:val="333333"/>
                <w:sz w:val="20"/>
                <w:szCs w:val="20"/>
              </w:rPr>
              <w:t>Special Pricing Arrangements apply.</w:t>
            </w:r>
          </w:p>
        </w:tc>
      </w:tr>
      <w:tr w:rsidR="004D12FE" w:rsidRPr="00317B83" w14:paraId="39A13344" w14:textId="77777777" w:rsidTr="00910ECE">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AFEE633" w14:textId="77777777" w:rsidR="004D12FE" w:rsidRPr="00317B83" w:rsidRDefault="004D12FE" w:rsidP="008028C6">
            <w:pPr>
              <w:rPr>
                <w:rFonts w:ascii="Arial Narrow" w:hAnsi="Arial Narrow"/>
                <w:b/>
                <w:bCs/>
                <w:sz w:val="20"/>
                <w:szCs w:val="20"/>
              </w:rPr>
            </w:pPr>
            <w:r w:rsidRPr="00317B83">
              <w:rPr>
                <w:rFonts w:ascii="Arial Narrow" w:hAnsi="Arial Narrow"/>
                <w:b/>
                <w:bCs/>
                <w:sz w:val="20"/>
                <w:szCs w:val="20"/>
              </w:rPr>
              <w:t xml:space="preserve">Administrative Advice: </w:t>
            </w:r>
          </w:p>
          <w:p w14:paraId="7FD215F4" w14:textId="77777777" w:rsidR="004D12FE" w:rsidRPr="00317B83" w:rsidRDefault="004D12FE" w:rsidP="008028C6">
            <w:pPr>
              <w:keepLines/>
              <w:rPr>
                <w:rFonts w:ascii="Arial Narrow" w:hAnsi="Arial Narrow"/>
                <w:b/>
                <w:bCs/>
                <w:color w:val="333333"/>
                <w:sz w:val="20"/>
                <w:szCs w:val="20"/>
              </w:rPr>
            </w:pPr>
            <w:r w:rsidRPr="00317B83">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004D12FE" w:rsidRPr="00317B83" w14:paraId="25F0A752" w14:textId="77777777" w:rsidTr="00910ECE">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7F383FE7" w14:textId="77777777" w:rsidR="004D12FE" w:rsidRPr="00317B83" w:rsidRDefault="004D12FE" w:rsidP="008028C6">
            <w:pPr>
              <w:rPr>
                <w:rFonts w:ascii="Arial Narrow" w:hAnsi="Arial Narrow"/>
                <w:b/>
                <w:bCs/>
                <w:sz w:val="20"/>
                <w:szCs w:val="20"/>
              </w:rPr>
            </w:pPr>
            <w:r w:rsidRPr="00317B83">
              <w:rPr>
                <w:rFonts w:ascii="Arial Narrow" w:hAnsi="Arial Narrow"/>
                <w:b/>
                <w:bCs/>
                <w:sz w:val="20"/>
                <w:szCs w:val="20"/>
              </w:rPr>
              <w:t xml:space="preserve">Administrative Advice: </w:t>
            </w:r>
          </w:p>
          <w:p w14:paraId="66034165" w14:textId="270E8426" w:rsidR="004D12FE" w:rsidRPr="00B35C88" w:rsidRDefault="004D12FE" w:rsidP="008028C6">
            <w:pPr>
              <w:rPr>
                <w:rFonts w:ascii="Arial Narrow" w:hAnsi="Arial Narrow"/>
                <w:sz w:val="20"/>
                <w:szCs w:val="20"/>
              </w:rPr>
            </w:pPr>
            <w:r>
              <w:rPr>
                <w:rFonts w:ascii="Arial Narrow" w:hAnsi="Arial Narrow"/>
                <w:sz w:val="20"/>
                <w:szCs w:val="20"/>
              </w:rPr>
              <w:t xml:space="preserve">The </w:t>
            </w:r>
            <w:r w:rsidRPr="0024213B">
              <w:rPr>
                <w:rFonts w:ascii="Arial Narrow" w:hAnsi="Arial Narrow"/>
                <w:sz w:val="20"/>
                <w:szCs w:val="20"/>
              </w:rPr>
              <w:t>modified Friedreich’s Ataxia Rating Scale (mFARS)</w:t>
            </w:r>
            <w:r>
              <w:rPr>
                <w:rFonts w:ascii="Arial Narrow" w:hAnsi="Arial Narrow"/>
                <w:sz w:val="20"/>
                <w:szCs w:val="20"/>
              </w:rPr>
              <w:t xml:space="preserve"> referenced in this restriction can be accessed from the following literature publication:</w:t>
            </w:r>
            <w:r w:rsidRPr="007F5794">
              <w:rPr>
                <w:rFonts w:ascii="Arial Narrow" w:hAnsi="Arial Narrow"/>
                <w:sz w:val="20"/>
                <w:szCs w:val="20"/>
              </w:rPr>
              <w:t xml:space="preserve"> </w:t>
            </w:r>
            <w:r w:rsidRPr="002A226C">
              <w:rPr>
                <w:rFonts w:ascii="Arial Narrow" w:hAnsi="Arial Narrow"/>
                <w:sz w:val="20"/>
                <w:szCs w:val="20"/>
              </w:rPr>
              <w:t>Rummey C</w:t>
            </w:r>
            <w:r>
              <w:rPr>
                <w:rFonts w:ascii="Arial Narrow" w:hAnsi="Arial Narrow"/>
                <w:sz w:val="20"/>
                <w:szCs w:val="20"/>
              </w:rPr>
              <w:t xml:space="preserve"> et al. </w:t>
            </w:r>
            <w:r w:rsidRPr="002A226C">
              <w:rPr>
                <w:rFonts w:ascii="Arial Narrow" w:hAnsi="Arial Narrow"/>
                <w:sz w:val="20"/>
                <w:szCs w:val="20"/>
              </w:rPr>
              <w:t>Psychometric properties of the Friedreich Ataxia Rating Scale. Neurol Genet. 2019 Oct 29;5(6):371</w:t>
            </w:r>
          </w:p>
        </w:tc>
      </w:tr>
      <w:tr w:rsidR="00D90733" w:rsidRPr="00317B83" w14:paraId="3582BC9B" w14:textId="77777777" w:rsidTr="00910ECE">
        <w:tblPrEx>
          <w:tblCellMar>
            <w:top w:w="15" w:type="dxa"/>
            <w:bottom w:w="15" w:type="dxa"/>
          </w:tblCellMar>
          <w:tblLook w:val="04A0" w:firstRow="1" w:lastRow="0" w:firstColumn="1" w:lastColumn="0" w:noHBand="0" w:noVBand="1"/>
        </w:tblPrEx>
        <w:trPr>
          <w:trHeight w:val="20"/>
        </w:trPr>
        <w:tc>
          <w:tcPr>
            <w:tcW w:w="700" w:type="pct"/>
            <w:tcBorders>
              <w:left w:val="single" w:sz="4" w:space="0" w:color="auto"/>
              <w:bottom w:val="single" w:sz="4" w:space="0" w:color="auto"/>
              <w:right w:val="single" w:sz="4" w:space="0" w:color="auto"/>
            </w:tcBorders>
            <w:shd w:val="clear" w:color="auto" w:fill="BFBFBF" w:themeFill="background1" w:themeFillShade="BF"/>
          </w:tcPr>
          <w:p w14:paraId="78389AD5" w14:textId="77777777" w:rsidR="00D90733" w:rsidRPr="00317B83" w:rsidRDefault="00D90733" w:rsidP="008028C6">
            <w:pPr>
              <w:jc w:val="center"/>
              <w:rPr>
                <w:rFonts w:ascii="Arial Narrow" w:hAnsi="Arial Narrow"/>
                <w:color w:val="333333"/>
                <w:sz w:val="20"/>
                <w:szCs w:val="20"/>
              </w:rPr>
            </w:pPr>
          </w:p>
        </w:tc>
        <w:tc>
          <w:tcPr>
            <w:tcW w:w="43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98C322" w14:textId="77777777" w:rsidR="00D90733" w:rsidRPr="00317B83" w:rsidRDefault="00D90733" w:rsidP="008028C6">
            <w:pPr>
              <w:keepLines/>
              <w:rPr>
                <w:rFonts w:ascii="Arial Narrow" w:hAnsi="Arial Narrow"/>
                <w:b/>
                <w:bCs/>
                <w:sz w:val="20"/>
                <w:szCs w:val="20"/>
              </w:rPr>
            </w:pPr>
            <w:r w:rsidRPr="00317B83">
              <w:rPr>
                <w:rFonts w:ascii="Arial Narrow" w:hAnsi="Arial Narrow"/>
                <w:b/>
                <w:sz w:val="20"/>
                <w:szCs w:val="20"/>
              </w:rPr>
              <w:t>Restriction Summary [new1] / Treatment of Concept: [new1A]</w:t>
            </w:r>
          </w:p>
        </w:tc>
      </w:tr>
      <w:tr w:rsidR="004D12FE" w:rsidRPr="00317B83" w14:paraId="0437CF92"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14:paraId="1A6733B8" w14:textId="77777777" w:rsidR="004D12FE" w:rsidRPr="00317B83" w:rsidRDefault="004D12FE" w:rsidP="008028C6">
            <w:pPr>
              <w:keepLines/>
              <w:rPr>
                <w:rFonts w:ascii="Arial Narrow" w:hAnsi="Arial Narrow"/>
                <w:sz w:val="20"/>
                <w:szCs w:val="20"/>
              </w:rPr>
            </w:pPr>
            <w:r w:rsidRPr="00317B83">
              <w:rPr>
                <w:rFonts w:ascii="Arial Narrow" w:hAnsi="Arial Narrow"/>
                <w:b/>
                <w:bCs/>
                <w:sz w:val="20"/>
                <w:szCs w:val="20"/>
              </w:rPr>
              <w:t>Indication:</w:t>
            </w:r>
            <w:r w:rsidRPr="00317B83">
              <w:rPr>
                <w:rFonts w:ascii="Arial Narrow" w:hAnsi="Arial Narrow"/>
                <w:sz w:val="20"/>
                <w:szCs w:val="20"/>
              </w:rPr>
              <w:t xml:space="preserve"> </w:t>
            </w:r>
            <w:r w:rsidRPr="00317B83">
              <w:rPr>
                <w:rFonts w:ascii="Arial Narrow" w:hAnsi="Arial Narrow"/>
                <w:bCs/>
                <w:sz w:val="20"/>
                <w:szCs w:val="20"/>
              </w:rPr>
              <w:t>Friedreich ataxia</w:t>
            </w:r>
          </w:p>
        </w:tc>
      </w:tr>
      <w:tr w:rsidR="004D12FE" w:rsidRPr="00317B83" w14:paraId="7933B45B"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14:paraId="0EA8B4FB" w14:textId="45F03807" w:rsidR="004D12FE" w:rsidRPr="00317B83" w:rsidRDefault="004D12FE" w:rsidP="008028C6">
            <w:pPr>
              <w:rPr>
                <w:rFonts w:ascii="Arial Narrow" w:hAnsi="Arial Narrow"/>
                <w:sz w:val="20"/>
                <w:szCs w:val="20"/>
              </w:rPr>
            </w:pPr>
            <w:r w:rsidRPr="00317B83">
              <w:rPr>
                <w:rFonts w:ascii="Arial Narrow" w:hAnsi="Arial Narrow"/>
                <w:b/>
                <w:bCs/>
                <w:sz w:val="20"/>
                <w:szCs w:val="20"/>
              </w:rPr>
              <w:lastRenderedPageBreak/>
              <w:t>Treatment Phase:</w:t>
            </w:r>
            <w:r w:rsidRPr="00317B83">
              <w:rPr>
                <w:rFonts w:ascii="Arial Narrow" w:hAnsi="Arial Narrow"/>
                <w:sz w:val="20"/>
                <w:szCs w:val="20"/>
              </w:rPr>
              <w:t xml:space="preserve"> Initial treatment </w:t>
            </w:r>
          </w:p>
        </w:tc>
      </w:tr>
      <w:tr w:rsidR="004D12FE" w:rsidRPr="00317B83" w14:paraId="5F7349D4"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14:paraId="09CB8328" w14:textId="77777777" w:rsidR="004D12FE" w:rsidRPr="00317B83" w:rsidRDefault="004D12FE" w:rsidP="008028C6">
            <w:pPr>
              <w:rPr>
                <w:rFonts w:ascii="Arial Narrow" w:hAnsi="Arial Narrow"/>
                <w:sz w:val="20"/>
                <w:szCs w:val="20"/>
              </w:rPr>
            </w:pPr>
            <w:r w:rsidRPr="00317B83">
              <w:rPr>
                <w:rFonts w:ascii="Arial Narrow" w:hAnsi="Arial Narrow"/>
                <w:b/>
                <w:bCs/>
                <w:color w:val="333333"/>
                <w:sz w:val="20"/>
                <w:szCs w:val="20"/>
              </w:rPr>
              <w:t xml:space="preserve">Clinical criteria: </w:t>
            </w:r>
          </w:p>
        </w:tc>
      </w:tr>
      <w:tr w:rsidR="004D12FE" w:rsidRPr="00317B83" w14:paraId="2D64AADF"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14:paraId="23C3E63E" w14:textId="0BA7C8A1" w:rsidR="004D12FE" w:rsidRPr="00317B83" w:rsidRDefault="004D12FE" w:rsidP="008028C6">
            <w:pPr>
              <w:rPr>
                <w:rFonts w:ascii="Arial Narrow" w:hAnsi="Arial Narrow"/>
                <w:color w:val="333333"/>
                <w:sz w:val="20"/>
                <w:szCs w:val="20"/>
              </w:rPr>
            </w:pPr>
            <w:r w:rsidRPr="00317B83">
              <w:rPr>
                <w:rFonts w:ascii="Arial Narrow" w:hAnsi="Arial Narrow"/>
                <w:sz w:val="20"/>
                <w:szCs w:val="20"/>
              </w:rPr>
              <w:t>The condition must have a mutation in the frataxin (FXN) gene,</w:t>
            </w:r>
          </w:p>
        </w:tc>
      </w:tr>
      <w:tr w:rsidR="004D12FE" w:rsidRPr="00317B83" w14:paraId="79550B23"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14:paraId="2274E3D4" w14:textId="77777777" w:rsidR="004D12FE" w:rsidRPr="00317B83" w:rsidRDefault="004D12FE" w:rsidP="008028C6">
            <w:pPr>
              <w:rPr>
                <w:rFonts w:ascii="Arial Narrow" w:hAnsi="Arial Narrow"/>
                <w:color w:val="333333"/>
                <w:sz w:val="20"/>
                <w:szCs w:val="20"/>
              </w:rPr>
            </w:pPr>
            <w:r w:rsidRPr="00317B83">
              <w:rPr>
                <w:rFonts w:ascii="Arial Narrow" w:hAnsi="Arial Narrow"/>
                <w:b/>
                <w:bCs/>
                <w:color w:val="333333"/>
                <w:sz w:val="20"/>
                <w:szCs w:val="20"/>
              </w:rPr>
              <w:t>AND</w:t>
            </w:r>
          </w:p>
        </w:tc>
      </w:tr>
      <w:tr w:rsidR="004D12FE" w:rsidRPr="00317B83" w14:paraId="1DCCD3C1"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14:paraId="66D53E88" w14:textId="77777777" w:rsidR="004D12FE" w:rsidRPr="00317B83" w:rsidRDefault="004D12FE" w:rsidP="008028C6">
            <w:pPr>
              <w:rPr>
                <w:rFonts w:ascii="Arial Narrow" w:hAnsi="Arial Narrow"/>
                <w:color w:val="333333"/>
                <w:sz w:val="20"/>
                <w:szCs w:val="20"/>
              </w:rPr>
            </w:pPr>
            <w:r w:rsidRPr="00317B83">
              <w:rPr>
                <w:rFonts w:ascii="Arial Narrow" w:hAnsi="Arial Narrow"/>
                <w:b/>
                <w:bCs/>
                <w:color w:val="333333"/>
                <w:sz w:val="20"/>
                <w:szCs w:val="20"/>
              </w:rPr>
              <w:t>Clinical criteria:</w:t>
            </w:r>
          </w:p>
        </w:tc>
      </w:tr>
      <w:tr w:rsidR="004D12FE" w:rsidRPr="00317B83" w14:paraId="4BB49BEA"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3534F555" w14:textId="105DE119" w:rsidR="004D12FE" w:rsidRPr="0024213B" w:rsidRDefault="004D12FE" w:rsidP="008028C6">
            <w:pPr>
              <w:rPr>
                <w:rFonts w:ascii="Arial Narrow" w:hAnsi="Arial Narrow"/>
                <w:sz w:val="20"/>
                <w:szCs w:val="20"/>
              </w:rPr>
            </w:pPr>
            <w:r w:rsidRPr="00317B83">
              <w:rPr>
                <w:rFonts w:ascii="Arial Narrow" w:hAnsi="Arial Narrow"/>
                <w:sz w:val="20"/>
                <w:szCs w:val="20"/>
              </w:rPr>
              <w:t>Patient must have</w:t>
            </w:r>
            <w:r w:rsidRPr="0024213B">
              <w:rPr>
                <w:rFonts w:ascii="Arial Narrow" w:hAnsi="Arial Narrow"/>
                <w:sz w:val="20"/>
                <w:szCs w:val="20"/>
              </w:rPr>
              <w:t>/have had</w:t>
            </w:r>
            <w:r w:rsidRPr="00317B83">
              <w:rPr>
                <w:rFonts w:ascii="Arial Narrow" w:hAnsi="Arial Narrow"/>
                <w:sz w:val="20"/>
                <w:szCs w:val="20"/>
              </w:rPr>
              <w:t xml:space="preserve"> a modified Friedreich</w:t>
            </w:r>
            <w:r w:rsidRPr="0024213B">
              <w:rPr>
                <w:rFonts w:ascii="Arial Narrow" w:hAnsi="Arial Narrow"/>
                <w:sz w:val="20"/>
                <w:szCs w:val="20"/>
              </w:rPr>
              <w:t>’s</w:t>
            </w:r>
            <w:r w:rsidRPr="00317B83">
              <w:rPr>
                <w:rFonts w:ascii="Arial Narrow" w:hAnsi="Arial Narrow"/>
                <w:sz w:val="20"/>
                <w:szCs w:val="20"/>
              </w:rPr>
              <w:t xml:space="preserve"> Ataxia Rating Scale (mFARS) </w:t>
            </w:r>
            <w:r w:rsidRPr="0024213B">
              <w:rPr>
                <w:rFonts w:ascii="Arial Narrow" w:hAnsi="Arial Narrow"/>
                <w:sz w:val="20"/>
                <w:szCs w:val="20"/>
              </w:rPr>
              <w:t>score between 20 to 80 inclusive prior to commencing treatment with this drug</w:t>
            </w:r>
          </w:p>
        </w:tc>
      </w:tr>
      <w:tr w:rsidR="004D12FE" w:rsidRPr="00317B83" w14:paraId="4C957DA0"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14:paraId="0451AE39" w14:textId="77777777" w:rsidR="004D12FE" w:rsidRPr="00317B83" w:rsidRDefault="004D12FE" w:rsidP="008028C6">
            <w:pPr>
              <w:rPr>
                <w:rFonts w:ascii="Arial Narrow" w:hAnsi="Arial Narrow"/>
                <w:color w:val="333333"/>
                <w:sz w:val="20"/>
                <w:szCs w:val="20"/>
              </w:rPr>
            </w:pPr>
            <w:r w:rsidRPr="00317B83">
              <w:rPr>
                <w:rFonts w:ascii="Arial Narrow" w:hAnsi="Arial Narrow"/>
                <w:b/>
                <w:bCs/>
                <w:color w:val="333333"/>
                <w:sz w:val="20"/>
                <w:szCs w:val="20"/>
              </w:rPr>
              <w:t>AND</w:t>
            </w:r>
          </w:p>
        </w:tc>
      </w:tr>
      <w:tr w:rsidR="004D12FE" w:rsidRPr="00317B83" w14:paraId="2E29B211"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14:paraId="2EAC9700" w14:textId="77777777" w:rsidR="004D12FE" w:rsidRPr="00317B83" w:rsidRDefault="004D12FE" w:rsidP="008028C6">
            <w:pPr>
              <w:rPr>
                <w:rFonts w:ascii="Arial Narrow" w:hAnsi="Arial Narrow"/>
                <w:color w:val="333333"/>
                <w:sz w:val="20"/>
                <w:szCs w:val="20"/>
              </w:rPr>
            </w:pPr>
            <w:r w:rsidRPr="00317B83">
              <w:rPr>
                <w:rFonts w:ascii="Arial Narrow" w:hAnsi="Arial Narrow"/>
                <w:b/>
                <w:bCs/>
                <w:color w:val="333333"/>
                <w:sz w:val="20"/>
                <w:szCs w:val="20"/>
              </w:rPr>
              <w:t>Clinical criteria:</w:t>
            </w:r>
          </w:p>
        </w:tc>
      </w:tr>
      <w:tr w:rsidR="004D12FE" w:rsidRPr="00317B83" w14:paraId="51445292"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14:paraId="7973244B" w14:textId="77777777" w:rsidR="004D12FE" w:rsidRPr="0024213B" w:rsidRDefault="004D12FE" w:rsidP="008028C6">
            <w:pPr>
              <w:rPr>
                <w:rFonts w:ascii="Arial Narrow" w:hAnsi="Arial Narrow"/>
                <w:sz w:val="20"/>
                <w:szCs w:val="20"/>
              </w:rPr>
            </w:pPr>
            <w:r w:rsidRPr="0024213B">
              <w:rPr>
                <w:rFonts w:ascii="Arial Narrow" w:hAnsi="Arial Narrow"/>
                <w:sz w:val="20"/>
                <w:szCs w:val="20"/>
              </w:rPr>
              <w:t xml:space="preserve">Patient must have evidence that their cardiac disease is haemodynamically stable if they have a history of clinically significant cardiac disease </w:t>
            </w:r>
          </w:p>
        </w:tc>
      </w:tr>
      <w:tr w:rsidR="004D12FE" w:rsidRPr="00317B83" w14:paraId="5FF331AB"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0E8D5B45" w14:textId="77777777" w:rsidR="004D12FE" w:rsidRPr="00317B83" w:rsidRDefault="004D12FE" w:rsidP="008028C6">
            <w:pPr>
              <w:rPr>
                <w:rFonts w:ascii="Arial Narrow" w:hAnsi="Arial Narrow"/>
                <w:color w:val="FF0000"/>
                <w:sz w:val="20"/>
                <w:szCs w:val="20"/>
              </w:rPr>
            </w:pPr>
            <w:r w:rsidRPr="00317B83">
              <w:rPr>
                <w:rFonts w:ascii="Arial Narrow" w:hAnsi="Arial Narrow" w:cs="Arial Narrow"/>
                <w:b/>
                <w:bCs/>
                <w:iCs/>
                <w:sz w:val="20"/>
                <w:szCs w:val="20"/>
              </w:rPr>
              <w:t>AND</w:t>
            </w:r>
          </w:p>
        </w:tc>
      </w:tr>
      <w:tr w:rsidR="004D12FE" w:rsidRPr="00317B83" w14:paraId="596F349B"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1FD56ACE" w14:textId="77777777" w:rsidR="004D12FE" w:rsidRPr="00317B83" w:rsidRDefault="004D12FE" w:rsidP="008028C6">
            <w:pPr>
              <w:rPr>
                <w:rFonts w:ascii="Arial Narrow" w:hAnsi="Arial Narrow" w:cs="Arial Narrow"/>
                <w:b/>
                <w:bCs/>
                <w:iCs/>
                <w:sz w:val="20"/>
                <w:szCs w:val="20"/>
              </w:rPr>
            </w:pPr>
            <w:r w:rsidRPr="00317B83">
              <w:rPr>
                <w:rFonts w:ascii="Arial Narrow" w:hAnsi="Arial Narrow"/>
                <w:b/>
                <w:bCs/>
                <w:color w:val="333333"/>
                <w:sz w:val="20"/>
                <w:szCs w:val="20"/>
              </w:rPr>
              <w:t>Clinical criteria:</w:t>
            </w:r>
          </w:p>
        </w:tc>
      </w:tr>
      <w:tr w:rsidR="004D12FE" w:rsidRPr="00317B83" w14:paraId="68A2288E"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7046D68F" w14:textId="77777777" w:rsidR="004D12FE" w:rsidRPr="00317B83" w:rsidRDefault="004D12FE" w:rsidP="008028C6">
            <w:pPr>
              <w:rPr>
                <w:rFonts w:ascii="Arial Narrow" w:hAnsi="Arial Narrow" w:cs="Arial Narrow"/>
                <w:b/>
                <w:bCs/>
                <w:iCs/>
                <w:sz w:val="20"/>
                <w:szCs w:val="20"/>
              </w:rPr>
            </w:pPr>
            <w:r w:rsidRPr="00317B83">
              <w:rPr>
                <w:rFonts w:ascii="Arial Narrow" w:hAnsi="Arial Narrow"/>
                <w:sz w:val="20"/>
                <w:szCs w:val="20"/>
              </w:rPr>
              <w:t>The treatment must be given concomitantly with best supportive care for this condition.</w:t>
            </w:r>
          </w:p>
        </w:tc>
      </w:tr>
      <w:tr w:rsidR="004D12FE" w:rsidRPr="00317B83" w14:paraId="1BF2F086"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14:paraId="3EAA079D" w14:textId="77777777" w:rsidR="004D12FE" w:rsidRPr="00317B83" w:rsidRDefault="004D12FE" w:rsidP="008028C6">
            <w:pPr>
              <w:keepNext/>
              <w:rPr>
                <w:rFonts w:ascii="Arial Narrow" w:hAnsi="Arial Narrow"/>
                <w:color w:val="333333"/>
                <w:sz w:val="20"/>
                <w:szCs w:val="20"/>
              </w:rPr>
            </w:pPr>
            <w:r w:rsidRPr="00317B83">
              <w:rPr>
                <w:rFonts w:ascii="Arial Narrow" w:hAnsi="Arial Narrow"/>
                <w:b/>
                <w:bCs/>
                <w:color w:val="333333"/>
                <w:sz w:val="20"/>
                <w:szCs w:val="20"/>
              </w:rPr>
              <w:t>Treatment criteria:</w:t>
            </w:r>
          </w:p>
        </w:tc>
      </w:tr>
      <w:tr w:rsidR="004D12FE" w:rsidRPr="00317B83" w14:paraId="35822974"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14:paraId="604E438C" w14:textId="77777777" w:rsidR="004D12FE" w:rsidRPr="0024213B" w:rsidRDefault="004D12FE" w:rsidP="008028C6">
            <w:pPr>
              <w:rPr>
                <w:rFonts w:ascii="Arial Narrow" w:hAnsi="Arial Narrow"/>
                <w:sz w:val="20"/>
                <w:szCs w:val="20"/>
              </w:rPr>
            </w:pPr>
            <w:r w:rsidRPr="0024213B">
              <w:rPr>
                <w:rFonts w:ascii="Arial Narrow" w:hAnsi="Arial Narrow"/>
                <w:sz w:val="20"/>
                <w:szCs w:val="20"/>
              </w:rPr>
              <w:t xml:space="preserve">Must be treated by a specialist with expertise in the management of Friedreich’s ataxia; or </w:t>
            </w:r>
          </w:p>
        </w:tc>
      </w:tr>
      <w:tr w:rsidR="004D12FE" w:rsidRPr="00317B83" w14:paraId="19738804"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20989AB3" w14:textId="69C6DFB8" w:rsidR="004D12FE" w:rsidRPr="0024213B" w:rsidRDefault="004D12FE" w:rsidP="008028C6">
            <w:pPr>
              <w:rPr>
                <w:rFonts w:ascii="Arial Narrow" w:hAnsi="Arial Narrow"/>
                <w:strike/>
                <w:sz w:val="20"/>
                <w:szCs w:val="20"/>
              </w:rPr>
            </w:pPr>
            <w:r w:rsidRPr="0024213B">
              <w:rPr>
                <w:rFonts w:ascii="Arial Narrow" w:hAnsi="Arial Narrow"/>
                <w:sz w:val="20"/>
                <w:szCs w:val="20"/>
              </w:rPr>
              <w:t xml:space="preserve">Must be treated by a medical practitioner in consultation with a specialist with expertise in Friedreich’s ataxia. </w:t>
            </w:r>
          </w:p>
        </w:tc>
      </w:tr>
      <w:tr w:rsidR="004D12FE" w:rsidRPr="00317B83" w14:paraId="62E381C0"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1A30F2E9" w14:textId="77777777" w:rsidR="004D12FE" w:rsidRPr="00317B83" w:rsidRDefault="004D12FE" w:rsidP="008028C6">
            <w:pPr>
              <w:rPr>
                <w:rFonts w:ascii="Arial Narrow" w:hAnsi="Arial Narrow"/>
                <w:b/>
                <w:bCs/>
                <w:color w:val="333333"/>
                <w:sz w:val="20"/>
                <w:szCs w:val="20"/>
              </w:rPr>
            </w:pPr>
            <w:r w:rsidRPr="00317B83">
              <w:rPr>
                <w:rFonts w:ascii="Arial Narrow" w:hAnsi="Arial Narrow" w:cs="Arial Narrow"/>
                <w:b/>
                <w:bCs/>
                <w:iCs/>
                <w:sz w:val="20"/>
                <w:szCs w:val="20"/>
              </w:rPr>
              <w:t>AND</w:t>
            </w:r>
          </w:p>
        </w:tc>
      </w:tr>
      <w:tr w:rsidR="004D12FE" w:rsidRPr="00317B83" w14:paraId="142D7AF9"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14:paraId="02B92783" w14:textId="77777777" w:rsidR="004D12FE" w:rsidRPr="00317B83" w:rsidRDefault="004D12FE" w:rsidP="008028C6">
            <w:pPr>
              <w:rPr>
                <w:rFonts w:ascii="Arial Narrow" w:hAnsi="Arial Narrow"/>
                <w:color w:val="333333"/>
                <w:sz w:val="20"/>
                <w:szCs w:val="20"/>
              </w:rPr>
            </w:pPr>
            <w:r w:rsidRPr="00317B83">
              <w:rPr>
                <w:rFonts w:ascii="Arial Narrow" w:hAnsi="Arial Narrow"/>
                <w:b/>
                <w:bCs/>
                <w:color w:val="333333"/>
                <w:sz w:val="20"/>
                <w:szCs w:val="20"/>
              </w:rPr>
              <w:t>Population criteria:</w:t>
            </w:r>
          </w:p>
        </w:tc>
      </w:tr>
      <w:tr w:rsidR="004D12FE" w:rsidRPr="00317B83" w14:paraId="444E2E71"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14:paraId="5C159DA8" w14:textId="77777777" w:rsidR="004D12FE" w:rsidRPr="00317B83" w:rsidRDefault="004D12FE" w:rsidP="008028C6">
            <w:pPr>
              <w:rPr>
                <w:rFonts w:ascii="Arial Narrow" w:hAnsi="Arial Narrow"/>
                <w:sz w:val="20"/>
                <w:szCs w:val="20"/>
              </w:rPr>
            </w:pPr>
            <w:r w:rsidRPr="00317B83">
              <w:rPr>
                <w:rFonts w:ascii="Arial Narrow" w:hAnsi="Arial Narrow"/>
                <w:sz w:val="20"/>
                <w:szCs w:val="20"/>
              </w:rPr>
              <w:t>Patient must be at least 16 years of age.</w:t>
            </w:r>
          </w:p>
        </w:tc>
      </w:tr>
      <w:tr w:rsidR="004D12FE" w:rsidRPr="00317B83" w14:paraId="6047E3E9"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14:paraId="0B70695C" w14:textId="77777777" w:rsidR="004D12FE" w:rsidRPr="00317B83" w:rsidRDefault="004D12FE" w:rsidP="008028C6">
            <w:pPr>
              <w:rPr>
                <w:rFonts w:ascii="Arial Narrow" w:hAnsi="Arial Narrow"/>
                <w:b/>
                <w:bCs/>
                <w:color w:val="333333"/>
                <w:sz w:val="20"/>
                <w:szCs w:val="20"/>
              </w:rPr>
            </w:pPr>
            <w:r w:rsidRPr="00317B83">
              <w:rPr>
                <w:rFonts w:ascii="Arial Narrow" w:hAnsi="Arial Narrow"/>
                <w:b/>
                <w:bCs/>
                <w:color w:val="333333"/>
                <w:sz w:val="20"/>
                <w:szCs w:val="20"/>
              </w:rPr>
              <w:t xml:space="preserve">Prescribing Instructions: </w:t>
            </w:r>
          </w:p>
          <w:p w14:paraId="728695AE" w14:textId="77777777" w:rsidR="004D12FE" w:rsidRPr="00317B83" w:rsidRDefault="004D12FE" w:rsidP="008028C6">
            <w:pPr>
              <w:rPr>
                <w:rFonts w:ascii="Arial Narrow" w:hAnsi="Arial Narrow"/>
                <w:sz w:val="20"/>
                <w:szCs w:val="20"/>
              </w:rPr>
            </w:pPr>
            <w:r w:rsidRPr="00317B83">
              <w:rPr>
                <w:rFonts w:ascii="Arial Narrow" w:hAnsi="Arial Narrow"/>
                <w:sz w:val="20"/>
                <w:szCs w:val="20"/>
              </w:rPr>
              <w:t>The following must be documented in the patient’s medical records:</w:t>
            </w:r>
          </w:p>
          <w:p w14:paraId="30293B4F" w14:textId="77777777" w:rsidR="004D12FE" w:rsidRPr="00317B83" w:rsidRDefault="004D12FE" w:rsidP="008028C6">
            <w:pPr>
              <w:pStyle w:val="ListParagraph"/>
              <w:numPr>
                <w:ilvl w:val="0"/>
                <w:numId w:val="22"/>
              </w:numPr>
              <w:spacing w:after="0"/>
              <w:contextualSpacing/>
              <w:jc w:val="both"/>
              <w:rPr>
                <w:rFonts w:ascii="Arial Narrow" w:hAnsi="Arial Narrow"/>
                <w:sz w:val="20"/>
                <w:szCs w:val="20"/>
              </w:rPr>
            </w:pPr>
            <w:r w:rsidRPr="00317B83">
              <w:rPr>
                <w:rFonts w:ascii="Arial Narrow" w:hAnsi="Arial Narrow"/>
                <w:sz w:val="20"/>
                <w:szCs w:val="20"/>
              </w:rPr>
              <w:t>Genetic diagnostic report confirming the presence of the Frataxin (FXN) gene mutation; and</w:t>
            </w:r>
          </w:p>
          <w:p w14:paraId="38D50C5B" w14:textId="77777777" w:rsidR="004D12FE" w:rsidRPr="00317B83" w:rsidRDefault="004D12FE" w:rsidP="008028C6">
            <w:pPr>
              <w:pStyle w:val="ListParagraph"/>
              <w:numPr>
                <w:ilvl w:val="0"/>
                <w:numId w:val="22"/>
              </w:numPr>
              <w:spacing w:after="0"/>
              <w:contextualSpacing/>
              <w:jc w:val="both"/>
              <w:rPr>
                <w:rFonts w:ascii="Arial Narrow" w:hAnsi="Arial Narrow"/>
                <w:sz w:val="20"/>
                <w:szCs w:val="20"/>
              </w:rPr>
            </w:pPr>
            <w:r w:rsidRPr="00317B83">
              <w:rPr>
                <w:rFonts w:ascii="Arial Narrow" w:hAnsi="Arial Narrow"/>
                <w:sz w:val="20"/>
                <w:szCs w:val="20"/>
              </w:rPr>
              <w:t xml:space="preserve">Echocardiogram or electrocardiogram results, </w:t>
            </w:r>
            <w:r w:rsidRPr="0024213B">
              <w:rPr>
                <w:rFonts w:ascii="Arial Narrow" w:hAnsi="Arial Narrow"/>
                <w:sz w:val="20"/>
                <w:szCs w:val="20"/>
              </w:rPr>
              <w:t xml:space="preserve">within the 3 months prior to initiating treatment, </w:t>
            </w:r>
            <w:r w:rsidRPr="00317B83">
              <w:rPr>
                <w:rFonts w:ascii="Arial Narrow" w:hAnsi="Arial Narrow"/>
                <w:sz w:val="20"/>
                <w:szCs w:val="20"/>
              </w:rPr>
              <w:t>confirming that the patient’s cardiac disease is haemodynamically stable (if applicable).</w:t>
            </w:r>
          </w:p>
        </w:tc>
      </w:tr>
      <w:tr w:rsidR="004D12FE" w:rsidRPr="00317B83" w14:paraId="589A2A7E"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2F511304" w14:textId="0D817C80" w:rsidR="004D12FE" w:rsidRPr="00AB0640" w:rsidRDefault="004D12FE" w:rsidP="008028C6">
            <w:pPr>
              <w:rPr>
                <w:rFonts w:ascii="Arial Narrow" w:hAnsi="Arial Narrow"/>
                <w:b/>
                <w:bCs/>
                <w:color w:val="333333"/>
                <w:sz w:val="20"/>
                <w:szCs w:val="20"/>
              </w:rPr>
            </w:pPr>
            <w:r w:rsidRPr="00AB0640">
              <w:rPr>
                <w:rFonts w:ascii="Arial Narrow" w:hAnsi="Arial Narrow"/>
                <w:b/>
                <w:bCs/>
                <w:color w:val="333333"/>
                <w:sz w:val="20"/>
                <w:szCs w:val="20"/>
              </w:rPr>
              <w:t xml:space="preserve">Prescribing Instructions: </w:t>
            </w:r>
          </w:p>
          <w:p w14:paraId="54534756" w14:textId="3B38F38A" w:rsidR="004D12FE" w:rsidRDefault="004D12FE" w:rsidP="008028C6">
            <w:pPr>
              <w:rPr>
                <w:rFonts w:ascii="Arial Narrow" w:hAnsi="Arial Narrow"/>
                <w:color w:val="333333"/>
                <w:sz w:val="20"/>
                <w:szCs w:val="20"/>
              </w:rPr>
            </w:pPr>
            <w:r w:rsidRPr="009B67B5">
              <w:rPr>
                <w:rFonts w:ascii="Arial Narrow" w:hAnsi="Arial Narrow"/>
                <w:color w:val="333333"/>
                <w:sz w:val="20"/>
                <w:szCs w:val="20"/>
              </w:rPr>
              <w:t>The following must be provided at the time of</w:t>
            </w:r>
            <w:r>
              <w:rPr>
                <w:rFonts w:ascii="Arial Narrow" w:hAnsi="Arial Narrow"/>
                <w:color w:val="333333"/>
                <w:sz w:val="20"/>
                <w:szCs w:val="20"/>
              </w:rPr>
              <w:t xml:space="preserve"> the authority</w:t>
            </w:r>
            <w:r w:rsidRPr="009B67B5">
              <w:rPr>
                <w:rFonts w:ascii="Arial Narrow" w:hAnsi="Arial Narrow"/>
                <w:color w:val="333333"/>
                <w:sz w:val="20"/>
                <w:szCs w:val="20"/>
              </w:rPr>
              <w:t xml:space="preserve"> application and documented in the patient's medical records:</w:t>
            </w:r>
          </w:p>
          <w:p w14:paraId="1312F052" w14:textId="087B8FC0" w:rsidR="004D12FE" w:rsidRPr="00317B83" w:rsidRDefault="004D12FE" w:rsidP="008028C6">
            <w:pPr>
              <w:pStyle w:val="ListParagraph"/>
              <w:numPr>
                <w:ilvl w:val="4"/>
                <w:numId w:val="32"/>
              </w:numPr>
              <w:rPr>
                <w:rFonts w:ascii="Arial Narrow" w:hAnsi="Arial Narrow"/>
                <w:b/>
                <w:bCs/>
                <w:color w:val="333333"/>
                <w:sz w:val="20"/>
                <w:szCs w:val="20"/>
              </w:rPr>
            </w:pPr>
            <w:r w:rsidRPr="00FA244F">
              <w:rPr>
                <w:rFonts w:ascii="Arial Narrow" w:hAnsi="Arial Narrow"/>
                <w:sz w:val="20"/>
                <w:szCs w:val="20"/>
              </w:rPr>
              <w:t>mFARS score prior to commencing treatment with this drug (i.e. at baseline)</w:t>
            </w:r>
          </w:p>
        </w:tc>
      </w:tr>
      <w:tr w:rsidR="004D12FE" w:rsidRPr="00317B83" w14:paraId="088E503C"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14:paraId="4B6C35E6" w14:textId="77777777" w:rsidR="004D12FE" w:rsidRPr="0024213B" w:rsidRDefault="004D12FE" w:rsidP="008028C6">
            <w:pPr>
              <w:rPr>
                <w:rFonts w:ascii="Arial Narrow" w:hAnsi="Arial Narrow"/>
                <w:b/>
                <w:color w:val="333333"/>
                <w:sz w:val="20"/>
                <w:szCs w:val="20"/>
              </w:rPr>
            </w:pPr>
            <w:r w:rsidRPr="0024213B">
              <w:rPr>
                <w:rFonts w:ascii="Arial Narrow" w:hAnsi="Arial Narrow"/>
                <w:b/>
                <w:color w:val="333333"/>
                <w:sz w:val="20"/>
                <w:szCs w:val="20"/>
              </w:rPr>
              <w:t xml:space="preserve">Prescribing Instructions: </w:t>
            </w:r>
          </w:p>
          <w:p w14:paraId="115C97B7" w14:textId="27D549EA" w:rsidR="004D12FE" w:rsidRPr="00317B83" w:rsidRDefault="004D12FE" w:rsidP="008028C6">
            <w:pPr>
              <w:rPr>
                <w:rFonts w:ascii="Arial Narrow" w:hAnsi="Arial Narrow"/>
                <w:sz w:val="20"/>
                <w:szCs w:val="20"/>
              </w:rPr>
            </w:pPr>
            <w:r w:rsidRPr="00317B83">
              <w:rPr>
                <w:rFonts w:ascii="Arial Narrow" w:hAnsi="Arial Narrow"/>
                <w:sz w:val="20"/>
                <w:szCs w:val="20"/>
              </w:rPr>
              <w:t>Clinically significant cardiac disease is defined as either one of the following</w:t>
            </w:r>
            <w:r>
              <w:rPr>
                <w:rFonts w:ascii="Arial Narrow" w:hAnsi="Arial Narrow"/>
                <w:sz w:val="20"/>
                <w:szCs w:val="20"/>
              </w:rPr>
              <w:t>:</w:t>
            </w:r>
          </w:p>
          <w:p w14:paraId="2835152F" w14:textId="77777777" w:rsidR="004D12FE" w:rsidRPr="00317B83" w:rsidRDefault="004D12FE" w:rsidP="008028C6">
            <w:pPr>
              <w:pStyle w:val="ListParagraph"/>
              <w:numPr>
                <w:ilvl w:val="0"/>
                <w:numId w:val="16"/>
              </w:numPr>
              <w:spacing w:after="0"/>
              <w:contextualSpacing/>
              <w:jc w:val="both"/>
              <w:rPr>
                <w:rFonts w:ascii="Arial Narrow" w:hAnsi="Arial Narrow"/>
                <w:sz w:val="20"/>
                <w:szCs w:val="20"/>
              </w:rPr>
            </w:pPr>
            <w:r w:rsidRPr="00317B83">
              <w:rPr>
                <w:rFonts w:ascii="Arial Narrow" w:hAnsi="Arial Narrow"/>
                <w:sz w:val="20"/>
                <w:szCs w:val="20"/>
              </w:rPr>
              <w:t>congenital or acquired valvular disease</w:t>
            </w:r>
          </w:p>
          <w:p w14:paraId="177A6D6A" w14:textId="77777777" w:rsidR="004D12FE" w:rsidRPr="00317B83" w:rsidRDefault="004D12FE" w:rsidP="008028C6">
            <w:pPr>
              <w:pStyle w:val="ListParagraph"/>
              <w:numPr>
                <w:ilvl w:val="0"/>
                <w:numId w:val="16"/>
              </w:numPr>
              <w:spacing w:after="0"/>
              <w:contextualSpacing/>
              <w:jc w:val="both"/>
              <w:rPr>
                <w:rFonts w:ascii="Arial Narrow" w:hAnsi="Arial Narrow"/>
                <w:sz w:val="20"/>
                <w:szCs w:val="20"/>
              </w:rPr>
            </w:pPr>
            <w:r w:rsidRPr="00317B83">
              <w:rPr>
                <w:rFonts w:ascii="Arial Narrow" w:hAnsi="Arial Narrow"/>
                <w:sz w:val="20"/>
                <w:szCs w:val="20"/>
              </w:rPr>
              <w:t>pericardial constriction</w:t>
            </w:r>
          </w:p>
          <w:p w14:paraId="4EC43DF8" w14:textId="77777777" w:rsidR="004D12FE" w:rsidRPr="00317B83" w:rsidRDefault="004D12FE" w:rsidP="008028C6">
            <w:pPr>
              <w:pStyle w:val="ListParagraph"/>
              <w:numPr>
                <w:ilvl w:val="0"/>
                <w:numId w:val="16"/>
              </w:numPr>
              <w:spacing w:after="0"/>
              <w:contextualSpacing/>
              <w:jc w:val="both"/>
              <w:rPr>
                <w:rFonts w:ascii="Arial Narrow" w:hAnsi="Arial Narrow"/>
                <w:sz w:val="20"/>
                <w:szCs w:val="20"/>
              </w:rPr>
            </w:pPr>
            <w:r w:rsidRPr="00317B83">
              <w:rPr>
                <w:rFonts w:ascii="Arial Narrow" w:hAnsi="Arial Narrow"/>
                <w:sz w:val="20"/>
                <w:szCs w:val="20"/>
              </w:rPr>
              <w:t>restrictive or congestive cardiomyopathy</w:t>
            </w:r>
          </w:p>
          <w:p w14:paraId="598A315A" w14:textId="77777777" w:rsidR="004D12FE" w:rsidRPr="00317B83" w:rsidRDefault="004D12FE" w:rsidP="008028C6">
            <w:pPr>
              <w:pStyle w:val="ListParagraph"/>
              <w:numPr>
                <w:ilvl w:val="0"/>
                <w:numId w:val="16"/>
              </w:numPr>
              <w:spacing w:after="0"/>
              <w:contextualSpacing/>
              <w:jc w:val="both"/>
              <w:rPr>
                <w:rFonts w:ascii="Arial Narrow" w:hAnsi="Arial Narrow"/>
                <w:sz w:val="20"/>
                <w:szCs w:val="20"/>
              </w:rPr>
            </w:pPr>
            <w:r w:rsidRPr="00317B83">
              <w:rPr>
                <w:rFonts w:ascii="Arial Narrow" w:hAnsi="Arial Narrow"/>
                <w:sz w:val="20"/>
                <w:szCs w:val="20"/>
              </w:rPr>
              <w:t>coronary disease (prior myocardial infarction, percutaneous coronary intervention, coronary artery bypass graft surgery, or angina)</w:t>
            </w:r>
          </w:p>
          <w:p w14:paraId="259436DE" w14:textId="77777777" w:rsidR="004D12FE" w:rsidRPr="00317B83" w:rsidRDefault="004D12FE" w:rsidP="008028C6">
            <w:pPr>
              <w:pStyle w:val="ListParagraph"/>
              <w:numPr>
                <w:ilvl w:val="0"/>
                <w:numId w:val="16"/>
              </w:numPr>
              <w:spacing w:after="0"/>
              <w:contextualSpacing/>
              <w:jc w:val="both"/>
              <w:rPr>
                <w:rFonts w:ascii="Arial Narrow" w:hAnsi="Arial Narrow"/>
                <w:sz w:val="20"/>
                <w:szCs w:val="20"/>
              </w:rPr>
            </w:pPr>
            <w:r w:rsidRPr="00317B83">
              <w:rPr>
                <w:rFonts w:ascii="Arial Narrow" w:hAnsi="Arial Narrow"/>
                <w:sz w:val="20"/>
                <w:szCs w:val="20"/>
              </w:rPr>
              <w:t>hospitalisation for heart failure in the last five years</w:t>
            </w:r>
          </w:p>
          <w:p w14:paraId="4209AF13" w14:textId="77777777" w:rsidR="004D12FE" w:rsidRPr="00317B83" w:rsidRDefault="004D12FE" w:rsidP="008028C6">
            <w:pPr>
              <w:pStyle w:val="ListParagraph"/>
              <w:numPr>
                <w:ilvl w:val="0"/>
                <w:numId w:val="16"/>
              </w:numPr>
              <w:spacing w:after="0"/>
              <w:contextualSpacing/>
              <w:jc w:val="both"/>
              <w:rPr>
                <w:rFonts w:ascii="Arial Narrow" w:hAnsi="Arial Narrow"/>
                <w:sz w:val="20"/>
                <w:szCs w:val="20"/>
              </w:rPr>
            </w:pPr>
            <w:r w:rsidRPr="00317B83">
              <w:rPr>
                <w:rFonts w:ascii="Arial Narrow" w:hAnsi="Arial Narrow"/>
                <w:sz w:val="20"/>
                <w:szCs w:val="20"/>
              </w:rPr>
              <w:t>atrial fibrillation or arrhythmia</w:t>
            </w:r>
          </w:p>
        </w:tc>
      </w:tr>
      <w:tr w:rsidR="00D90733" w:rsidRPr="00317B83" w14:paraId="58C6E4B2"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56A8C997" w14:textId="77777777" w:rsidR="00D90733" w:rsidRPr="00317B83" w:rsidRDefault="00D90733" w:rsidP="008028C6">
            <w:pPr>
              <w:rPr>
                <w:rFonts w:ascii="Arial Narrow" w:hAnsi="Arial Narrow"/>
                <w:bCs/>
                <w:color w:val="FF0000"/>
                <w:sz w:val="20"/>
                <w:szCs w:val="20"/>
              </w:rPr>
            </w:pPr>
          </w:p>
          <w:p w14:paraId="244A7DC0" w14:textId="77777777" w:rsidR="00D90733" w:rsidRPr="00317B83" w:rsidRDefault="00D90733" w:rsidP="008028C6">
            <w:pPr>
              <w:rPr>
                <w:rFonts w:ascii="Arial Narrow" w:hAnsi="Arial Narrow"/>
                <w:bCs/>
                <w:color w:val="FF0000"/>
                <w:sz w:val="20"/>
                <w:szCs w:val="20"/>
              </w:rPr>
            </w:pPr>
          </w:p>
        </w:tc>
      </w:tr>
      <w:tr w:rsidR="00D90733" w:rsidRPr="00317B83" w14:paraId="0D714D6D" w14:textId="77777777" w:rsidTr="00910ECE">
        <w:tblPrEx>
          <w:tblCellMar>
            <w:top w:w="15" w:type="dxa"/>
            <w:bottom w:w="15" w:type="dxa"/>
          </w:tblCellMar>
          <w:tblLook w:val="04A0" w:firstRow="1" w:lastRow="0" w:firstColumn="1" w:lastColumn="0" w:noHBand="0" w:noVBand="1"/>
        </w:tblPrEx>
        <w:trPr>
          <w:cantSplit/>
          <w:trHeight w:val="20"/>
        </w:trPr>
        <w:tc>
          <w:tcPr>
            <w:tcW w:w="700" w:type="pct"/>
            <w:shd w:val="clear" w:color="auto" w:fill="BFBFBF" w:themeFill="background1" w:themeFillShade="BF"/>
          </w:tcPr>
          <w:p w14:paraId="61407879" w14:textId="77777777" w:rsidR="00D90733" w:rsidRPr="00317B83" w:rsidRDefault="00D90733" w:rsidP="008028C6">
            <w:pPr>
              <w:keepNext/>
              <w:keepLines/>
              <w:jc w:val="center"/>
              <w:rPr>
                <w:rFonts w:ascii="Arial Narrow" w:hAnsi="Arial Narrow"/>
                <w:b/>
                <w:bCs/>
                <w:color w:val="333333"/>
                <w:sz w:val="20"/>
                <w:szCs w:val="20"/>
              </w:rPr>
            </w:pPr>
          </w:p>
        </w:tc>
        <w:tc>
          <w:tcPr>
            <w:tcW w:w="4300" w:type="pct"/>
            <w:gridSpan w:val="6"/>
            <w:shd w:val="clear" w:color="auto" w:fill="BFBFBF" w:themeFill="background1" w:themeFillShade="BF"/>
            <w:vAlign w:val="center"/>
          </w:tcPr>
          <w:p w14:paraId="015AA4CF" w14:textId="77777777" w:rsidR="00D90733" w:rsidRPr="00317B83" w:rsidRDefault="00D90733" w:rsidP="008028C6">
            <w:pPr>
              <w:keepNext/>
              <w:keepLines/>
              <w:rPr>
                <w:rFonts w:ascii="Arial Narrow" w:hAnsi="Arial Narrow"/>
                <w:b/>
                <w:bCs/>
                <w:color w:val="FF0000"/>
                <w:sz w:val="20"/>
                <w:szCs w:val="20"/>
              </w:rPr>
            </w:pPr>
            <w:r w:rsidRPr="00317B83">
              <w:rPr>
                <w:rFonts w:ascii="Arial Narrow" w:hAnsi="Arial Narrow"/>
                <w:b/>
                <w:bCs/>
                <w:color w:val="333333"/>
                <w:sz w:val="20"/>
                <w:szCs w:val="20"/>
              </w:rPr>
              <w:t>Restriction Summary [new2]</w:t>
            </w:r>
            <w:r w:rsidRPr="00317B83">
              <w:rPr>
                <w:rFonts w:ascii="Arial Narrow" w:hAnsi="Arial Narrow"/>
                <w:b/>
                <w:bCs/>
                <w:color w:val="FF0000"/>
                <w:sz w:val="20"/>
                <w:szCs w:val="20"/>
              </w:rPr>
              <w:t xml:space="preserve"> </w:t>
            </w:r>
            <w:r w:rsidRPr="00317B83">
              <w:rPr>
                <w:rFonts w:ascii="Arial Narrow" w:hAnsi="Arial Narrow"/>
                <w:b/>
                <w:bCs/>
                <w:color w:val="333333"/>
                <w:sz w:val="20"/>
                <w:szCs w:val="20"/>
              </w:rPr>
              <w:t>/ Treatment of Concept: [new2A]</w:t>
            </w:r>
          </w:p>
        </w:tc>
      </w:tr>
      <w:tr w:rsidR="004D12FE" w:rsidRPr="00317B83" w14:paraId="0E964132"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14:paraId="6E38A81D" w14:textId="77777777" w:rsidR="004D12FE" w:rsidRPr="00317B83" w:rsidRDefault="004D12FE" w:rsidP="008028C6">
            <w:pPr>
              <w:rPr>
                <w:rFonts w:ascii="Arial Narrow" w:hAnsi="Arial Narrow"/>
                <w:color w:val="333333"/>
                <w:sz w:val="20"/>
                <w:szCs w:val="20"/>
              </w:rPr>
            </w:pPr>
            <w:r w:rsidRPr="00317B83">
              <w:rPr>
                <w:rFonts w:ascii="Arial Narrow" w:hAnsi="Arial Narrow"/>
                <w:b/>
                <w:bCs/>
                <w:sz w:val="20"/>
                <w:szCs w:val="20"/>
              </w:rPr>
              <w:t>Indication:</w:t>
            </w:r>
            <w:r w:rsidRPr="00317B83">
              <w:rPr>
                <w:rFonts w:ascii="Arial Narrow" w:hAnsi="Arial Narrow"/>
                <w:sz w:val="20"/>
                <w:szCs w:val="20"/>
              </w:rPr>
              <w:t xml:space="preserve"> </w:t>
            </w:r>
            <w:r w:rsidRPr="00317B83">
              <w:rPr>
                <w:rFonts w:ascii="Arial Narrow" w:hAnsi="Arial Narrow"/>
                <w:bCs/>
                <w:sz w:val="20"/>
                <w:szCs w:val="20"/>
              </w:rPr>
              <w:t>Friedreich ataxia</w:t>
            </w:r>
          </w:p>
        </w:tc>
      </w:tr>
      <w:tr w:rsidR="004D12FE" w:rsidRPr="00317B83" w14:paraId="2284B5B6"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14:paraId="538EA60A" w14:textId="65A43737" w:rsidR="004D12FE" w:rsidRPr="00317B83" w:rsidRDefault="004D12FE" w:rsidP="008028C6">
            <w:pPr>
              <w:rPr>
                <w:rFonts w:ascii="Arial Narrow" w:hAnsi="Arial Narrow"/>
                <w:sz w:val="20"/>
                <w:szCs w:val="20"/>
              </w:rPr>
            </w:pPr>
            <w:r w:rsidRPr="00317B83">
              <w:rPr>
                <w:rFonts w:ascii="Arial Narrow" w:hAnsi="Arial Narrow"/>
                <w:b/>
                <w:bCs/>
                <w:color w:val="333333"/>
                <w:sz w:val="20"/>
                <w:szCs w:val="20"/>
              </w:rPr>
              <w:t>Treatment Phase:</w:t>
            </w:r>
            <w:r w:rsidRPr="00317B83">
              <w:rPr>
                <w:rFonts w:ascii="Arial Narrow" w:hAnsi="Arial Narrow"/>
                <w:color w:val="FF0000"/>
                <w:sz w:val="20"/>
                <w:szCs w:val="20"/>
              </w:rPr>
              <w:t xml:space="preserve"> </w:t>
            </w:r>
            <w:r w:rsidRPr="00317B83">
              <w:rPr>
                <w:rFonts w:ascii="Arial Narrow" w:hAnsi="Arial Narrow"/>
                <w:bCs/>
                <w:sz w:val="20"/>
                <w:szCs w:val="20"/>
              </w:rPr>
              <w:t xml:space="preserve">Continuing treatment </w:t>
            </w:r>
          </w:p>
        </w:tc>
      </w:tr>
      <w:tr w:rsidR="004D12FE" w:rsidRPr="00317B83" w14:paraId="4CF98F7D"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0829F71C" w14:textId="77777777" w:rsidR="004D12FE" w:rsidRPr="00317B83" w:rsidRDefault="004D12FE" w:rsidP="008028C6">
            <w:pPr>
              <w:rPr>
                <w:rFonts w:ascii="Arial Narrow" w:hAnsi="Arial Narrow"/>
                <w:b/>
                <w:bCs/>
                <w:color w:val="333333"/>
                <w:sz w:val="20"/>
                <w:szCs w:val="20"/>
              </w:rPr>
            </w:pPr>
            <w:r w:rsidRPr="00317B83">
              <w:rPr>
                <w:rFonts w:ascii="Arial Narrow" w:hAnsi="Arial Narrow"/>
                <w:b/>
                <w:bCs/>
                <w:color w:val="333333"/>
                <w:sz w:val="20"/>
                <w:szCs w:val="20"/>
              </w:rPr>
              <w:t xml:space="preserve">Clinical criteria: </w:t>
            </w:r>
          </w:p>
        </w:tc>
      </w:tr>
      <w:tr w:rsidR="004D12FE" w:rsidRPr="00317B83" w14:paraId="1A1D5069"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064B8440" w14:textId="77777777" w:rsidR="004D12FE" w:rsidRPr="00317B83" w:rsidRDefault="004D12FE" w:rsidP="008028C6">
            <w:pPr>
              <w:rPr>
                <w:rFonts w:ascii="Arial Narrow" w:hAnsi="Arial Narrow"/>
                <w:bCs/>
                <w:sz w:val="20"/>
                <w:szCs w:val="20"/>
              </w:rPr>
            </w:pPr>
            <w:r w:rsidRPr="00317B83">
              <w:rPr>
                <w:rFonts w:ascii="Arial Narrow" w:hAnsi="Arial Narrow"/>
                <w:bCs/>
                <w:sz w:val="20"/>
                <w:szCs w:val="20"/>
              </w:rPr>
              <w:t>Patient must have previously received PBS-subsidised treatment with this drug for this condition,</w:t>
            </w:r>
          </w:p>
        </w:tc>
      </w:tr>
      <w:tr w:rsidR="004D12FE" w:rsidRPr="00317B83" w14:paraId="2768B52A"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05C9BD1D" w14:textId="77777777" w:rsidR="004D12FE" w:rsidRPr="00317B83" w:rsidRDefault="004D12FE" w:rsidP="008028C6">
            <w:pPr>
              <w:rPr>
                <w:rFonts w:ascii="Arial Narrow" w:hAnsi="Arial Narrow"/>
                <w:b/>
                <w:bCs/>
                <w:color w:val="333333"/>
                <w:sz w:val="20"/>
                <w:szCs w:val="20"/>
              </w:rPr>
            </w:pPr>
            <w:r w:rsidRPr="00317B83">
              <w:rPr>
                <w:rFonts w:ascii="Arial Narrow" w:hAnsi="Arial Narrow"/>
                <w:b/>
                <w:bCs/>
                <w:color w:val="333333"/>
                <w:sz w:val="20"/>
                <w:szCs w:val="20"/>
              </w:rPr>
              <w:t>AND</w:t>
            </w:r>
          </w:p>
        </w:tc>
      </w:tr>
      <w:tr w:rsidR="004D12FE" w:rsidRPr="00317B83" w14:paraId="44B4BD24"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0D77B704" w14:textId="77777777" w:rsidR="004D12FE" w:rsidRPr="00317B83" w:rsidRDefault="004D12FE" w:rsidP="008028C6">
            <w:pPr>
              <w:rPr>
                <w:rFonts w:ascii="Arial Narrow" w:hAnsi="Arial Narrow"/>
                <w:b/>
                <w:sz w:val="20"/>
                <w:szCs w:val="20"/>
              </w:rPr>
            </w:pPr>
            <w:r w:rsidRPr="00317B83">
              <w:rPr>
                <w:rFonts w:ascii="Arial Narrow" w:hAnsi="Arial Narrow"/>
                <w:b/>
                <w:sz w:val="20"/>
                <w:szCs w:val="20"/>
              </w:rPr>
              <w:t>Clinical criteria:</w:t>
            </w:r>
          </w:p>
        </w:tc>
      </w:tr>
      <w:tr w:rsidR="004D12FE" w:rsidRPr="00317B83" w14:paraId="0023F60E"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0856AC7D" w14:textId="16DFE6BE" w:rsidR="004D12FE" w:rsidRPr="00317B83" w:rsidRDefault="004D12FE" w:rsidP="008028C6">
            <w:pPr>
              <w:rPr>
                <w:rFonts w:ascii="Arial Narrow" w:hAnsi="Arial Narrow"/>
                <w:bCs/>
                <w:sz w:val="20"/>
                <w:szCs w:val="20"/>
              </w:rPr>
            </w:pPr>
            <w:r w:rsidRPr="00317B83">
              <w:rPr>
                <w:rFonts w:ascii="Arial Narrow" w:hAnsi="Arial Narrow"/>
                <w:bCs/>
                <w:sz w:val="20"/>
                <w:szCs w:val="20"/>
              </w:rPr>
              <w:t>Patient must continue to demonstrate clinical benefit</w:t>
            </w:r>
          </w:p>
        </w:tc>
      </w:tr>
      <w:tr w:rsidR="004D12FE" w:rsidRPr="00317B83" w14:paraId="0EE5E6A3"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53CA31D0" w14:textId="77777777" w:rsidR="004D12FE" w:rsidRPr="00317B83" w:rsidRDefault="004D12FE" w:rsidP="008028C6">
            <w:pPr>
              <w:rPr>
                <w:rFonts w:ascii="Arial Narrow" w:hAnsi="Arial Narrow"/>
                <w:b/>
                <w:bCs/>
                <w:color w:val="333333"/>
                <w:sz w:val="20"/>
                <w:szCs w:val="20"/>
              </w:rPr>
            </w:pPr>
            <w:r w:rsidRPr="00317B83">
              <w:rPr>
                <w:rFonts w:ascii="Arial Narrow" w:hAnsi="Arial Narrow"/>
                <w:b/>
                <w:bCs/>
                <w:color w:val="333333"/>
                <w:sz w:val="20"/>
                <w:szCs w:val="20"/>
              </w:rPr>
              <w:t>AND</w:t>
            </w:r>
          </w:p>
        </w:tc>
      </w:tr>
      <w:tr w:rsidR="004D12FE" w:rsidRPr="00317B83" w14:paraId="666C665B"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00B9793A" w14:textId="77777777" w:rsidR="004D12FE" w:rsidRPr="00317B83" w:rsidRDefault="004D12FE" w:rsidP="008028C6">
            <w:pPr>
              <w:rPr>
                <w:rFonts w:ascii="Arial Narrow" w:hAnsi="Arial Narrow"/>
                <w:b/>
                <w:bCs/>
                <w:color w:val="333333"/>
                <w:sz w:val="20"/>
                <w:szCs w:val="20"/>
              </w:rPr>
            </w:pPr>
            <w:r w:rsidRPr="00317B83">
              <w:rPr>
                <w:rFonts w:ascii="Arial Narrow" w:hAnsi="Arial Narrow"/>
                <w:b/>
                <w:sz w:val="20"/>
                <w:szCs w:val="20"/>
              </w:rPr>
              <w:t>Clinical criteria:</w:t>
            </w:r>
          </w:p>
        </w:tc>
      </w:tr>
      <w:tr w:rsidR="004D12FE" w:rsidRPr="00317B83" w14:paraId="43D5E35D"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1055BA39" w14:textId="77777777" w:rsidR="004D12FE" w:rsidRPr="00317B83" w:rsidRDefault="004D12FE" w:rsidP="008028C6">
            <w:pPr>
              <w:rPr>
                <w:rFonts w:ascii="Arial Narrow" w:hAnsi="Arial Narrow"/>
                <w:b/>
                <w:bCs/>
                <w:color w:val="333333"/>
                <w:sz w:val="20"/>
                <w:szCs w:val="20"/>
              </w:rPr>
            </w:pPr>
            <w:r w:rsidRPr="0024213B">
              <w:rPr>
                <w:rFonts w:ascii="Arial Narrow" w:hAnsi="Arial Narrow"/>
                <w:sz w:val="20"/>
                <w:szCs w:val="20"/>
              </w:rPr>
              <w:lastRenderedPageBreak/>
              <w:t>Patient must have evidence that their cardiac disease is haemodynamically stable if they have a history of clinically significant cardiac disease</w:t>
            </w:r>
          </w:p>
        </w:tc>
      </w:tr>
      <w:tr w:rsidR="004D12FE" w:rsidRPr="00317B83" w14:paraId="4B0C3880"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77E298C8" w14:textId="77777777" w:rsidR="004D12FE" w:rsidRPr="00317B83" w:rsidRDefault="004D12FE" w:rsidP="008028C6">
            <w:pPr>
              <w:rPr>
                <w:rFonts w:ascii="Arial Narrow" w:hAnsi="Arial Narrow"/>
                <w:b/>
                <w:bCs/>
                <w:color w:val="333333"/>
                <w:sz w:val="20"/>
                <w:szCs w:val="20"/>
              </w:rPr>
            </w:pPr>
            <w:r w:rsidRPr="00317B83">
              <w:rPr>
                <w:rFonts w:ascii="Arial Narrow" w:hAnsi="Arial Narrow"/>
                <w:b/>
                <w:bCs/>
                <w:color w:val="333333"/>
                <w:sz w:val="20"/>
                <w:szCs w:val="20"/>
              </w:rPr>
              <w:t>AND</w:t>
            </w:r>
          </w:p>
        </w:tc>
      </w:tr>
      <w:tr w:rsidR="004D12FE" w:rsidRPr="00317B83" w14:paraId="27986E79"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72AE6653" w14:textId="77777777" w:rsidR="004D12FE" w:rsidRPr="00317B83" w:rsidRDefault="004D12FE" w:rsidP="008028C6">
            <w:pPr>
              <w:rPr>
                <w:rFonts w:ascii="Arial Narrow" w:hAnsi="Arial Narrow"/>
                <w:b/>
                <w:bCs/>
                <w:color w:val="333333"/>
                <w:sz w:val="20"/>
                <w:szCs w:val="20"/>
              </w:rPr>
            </w:pPr>
            <w:r w:rsidRPr="00317B83">
              <w:rPr>
                <w:rFonts w:ascii="Arial Narrow" w:hAnsi="Arial Narrow"/>
                <w:b/>
                <w:sz w:val="20"/>
                <w:szCs w:val="20"/>
              </w:rPr>
              <w:t>Clinical criteria:</w:t>
            </w:r>
          </w:p>
        </w:tc>
      </w:tr>
      <w:tr w:rsidR="004D12FE" w:rsidRPr="00317B83" w14:paraId="5AF3CA48"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3C712060" w14:textId="77777777" w:rsidR="004D12FE" w:rsidRPr="00317B83" w:rsidRDefault="004D12FE" w:rsidP="008028C6">
            <w:pPr>
              <w:rPr>
                <w:rFonts w:ascii="Arial Narrow" w:hAnsi="Arial Narrow"/>
                <w:b/>
                <w:bCs/>
                <w:color w:val="333333"/>
                <w:sz w:val="20"/>
                <w:szCs w:val="20"/>
              </w:rPr>
            </w:pPr>
            <w:r w:rsidRPr="00317B83">
              <w:rPr>
                <w:rFonts w:ascii="Arial Narrow" w:hAnsi="Arial Narrow"/>
                <w:sz w:val="20"/>
                <w:szCs w:val="20"/>
              </w:rPr>
              <w:t>The treatment must be given concomitantly with best supportive care for this condition</w:t>
            </w:r>
          </w:p>
        </w:tc>
      </w:tr>
      <w:tr w:rsidR="004D12FE" w:rsidRPr="00317B83" w14:paraId="74DF714A"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111F3275" w14:textId="77777777" w:rsidR="004D12FE" w:rsidRPr="00317B83" w:rsidRDefault="004D12FE" w:rsidP="008028C6">
            <w:pPr>
              <w:rPr>
                <w:rFonts w:ascii="Arial Narrow" w:hAnsi="Arial Narrow"/>
                <w:b/>
                <w:bCs/>
                <w:color w:val="333333"/>
                <w:sz w:val="20"/>
                <w:szCs w:val="20"/>
              </w:rPr>
            </w:pPr>
            <w:r w:rsidRPr="00317B83">
              <w:rPr>
                <w:rFonts w:ascii="Arial Narrow" w:hAnsi="Arial Narrow"/>
                <w:b/>
                <w:bCs/>
                <w:color w:val="333333"/>
                <w:sz w:val="20"/>
                <w:szCs w:val="20"/>
              </w:rPr>
              <w:t>Treatment criteria:</w:t>
            </w:r>
          </w:p>
        </w:tc>
      </w:tr>
      <w:tr w:rsidR="004D12FE" w:rsidRPr="00317B83" w14:paraId="08C4003A"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6A1D7FFD" w14:textId="77777777" w:rsidR="004D12FE" w:rsidRPr="00317B83" w:rsidRDefault="004D12FE" w:rsidP="008028C6">
            <w:pPr>
              <w:rPr>
                <w:rFonts w:ascii="Arial Narrow" w:hAnsi="Arial Narrow"/>
                <w:color w:val="76923C" w:themeColor="accent3" w:themeShade="BF"/>
                <w:sz w:val="20"/>
                <w:szCs w:val="20"/>
              </w:rPr>
            </w:pPr>
            <w:r w:rsidRPr="003359D8">
              <w:rPr>
                <w:rFonts w:ascii="Arial Narrow" w:hAnsi="Arial Narrow"/>
                <w:sz w:val="20"/>
                <w:szCs w:val="20"/>
              </w:rPr>
              <w:t xml:space="preserve">Must be treated by a specialist with expertise in the management of Friedreich’s ataxia; or </w:t>
            </w:r>
          </w:p>
        </w:tc>
      </w:tr>
      <w:tr w:rsidR="004D12FE" w:rsidRPr="00317B83" w14:paraId="1FE1424B"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37C51C73" w14:textId="45DF6701" w:rsidR="004D12FE" w:rsidRPr="00317B83" w:rsidRDefault="004D12FE" w:rsidP="008028C6">
            <w:pPr>
              <w:rPr>
                <w:rFonts w:ascii="Arial Narrow" w:hAnsi="Arial Narrow"/>
                <w:sz w:val="20"/>
                <w:szCs w:val="20"/>
              </w:rPr>
            </w:pPr>
            <w:r w:rsidRPr="0024213B">
              <w:rPr>
                <w:rFonts w:ascii="Arial Narrow" w:hAnsi="Arial Narrow"/>
                <w:sz w:val="20"/>
                <w:szCs w:val="20"/>
              </w:rPr>
              <w:t xml:space="preserve">Must be treated by </w:t>
            </w:r>
            <w:r>
              <w:rPr>
                <w:rFonts w:ascii="Arial Narrow" w:hAnsi="Arial Narrow"/>
                <w:sz w:val="20"/>
                <w:szCs w:val="20"/>
              </w:rPr>
              <w:t>either (i)</w:t>
            </w:r>
            <w:r w:rsidRPr="0024213B">
              <w:rPr>
                <w:rFonts w:ascii="Arial Narrow" w:hAnsi="Arial Narrow"/>
                <w:sz w:val="20"/>
                <w:szCs w:val="20"/>
              </w:rPr>
              <w:t xml:space="preserve"> medical practitioner</w:t>
            </w:r>
            <w:r>
              <w:rPr>
                <w:rFonts w:ascii="Arial Narrow" w:hAnsi="Arial Narrow"/>
                <w:sz w:val="20"/>
                <w:szCs w:val="20"/>
              </w:rPr>
              <w:t>, (ii) nurse practitioner</w:t>
            </w:r>
            <w:r w:rsidRPr="0024213B">
              <w:rPr>
                <w:rFonts w:ascii="Arial Narrow" w:hAnsi="Arial Narrow"/>
                <w:sz w:val="20"/>
                <w:szCs w:val="20"/>
              </w:rPr>
              <w:t xml:space="preserve"> in consultation with a specialist with expertise in Friedreich’s ataxia. </w:t>
            </w:r>
          </w:p>
        </w:tc>
      </w:tr>
      <w:tr w:rsidR="004D12FE" w:rsidRPr="00317B83" w14:paraId="664BDCC2"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7355A38B" w14:textId="2EF4969E" w:rsidR="004D12FE" w:rsidRPr="0046540E" w:rsidRDefault="004D12FE" w:rsidP="008028C6">
            <w:pPr>
              <w:rPr>
                <w:rFonts w:ascii="Arial Narrow" w:hAnsi="Arial Narrow"/>
                <w:b/>
                <w:bCs/>
                <w:color w:val="333333"/>
                <w:sz w:val="20"/>
                <w:szCs w:val="20"/>
              </w:rPr>
            </w:pPr>
            <w:r w:rsidRPr="0046540E">
              <w:rPr>
                <w:rFonts w:ascii="Arial Narrow" w:hAnsi="Arial Narrow"/>
                <w:b/>
                <w:bCs/>
                <w:color w:val="333333"/>
                <w:sz w:val="20"/>
                <w:szCs w:val="20"/>
              </w:rPr>
              <w:t xml:space="preserve">Prescribing Instructions: </w:t>
            </w:r>
          </w:p>
          <w:p w14:paraId="12016DFB" w14:textId="77777777" w:rsidR="004D12FE" w:rsidRDefault="004D12FE" w:rsidP="008028C6">
            <w:pPr>
              <w:rPr>
                <w:rFonts w:ascii="Arial Narrow" w:hAnsi="Arial Narrow"/>
                <w:color w:val="333333"/>
                <w:sz w:val="20"/>
                <w:szCs w:val="20"/>
              </w:rPr>
            </w:pPr>
            <w:r>
              <w:rPr>
                <w:rFonts w:ascii="Arial Narrow" w:hAnsi="Arial Narrow"/>
                <w:color w:val="333333"/>
                <w:sz w:val="20"/>
                <w:szCs w:val="20"/>
              </w:rPr>
              <w:t>For the purposes of administering this restriction, demonstrating c</w:t>
            </w:r>
            <w:r w:rsidRPr="000D09D8">
              <w:rPr>
                <w:rFonts w:ascii="Arial Narrow" w:hAnsi="Arial Narrow"/>
                <w:color w:val="333333"/>
                <w:sz w:val="20"/>
                <w:szCs w:val="20"/>
              </w:rPr>
              <w:t>linical benefit to this medicine is defined as</w:t>
            </w:r>
            <w:r>
              <w:rPr>
                <w:rFonts w:ascii="Arial Narrow" w:hAnsi="Arial Narrow"/>
                <w:color w:val="333333"/>
                <w:sz w:val="20"/>
                <w:szCs w:val="20"/>
              </w:rPr>
              <w:t xml:space="preserve"> either</w:t>
            </w:r>
            <w:r w:rsidRPr="000D09D8">
              <w:rPr>
                <w:rFonts w:ascii="Arial Narrow" w:hAnsi="Arial Narrow"/>
                <w:color w:val="333333"/>
                <w:sz w:val="20"/>
                <w:szCs w:val="20"/>
              </w:rPr>
              <w:t>:</w:t>
            </w:r>
          </w:p>
          <w:p w14:paraId="5ED716B5" w14:textId="581D396D" w:rsidR="004D12FE" w:rsidRPr="001658A1" w:rsidRDefault="004D12FE" w:rsidP="008028C6">
            <w:pPr>
              <w:rPr>
                <w:rFonts w:ascii="Arial Narrow" w:hAnsi="Arial Narrow"/>
                <w:color w:val="333333"/>
                <w:sz w:val="20"/>
                <w:szCs w:val="20"/>
              </w:rPr>
            </w:pPr>
            <w:r>
              <w:rPr>
                <w:rFonts w:ascii="Arial Narrow" w:hAnsi="Arial Narrow"/>
                <w:color w:val="333333"/>
                <w:sz w:val="20"/>
                <w:szCs w:val="20"/>
              </w:rPr>
              <w:t xml:space="preserve">(i) </w:t>
            </w:r>
            <w:r w:rsidRPr="001658A1">
              <w:rPr>
                <w:rFonts w:ascii="Arial Narrow" w:hAnsi="Arial Narrow"/>
                <w:color w:val="333333"/>
                <w:sz w:val="20"/>
                <w:szCs w:val="20"/>
              </w:rPr>
              <w:t xml:space="preserve">no deterioration of </w:t>
            </w:r>
            <w:r w:rsidRPr="001658A1">
              <w:rPr>
                <w:rFonts w:ascii="Arial Narrow" w:hAnsi="Arial Narrow"/>
                <w:sz w:val="20"/>
                <w:szCs w:val="20"/>
              </w:rPr>
              <w:t>mFARS score by more than 2 points annually compared to the previous year; OR</w:t>
            </w:r>
          </w:p>
          <w:p w14:paraId="3D865A88" w14:textId="63A58847" w:rsidR="004D12FE" w:rsidRPr="0024213B" w:rsidRDefault="004D12FE" w:rsidP="008028C6">
            <w:pPr>
              <w:rPr>
                <w:rFonts w:ascii="Arial Narrow" w:hAnsi="Arial Narrow"/>
                <w:sz w:val="20"/>
                <w:szCs w:val="20"/>
              </w:rPr>
            </w:pPr>
            <w:r>
              <w:rPr>
                <w:rFonts w:ascii="Arial Narrow" w:hAnsi="Arial Narrow"/>
                <w:color w:val="333333"/>
                <w:sz w:val="20"/>
                <w:szCs w:val="20"/>
              </w:rPr>
              <w:t xml:space="preserve">(ii) </w:t>
            </w:r>
            <w:r w:rsidRPr="00736ED4">
              <w:rPr>
                <w:rFonts w:ascii="Arial Narrow" w:hAnsi="Arial Narrow"/>
                <w:color w:val="333333"/>
                <w:sz w:val="20"/>
                <w:szCs w:val="20"/>
              </w:rPr>
              <w:t>current mFARs score doesn’t exceed 80.</w:t>
            </w:r>
          </w:p>
        </w:tc>
      </w:tr>
      <w:tr w:rsidR="004D12FE" w:rsidRPr="00317B83" w14:paraId="073302C1"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16744532" w14:textId="77777777" w:rsidR="004D12FE" w:rsidRPr="0024213B" w:rsidRDefault="004D12FE" w:rsidP="008028C6">
            <w:pPr>
              <w:rPr>
                <w:rFonts w:ascii="Arial Narrow" w:hAnsi="Arial Narrow"/>
                <w:b/>
                <w:color w:val="333333"/>
                <w:sz w:val="20"/>
                <w:szCs w:val="20"/>
              </w:rPr>
            </w:pPr>
            <w:r w:rsidRPr="0024213B">
              <w:rPr>
                <w:rFonts w:ascii="Arial Narrow" w:hAnsi="Arial Narrow"/>
                <w:b/>
                <w:color w:val="333333"/>
                <w:sz w:val="20"/>
                <w:szCs w:val="20"/>
              </w:rPr>
              <w:t xml:space="preserve">Prescribing Instructions: </w:t>
            </w:r>
          </w:p>
          <w:p w14:paraId="058F475D" w14:textId="77777777" w:rsidR="004D12FE" w:rsidRPr="0024213B" w:rsidRDefault="004D12FE" w:rsidP="008028C6">
            <w:pPr>
              <w:rPr>
                <w:rFonts w:ascii="Arial Narrow" w:hAnsi="Arial Narrow"/>
                <w:sz w:val="20"/>
                <w:szCs w:val="20"/>
              </w:rPr>
            </w:pPr>
            <w:r w:rsidRPr="0024213B">
              <w:rPr>
                <w:rFonts w:ascii="Arial Narrow" w:hAnsi="Arial Narrow"/>
                <w:sz w:val="20"/>
                <w:szCs w:val="20"/>
              </w:rPr>
              <w:t>The following must be documented in the patient’s medical records:</w:t>
            </w:r>
          </w:p>
          <w:p w14:paraId="64B1771A" w14:textId="77777777" w:rsidR="004D12FE" w:rsidRPr="0024213B" w:rsidRDefault="004D12FE" w:rsidP="008028C6">
            <w:pPr>
              <w:pStyle w:val="ListParagraph"/>
              <w:numPr>
                <w:ilvl w:val="0"/>
                <w:numId w:val="18"/>
              </w:numPr>
              <w:spacing w:after="0"/>
              <w:contextualSpacing/>
              <w:jc w:val="both"/>
              <w:rPr>
                <w:rFonts w:ascii="Arial Narrow" w:hAnsi="Arial Narrow"/>
                <w:sz w:val="20"/>
                <w:szCs w:val="20"/>
              </w:rPr>
            </w:pPr>
            <w:r w:rsidRPr="0024213B">
              <w:rPr>
                <w:rFonts w:ascii="Arial Narrow" w:hAnsi="Arial Narrow"/>
                <w:sz w:val="20"/>
                <w:szCs w:val="20"/>
              </w:rPr>
              <w:t>Echocardiogram or electrocardiogram results within the last 12 months confirming that the patient’s cardiac disease is haemodynamically stable (if applicable).</w:t>
            </w:r>
          </w:p>
        </w:tc>
      </w:tr>
      <w:tr w:rsidR="004D12FE" w:rsidRPr="00317B83" w14:paraId="6B1FFB92"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452E952E" w14:textId="7842EADC" w:rsidR="004D12FE" w:rsidRPr="0046540E" w:rsidRDefault="004D12FE" w:rsidP="008028C6">
            <w:pPr>
              <w:rPr>
                <w:rFonts w:ascii="Arial Narrow" w:hAnsi="Arial Narrow"/>
                <w:b/>
                <w:bCs/>
                <w:color w:val="333333"/>
                <w:sz w:val="20"/>
                <w:szCs w:val="20"/>
              </w:rPr>
            </w:pPr>
            <w:r w:rsidRPr="0046540E">
              <w:rPr>
                <w:rFonts w:ascii="Arial Narrow" w:hAnsi="Arial Narrow"/>
                <w:b/>
                <w:bCs/>
                <w:color w:val="333333"/>
                <w:sz w:val="20"/>
                <w:szCs w:val="20"/>
              </w:rPr>
              <w:t xml:space="preserve">Prescribing Instructions: </w:t>
            </w:r>
          </w:p>
          <w:p w14:paraId="271DDB22" w14:textId="2BED11EB" w:rsidR="004D12FE" w:rsidRDefault="004D12FE" w:rsidP="008028C6">
            <w:pPr>
              <w:rPr>
                <w:rFonts w:ascii="Arial Narrow" w:hAnsi="Arial Narrow"/>
                <w:color w:val="333333"/>
                <w:sz w:val="20"/>
                <w:szCs w:val="20"/>
              </w:rPr>
            </w:pPr>
            <w:r>
              <w:rPr>
                <w:rFonts w:ascii="Arial Narrow" w:hAnsi="Arial Narrow"/>
                <w:color w:val="333333"/>
                <w:sz w:val="20"/>
                <w:szCs w:val="20"/>
              </w:rPr>
              <w:t xml:space="preserve">At the time of each continuing authority </w:t>
            </w:r>
            <w:r w:rsidRPr="009B67B5">
              <w:rPr>
                <w:rFonts w:ascii="Arial Narrow" w:hAnsi="Arial Narrow"/>
                <w:color w:val="333333"/>
                <w:sz w:val="20"/>
                <w:szCs w:val="20"/>
              </w:rPr>
              <w:t>application</w:t>
            </w:r>
            <w:r>
              <w:rPr>
                <w:rFonts w:ascii="Arial Narrow" w:hAnsi="Arial Narrow"/>
                <w:color w:val="333333"/>
                <w:sz w:val="20"/>
                <w:szCs w:val="20"/>
              </w:rPr>
              <w:t>, the current mFARS score, measured within 4 weeks prior to the authority application date must be provided and</w:t>
            </w:r>
            <w:r w:rsidRPr="009B67B5">
              <w:rPr>
                <w:rFonts w:ascii="Arial Narrow" w:hAnsi="Arial Narrow"/>
                <w:color w:val="333333"/>
                <w:sz w:val="20"/>
                <w:szCs w:val="20"/>
              </w:rPr>
              <w:t xml:space="preserve"> </w:t>
            </w:r>
            <w:r>
              <w:rPr>
                <w:rFonts w:ascii="Arial Narrow" w:hAnsi="Arial Narrow"/>
                <w:color w:val="333333"/>
                <w:sz w:val="20"/>
                <w:szCs w:val="20"/>
              </w:rPr>
              <w:t>recorded</w:t>
            </w:r>
            <w:r w:rsidRPr="009B67B5">
              <w:rPr>
                <w:rFonts w:ascii="Arial Narrow" w:hAnsi="Arial Narrow"/>
                <w:color w:val="333333"/>
                <w:sz w:val="20"/>
                <w:szCs w:val="20"/>
              </w:rPr>
              <w:t xml:space="preserve"> in the patient's medical records</w:t>
            </w:r>
            <w:r>
              <w:rPr>
                <w:rFonts w:ascii="Arial Narrow" w:hAnsi="Arial Narrow"/>
                <w:color w:val="333333"/>
                <w:sz w:val="20"/>
                <w:szCs w:val="20"/>
              </w:rPr>
              <w:t>.</w:t>
            </w:r>
          </w:p>
          <w:p w14:paraId="67B1B47E" w14:textId="77777777" w:rsidR="004D12FE" w:rsidRDefault="004D12FE" w:rsidP="008028C6">
            <w:pPr>
              <w:contextualSpacing/>
              <w:rPr>
                <w:rFonts w:ascii="Arial Narrow" w:hAnsi="Arial Narrow"/>
                <w:b/>
                <w:bCs/>
                <w:color w:val="333333"/>
                <w:sz w:val="20"/>
                <w:szCs w:val="20"/>
              </w:rPr>
            </w:pPr>
          </w:p>
          <w:p w14:paraId="3813D004" w14:textId="0BD0BBA9" w:rsidR="004D12FE" w:rsidRPr="00D52FE6" w:rsidRDefault="004D12FE" w:rsidP="008028C6">
            <w:pPr>
              <w:contextualSpacing/>
              <w:rPr>
                <w:rFonts w:ascii="Arial Narrow" w:hAnsi="Arial Narrow"/>
                <w:color w:val="333333"/>
                <w:sz w:val="20"/>
                <w:szCs w:val="20"/>
              </w:rPr>
            </w:pPr>
            <w:r>
              <w:rPr>
                <w:rFonts w:ascii="Arial Narrow" w:hAnsi="Arial Narrow"/>
                <w:color w:val="333333"/>
                <w:sz w:val="20"/>
                <w:szCs w:val="20"/>
              </w:rPr>
              <w:t xml:space="preserve">Annually, prescribers must also provide the mFARS score that was included in the </w:t>
            </w:r>
            <w:r>
              <w:rPr>
                <w:rFonts w:ascii="Arial Narrow" w:hAnsi="Arial Narrow"/>
                <w:sz w:val="20"/>
                <w:szCs w:val="20"/>
              </w:rPr>
              <w:t xml:space="preserve">PBS authority application submitted a year ago for assessment of response. </w:t>
            </w:r>
          </w:p>
        </w:tc>
      </w:tr>
      <w:tr w:rsidR="004D12FE" w:rsidRPr="00317B83" w14:paraId="037B6CD6" w14:textId="77777777" w:rsidTr="00910ECE">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788F8DEF" w14:textId="77777777" w:rsidR="004D12FE" w:rsidRPr="0024213B" w:rsidRDefault="004D12FE" w:rsidP="008028C6">
            <w:pPr>
              <w:rPr>
                <w:rFonts w:ascii="Arial Narrow" w:hAnsi="Arial Narrow"/>
                <w:b/>
                <w:color w:val="333333"/>
                <w:sz w:val="20"/>
                <w:szCs w:val="20"/>
              </w:rPr>
            </w:pPr>
            <w:r w:rsidRPr="0024213B">
              <w:rPr>
                <w:rFonts w:ascii="Arial Narrow" w:hAnsi="Arial Narrow"/>
                <w:b/>
                <w:color w:val="333333"/>
                <w:sz w:val="20"/>
                <w:szCs w:val="20"/>
              </w:rPr>
              <w:t xml:space="preserve">Prescribing Instructions: </w:t>
            </w:r>
          </w:p>
          <w:p w14:paraId="36451411" w14:textId="38CB8B14" w:rsidR="004D12FE" w:rsidRPr="00317B83" w:rsidRDefault="004D12FE" w:rsidP="008028C6">
            <w:pPr>
              <w:rPr>
                <w:rFonts w:ascii="Arial Narrow" w:hAnsi="Arial Narrow"/>
                <w:sz w:val="20"/>
                <w:szCs w:val="20"/>
              </w:rPr>
            </w:pPr>
            <w:r w:rsidRPr="00317B83">
              <w:rPr>
                <w:rFonts w:ascii="Arial Narrow" w:hAnsi="Arial Narrow"/>
                <w:sz w:val="20"/>
                <w:szCs w:val="20"/>
              </w:rPr>
              <w:t>Clinically significant cardiac disease is defined as either one of the following</w:t>
            </w:r>
            <w:r w:rsidRPr="0024213B">
              <w:rPr>
                <w:rFonts w:ascii="Arial Narrow" w:hAnsi="Arial Narrow"/>
                <w:sz w:val="20"/>
                <w:szCs w:val="20"/>
              </w:rPr>
              <w:t>:</w:t>
            </w:r>
          </w:p>
          <w:p w14:paraId="131FAEF7" w14:textId="77777777" w:rsidR="004D12FE" w:rsidRPr="00317B83" w:rsidRDefault="004D12FE" w:rsidP="008028C6">
            <w:pPr>
              <w:pStyle w:val="ListParagraph"/>
              <w:numPr>
                <w:ilvl w:val="0"/>
                <w:numId w:val="17"/>
              </w:numPr>
              <w:spacing w:after="0"/>
              <w:contextualSpacing/>
              <w:jc w:val="both"/>
              <w:rPr>
                <w:rFonts w:ascii="Arial Narrow" w:hAnsi="Arial Narrow"/>
                <w:sz w:val="20"/>
                <w:szCs w:val="20"/>
              </w:rPr>
            </w:pPr>
            <w:r w:rsidRPr="00317B83">
              <w:rPr>
                <w:rFonts w:ascii="Arial Narrow" w:hAnsi="Arial Narrow"/>
                <w:sz w:val="20"/>
                <w:szCs w:val="20"/>
              </w:rPr>
              <w:t>congenital or acquired valvular disease</w:t>
            </w:r>
          </w:p>
          <w:p w14:paraId="4187E497" w14:textId="77777777" w:rsidR="004D12FE" w:rsidRPr="00317B83" w:rsidRDefault="004D12FE" w:rsidP="008028C6">
            <w:pPr>
              <w:pStyle w:val="ListParagraph"/>
              <w:numPr>
                <w:ilvl w:val="0"/>
                <w:numId w:val="17"/>
              </w:numPr>
              <w:spacing w:after="0"/>
              <w:contextualSpacing/>
              <w:jc w:val="both"/>
              <w:rPr>
                <w:rFonts w:ascii="Arial Narrow" w:hAnsi="Arial Narrow"/>
                <w:sz w:val="20"/>
                <w:szCs w:val="20"/>
              </w:rPr>
            </w:pPr>
            <w:r w:rsidRPr="00317B83">
              <w:rPr>
                <w:rFonts w:ascii="Arial Narrow" w:hAnsi="Arial Narrow"/>
                <w:sz w:val="20"/>
                <w:szCs w:val="20"/>
              </w:rPr>
              <w:t>pericardial constriction</w:t>
            </w:r>
          </w:p>
          <w:p w14:paraId="15594ACD" w14:textId="77777777" w:rsidR="004D12FE" w:rsidRPr="00317B83" w:rsidRDefault="004D12FE" w:rsidP="008028C6">
            <w:pPr>
              <w:pStyle w:val="ListParagraph"/>
              <w:numPr>
                <w:ilvl w:val="0"/>
                <w:numId w:val="17"/>
              </w:numPr>
              <w:spacing w:after="0"/>
              <w:contextualSpacing/>
              <w:jc w:val="both"/>
              <w:rPr>
                <w:rFonts w:ascii="Arial Narrow" w:hAnsi="Arial Narrow"/>
                <w:sz w:val="20"/>
                <w:szCs w:val="20"/>
              </w:rPr>
            </w:pPr>
            <w:r w:rsidRPr="00317B83">
              <w:rPr>
                <w:rFonts w:ascii="Arial Narrow" w:hAnsi="Arial Narrow"/>
                <w:sz w:val="20"/>
                <w:szCs w:val="20"/>
              </w:rPr>
              <w:t>restrictive or congestive cardiomyopathy</w:t>
            </w:r>
          </w:p>
          <w:p w14:paraId="1D975B10" w14:textId="77777777" w:rsidR="004D12FE" w:rsidRPr="00317B83" w:rsidRDefault="004D12FE" w:rsidP="008028C6">
            <w:pPr>
              <w:pStyle w:val="ListParagraph"/>
              <w:numPr>
                <w:ilvl w:val="0"/>
                <w:numId w:val="17"/>
              </w:numPr>
              <w:spacing w:after="0"/>
              <w:contextualSpacing/>
              <w:jc w:val="both"/>
              <w:rPr>
                <w:rFonts w:ascii="Arial Narrow" w:hAnsi="Arial Narrow"/>
                <w:sz w:val="20"/>
                <w:szCs w:val="20"/>
              </w:rPr>
            </w:pPr>
            <w:r w:rsidRPr="00317B83">
              <w:rPr>
                <w:rFonts w:ascii="Arial Narrow" w:hAnsi="Arial Narrow"/>
                <w:sz w:val="20"/>
                <w:szCs w:val="20"/>
              </w:rPr>
              <w:t>coronary disease (prior myocardial infarction, percutaneous coronary intervention, coronary artery bypass graft surgery, or angina)</w:t>
            </w:r>
          </w:p>
          <w:p w14:paraId="528D3E51" w14:textId="77777777" w:rsidR="004D12FE" w:rsidRPr="00317B83" w:rsidRDefault="004D12FE" w:rsidP="008028C6">
            <w:pPr>
              <w:pStyle w:val="ListParagraph"/>
              <w:numPr>
                <w:ilvl w:val="0"/>
                <w:numId w:val="17"/>
              </w:numPr>
              <w:spacing w:after="0"/>
              <w:contextualSpacing/>
              <w:jc w:val="both"/>
              <w:rPr>
                <w:rFonts w:ascii="Arial Narrow" w:hAnsi="Arial Narrow"/>
                <w:sz w:val="20"/>
                <w:szCs w:val="20"/>
              </w:rPr>
            </w:pPr>
            <w:r w:rsidRPr="00317B83">
              <w:rPr>
                <w:rFonts w:ascii="Arial Narrow" w:hAnsi="Arial Narrow"/>
                <w:sz w:val="20"/>
                <w:szCs w:val="20"/>
              </w:rPr>
              <w:t>hospitalisation for heart failure in the last five years</w:t>
            </w:r>
          </w:p>
          <w:p w14:paraId="0F9C8A89" w14:textId="77777777" w:rsidR="004D12FE" w:rsidRPr="00317B83" w:rsidRDefault="004D12FE" w:rsidP="008028C6">
            <w:pPr>
              <w:pStyle w:val="ListParagraph"/>
              <w:numPr>
                <w:ilvl w:val="0"/>
                <w:numId w:val="17"/>
              </w:numPr>
              <w:spacing w:after="0"/>
              <w:contextualSpacing/>
              <w:jc w:val="both"/>
              <w:rPr>
                <w:rFonts w:ascii="Arial Narrow" w:hAnsi="Arial Narrow"/>
                <w:sz w:val="20"/>
                <w:szCs w:val="20"/>
              </w:rPr>
            </w:pPr>
            <w:r w:rsidRPr="00317B83">
              <w:rPr>
                <w:rFonts w:ascii="Arial Narrow" w:hAnsi="Arial Narrow"/>
                <w:sz w:val="20"/>
                <w:szCs w:val="20"/>
              </w:rPr>
              <w:t>atrial fibrillation or arrhythmia</w:t>
            </w:r>
          </w:p>
        </w:tc>
      </w:tr>
    </w:tbl>
    <w:p w14:paraId="40DE64A5" w14:textId="77777777" w:rsidR="001F43CD" w:rsidRPr="001F43CD" w:rsidRDefault="001F43CD" w:rsidP="008028C6"/>
    <w:p w14:paraId="46EF28A2" w14:textId="30527A3C" w:rsidR="00753B29" w:rsidRDefault="00C56D8D" w:rsidP="008028C6">
      <w:pPr>
        <w:jc w:val="left"/>
        <w:rPr>
          <w:rFonts w:asciiTheme="minorHAnsi" w:hAnsiTheme="minorHAnsi"/>
          <w:b/>
          <w:i/>
          <w:iCs/>
          <w:snapToGrid w:val="0"/>
          <w:lang w:val="en-GB"/>
        </w:rPr>
      </w:pPr>
      <w:r w:rsidRPr="00907671">
        <w:rPr>
          <w:rFonts w:asciiTheme="minorHAnsi" w:hAnsiTheme="minorHAnsi"/>
          <w:b/>
          <w:i/>
          <w:iCs/>
          <w:snapToGrid w:val="0"/>
          <w:lang w:val="en-GB"/>
        </w:rPr>
        <w:t xml:space="preserve">These restrictions may be subject to further review. Should there be any changes made to the restriction the sponsor will </w:t>
      </w:r>
      <w:proofErr w:type="gramStart"/>
      <w:r w:rsidRPr="00907671">
        <w:rPr>
          <w:rFonts w:asciiTheme="minorHAnsi" w:hAnsiTheme="minorHAnsi"/>
          <w:b/>
          <w:i/>
          <w:iCs/>
          <w:snapToGrid w:val="0"/>
          <w:lang w:val="en-GB"/>
        </w:rPr>
        <w:t>be informed</w:t>
      </w:r>
      <w:proofErr w:type="gramEnd"/>
      <w:r w:rsidRPr="00907671">
        <w:rPr>
          <w:rFonts w:asciiTheme="minorHAnsi" w:hAnsiTheme="minorHAnsi"/>
          <w:b/>
          <w:i/>
          <w:iCs/>
          <w:snapToGrid w:val="0"/>
          <w:lang w:val="en-GB"/>
        </w:rPr>
        <w:t>.</w:t>
      </w:r>
      <w:bookmarkEnd w:id="72"/>
      <w:bookmarkEnd w:id="73"/>
    </w:p>
    <w:p w14:paraId="7CD6AD23" w14:textId="77777777" w:rsidR="004D12FE" w:rsidRDefault="004D12FE" w:rsidP="008028C6">
      <w:pPr>
        <w:jc w:val="left"/>
        <w:rPr>
          <w:rFonts w:asciiTheme="minorHAnsi" w:hAnsiTheme="minorHAnsi"/>
          <w:b/>
          <w:i/>
          <w:iCs/>
          <w:snapToGrid w:val="0"/>
          <w:lang w:val="en-GB"/>
        </w:rPr>
      </w:pPr>
    </w:p>
    <w:p w14:paraId="3EA97AC4" w14:textId="77777777" w:rsidR="00910ECE" w:rsidRPr="00910ECE" w:rsidRDefault="00910ECE" w:rsidP="008028C6">
      <w:pPr>
        <w:pStyle w:val="2-SectionHeading"/>
      </w:pPr>
      <w:r w:rsidRPr="00910ECE">
        <w:t>Context for Decision</w:t>
      </w:r>
    </w:p>
    <w:p w14:paraId="06D78C65" w14:textId="77777777" w:rsidR="00910ECE" w:rsidRPr="00910ECE" w:rsidRDefault="00910ECE" w:rsidP="008028C6">
      <w:pPr>
        <w:ind w:left="709"/>
        <w:jc w:val="left"/>
        <w:rPr>
          <w:snapToGrid w:val="0"/>
        </w:rPr>
      </w:pPr>
      <w:r w:rsidRPr="00910ECE">
        <w:rPr>
          <w:snapToGrid w:val="0"/>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6C101E3" w14:textId="1794546F" w:rsidR="00C50CD5" w:rsidRDefault="00910ECE" w:rsidP="008028C6">
      <w:pPr>
        <w:pStyle w:val="2-SectionHeading"/>
      </w:pPr>
      <w:r w:rsidRPr="00910ECE">
        <w:lastRenderedPageBreak/>
        <w:t>Sponsor’s Comment</w:t>
      </w:r>
    </w:p>
    <w:p w14:paraId="166549D4" w14:textId="14876A0B" w:rsidR="00505AF4" w:rsidRDefault="00505AF4" w:rsidP="008028C6">
      <w:pPr>
        <w:pStyle w:val="3-BodyText"/>
        <w:numPr>
          <w:ilvl w:val="0"/>
          <w:numId w:val="0"/>
        </w:numPr>
        <w:ind w:left="720"/>
      </w:pPr>
      <w:r>
        <w:t>Biogen welcomes the recommendation by the PBAC for reimbursement of omaveloxolone for people with Friedreich ataxia (FA). Omaveloxolone is the first-ever approved treatment for FA and received registration from the Therapeutic Goods Administration in June 2025.</w:t>
      </w:r>
    </w:p>
    <w:p w14:paraId="6A655B35" w14:textId="1CDCA715" w:rsidR="00505AF4" w:rsidRDefault="00505AF4" w:rsidP="008028C6">
      <w:pPr>
        <w:pStyle w:val="3-BodyText"/>
        <w:numPr>
          <w:ilvl w:val="0"/>
          <w:numId w:val="0"/>
        </w:numPr>
        <w:ind w:left="720"/>
      </w:pPr>
      <w:r>
        <w:t>The PBAC recommendation comes with conditions that will need further consideration and discussion with the Committee. Biogen is committed to exploring every opportunity to enable access to omaveloxolone for all patients who could benefit from this medicine and will continue engaging with the PBAC and the Department to find agreeable positions that support reimbursed access.</w:t>
      </w:r>
    </w:p>
    <w:p w14:paraId="3552FE42" w14:textId="504EB57D" w:rsidR="004D12FE" w:rsidRPr="00505AF4" w:rsidRDefault="00505AF4" w:rsidP="008028C6">
      <w:pPr>
        <w:pStyle w:val="3-BodyText"/>
        <w:numPr>
          <w:ilvl w:val="0"/>
          <w:numId w:val="0"/>
        </w:numPr>
        <w:ind w:left="720"/>
      </w:pPr>
      <w:r>
        <w:t>Biogen would like to take this opportunity to thank the FA community and healthcare professionals who supported the submission.</w:t>
      </w:r>
    </w:p>
    <w:sectPr w:rsidR="004D12FE" w:rsidRPr="00505AF4" w:rsidSect="00E25E74">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C8779" w14:textId="77777777" w:rsidR="00B54038" w:rsidRPr="00AB0640" w:rsidRDefault="00B54038" w:rsidP="00124A51">
      <w:r w:rsidRPr="00AB0640">
        <w:separator/>
      </w:r>
    </w:p>
    <w:p w14:paraId="6E861E2C" w14:textId="77777777" w:rsidR="00B54038" w:rsidRPr="00AB0640" w:rsidRDefault="00B54038"/>
  </w:endnote>
  <w:endnote w:type="continuationSeparator" w:id="0">
    <w:p w14:paraId="041C6CE2" w14:textId="77777777" w:rsidR="00B54038" w:rsidRPr="00AB0640" w:rsidRDefault="00B54038" w:rsidP="00124A51">
      <w:r w:rsidRPr="00AB0640">
        <w:continuationSeparator/>
      </w:r>
    </w:p>
    <w:p w14:paraId="5189C69C" w14:textId="77777777" w:rsidR="00B54038" w:rsidRPr="00AB0640" w:rsidRDefault="00B54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A17CE" w14:textId="4A480728" w:rsidR="003E7DF3" w:rsidRDefault="00422EA5">
    <w:pPr>
      <w:pStyle w:val="Footer"/>
    </w:pPr>
    <w:r>
      <w:rPr>
        <w:noProof/>
      </w:rPr>
      <mc:AlternateContent>
        <mc:Choice Requires="wps">
          <w:drawing>
            <wp:anchor distT="0" distB="0" distL="0" distR="0" simplePos="0" relativeHeight="251658244" behindDoc="0" locked="0" layoutInCell="1" allowOverlap="1" wp14:anchorId="484762B2" wp14:editId="4DD818BF">
              <wp:simplePos x="635" y="635"/>
              <wp:positionH relativeFrom="page">
                <wp:align>center</wp:align>
              </wp:positionH>
              <wp:positionV relativeFrom="page">
                <wp:align>bottom</wp:align>
              </wp:positionV>
              <wp:extent cx="622300" cy="376555"/>
              <wp:effectExtent l="0" t="0" r="6350" b="0"/>
              <wp:wrapNone/>
              <wp:docPr id="15530136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2D292A2" w14:textId="235015F0" w:rsidR="00422EA5" w:rsidRPr="00422EA5" w:rsidRDefault="00422EA5" w:rsidP="00422EA5">
                          <w:pPr>
                            <w:rPr>
                              <w:rFonts w:ascii="Aptos" w:eastAsia="Aptos" w:hAnsi="Aptos" w:cs="Aptos"/>
                              <w:noProof/>
                              <w:color w:val="FF0000"/>
                            </w:rPr>
                          </w:pPr>
                          <w:r w:rsidRPr="00422EA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4762B2"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2D292A2" w14:textId="235015F0" w:rsidR="00422EA5" w:rsidRPr="00422EA5" w:rsidRDefault="00422EA5" w:rsidP="00422EA5">
                    <w:pPr>
                      <w:rPr>
                        <w:rFonts w:ascii="Aptos" w:eastAsia="Aptos" w:hAnsi="Aptos" w:cs="Aptos"/>
                        <w:noProof/>
                        <w:color w:val="FF0000"/>
                      </w:rPr>
                    </w:pPr>
                    <w:r w:rsidRPr="00422EA5">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F123" w14:textId="77777777" w:rsidR="00FF0304" w:rsidRDefault="00422EA5">
    <w:pPr>
      <w:pStyle w:val="Footer"/>
      <w:jc w:val="center"/>
      <w:rPr>
        <w:b/>
        <w:bCs/>
      </w:rPr>
    </w:pPr>
    <w:r>
      <w:rPr>
        <w:b/>
        <w:bCs/>
        <w:noProof/>
      </w:rPr>
      <mc:AlternateContent>
        <mc:Choice Requires="wps">
          <w:drawing>
            <wp:anchor distT="0" distB="0" distL="0" distR="0" simplePos="0" relativeHeight="251658245" behindDoc="0" locked="0" layoutInCell="1" allowOverlap="1" wp14:anchorId="7C23058F" wp14:editId="36BCDAEC">
              <wp:simplePos x="635" y="635"/>
              <wp:positionH relativeFrom="page">
                <wp:align>center</wp:align>
              </wp:positionH>
              <wp:positionV relativeFrom="page">
                <wp:align>bottom</wp:align>
              </wp:positionV>
              <wp:extent cx="622300" cy="376555"/>
              <wp:effectExtent l="0" t="0" r="6350" b="0"/>
              <wp:wrapNone/>
              <wp:docPr id="84681116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36C7FD9" w14:textId="3471796E" w:rsidR="00422EA5" w:rsidRPr="00422EA5" w:rsidRDefault="00422EA5" w:rsidP="00422EA5">
                          <w:pPr>
                            <w:rPr>
                              <w:rFonts w:ascii="Aptos" w:eastAsia="Aptos" w:hAnsi="Aptos" w:cs="Aptos"/>
                              <w:noProof/>
                              <w:color w:val="FF0000"/>
                            </w:rPr>
                          </w:pPr>
                          <w:r w:rsidRPr="00422EA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C23058F"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436C7FD9" w14:textId="3471796E" w:rsidR="00422EA5" w:rsidRPr="00422EA5" w:rsidRDefault="00422EA5" w:rsidP="00422EA5">
                    <w:pPr>
                      <w:rPr>
                        <w:rFonts w:ascii="Aptos" w:eastAsia="Aptos" w:hAnsi="Aptos" w:cs="Aptos"/>
                        <w:noProof/>
                        <w:color w:val="FF0000"/>
                      </w:rPr>
                    </w:pPr>
                    <w:r w:rsidRPr="00422EA5">
                      <w:rPr>
                        <w:rFonts w:ascii="Aptos" w:eastAsia="Aptos" w:hAnsi="Aptos" w:cs="Aptos"/>
                        <w:noProof/>
                        <w:color w:val="FF0000"/>
                      </w:rPr>
                      <w:t>OFFICIAL</w:t>
                    </w:r>
                  </w:p>
                </w:txbxContent>
              </v:textbox>
              <w10:wrap anchorx="page" anchory="page"/>
            </v:shape>
          </w:pict>
        </mc:Fallback>
      </mc:AlternateContent>
    </w:r>
  </w:p>
  <w:sdt>
    <w:sdtPr>
      <w:rPr>
        <w:b/>
        <w:bCs/>
      </w:rPr>
      <w:id w:val="-115761022"/>
      <w:docPartObj>
        <w:docPartGallery w:val="Page Numbers (Bottom of Page)"/>
        <w:docPartUnique/>
      </w:docPartObj>
    </w:sdtPr>
    <w:sdtEndPr/>
    <w:sdtContent>
      <w:p w14:paraId="166A7F6A" w14:textId="73E5DFA1" w:rsidR="007903AB" w:rsidRPr="00FF0304" w:rsidRDefault="007903AB" w:rsidP="00FF0304">
        <w:pPr>
          <w:pStyle w:val="Footer"/>
          <w:jc w:val="center"/>
          <w:rPr>
            <w:b/>
            <w:bCs/>
          </w:rPr>
        </w:pPr>
        <w:r w:rsidRPr="00AB0640">
          <w:rPr>
            <w:b/>
            <w:bCs/>
          </w:rPr>
          <w:fldChar w:fldCharType="begin"/>
        </w:r>
        <w:r w:rsidRPr="00AB0640">
          <w:rPr>
            <w:b/>
            <w:bCs/>
          </w:rPr>
          <w:instrText xml:space="preserve"> PAGE   \* MERGEFORMAT </w:instrText>
        </w:r>
        <w:r w:rsidRPr="00AB0640">
          <w:rPr>
            <w:b/>
            <w:bCs/>
          </w:rPr>
          <w:fldChar w:fldCharType="separate"/>
        </w:r>
        <w:r w:rsidRPr="00AB0640">
          <w:rPr>
            <w:b/>
            <w:bCs/>
          </w:rPr>
          <w:t>2</w:t>
        </w:r>
        <w:r w:rsidRPr="00AB0640">
          <w:rPr>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F4D6" w14:textId="6B195592" w:rsidR="003E7DF3" w:rsidRDefault="00422EA5">
    <w:pPr>
      <w:pStyle w:val="Footer"/>
    </w:pPr>
    <w:r>
      <w:rPr>
        <w:noProof/>
      </w:rPr>
      <mc:AlternateContent>
        <mc:Choice Requires="wps">
          <w:drawing>
            <wp:anchor distT="0" distB="0" distL="0" distR="0" simplePos="0" relativeHeight="251658243" behindDoc="0" locked="0" layoutInCell="1" allowOverlap="1" wp14:anchorId="45F4AB77" wp14:editId="2019EAE0">
              <wp:simplePos x="635" y="635"/>
              <wp:positionH relativeFrom="page">
                <wp:align>center</wp:align>
              </wp:positionH>
              <wp:positionV relativeFrom="page">
                <wp:align>bottom</wp:align>
              </wp:positionV>
              <wp:extent cx="622300" cy="376555"/>
              <wp:effectExtent l="0" t="0" r="6350" b="0"/>
              <wp:wrapNone/>
              <wp:docPr id="82508382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076A30F" w14:textId="125A6559" w:rsidR="00422EA5" w:rsidRPr="00422EA5" w:rsidRDefault="00422EA5" w:rsidP="00422EA5">
                          <w:pPr>
                            <w:rPr>
                              <w:rFonts w:ascii="Aptos" w:eastAsia="Aptos" w:hAnsi="Aptos" w:cs="Aptos"/>
                              <w:noProof/>
                              <w:color w:val="FF0000"/>
                            </w:rPr>
                          </w:pPr>
                          <w:r w:rsidRPr="00422EA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F4AB77"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7076A30F" w14:textId="125A6559" w:rsidR="00422EA5" w:rsidRPr="00422EA5" w:rsidRDefault="00422EA5" w:rsidP="00422EA5">
                    <w:pPr>
                      <w:rPr>
                        <w:rFonts w:ascii="Aptos" w:eastAsia="Aptos" w:hAnsi="Aptos" w:cs="Aptos"/>
                        <w:noProof/>
                        <w:color w:val="FF0000"/>
                      </w:rPr>
                    </w:pPr>
                    <w:r w:rsidRPr="00422EA5">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945CA" w14:textId="77777777" w:rsidR="00B54038" w:rsidRPr="00BA0155" w:rsidRDefault="00B54038" w:rsidP="00BA0155">
      <w:pPr>
        <w:pStyle w:val="Footer"/>
      </w:pPr>
    </w:p>
  </w:footnote>
  <w:footnote w:type="continuationSeparator" w:id="0">
    <w:p w14:paraId="246DB7C3" w14:textId="77777777" w:rsidR="00B54038" w:rsidRPr="00AB0640" w:rsidRDefault="00B54038" w:rsidP="00124A51">
      <w:r w:rsidRPr="00AB0640">
        <w:continuationSeparator/>
      </w:r>
    </w:p>
    <w:p w14:paraId="202F8D02" w14:textId="77777777" w:rsidR="00B54038" w:rsidRPr="00AB0640" w:rsidRDefault="00B54038"/>
  </w:footnote>
  <w:footnote w:id="1">
    <w:p w14:paraId="0FC4DE06" w14:textId="2CBFF170" w:rsidR="00AD0CAA" w:rsidRPr="00AB0640" w:rsidRDefault="00AD0CAA">
      <w:pPr>
        <w:pStyle w:val="FootnoteText"/>
      </w:pPr>
      <w:r w:rsidRPr="00AB0640">
        <w:rPr>
          <w:rStyle w:val="FootnoteReference"/>
        </w:rPr>
        <w:footnoteRef/>
      </w:r>
      <w:r w:rsidRPr="00AB0640">
        <w:t xml:space="preserve"> https://www.cda-amc.ca/sites/default/files/DRR/2025/SR0864-Skyclarys_Rec.pdf</w:t>
      </w:r>
    </w:p>
  </w:footnote>
  <w:footnote w:id="2">
    <w:p w14:paraId="07513FF6" w14:textId="04055066" w:rsidR="005000D3" w:rsidRPr="00AB0640" w:rsidRDefault="005000D3">
      <w:pPr>
        <w:pStyle w:val="FootnoteText"/>
      </w:pPr>
      <w:r w:rsidRPr="00AB0640">
        <w:rPr>
          <w:rStyle w:val="FootnoteReference"/>
        </w:rPr>
        <w:footnoteRef/>
      </w:r>
      <w:r w:rsidRPr="00AB0640">
        <w:t xml:space="preserve"> Delatycki, MB </w:t>
      </w:r>
      <w:r w:rsidRPr="00AB0640">
        <w:rPr>
          <w:i/>
          <w:iCs/>
        </w:rPr>
        <w:t>et al</w:t>
      </w:r>
      <w:r w:rsidRPr="00AB0640">
        <w:t xml:space="preserve">. Friedreich ataxia-pathogenesis and implications for therapies. </w:t>
      </w:r>
      <w:r w:rsidRPr="00AB0640">
        <w:rPr>
          <w:i/>
          <w:iCs/>
        </w:rPr>
        <w:t>Neurobiology of disease</w:t>
      </w:r>
      <w:r w:rsidRPr="00AB0640">
        <w:t xml:space="preserve"> 2019; 132: 104606.</w:t>
      </w:r>
    </w:p>
  </w:footnote>
  <w:footnote w:id="3">
    <w:p w14:paraId="1804C08A" w14:textId="6477BB03" w:rsidR="00202CFC" w:rsidRPr="00AB0640" w:rsidRDefault="00202CFC" w:rsidP="00202CFC">
      <w:pPr>
        <w:pStyle w:val="FootnoteText"/>
      </w:pPr>
      <w:r w:rsidRPr="00AB0640">
        <w:rPr>
          <w:rStyle w:val="FootnoteReference"/>
        </w:rPr>
        <w:footnoteRef/>
      </w:r>
      <w:r w:rsidRPr="00AB0640">
        <w:t xml:space="preserve"> Cook, A </w:t>
      </w:r>
      <w:r w:rsidRPr="00AB0640">
        <w:rPr>
          <w:i/>
          <w:iCs/>
        </w:rPr>
        <w:t>et al</w:t>
      </w:r>
      <w:r w:rsidRPr="00AB0640">
        <w:t xml:space="preserve">. Friedreich’s ataxia: clinical features, pathogenesis and management. </w:t>
      </w:r>
      <w:r w:rsidRPr="00AB0640">
        <w:rPr>
          <w:i/>
          <w:iCs/>
        </w:rPr>
        <w:t xml:space="preserve">British </w:t>
      </w:r>
      <w:r w:rsidR="00F87F83" w:rsidRPr="00AB0640">
        <w:rPr>
          <w:i/>
          <w:iCs/>
        </w:rPr>
        <w:t>M</w:t>
      </w:r>
      <w:r w:rsidRPr="00AB0640">
        <w:rPr>
          <w:i/>
          <w:iCs/>
        </w:rPr>
        <w:t xml:space="preserve">edical </w:t>
      </w:r>
      <w:r w:rsidR="00F87F83" w:rsidRPr="00AB0640">
        <w:rPr>
          <w:i/>
          <w:iCs/>
        </w:rPr>
        <w:t>B</w:t>
      </w:r>
      <w:r w:rsidRPr="00AB0640">
        <w:rPr>
          <w:i/>
          <w:iCs/>
        </w:rPr>
        <w:t>ulletin</w:t>
      </w:r>
      <w:r w:rsidRPr="00AB0640">
        <w:t xml:space="preserve"> 2017; 124(1): 19-30.</w:t>
      </w:r>
    </w:p>
  </w:footnote>
  <w:footnote w:id="4">
    <w:p w14:paraId="3DC9A8B3" w14:textId="01036226" w:rsidR="00202CFC" w:rsidRPr="00AB0640" w:rsidRDefault="00202CFC">
      <w:pPr>
        <w:pStyle w:val="FootnoteText"/>
      </w:pPr>
      <w:r w:rsidRPr="00AB0640">
        <w:rPr>
          <w:rStyle w:val="FootnoteReference"/>
        </w:rPr>
        <w:footnoteRef/>
      </w:r>
      <w:r w:rsidRPr="00AB0640">
        <w:t xml:space="preserve"> Hanson, E </w:t>
      </w:r>
      <w:r w:rsidRPr="00AB0640">
        <w:rPr>
          <w:i/>
          <w:iCs/>
        </w:rPr>
        <w:t>et al</w:t>
      </w:r>
      <w:r w:rsidRPr="00AB0640">
        <w:t xml:space="preserve">. Heart disease in Friedreich’s ataxia. </w:t>
      </w:r>
      <w:r w:rsidRPr="00AB0640">
        <w:rPr>
          <w:i/>
          <w:iCs/>
        </w:rPr>
        <w:t>World Journal of Cardiology</w:t>
      </w:r>
      <w:r w:rsidRPr="00AB0640">
        <w:t xml:space="preserve"> 2019; 11(1): 1.</w:t>
      </w:r>
    </w:p>
  </w:footnote>
  <w:footnote w:id="5">
    <w:p w14:paraId="0811BF91" w14:textId="7AE6C361" w:rsidR="00617310" w:rsidRPr="00AB0640" w:rsidRDefault="00617310">
      <w:pPr>
        <w:pStyle w:val="FootnoteText"/>
      </w:pPr>
      <w:r w:rsidRPr="00AB0640">
        <w:rPr>
          <w:rStyle w:val="FootnoteReference"/>
        </w:rPr>
        <w:footnoteRef/>
      </w:r>
      <w:r w:rsidRPr="00AB0640">
        <w:t xml:space="preserve"> Rummey, C </w:t>
      </w:r>
      <w:r w:rsidRPr="00AB0640">
        <w:rPr>
          <w:i/>
          <w:iCs/>
        </w:rPr>
        <w:t>et al</w:t>
      </w:r>
      <w:r w:rsidRPr="00AB0640">
        <w:t xml:space="preserve">. Psychometric properties of the Friedreich Ataxia Rating Scale. </w:t>
      </w:r>
      <w:r w:rsidRPr="00AB0640">
        <w:rPr>
          <w:i/>
          <w:iCs/>
        </w:rPr>
        <w:t>Neurology Genetics</w:t>
      </w:r>
      <w:r w:rsidRPr="00AB0640">
        <w:t xml:space="preserve"> 2019; 5(6): 371.</w:t>
      </w:r>
    </w:p>
  </w:footnote>
  <w:footnote w:id="6">
    <w:p w14:paraId="6D7B3EDD" w14:textId="033EE95A" w:rsidR="00990581" w:rsidRPr="00AB0640" w:rsidRDefault="00990581">
      <w:pPr>
        <w:pStyle w:val="FootnoteText"/>
      </w:pPr>
      <w:r w:rsidRPr="00AB0640">
        <w:rPr>
          <w:rStyle w:val="FootnoteReference"/>
        </w:rPr>
        <w:footnoteRef/>
      </w:r>
      <w:r w:rsidRPr="00AB0640">
        <w:t xml:space="preserve"> Canada’s Drug Agency (CDA-AMC)</w:t>
      </w:r>
      <w:r w:rsidR="00B82FE0" w:rsidRPr="00AB0640">
        <w:t>. Reimbursement Recommendation: omaveloxolone (Skyclarys). July 2025</w:t>
      </w:r>
      <w:r w:rsidR="0071283A" w:rsidRPr="00AB0640">
        <w:t>; Volume 5, Issue 7.</w:t>
      </w:r>
    </w:p>
  </w:footnote>
  <w:footnote w:id="7">
    <w:p w14:paraId="5DA7A546" w14:textId="13BD191A" w:rsidR="00AB41C1" w:rsidRPr="00AB0640" w:rsidRDefault="00AB41C1">
      <w:pPr>
        <w:pStyle w:val="FootnoteText"/>
      </w:pPr>
      <w:r w:rsidRPr="00AB0640">
        <w:rPr>
          <w:rStyle w:val="FootnoteReference"/>
        </w:rPr>
        <w:footnoteRef/>
      </w:r>
      <w:r w:rsidRPr="00AB0640">
        <w:t xml:space="preserve"> The definition of pes cavus between the two studies was not consistent. Pes cavus was based on clinical judgment in FACOMS; however, MOXIe Extension defined a flashlight test such that if light was visible under the arch of the foot while standing the patient was deemed as having pes cavus.</w:t>
      </w:r>
    </w:p>
  </w:footnote>
  <w:footnote w:id="8">
    <w:p w14:paraId="6F8539AD" w14:textId="77777777" w:rsidR="003B6233" w:rsidRPr="00AB0640" w:rsidRDefault="003B6233" w:rsidP="003B6233">
      <w:pPr>
        <w:pStyle w:val="FootnoteText"/>
      </w:pPr>
      <w:r w:rsidRPr="00AB0640">
        <w:rPr>
          <w:rStyle w:val="FootnoteReference"/>
        </w:rPr>
        <w:footnoteRef/>
      </w:r>
      <w:r w:rsidRPr="00AB0640">
        <w:t xml:space="preserve"> Bardoxolone Methyl Evaluation in Patients with Chronic Kidney Disease and Type 2 Diabetes: The Occurrence of Renal Events; Study 402-C-0903</w:t>
      </w:r>
    </w:p>
  </w:footnote>
  <w:footnote w:id="9">
    <w:p w14:paraId="69D7DBEF" w14:textId="46939E13" w:rsidR="00AC50A1" w:rsidRPr="00AB0640" w:rsidRDefault="00AC50A1"/>
    <w:p w14:paraId="7F4389D6" w14:textId="77777777" w:rsidR="007C0C09" w:rsidRPr="00AB0640" w:rsidRDefault="007C0C09" w:rsidP="007C0C09"/>
  </w:footnote>
  <w:footnote w:id="10">
    <w:p w14:paraId="5DEA5530" w14:textId="77777777" w:rsidR="007A40AC" w:rsidRPr="00AB0640" w:rsidRDefault="007A40AC" w:rsidP="007A40AC">
      <w:pPr>
        <w:pStyle w:val="FootnoteText"/>
      </w:pPr>
      <w:r w:rsidRPr="00AB0640">
        <w:rPr>
          <w:rStyle w:val="FootnoteReference"/>
        </w:rPr>
        <w:footnoteRef/>
      </w:r>
      <w:r w:rsidRPr="00AB0640">
        <w:t xml:space="preserve"> Indelicato E, Reetz K, Maier S, Nachbauer W, Amprosi M, Giunti P, et al. Predictors of Survival in Friedreich's Ataxia: A Prospective Cohort Study. Movement Disorders. 2024;39(3):510-8.</w:t>
      </w:r>
    </w:p>
  </w:footnote>
  <w:footnote w:id="11">
    <w:p w14:paraId="56FDE65F" w14:textId="77777777" w:rsidR="004D0ACD" w:rsidRDefault="004D0ACD" w:rsidP="004D0ACD">
      <w:pPr>
        <w:pStyle w:val="FootnoteText"/>
        <w:keepNext/>
      </w:pPr>
      <w:r w:rsidRPr="00AB0640">
        <w:rPr>
          <w:rStyle w:val="FootnoteReference"/>
        </w:rPr>
        <w:footnoteRef/>
      </w:r>
      <w:r w:rsidRPr="00AB0640">
        <w:t xml:space="preserve"> Buesch K, Zhang R. A systematic review of disease prevalence, health-related quality of life, and economic outcomes associated with Friedreich’s Ataxia. Current Medical Research and Opinion. 2022;38(10):1739-49.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6615D" w14:textId="2D05DAC8" w:rsidR="003E7DF3" w:rsidRDefault="00422EA5">
    <w:pPr>
      <w:pStyle w:val="Header"/>
    </w:pPr>
    <w:r>
      <w:rPr>
        <w:noProof/>
      </w:rPr>
      <mc:AlternateContent>
        <mc:Choice Requires="wps">
          <w:drawing>
            <wp:anchor distT="0" distB="0" distL="0" distR="0" simplePos="0" relativeHeight="251658241" behindDoc="0" locked="0" layoutInCell="1" allowOverlap="1" wp14:anchorId="54A70099" wp14:editId="6B617EEB">
              <wp:simplePos x="635" y="635"/>
              <wp:positionH relativeFrom="page">
                <wp:align>center</wp:align>
              </wp:positionH>
              <wp:positionV relativeFrom="page">
                <wp:align>top</wp:align>
              </wp:positionV>
              <wp:extent cx="622300" cy="376555"/>
              <wp:effectExtent l="0" t="0" r="6350" b="4445"/>
              <wp:wrapNone/>
              <wp:docPr id="1261430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6203F89" w14:textId="4E325431" w:rsidR="00422EA5" w:rsidRPr="00422EA5" w:rsidRDefault="00422EA5" w:rsidP="00422EA5">
                          <w:pPr>
                            <w:rPr>
                              <w:rFonts w:ascii="Aptos" w:eastAsia="Aptos" w:hAnsi="Aptos" w:cs="Aptos"/>
                              <w:noProof/>
                              <w:color w:val="FF0000"/>
                            </w:rPr>
                          </w:pPr>
                          <w:r w:rsidRPr="00422EA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A70099"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6203F89" w14:textId="4E325431" w:rsidR="00422EA5" w:rsidRPr="00422EA5" w:rsidRDefault="00422EA5" w:rsidP="00422EA5">
                    <w:pPr>
                      <w:rPr>
                        <w:rFonts w:ascii="Aptos" w:eastAsia="Aptos" w:hAnsi="Aptos" w:cs="Aptos"/>
                        <w:noProof/>
                        <w:color w:val="FF0000"/>
                      </w:rPr>
                    </w:pPr>
                    <w:r w:rsidRPr="00422EA5">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A50E2" w14:textId="53AD24BA" w:rsidR="007903AB" w:rsidRPr="00AB0640" w:rsidRDefault="00422EA5">
    <w:pPr>
      <w:pStyle w:val="Header"/>
    </w:pPr>
    <w:r>
      <w:rPr>
        <w:noProof/>
      </w:rPr>
      <mc:AlternateContent>
        <mc:Choice Requires="wps">
          <w:drawing>
            <wp:anchor distT="0" distB="0" distL="0" distR="0" simplePos="0" relativeHeight="251658242" behindDoc="0" locked="0" layoutInCell="1" allowOverlap="1" wp14:anchorId="0A39DDB7" wp14:editId="4BC48AC9">
              <wp:simplePos x="635" y="635"/>
              <wp:positionH relativeFrom="page">
                <wp:align>center</wp:align>
              </wp:positionH>
              <wp:positionV relativeFrom="page">
                <wp:align>top</wp:align>
              </wp:positionV>
              <wp:extent cx="622300" cy="376555"/>
              <wp:effectExtent l="0" t="0" r="6350" b="4445"/>
              <wp:wrapNone/>
              <wp:docPr id="88197497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F0104CD" w14:textId="0521E439" w:rsidR="00422EA5" w:rsidRPr="00422EA5" w:rsidRDefault="00422EA5" w:rsidP="00422EA5">
                          <w:pPr>
                            <w:rPr>
                              <w:rFonts w:ascii="Aptos" w:eastAsia="Aptos" w:hAnsi="Aptos" w:cs="Aptos"/>
                              <w:noProof/>
                              <w:color w:val="FF0000"/>
                            </w:rPr>
                          </w:pPr>
                          <w:r w:rsidRPr="00422EA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39DDB7"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1F0104CD" w14:textId="0521E439" w:rsidR="00422EA5" w:rsidRPr="00422EA5" w:rsidRDefault="00422EA5" w:rsidP="00422EA5">
                    <w:pPr>
                      <w:rPr>
                        <w:rFonts w:ascii="Aptos" w:eastAsia="Aptos" w:hAnsi="Aptos" w:cs="Aptos"/>
                        <w:noProof/>
                        <w:color w:val="FF0000"/>
                      </w:rPr>
                    </w:pPr>
                    <w:r w:rsidRPr="00422EA5">
                      <w:rPr>
                        <w:rFonts w:ascii="Aptos" w:eastAsia="Aptos" w:hAnsi="Aptos" w:cs="Aptos"/>
                        <w:noProof/>
                        <w:color w:val="FF0000"/>
                      </w:rPr>
                      <w:t>OFFICIAL</w:t>
                    </w:r>
                  </w:p>
                </w:txbxContent>
              </v:textbox>
              <w10:wrap anchorx="page" anchory="page"/>
            </v:shape>
          </w:pict>
        </mc:Fallback>
      </mc:AlternateContent>
    </w:r>
    <w:r w:rsidR="001B6A7D">
      <w:t xml:space="preserve"> Public Summary Document</w:t>
    </w:r>
    <w:r w:rsidR="003E7DF3">
      <w:t xml:space="preserve"> - </w:t>
    </w:r>
    <w:r w:rsidR="007903AB" w:rsidRPr="00AB0640">
      <w:t>November 2025 PBAC Meeting</w:t>
    </w:r>
  </w:p>
  <w:p w14:paraId="11F715E8" w14:textId="77777777" w:rsidR="007903AB" w:rsidRPr="00AB0640" w:rsidRDefault="007903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ADB0" w14:textId="5555E8C4" w:rsidR="003E7DF3" w:rsidRDefault="00422EA5">
    <w:pPr>
      <w:pStyle w:val="Header"/>
    </w:pPr>
    <w:r>
      <w:rPr>
        <w:noProof/>
      </w:rPr>
      <mc:AlternateContent>
        <mc:Choice Requires="wps">
          <w:drawing>
            <wp:anchor distT="0" distB="0" distL="0" distR="0" simplePos="0" relativeHeight="251658240" behindDoc="0" locked="0" layoutInCell="1" allowOverlap="1" wp14:anchorId="5BCF8B75" wp14:editId="3BBD9D3A">
              <wp:simplePos x="635" y="635"/>
              <wp:positionH relativeFrom="page">
                <wp:align>center</wp:align>
              </wp:positionH>
              <wp:positionV relativeFrom="page">
                <wp:align>top</wp:align>
              </wp:positionV>
              <wp:extent cx="622300" cy="376555"/>
              <wp:effectExtent l="0" t="0" r="6350" b="4445"/>
              <wp:wrapNone/>
              <wp:docPr id="8843934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88BE4FF" w14:textId="59DD060B" w:rsidR="00422EA5" w:rsidRPr="00422EA5" w:rsidRDefault="00422EA5" w:rsidP="00422EA5">
                          <w:pPr>
                            <w:rPr>
                              <w:rFonts w:ascii="Aptos" w:eastAsia="Aptos" w:hAnsi="Aptos" w:cs="Aptos"/>
                              <w:noProof/>
                              <w:color w:val="FF0000"/>
                            </w:rPr>
                          </w:pPr>
                          <w:r w:rsidRPr="00422EA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CF8B75"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688BE4FF" w14:textId="59DD060B" w:rsidR="00422EA5" w:rsidRPr="00422EA5" w:rsidRDefault="00422EA5" w:rsidP="00422EA5">
                    <w:pPr>
                      <w:rPr>
                        <w:rFonts w:ascii="Aptos" w:eastAsia="Aptos" w:hAnsi="Aptos" w:cs="Aptos"/>
                        <w:noProof/>
                        <w:color w:val="FF0000"/>
                      </w:rPr>
                    </w:pPr>
                    <w:r w:rsidRPr="00422EA5">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1367D"/>
    <w:multiLevelType w:val="hybridMultilevel"/>
    <w:tmpl w:val="7CD688E8"/>
    <w:lvl w:ilvl="0" w:tplc="C1185CE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444F19"/>
    <w:multiLevelType w:val="hybridMultilevel"/>
    <w:tmpl w:val="867E170E"/>
    <w:lvl w:ilvl="0" w:tplc="9048A7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F4166F"/>
    <w:multiLevelType w:val="hybridMultilevel"/>
    <w:tmpl w:val="4EF43D20"/>
    <w:lvl w:ilvl="0" w:tplc="20EA0814">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0A03353E"/>
    <w:multiLevelType w:val="hybridMultilevel"/>
    <w:tmpl w:val="AB28BB0E"/>
    <w:lvl w:ilvl="0" w:tplc="D9A6737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400629"/>
    <w:multiLevelType w:val="hybridMultilevel"/>
    <w:tmpl w:val="0AD04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1C7D2E"/>
    <w:multiLevelType w:val="hybridMultilevel"/>
    <w:tmpl w:val="40E2AFBA"/>
    <w:lvl w:ilvl="0" w:tplc="E200A8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0D18F6"/>
    <w:multiLevelType w:val="hybridMultilevel"/>
    <w:tmpl w:val="53DEC78A"/>
    <w:lvl w:ilvl="0" w:tplc="796C959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E6250E"/>
    <w:multiLevelType w:val="hybridMultilevel"/>
    <w:tmpl w:val="9FB8F2BC"/>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1" w15:restartNumberingAfterBreak="0">
    <w:nsid w:val="22844C8D"/>
    <w:multiLevelType w:val="hybridMultilevel"/>
    <w:tmpl w:val="7BA25E5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D160FE"/>
    <w:multiLevelType w:val="hybridMultilevel"/>
    <w:tmpl w:val="66C64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3B6274A"/>
    <w:multiLevelType w:val="hybridMultilevel"/>
    <w:tmpl w:val="213C4A0C"/>
    <w:lvl w:ilvl="0" w:tplc="4F584EAA">
      <w:start w:val="1"/>
      <w:numFmt w:val="decimal"/>
      <w:lvlText w:val="%1."/>
      <w:lvlJc w:val="left"/>
      <w:pPr>
        <w:ind w:left="1778" w:hanging="360"/>
      </w:pPr>
      <w:rPr>
        <w:b w:val="0"/>
        <w:bCs w:val="0"/>
        <w:i w:val="0"/>
        <w:iCs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9B94E13"/>
    <w:multiLevelType w:val="hybridMultilevel"/>
    <w:tmpl w:val="4EF43D2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A426798"/>
    <w:multiLevelType w:val="hybridMultilevel"/>
    <w:tmpl w:val="E346AEDA"/>
    <w:lvl w:ilvl="0" w:tplc="5CCA05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87019E"/>
    <w:multiLevelType w:val="multilevel"/>
    <w:tmpl w:val="00087DD2"/>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9355489"/>
    <w:multiLevelType w:val="hybridMultilevel"/>
    <w:tmpl w:val="B3FE83E2"/>
    <w:lvl w:ilvl="0" w:tplc="7630879A">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2" w15:restartNumberingAfterBreak="0">
    <w:nsid w:val="39720272"/>
    <w:multiLevelType w:val="hybridMultilevel"/>
    <w:tmpl w:val="ABBA8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11016D"/>
    <w:multiLevelType w:val="multilevel"/>
    <w:tmpl w:val="00087DD2"/>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E76CAA"/>
    <w:multiLevelType w:val="hybridMultilevel"/>
    <w:tmpl w:val="160657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83054A"/>
    <w:multiLevelType w:val="hybridMultilevel"/>
    <w:tmpl w:val="1FB00356"/>
    <w:lvl w:ilvl="0" w:tplc="49F23C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B85F6C"/>
    <w:multiLevelType w:val="hybridMultilevel"/>
    <w:tmpl w:val="0D664EEA"/>
    <w:lvl w:ilvl="0" w:tplc="B4E090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A035FD5"/>
    <w:multiLevelType w:val="multilevel"/>
    <w:tmpl w:val="959E6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BB71FF"/>
    <w:multiLevelType w:val="hybridMultilevel"/>
    <w:tmpl w:val="85B87E38"/>
    <w:lvl w:ilvl="0" w:tplc="0C090017">
      <w:start w:val="1"/>
      <w:numFmt w:val="lowerLetter"/>
      <w:lvlText w:val="%1)"/>
      <w:lvlJc w:val="left"/>
      <w:pPr>
        <w:ind w:left="720" w:hanging="360"/>
      </w:pPr>
      <w:rPr>
        <w:rFonts w:hint="default"/>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AE12BD3"/>
    <w:multiLevelType w:val="hybridMultilevel"/>
    <w:tmpl w:val="0936AB32"/>
    <w:lvl w:ilvl="0" w:tplc="58F629E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BF1793F"/>
    <w:multiLevelType w:val="hybridMultilevel"/>
    <w:tmpl w:val="1F927906"/>
    <w:lvl w:ilvl="0" w:tplc="89CAAFFE">
      <w:start w:val="1"/>
      <w:numFmt w:val="decimal"/>
      <w:lvlText w:val="%1."/>
      <w:lvlJc w:val="left"/>
      <w:pPr>
        <w:ind w:left="786" w:hanging="360"/>
      </w:p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start w:val="1"/>
      <w:numFmt w:val="lowerLetter"/>
      <w:lvlText w:val="%5."/>
      <w:lvlJc w:val="left"/>
      <w:pPr>
        <w:ind w:left="3666" w:hanging="360"/>
      </w:pPr>
    </w:lvl>
    <w:lvl w:ilvl="5" w:tplc="0C09001B">
      <w:start w:val="1"/>
      <w:numFmt w:val="lowerRoman"/>
      <w:lvlText w:val="%6."/>
      <w:lvlJc w:val="right"/>
      <w:pPr>
        <w:ind w:left="4386" w:hanging="180"/>
      </w:pPr>
    </w:lvl>
    <w:lvl w:ilvl="6" w:tplc="0C09000F">
      <w:start w:val="1"/>
      <w:numFmt w:val="decimal"/>
      <w:lvlText w:val="%7."/>
      <w:lvlJc w:val="left"/>
      <w:pPr>
        <w:ind w:left="5106" w:hanging="360"/>
      </w:pPr>
    </w:lvl>
    <w:lvl w:ilvl="7" w:tplc="0C090019">
      <w:start w:val="1"/>
      <w:numFmt w:val="lowerLetter"/>
      <w:lvlText w:val="%8."/>
      <w:lvlJc w:val="left"/>
      <w:pPr>
        <w:ind w:left="5826" w:hanging="360"/>
      </w:pPr>
    </w:lvl>
    <w:lvl w:ilvl="8" w:tplc="0C09001B">
      <w:start w:val="1"/>
      <w:numFmt w:val="lowerRoman"/>
      <w:lvlText w:val="%9."/>
      <w:lvlJc w:val="right"/>
      <w:pPr>
        <w:ind w:left="6546" w:hanging="180"/>
      </w:pPr>
    </w:lvl>
  </w:abstractNum>
  <w:abstractNum w:abstractNumId="34"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661E63D4"/>
    <w:multiLevelType w:val="hybridMultilevel"/>
    <w:tmpl w:val="7BA25E50"/>
    <w:lvl w:ilvl="0" w:tplc="37DECC7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B9B5D91"/>
    <w:multiLevelType w:val="multilevel"/>
    <w:tmpl w:val="96DC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5D538F"/>
    <w:multiLevelType w:val="multilevel"/>
    <w:tmpl w:val="E98C24F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785" w:hanging="360"/>
      </w:pPr>
      <w:rPr>
        <w:b w:val="0"/>
        <w:bCs w:val="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84D033C"/>
    <w:multiLevelType w:val="multilevel"/>
    <w:tmpl w:val="1B54AA7A"/>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211A5F"/>
    <w:multiLevelType w:val="hybridMultilevel"/>
    <w:tmpl w:val="A8AE9292"/>
    <w:lvl w:ilvl="0" w:tplc="5A1068FA">
      <w:start w:val="1"/>
      <w:numFmt w:val="lowerLetter"/>
      <w:lvlText w:val="(%1)"/>
      <w:lvlJc w:val="left"/>
      <w:pPr>
        <w:ind w:left="1146" w:hanging="360"/>
      </w:pPr>
      <w:rPr>
        <w:rFonts w:hint="default"/>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816186631">
    <w:abstractNumId w:val="39"/>
  </w:num>
  <w:num w:numId="2" w16cid:durableId="917793048">
    <w:abstractNumId w:val="25"/>
  </w:num>
  <w:num w:numId="3" w16cid:durableId="263461728">
    <w:abstractNumId w:val="0"/>
  </w:num>
  <w:num w:numId="4" w16cid:durableId="1177577810">
    <w:abstractNumId w:val="12"/>
  </w:num>
  <w:num w:numId="5" w16cid:durableId="1156729720">
    <w:abstractNumId w:val="22"/>
  </w:num>
  <w:num w:numId="6" w16cid:durableId="220360847">
    <w:abstractNumId w:val="35"/>
  </w:num>
  <w:num w:numId="7" w16cid:durableId="268196418">
    <w:abstractNumId w:val="20"/>
  </w:num>
  <w:num w:numId="8" w16cid:durableId="1048839230">
    <w:abstractNumId w:val="39"/>
  </w:num>
  <w:num w:numId="9" w16cid:durableId="1209488129">
    <w:abstractNumId w:val="7"/>
  </w:num>
  <w:num w:numId="10" w16cid:durableId="1889418180">
    <w:abstractNumId w:val="36"/>
  </w:num>
  <w:num w:numId="11" w16cid:durableId="3307185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4882422">
    <w:abstractNumId w:val="11"/>
  </w:num>
  <w:num w:numId="13" w16cid:durableId="1372726025">
    <w:abstractNumId w:val="24"/>
  </w:num>
  <w:num w:numId="14" w16cid:durableId="261576913">
    <w:abstractNumId w:val="14"/>
  </w:num>
  <w:num w:numId="15" w16cid:durableId="7496910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1674706">
    <w:abstractNumId w:val="9"/>
  </w:num>
  <w:num w:numId="17" w16cid:durableId="1864704239">
    <w:abstractNumId w:val="32"/>
  </w:num>
  <w:num w:numId="18" w16cid:durableId="923303508">
    <w:abstractNumId w:val="28"/>
  </w:num>
  <w:num w:numId="19" w16cid:durableId="564995281">
    <w:abstractNumId w:val="10"/>
  </w:num>
  <w:num w:numId="20" w16cid:durableId="470054643">
    <w:abstractNumId w:val="40"/>
  </w:num>
  <w:num w:numId="21" w16cid:durableId="940533027">
    <w:abstractNumId w:val="21"/>
  </w:num>
  <w:num w:numId="22" w16cid:durableId="31076954">
    <w:abstractNumId w:val="16"/>
  </w:num>
  <w:num w:numId="23" w16cid:durableId="1868374363">
    <w:abstractNumId w:val="1"/>
  </w:num>
  <w:num w:numId="24" w16cid:durableId="1573005167">
    <w:abstractNumId w:val="26"/>
  </w:num>
  <w:num w:numId="25" w16cid:durableId="408699874">
    <w:abstractNumId w:val="27"/>
  </w:num>
  <w:num w:numId="26" w16cid:durableId="1569418770">
    <w:abstractNumId w:val="6"/>
  </w:num>
  <w:num w:numId="27" w16cid:durableId="705176722">
    <w:abstractNumId w:val="2"/>
  </w:num>
  <w:num w:numId="28" w16cid:durableId="1926569401">
    <w:abstractNumId w:val="15"/>
  </w:num>
  <w:num w:numId="29" w16cid:durableId="1979457665">
    <w:abstractNumId w:val="19"/>
  </w:num>
  <w:num w:numId="30" w16cid:durableId="2038313566">
    <w:abstractNumId w:val="13"/>
  </w:num>
  <w:num w:numId="31" w16cid:durableId="1297443176">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997201">
    <w:abstractNumId w:val="38"/>
  </w:num>
  <w:num w:numId="33" w16cid:durableId="1508399630">
    <w:abstractNumId w:val="4"/>
  </w:num>
  <w:num w:numId="34" w16cid:durableId="1174147662">
    <w:abstractNumId w:val="18"/>
  </w:num>
  <w:num w:numId="35" w16cid:durableId="613249975">
    <w:abstractNumId w:val="3"/>
  </w:num>
  <w:num w:numId="36" w16cid:durableId="1990164168">
    <w:abstractNumId w:val="5"/>
  </w:num>
  <w:num w:numId="37" w16cid:durableId="864639454">
    <w:abstractNumId w:val="29"/>
  </w:num>
  <w:num w:numId="38" w16cid:durableId="1060011440">
    <w:abstractNumId w:val="17"/>
  </w:num>
  <w:num w:numId="39" w16cid:durableId="1989940406">
    <w:abstractNumId w:val="23"/>
  </w:num>
  <w:num w:numId="40" w16cid:durableId="99184989">
    <w:abstractNumId w:val="31"/>
  </w:num>
  <w:num w:numId="41" w16cid:durableId="2009675338">
    <w:abstractNumId w:val="8"/>
  </w:num>
  <w:num w:numId="42" w16cid:durableId="1874687691">
    <w:abstractNumId w:val="39"/>
  </w:num>
  <w:num w:numId="43" w16cid:durableId="573051596">
    <w:abstractNumId w:val="39"/>
  </w:num>
  <w:num w:numId="44" w16cid:durableId="5862792">
    <w:abstractNumId w:val="30"/>
    <w:lvlOverride w:ilvl="0">
      <w:startOverride w:val="1"/>
    </w:lvlOverride>
  </w:num>
  <w:num w:numId="45" w16cid:durableId="813639113">
    <w:abstractNumId w:val="37"/>
    <w:lvlOverride w:ilvl="0">
      <w:startOverride w:val="2"/>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tz0fzxeip2ts9eptrqx5xfm992xppwwf2e2&quot;&gt;Omav for FA resubmission_July2025&lt;record-ids&gt;&lt;item&gt;1&lt;/item&gt;&lt;item&gt;2&lt;/item&gt;&lt;item&gt;3&lt;/item&gt;&lt;item&gt;5&lt;/item&gt;&lt;item&gt;6&lt;/item&gt;&lt;item&gt;7&lt;/item&gt;&lt;item&gt;8&lt;/item&gt;&lt;item&gt;10&lt;/item&gt;&lt;item&gt;11&lt;/item&gt;&lt;item&gt;12&lt;/item&gt;&lt;item&gt;14&lt;/item&gt;&lt;item&gt;16&lt;/item&gt;&lt;item&gt;17&lt;/item&gt;&lt;item&gt;18&lt;/item&gt;&lt;item&gt;20&lt;/item&gt;&lt;item&gt;21&lt;/item&gt;&lt;item&gt;22&lt;/item&gt;&lt;item&gt;23&lt;/item&gt;&lt;item&gt;24&lt;/item&gt;&lt;item&gt;26&lt;/item&gt;&lt;/record-ids&gt;&lt;/item&gt;&lt;/Libraries&gt;"/>
    <w:docVar w:name="EN.UseJSCitationFormat" w:val="False"/>
  </w:docVars>
  <w:rsids>
    <w:rsidRoot w:val="00E65E79"/>
    <w:rsid w:val="00000790"/>
    <w:rsid w:val="0000110B"/>
    <w:rsid w:val="00002B36"/>
    <w:rsid w:val="00003499"/>
    <w:rsid w:val="000035C4"/>
    <w:rsid w:val="000039B7"/>
    <w:rsid w:val="000039CD"/>
    <w:rsid w:val="000046BF"/>
    <w:rsid w:val="00004F77"/>
    <w:rsid w:val="00005025"/>
    <w:rsid w:val="000056B9"/>
    <w:rsid w:val="00006027"/>
    <w:rsid w:val="00006042"/>
    <w:rsid w:val="0000639A"/>
    <w:rsid w:val="00006E28"/>
    <w:rsid w:val="0000733D"/>
    <w:rsid w:val="000074AF"/>
    <w:rsid w:val="00007A26"/>
    <w:rsid w:val="00007CC5"/>
    <w:rsid w:val="0001065F"/>
    <w:rsid w:val="00010784"/>
    <w:rsid w:val="0001095A"/>
    <w:rsid w:val="00010B5E"/>
    <w:rsid w:val="00011F98"/>
    <w:rsid w:val="00012406"/>
    <w:rsid w:val="00013247"/>
    <w:rsid w:val="00013265"/>
    <w:rsid w:val="00013496"/>
    <w:rsid w:val="000138F6"/>
    <w:rsid w:val="00013BA7"/>
    <w:rsid w:val="0001407B"/>
    <w:rsid w:val="00015886"/>
    <w:rsid w:val="000162EF"/>
    <w:rsid w:val="00016FA1"/>
    <w:rsid w:val="000200E3"/>
    <w:rsid w:val="00020739"/>
    <w:rsid w:val="000207C9"/>
    <w:rsid w:val="00020895"/>
    <w:rsid w:val="000220FF"/>
    <w:rsid w:val="0002225F"/>
    <w:rsid w:val="00022292"/>
    <w:rsid w:val="0002238B"/>
    <w:rsid w:val="00022BC8"/>
    <w:rsid w:val="00023763"/>
    <w:rsid w:val="00024322"/>
    <w:rsid w:val="000249CB"/>
    <w:rsid w:val="00024EB5"/>
    <w:rsid w:val="00026D77"/>
    <w:rsid w:val="000271E4"/>
    <w:rsid w:val="000274B8"/>
    <w:rsid w:val="000279DB"/>
    <w:rsid w:val="00030454"/>
    <w:rsid w:val="0003089E"/>
    <w:rsid w:val="00030C99"/>
    <w:rsid w:val="000323AD"/>
    <w:rsid w:val="000330DC"/>
    <w:rsid w:val="00033863"/>
    <w:rsid w:val="0003394A"/>
    <w:rsid w:val="000339F6"/>
    <w:rsid w:val="00033D9D"/>
    <w:rsid w:val="00035DC0"/>
    <w:rsid w:val="000360E2"/>
    <w:rsid w:val="0003620A"/>
    <w:rsid w:val="00036829"/>
    <w:rsid w:val="00037C0C"/>
    <w:rsid w:val="00040895"/>
    <w:rsid w:val="000410A0"/>
    <w:rsid w:val="00041E27"/>
    <w:rsid w:val="00042912"/>
    <w:rsid w:val="00043178"/>
    <w:rsid w:val="000435EE"/>
    <w:rsid w:val="00043C37"/>
    <w:rsid w:val="00043DF5"/>
    <w:rsid w:val="00044877"/>
    <w:rsid w:val="00045017"/>
    <w:rsid w:val="000459C2"/>
    <w:rsid w:val="00045A2B"/>
    <w:rsid w:val="0004664F"/>
    <w:rsid w:val="0004698F"/>
    <w:rsid w:val="00046D64"/>
    <w:rsid w:val="00047EAD"/>
    <w:rsid w:val="000508C2"/>
    <w:rsid w:val="00050C20"/>
    <w:rsid w:val="00051D16"/>
    <w:rsid w:val="00052BDF"/>
    <w:rsid w:val="000534FD"/>
    <w:rsid w:val="00053920"/>
    <w:rsid w:val="000539D0"/>
    <w:rsid w:val="00053FA9"/>
    <w:rsid w:val="00054621"/>
    <w:rsid w:val="000546D7"/>
    <w:rsid w:val="00054A8D"/>
    <w:rsid w:val="000567A3"/>
    <w:rsid w:val="00056ECF"/>
    <w:rsid w:val="0005723F"/>
    <w:rsid w:val="0005788D"/>
    <w:rsid w:val="000604DF"/>
    <w:rsid w:val="00060E26"/>
    <w:rsid w:val="00061DCE"/>
    <w:rsid w:val="00062324"/>
    <w:rsid w:val="000625A2"/>
    <w:rsid w:val="0006286D"/>
    <w:rsid w:val="0006302F"/>
    <w:rsid w:val="000631CD"/>
    <w:rsid w:val="00064FAB"/>
    <w:rsid w:val="000651BC"/>
    <w:rsid w:val="000653B5"/>
    <w:rsid w:val="00066360"/>
    <w:rsid w:val="00066719"/>
    <w:rsid w:val="00066AF8"/>
    <w:rsid w:val="00067185"/>
    <w:rsid w:val="00067EAF"/>
    <w:rsid w:val="00071248"/>
    <w:rsid w:val="000720B9"/>
    <w:rsid w:val="000735E2"/>
    <w:rsid w:val="000737F7"/>
    <w:rsid w:val="00075968"/>
    <w:rsid w:val="00075CDF"/>
    <w:rsid w:val="00076484"/>
    <w:rsid w:val="0007652B"/>
    <w:rsid w:val="0007672F"/>
    <w:rsid w:val="0007684A"/>
    <w:rsid w:val="00076B54"/>
    <w:rsid w:val="00076EF2"/>
    <w:rsid w:val="000774F0"/>
    <w:rsid w:val="0008045B"/>
    <w:rsid w:val="00080909"/>
    <w:rsid w:val="000812CA"/>
    <w:rsid w:val="00081BDB"/>
    <w:rsid w:val="00081E63"/>
    <w:rsid w:val="00081E9C"/>
    <w:rsid w:val="00082234"/>
    <w:rsid w:val="0008258D"/>
    <w:rsid w:val="000836BA"/>
    <w:rsid w:val="00083E99"/>
    <w:rsid w:val="000841F7"/>
    <w:rsid w:val="000842A4"/>
    <w:rsid w:val="00084FA8"/>
    <w:rsid w:val="000851A5"/>
    <w:rsid w:val="000856C5"/>
    <w:rsid w:val="00085C31"/>
    <w:rsid w:val="000875AE"/>
    <w:rsid w:val="00090235"/>
    <w:rsid w:val="000902D9"/>
    <w:rsid w:val="00090C7E"/>
    <w:rsid w:val="000911AC"/>
    <w:rsid w:val="000916C3"/>
    <w:rsid w:val="00091A93"/>
    <w:rsid w:val="000922AD"/>
    <w:rsid w:val="00092358"/>
    <w:rsid w:val="00092600"/>
    <w:rsid w:val="0009262B"/>
    <w:rsid w:val="00093310"/>
    <w:rsid w:val="0009445C"/>
    <w:rsid w:val="00095200"/>
    <w:rsid w:val="00095427"/>
    <w:rsid w:val="00095FE5"/>
    <w:rsid w:val="00096284"/>
    <w:rsid w:val="000A0053"/>
    <w:rsid w:val="000A01D8"/>
    <w:rsid w:val="000A1BC0"/>
    <w:rsid w:val="000A1C67"/>
    <w:rsid w:val="000A1DFA"/>
    <w:rsid w:val="000A2F9E"/>
    <w:rsid w:val="000A365F"/>
    <w:rsid w:val="000A3E47"/>
    <w:rsid w:val="000A522B"/>
    <w:rsid w:val="000A5269"/>
    <w:rsid w:val="000A5CF2"/>
    <w:rsid w:val="000A5DA2"/>
    <w:rsid w:val="000A6039"/>
    <w:rsid w:val="000A6336"/>
    <w:rsid w:val="000A6815"/>
    <w:rsid w:val="000A7059"/>
    <w:rsid w:val="000A7453"/>
    <w:rsid w:val="000A7D08"/>
    <w:rsid w:val="000B0121"/>
    <w:rsid w:val="000B0536"/>
    <w:rsid w:val="000B0670"/>
    <w:rsid w:val="000B0E75"/>
    <w:rsid w:val="000B1AA9"/>
    <w:rsid w:val="000B1FDC"/>
    <w:rsid w:val="000B2A3F"/>
    <w:rsid w:val="000B2DCB"/>
    <w:rsid w:val="000B3340"/>
    <w:rsid w:val="000B342E"/>
    <w:rsid w:val="000B4700"/>
    <w:rsid w:val="000B481D"/>
    <w:rsid w:val="000B4BCD"/>
    <w:rsid w:val="000B51B2"/>
    <w:rsid w:val="000B5CE0"/>
    <w:rsid w:val="000B64E9"/>
    <w:rsid w:val="000B6CAC"/>
    <w:rsid w:val="000B6F09"/>
    <w:rsid w:val="000B73F5"/>
    <w:rsid w:val="000B7612"/>
    <w:rsid w:val="000B78AE"/>
    <w:rsid w:val="000B7970"/>
    <w:rsid w:val="000B7A0D"/>
    <w:rsid w:val="000C0A28"/>
    <w:rsid w:val="000C0F40"/>
    <w:rsid w:val="000C2EFC"/>
    <w:rsid w:val="000C3200"/>
    <w:rsid w:val="000C3DF9"/>
    <w:rsid w:val="000C4A66"/>
    <w:rsid w:val="000C4CF2"/>
    <w:rsid w:val="000C6713"/>
    <w:rsid w:val="000C691F"/>
    <w:rsid w:val="000D0076"/>
    <w:rsid w:val="000D027A"/>
    <w:rsid w:val="000D0849"/>
    <w:rsid w:val="000D09D7"/>
    <w:rsid w:val="000D1392"/>
    <w:rsid w:val="000D1BFC"/>
    <w:rsid w:val="000D1D5D"/>
    <w:rsid w:val="000D281A"/>
    <w:rsid w:val="000D2848"/>
    <w:rsid w:val="000D2A00"/>
    <w:rsid w:val="000D2F12"/>
    <w:rsid w:val="000D326A"/>
    <w:rsid w:val="000D3ACF"/>
    <w:rsid w:val="000D40B1"/>
    <w:rsid w:val="000D41BD"/>
    <w:rsid w:val="000D4896"/>
    <w:rsid w:val="000D51FB"/>
    <w:rsid w:val="000D624A"/>
    <w:rsid w:val="000D62CA"/>
    <w:rsid w:val="000D7E8E"/>
    <w:rsid w:val="000E0640"/>
    <w:rsid w:val="000E135D"/>
    <w:rsid w:val="000E3ADA"/>
    <w:rsid w:val="000E467A"/>
    <w:rsid w:val="000E5EE7"/>
    <w:rsid w:val="000E69E4"/>
    <w:rsid w:val="000F00BA"/>
    <w:rsid w:val="000F08B8"/>
    <w:rsid w:val="000F0E67"/>
    <w:rsid w:val="000F17C4"/>
    <w:rsid w:val="000F316A"/>
    <w:rsid w:val="000F3C74"/>
    <w:rsid w:val="000F475F"/>
    <w:rsid w:val="000F4B68"/>
    <w:rsid w:val="000F4BB8"/>
    <w:rsid w:val="000F4FA9"/>
    <w:rsid w:val="000F53FB"/>
    <w:rsid w:val="000F7127"/>
    <w:rsid w:val="000F71F8"/>
    <w:rsid w:val="000F7B54"/>
    <w:rsid w:val="001000B3"/>
    <w:rsid w:val="00100F8A"/>
    <w:rsid w:val="00103925"/>
    <w:rsid w:val="0010452E"/>
    <w:rsid w:val="00105A82"/>
    <w:rsid w:val="00105AE2"/>
    <w:rsid w:val="001060C6"/>
    <w:rsid w:val="0010618F"/>
    <w:rsid w:val="001063B9"/>
    <w:rsid w:val="00106B80"/>
    <w:rsid w:val="0010782B"/>
    <w:rsid w:val="0011026F"/>
    <w:rsid w:val="0011032E"/>
    <w:rsid w:val="00110C35"/>
    <w:rsid w:val="00111EA1"/>
    <w:rsid w:val="0011348B"/>
    <w:rsid w:val="00115181"/>
    <w:rsid w:val="00115982"/>
    <w:rsid w:val="00115F2B"/>
    <w:rsid w:val="00116722"/>
    <w:rsid w:val="00116C53"/>
    <w:rsid w:val="0011775D"/>
    <w:rsid w:val="0012022F"/>
    <w:rsid w:val="00121799"/>
    <w:rsid w:val="0012190F"/>
    <w:rsid w:val="001222FC"/>
    <w:rsid w:val="0012285A"/>
    <w:rsid w:val="00123902"/>
    <w:rsid w:val="0012458F"/>
    <w:rsid w:val="00124A51"/>
    <w:rsid w:val="00124A7A"/>
    <w:rsid w:val="00124E11"/>
    <w:rsid w:val="00125C15"/>
    <w:rsid w:val="001262DE"/>
    <w:rsid w:val="00126621"/>
    <w:rsid w:val="00126B1D"/>
    <w:rsid w:val="00127DE2"/>
    <w:rsid w:val="001301E9"/>
    <w:rsid w:val="00130A21"/>
    <w:rsid w:val="00131779"/>
    <w:rsid w:val="00131D82"/>
    <w:rsid w:val="001326BF"/>
    <w:rsid w:val="001329A3"/>
    <w:rsid w:val="00132B22"/>
    <w:rsid w:val="00132DAF"/>
    <w:rsid w:val="00132FF6"/>
    <w:rsid w:val="00133D36"/>
    <w:rsid w:val="00134949"/>
    <w:rsid w:val="001349F3"/>
    <w:rsid w:val="0013637A"/>
    <w:rsid w:val="00137645"/>
    <w:rsid w:val="00137BCB"/>
    <w:rsid w:val="00137F40"/>
    <w:rsid w:val="0014015A"/>
    <w:rsid w:val="00140E99"/>
    <w:rsid w:val="00141045"/>
    <w:rsid w:val="00141176"/>
    <w:rsid w:val="00141C41"/>
    <w:rsid w:val="001422E7"/>
    <w:rsid w:val="0014331E"/>
    <w:rsid w:val="0014338E"/>
    <w:rsid w:val="0014361C"/>
    <w:rsid w:val="00143E53"/>
    <w:rsid w:val="00143F67"/>
    <w:rsid w:val="00144C50"/>
    <w:rsid w:val="001451FA"/>
    <w:rsid w:val="00145234"/>
    <w:rsid w:val="00145540"/>
    <w:rsid w:val="001456B0"/>
    <w:rsid w:val="00145BAE"/>
    <w:rsid w:val="00146468"/>
    <w:rsid w:val="00146FDE"/>
    <w:rsid w:val="001473B1"/>
    <w:rsid w:val="00147D17"/>
    <w:rsid w:val="001501C6"/>
    <w:rsid w:val="0015086A"/>
    <w:rsid w:val="00151138"/>
    <w:rsid w:val="001529B5"/>
    <w:rsid w:val="001547AB"/>
    <w:rsid w:val="0015486F"/>
    <w:rsid w:val="00156F8F"/>
    <w:rsid w:val="00157130"/>
    <w:rsid w:val="001576B1"/>
    <w:rsid w:val="00157CCD"/>
    <w:rsid w:val="0016047B"/>
    <w:rsid w:val="00160534"/>
    <w:rsid w:val="001606D3"/>
    <w:rsid w:val="00160A4C"/>
    <w:rsid w:val="00162913"/>
    <w:rsid w:val="00162D16"/>
    <w:rsid w:val="00162FB1"/>
    <w:rsid w:val="001634C4"/>
    <w:rsid w:val="00163EFF"/>
    <w:rsid w:val="00163F66"/>
    <w:rsid w:val="0016478E"/>
    <w:rsid w:val="00164F15"/>
    <w:rsid w:val="00165362"/>
    <w:rsid w:val="001658A1"/>
    <w:rsid w:val="00165EC4"/>
    <w:rsid w:val="001661FB"/>
    <w:rsid w:val="001671A0"/>
    <w:rsid w:val="001674C4"/>
    <w:rsid w:val="0016767F"/>
    <w:rsid w:val="00167803"/>
    <w:rsid w:val="00167A09"/>
    <w:rsid w:val="001712A5"/>
    <w:rsid w:val="001712C2"/>
    <w:rsid w:val="00171648"/>
    <w:rsid w:val="00171DED"/>
    <w:rsid w:val="001728B7"/>
    <w:rsid w:val="00173463"/>
    <w:rsid w:val="00173565"/>
    <w:rsid w:val="0017394B"/>
    <w:rsid w:val="00173B07"/>
    <w:rsid w:val="00174AF1"/>
    <w:rsid w:val="0017502C"/>
    <w:rsid w:val="001750B9"/>
    <w:rsid w:val="001751FA"/>
    <w:rsid w:val="0017638C"/>
    <w:rsid w:val="00177B2A"/>
    <w:rsid w:val="00180A1D"/>
    <w:rsid w:val="00181C10"/>
    <w:rsid w:val="00181D9C"/>
    <w:rsid w:val="001837FF"/>
    <w:rsid w:val="00184691"/>
    <w:rsid w:val="00184B0E"/>
    <w:rsid w:val="00185D7E"/>
    <w:rsid w:val="0018752F"/>
    <w:rsid w:val="001876F4"/>
    <w:rsid w:val="001917D7"/>
    <w:rsid w:val="00191AE0"/>
    <w:rsid w:val="001925D8"/>
    <w:rsid w:val="001927FE"/>
    <w:rsid w:val="00193554"/>
    <w:rsid w:val="00193838"/>
    <w:rsid w:val="00194AD8"/>
    <w:rsid w:val="00195222"/>
    <w:rsid w:val="00195452"/>
    <w:rsid w:val="00195C8F"/>
    <w:rsid w:val="001975D8"/>
    <w:rsid w:val="001A0269"/>
    <w:rsid w:val="001A178E"/>
    <w:rsid w:val="001A18F7"/>
    <w:rsid w:val="001A22B3"/>
    <w:rsid w:val="001A2355"/>
    <w:rsid w:val="001A2687"/>
    <w:rsid w:val="001A3657"/>
    <w:rsid w:val="001A3839"/>
    <w:rsid w:val="001A3BF0"/>
    <w:rsid w:val="001A3CC4"/>
    <w:rsid w:val="001A43FA"/>
    <w:rsid w:val="001A47C5"/>
    <w:rsid w:val="001A59FB"/>
    <w:rsid w:val="001A5E9E"/>
    <w:rsid w:val="001A6354"/>
    <w:rsid w:val="001A6366"/>
    <w:rsid w:val="001A63A0"/>
    <w:rsid w:val="001A7AE8"/>
    <w:rsid w:val="001B051B"/>
    <w:rsid w:val="001B0D49"/>
    <w:rsid w:val="001B1A6C"/>
    <w:rsid w:val="001B204E"/>
    <w:rsid w:val="001B2372"/>
    <w:rsid w:val="001B24F5"/>
    <w:rsid w:val="001B2AB9"/>
    <w:rsid w:val="001B3443"/>
    <w:rsid w:val="001B3C9F"/>
    <w:rsid w:val="001B4D20"/>
    <w:rsid w:val="001B51C9"/>
    <w:rsid w:val="001B5527"/>
    <w:rsid w:val="001B57E5"/>
    <w:rsid w:val="001B5EC6"/>
    <w:rsid w:val="001B6080"/>
    <w:rsid w:val="001B6A7D"/>
    <w:rsid w:val="001B719C"/>
    <w:rsid w:val="001B75C7"/>
    <w:rsid w:val="001B7B60"/>
    <w:rsid w:val="001B7B68"/>
    <w:rsid w:val="001B7F81"/>
    <w:rsid w:val="001B7F84"/>
    <w:rsid w:val="001C15C1"/>
    <w:rsid w:val="001C2A9B"/>
    <w:rsid w:val="001C3C97"/>
    <w:rsid w:val="001C3DD6"/>
    <w:rsid w:val="001C4299"/>
    <w:rsid w:val="001C4874"/>
    <w:rsid w:val="001C553D"/>
    <w:rsid w:val="001C576A"/>
    <w:rsid w:val="001C5F94"/>
    <w:rsid w:val="001C64A5"/>
    <w:rsid w:val="001C6E66"/>
    <w:rsid w:val="001C6F80"/>
    <w:rsid w:val="001C731F"/>
    <w:rsid w:val="001C7FB0"/>
    <w:rsid w:val="001D1100"/>
    <w:rsid w:val="001D1298"/>
    <w:rsid w:val="001D1391"/>
    <w:rsid w:val="001D1AE5"/>
    <w:rsid w:val="001D25D7"/>
    <w:rsid w:val="001D2F9B"/>
    <w:rsid w:val="001D3729"/>
    <w:rsid w:val="001D487C"/>
    <w:rsid w:val="001D50B2"/>
    <w:rsid w:val="001D5F93"/>
    <w:rsid w:val="001D71F4"/>
    <w:rsid w:val="001D7645"/>
    <w:rsid w:val="001E07CA"/>
    <w:rsid w:val="001E085D"/>
    <w:rsid w:val="001E0E25"/>
    <w:rsid w:val="001E1604"/>
    <w:rsid w:val="001E1E86"/>
    <w:rsid w:val="001E238E"/>
    <w:rsid w:val="001E2476"/>
    <w:rsid w:val="001E2483"/>
    <w:rsid w:val="001E2B1E"/>
    <w:rsid w:val="001E2CFF"/>
    <w:rsid w:val="001E2F24"/>
    <w:rsid w:val="001E30D4"/>
    <w:rsid w:val="001E34DF"/>
    <w:rsid w:val="001E496F"/>
    <w:rsid w:val="001E497C"/>
    <w:rsid w:val="001E52EB"/>
    <w:rsid w:val="001E542F"/>
    <w:rsid w:val="001E5E52"/>
    <w:rsid w:val="001E61D2"/>
    <w:rsid w:val="001E6A80"/>
    <w:rsid w:val="001E740C"/>
    <w:rsid w:val="001F1235"/>
    <w:rsid w:val="001F15FD"/>
    <w:rsid w:val="001F1CB3"/>
    <w:rsid w:val="001F36F1"/>
    <w:rsid w:val="001F38B5"/>
    <w:rsid w:val="001F4081"/>
    <w:rsid w:val="001F43CD"/>
    <w:rsid w:val="001F4CD6"/>
    <w:rsid w:val="001F4EE7"/>
    <w:rsid w:val="001F54E1"/>
    <w:rsid w:val="001F6354"/>
    <w:rsid w:val="001F6FB0"/>
    <w:rsid w:val="001F7361"/>
    <w:rsid w:val="001F7463"/>
    <w:rsid w:val="002011B0"/>
    <w:rsid w:val="00201363"/>
    <w:rsid w:val="00202118"/>
    <w:rsid w:val="00202AE4"/>
    <w:rsid w:val="00202CFC"/>
    <w:rsid w:val="002030B3"/>
    <w:rsid w:val="00203181"/>
    <w:rsid w:val="00203783"/>
    <w:rsid w:val="0020385F"/>
    <w:rsid w:val="00203FA4"/>
    <w:rsid w:val="0020450F"/>
    <w:rsid w:val="002051BB"/>
    <w:rsid w:val="002065B4"/>
    <w:rsid w:val="002068A0"/>
    <w:rsid w:val="00206A34"/>
    <w:rsid w:val="00206BB2"/>
    <w:rsid w:val="00207021"/>
    <w:rsid w:val="0020732F"/>
    <w:rsid w:val="00207D00"/>
    <w:rsid w:val="002105C1"/>
    <w:rsid w:val="00210F27"/>
    <w:rsid w:val="002116FD"/>
    <w:rsid w:val="00211C11"/>
    <w:rsid w:val="002123D1"/>
    <w:rsid w:val="00213EF5"/>
    <w:rsid w:val="00215680"/>
    <w:rsid w:val="00216971"/>
    <w:rsid w:val="00216BF5"/>
    <w:rsid w:val="00216E8E"/>
    <w:rsid w:val="0021788B"/>
    <w:rsid w:val="00217ED8"/>
    <w:rsid w:val="0022025A"/>
    <w:rsid w:val="002203DD"/>
    <w:rsid w:val="00221360"/>
    <w:rsid w:val="00221957"/>
    <w:rsid w:val="00221E60"/>
    <w:rsid w:val="0022380B"/>
    <w:rsid w:val="002239FC"/>
    <w:rsid w:val="00223B42"/>
    <w:rsid w:val="00223B49"/>
    <w:rsid w:val="00223D5A"/>
    <w:rsid w:val="002244EB"/>
    <w:rsid w:val="002246EE"/>
    <w:rsid w:val="002248B5"/>
    <w:rsid w:val="002249F0"/>
    <w:rsid w:val="00224DD4"/>
    <w:rsid w:val="0022519F"/>
    <w:rsid w:val="00226137"/>
    <w:rsid w:val="0022706F"/>
    <w:rsid w:val="00227305"/>
    <w:rsid w:val="002278A0"/>
    <w:rsid w:val="00227A71"/>
    <w:rsid w:val="002309CC"/>
    <w:rsid w:val="00230F7D"/>
    <w:rsid w:val="00231BA9"/>
    <w:rsid w:val="0023209F"/>
    <w:rsid w:val="00233484"/>
    <w:rsid w:val="002337AB"/>
    <w:rsid w:val="00233C01"/>
    <w:rsid w:val="0023413C"/>
    <w:rsid w:val="002346F0"/>
    <w:rsid w:val="0023629D"/>
    <w:rsid w:val="002369E3"/>
    <w:rsid w:val="00236BC6"/>
    <w:rsid w:val="00237255"/>
    <w:rsid w:val="002372CE"/>
    <w:rsid w:val="002409B2"/>
    <w:rsid w:val="0024213B"/>
    <w:rsid w:val="002424AF"/>
    <w:rsid w:val="002428BA"/>
    <w:rsid w:val="00242FDD"/>
    <w:rsid w:val="002431C1"/>
    <w:rsid w:val="002439DC"/>
    <w:rsid w:val="002441D2"/>
    <w:rsid w:val="00244294"/>
    <w:rsid w:val="00244954"/>
    <w:rsid w:val="00244DC8"/>
    <w:rsid w:val="002453ED"/>
    <w:rsid w:val="00245792"/>
    <w:rsid w:val="002458BA"/>
    <w:rsid w:val="00245C3B"/>
    <w:rsid w:val="00245CE9"/>
    <w:rsid w:val="00245D6E"/>
    <w:rsid w:val="0024636C"/>
    <w:rsid w:val="0024769A"/>
    <w:rsid w:val="00247925"/>
    <w:rsid w:val="00250076"/>
    <w:rsid w:val="0025008A"/>
    <w:rsid w:val="002502E9"/>
    <w:rsid w:val="00250955"/>
    <w:rsid w:val="00251006"/>
    <w:rsid w:val="002524D5"/>
    <w:rsid w:val="00252525"/>
    <w:rsid w:val="00253217"/>
    <w:rsid w:val="00253B1D"/>
    <w:rsid w:val="00253F54"/>
    <w:rsid w:val="00254084"/>
    <w:rsid w:val="00254DCF"/>
    <w:rsid w:val="0025534B"/>
    <w:rsid w:val="00255BB7"/>
    <w:rsid w:val="00255FE6"/>
    <w:rsid w:val="00257541"/>
    <w:rsid w:val="00257A39"/>
    <w:rsid w:val="00257AC4"/>
    <w:rsid w:val="00257BBE"/>
    <w:rsid w:val="00261EEF"/>
    <w:rsid w:val="00262A1A"/>
    <w:rsid w:val="00262A87"/>
    <w:rsid w:val="00263199"/>
    <w:rsid w:val="00264D26"/>
    <w:rsid w:val="00265254"/>
    <w:rsid w:val="002655E6"/>
    <w:rsid w:val="002668D3"/>
    <w:rsid w:val="00267642"/>
    <w:rsid w:val="00267AEA"/>
    <w:rsid w:val="002700E6"/>
    <w:rsid w:val="00270435"/>
    <w:rsid w:val="00270C56"/>
    <w:rsid w:val="00271B6E"/>
    <w:rsid w:val="00272504"/>
    <w:rsid w:val="0027294B"/>
    <w:rsid w:val="002734C3"/>
    <w:rsid w:val="00273D4C"/>
    <w:rsid w:val="00273EB4"/>
    <w:rsid w:val="0027463A"/>
    <w:rsid w:val="00274682"/>
    <w:rsid w:val="00275158"/>
    <w:rsid w:val="00275C5A"/>
    <w:rsid w:val="002773C7"/>
    <w:rsid w:val="002775A6"/>
    <w:rsid w:val="0028053E"/>
    <w:rsid w:val="00280A2C"/>
    <w:rsid w:val="00281014"/>
    <w:rsid w:val="0028453A"/>
    <w:rsid w:val="00284C34"/>
    <w:rsid w:val="00284CFC"/>
    <w:rsid w:val="00285674"/>
    <w:rsid w:val="00285BCE"/>
    <w:rsid w:val="0028665D"/>
    <w:rsid w:val="0029107B"/>
    <w:rsid w:val="002918AC"/>
    <w:rsid w:val="0029445D"/>
    <w:rsid w:val="002949D9"/>
    <w:rsid w:val="00294FEA"/>
    <w:rsid w:val="00294FF4"/>
    <w:rsid w:val="002973F7"/>
    <w:rsid w:val="00297701"/>
    <w:rsid w:val="00297782"/>
    <w:rsid w:val="0029778F"/>
    <w:rsid w:val="002A0777"/>
    <w:rsid w:val="002A14AB"/>
    <w:rsid w:val="002A177A"/>
    <w:rsid w:val="002A226C"/>
    <w:rsid w:val="002A2871"/>
    <w:rsid w:val="002A2ADE"/>
    <w:rsid w:val="002A2F50"/>
    <w:rsid w:val="002A31CD"/>
    <w:rsid w:val="002A3619"/>
    <w:rsid w:val="002A3B2B"/>
    <w:rsid w:val="002A4464"/>
    <w:rsid w:val="002A513A"/>
    <w:rsid w:val="002A57F0"/>
    <w:rsid w:val="002A64FF"/>
    <w:rsid w:val="002A6FEF"/>
    <w:rsid w:val="002A7943"/>
    <w:rsid w:val="002A7CA4"/>
    <w:rsid w:val="002B05A1"/>
    <w:rsid w:val="002B09A4"/>
    <w:rsid w:val="002B1B1B"/>
    <w:rsid w:val="002B1C1F"/>
    <w:rsid w:val="002B2718"/>
    <w:rsid w:val="002B432F"/>
    <w:rsid w:val="002B62B3"/>
    <w:rsid w:val="002B6754"/>
    <w:rsid w:val="002B6CCE"/>
    <w:rsid w:val="002B7844"/>
    <w:rsid w:val="002C24BA"/>
    <w:rsid w:val="002C2510"/>
    <w:rsid w:val="002C2775"/>
    <w:rsid w:val="002C27C1"/>
    <w:rsid w:val="002C36E3"/>
    <w:rsid w:val="002C49D2"/>
    <w:rsid w:val="002C4E93"/>
    <w:rsid w:val="002C5099"/>
    <w:rsid w:val="002C5582"/>
    <w:rsid w:val="002C5889"/>
    <w:rsid w:val="002C60B7"/>
    <w:rsid w:val="002C6D77"/>
    <w:rsid w:val="002C71CE"/>
    <w:rsid w:val="002D08F8"/>
    <w:rsid w:val="002D0D0C"/>
    <w:rsid w:val="002D1BFB"/>
    <w:rsid w:val="002D28E7"/>
    <w:rsid w:val="002D3CA3"/>
    <w:rsid w:val="002D4F26"/>
    <w:rsid w:val="002D4FA9"/>
    <w:rsid w:val="002D577C"/>
    <w:rsid w:val="002D6778"/>
    <w:rsid w:val="002D6D5A"/>
    <w:rsid w:val="002D72FF"/>
    <w:rsid w:val="002D7832"/>
    <w:rsid w:val="002E1071"/>
    <w:rsid w:val="002E15B9"/>
    <w:rsid w:val="002E2158"/>
    <w:rsid w:val="002E271E"/>
    <w:rsid w:val="002E2BB0"/>
    <w:rsid w:val="002E32AE"/>
    <w:rsid w:val="002E3716"/>
    <w:rsid w:val="002E45B9"/>
    <w:rsid w:val="002E4D31"/>
    <w:rsid w:val="002E4F02"/>
    <w:rsid w:val="002E5D82"/>
    <w:rsid w:val="002E5FEC"/>
    <w:rsid w:val="002E6040"/>
    <w:rsid w:val="002E6497"/>
    <w:rsid w:val="002E69E5"/>
    <w:rsid w:val="002E6AE6"/>
    <w:rsid w:val="002E6B93"/>
    <w:rsid w:val="002E7722"/>
    <w:rsid w:val="002E7CC7"/>
    <w:rsid w:val="002F04E1"/>
    <w:rsid w:val="002F07BA"/>
    <w:rsid w:val="002F0AE7"/>
    <w:rsid w:val="002F0DA9"/>
    <w:rsid w:val="002F1014"/>
    <w:rsid w:val="002F1D54"/>
    <w:rsid w:val="002F1E3B"/>
    <w:rsid w:val="002F274D"/>
    <w:rsid w:val="002F39E7"/>
    <w:rsid w:val="002F410B"/>
    <w:rsid w:val="002F5B79"/>
    <w:rsid w:val="002F643C"/>
    <w:rsid w:val="002F71C0"/>
    <w:rsid w:val="002F74F1"/>
    <w:rsid w:val="003002F5"/>
    <w:rsid w:val="00300555"/>
    <w:rsid w:val="003005E3"/>
    <w:rsid w:val="00301017"/>
    <w:rsid w:val="0030155F"/>
    <w:rsid w:val="003016F3"/>
    <w:rsid w:val="00303E80"/>
    <w:rsid w:val="003041CA"/>
    <w:rsid w:val="003041D1"/>
    <w:rsid w:val="0030587B"/>
    <w:rsid w:val="003062E7"/>
    <w:rsid w:val="0030641C"/>
    <w:rsid w:val="00306AB1"/>
    <w:rsid w:val="00306D98"/>
    <w:rsid w:val="0030753C"/>
    <w:rsid w:val="003076E3"/>
    <w:rsid w:val="0030775C"/>
    <w:rsid w:val="0030786C"/>
    <w:rsid w:val="003101B4"/>
    <w:rsid w:val="0031031A"/>
    <w:rsid w:val="00310981"/>
    <w:rsid w:val="00310EAA"/>
    <w:rsid w:val="003117AD"/>
    <w:rsid w:val="00311D9B"/>
    <w:rsid w:val="003123F9"/>
    <w:rsid w:val="003124D9"/>
    <w:rsid w:val="00312594"/>
    <w:rsid w:val="0031274E"/>
    <w:rsid w:val="00312BF7"/>
    <w:rsid w:val="003137E7"/>
    <w:rsid w:val="003139CB"/>
    <w:rsid w:val="00313AE1"/>
    <w:rsid w:val="00315498"/>
    <w:rsid w:val="00316474"/>
    <w:rsid w:val="0031681B"/>
    <w:rsid w:val="003168FE"/>
    <w:rsid w:val="003170BA"/>
    <w:rsid w:val="00317B83"/>
    <w:rsid w:val="00317EB6"/>
    <w:rsid w:val="00320390"/>
    <w:rsid w:val="00320FBD"/>
    <w:rsid w:val="0032119E"/>
    <w:rsid w:val="00321982"/>
    <w:rsid w:val="00322107"/>
    <w:rsid w:val="00322355"/>
    <w:rsid w:val="00322846"/>
    <w:rsid w:val="0032298E"/>
    <w:rsid w:val="00322DCF"/>
    <w:rsid w:val="00322DD6"/>
    <w:rsid w:val="00323073"/>
    <w:rsid w:val="00323B76"/>
    <w:rsid w:val="00324F95"/>
    <w:rsid w:val="00325B5F"/>
    <w:rsid w:val="00326DA7"/>
    <w:rsid w:val="003270E4"/>
    <w:rsid w:val="00330DAA"/>
    <w:rsid w:val="00330F5C"/>
    <w:rsid w:val="003317BB"/>
    <w:rsid w:val="00331950"/>
    <w:rsid w:val="00331B07"/>
    <w:rsid w:val="00334430"/>
    <w:rsid w:val="003359D8"/>
    <w:rsid w:val="003366C9"/>
    <w:rsid w:val="003371B0"/>
    <w:rsid w:val="00340DF1"/>
    <w:rsid w:val="00340E79"/>
    <w:rsid w:val="00340EC1"/>
    <w:rsid w:val="003412F4"/>
    <w:rsid w:val="00343FE9"/>
    <w:rsid w:val="00344FED"/>
    <w:rsid w:val="0034611E"/>
    <w:rsid w:val="003466DA"/>
    <w:rsid w:val="00346BA7"/>
    <w:rsid w:val="00346DEA"/>
    <w:rsid w:val="0034747E"/>
    <w:rsid w:val="00347561"/>
    <w:rsid w:val="00347ED3"/>
    <w:rsid w:val="003501C9"/>
    <w:rsid w:val="003517F9"/>
    <w:rsid w:val="003518B9"/>
    <w:rsid w:val="00351BA9"/>
    <w:rsid w:val="00351FB6"/>
    <w:rsid w:val="0035209B"/>
    <w:rsid w:val="003526A6"/>
    <w:rsid w:val="003537BB"/>
    <w:rsid w:val="00353CF1"/>
    <w:rsid w:val="0035466E"/>
    <w:rsid w:val="00354F64"/>
    <w:rsid w:val="0035620E"/>
    <w:rsid w:val="00357328"/>
    <w:rsid w:val="003575BE"/>
    <w:rsid w:val="00357809"/>
    <w:rsid w:val="00360281"/>
    <w:rsid w:val="00360345"/>
    <w:rsid w:val="00360A88"/>
    <w:rsid w:val="00361A05"/>
    <w:rsid w:val="00361EDD"/>
    <w:rsid w:val="00362014"/>
    <w:rsid w:val="003624C4"/>
    <w:rsid w:val="00362B89"/>
    <w:rsid w:val="00363B00"/>
    <w:rsid w:val="00364A5A"/>
    <w:rsid w:val="003654AC"/>
    <w:rsid w:val="00365AA0"/>
    <w:rsid w:val="00366CD0"/>
    <w:rsid w:val="003710CF"/>
    <w:rsid w:val="00371F5C"/>
    <w:rsid w:val="00372F19"/>
    <w:rsid w:val="0037358A"/>
    <w:rsid w:val="0037366C"/>
    <w:rsid w:val="003736FC"/>
    <w:rsid w:val="003747A2"/>
    <w:rsid w:val="003750F6"/>
    <w:rsid w:val="00375D2E"/>
    <w:rsid w:val="003760FC"/>
    <w:rsid w:val="003770F6"/>
    <w:rsid w:val="003818CC"/>
    <w:rsid w:val="00381C5B"/>
    <w:rsid w:val="003821CD"/>
    <w:rsid w:val="0038365C"/>
    <w:rsid w:val="0038369B"/>
    <w:rsid w:val="00383B78"/>
    <w:rsid w:val="0038404D"/>
    <w:rsid w:val="00384ED9"/>
    <w:rsid w:val="00385139"/>
    <w:rsid w:val="00385A9D"/>
    <w:rsid w:val="00387121"/>
    <w:rsid w:val="00387488"/>
    <w:rsid w:val="003902B1"/>
    <w:rsid w:val="003905ED"/>
    <w:rsid w:val="00390AFC"/>
    <w:rsid w:val="00391257"/>
    <w:rsid w:val="0039179C"/>
    <w:rsid w:val="00392A7B"/>
    <w:rsid w:val="00393E7B"/>
    <w:rsid w:val="003943C6"/>
    <w:rsid w:val="003956D5"/>
    <w:rsid w:val="00395BCD"/>
    <w:rsid w:val="00395DB3"/>
    <w:rsid w:val="00396896"/>
    <w:rsid w:val="00396FD0"/>
    <w:rsid w:val="00397946"/>
    <w:rsid w:val="003A1A7A"/>
    <w:rsid w:val="003A22F4"/>
    <w:rsid w:val="003A2392"/>
    <w:rsid w:val="003A2831"/>
    <w:rsid w:val="003A3CB6"/>
    <w:rsid w:val="003A3ED1"/>
    <w:rsid w:val="003A4497"/>
    <w:rsid w:val="003A44DB"/>
    <w:rsid w:val="003A4C14"/>
    <w:rsid w:val="003A54EB"/>
    <w:rsid w:val="003A6B5A"/>
    <w:rsid w:val="003A6C3A"/>
    <w:rsid w:val="003B09C0"/>
    <w:rsid w:val="003B1580"/>
    <w:rsid w:val="003B1F87"/>
    <w:rsid w:val="003B3971"/>
    <w:rsid w:val="003B55D1"/>
    <w:rsid w:val="003B5B61"/>
    <w:rsid w:val="003B6233"/>
    <w:rsid w:val="003C01F9"/>
    <w:rsid w:val="003C06DE"/>
    <w:rsid w:val="003C1654"/>
    <w:rsid w:val="003C1913"/>
    <w:rsid w:val="003C2DB0"/>
    <w:rsid w:val="003C5542"/>
    <w:rsid w:val="003C7128"/>
    <w:rsid w:val="003C7C15"/>
    <w:rsid w:val="003C7D19"/>
    <w:rsid w:val="003C7D2F"/>
    <w:rsid w:val="003D0C5A"/>
    <w:rsid w:val="003D1828"/>
    <w:rsid w:val="003D1DE4"/>
    <w:rsid w:val="003D1E9A"/>
    <w:rsid w:val="003D2007"/>
    <w:rsid w:val="003D2422"/>
    <w:rsid w:val="003D252B"/>
    <w:rsid w:val="003D2A23"/>
    <w:rsid w:val="003D2B31"/>
    <w:rsid w:val="003D39A1"/>
    <w:rsid w:val="003D3FBF"/>
    <w:rsid w:val="003D4191"/>
    <w:rsid w:val="003D44B9"/>
    <w:rsid w:val="003D4786"/>
    <w:rsid w:val="003D4A30"/>
    <w:rsid w:val="003D559F"/>
    <w:rsid w:val="003D55DF"/>
    <w:rsid w:val="003D61FA"/>
    <w:rsid w:val="003D6C5E"/>
    <w:rsid w:val="003D7452"/>
    <w:rsid w:val="003D7645"/>
    <w:rsid w:val="003D79BB"/>
    <w:rsid w:val="003D7C98"/>
    <w:rsid w:val="003D7D9D"/>
    <w:rsid w:val="003D7F3C"/>
    <w:rsid w:val="003E0543"/>
    <w:rsid w:val="003E15FA"/>
    <w:rsid w:val="003E22D7"/>
    <w:rsid w:val="003E24A0"/>
    <w:rsid w:val="003E2B7F"/>
    <w:rsid w:val="003E2F5B"/>
    <w:rsid w:val="003E3AF9"/>
    <w:rsid w:val="003E4244"/>
    <w:rsid w:val="003E4854"/>
    <w:rsid w:val="003E48F8"/>
    <w:rsid w:val="003E5603"/>
    <w:rsid w:val="003E749E"/>
    <w:rsid w:val="003E7DF3"/>
    <w:rsid w:val="003F084D"/>
    <w:rsid w:val="003F0D70"/>
    <w:rsid w:val="003F2565"/>
    <w:rsid w:val="003F299A"/>
    <w:rsid w:val="003F32B9"/>
    <w:rsid w:val="003F3726"/>
    <w:rsid w:val="003F3B9D"/>
    <w:rsid w:val="003F4156"/>
    <w:rsid w:val="003F510D"/>
    <w:rsid w:val="003F5896"/>
    <w:rsid w:val="003F59A4"/>
    <w:rsid w:val="003F59D4"/>
    <w:rsid w:val="003F5ADF"/>
    <w:rsid w:val="003F7285"/>
    <w:rsid w:val="004001BF"/>
    <w:rsid w:val="00400B29"/>
    <w:rsid w:val="00402812"/>
    <w:rsid w:val="0040410E"/>
    <w:rsid w:val="00404DF6"/>
    <w:rsid w:val="0040504B"/>
    <w:rsid w:val="004059F4"/>
    <w:rsid w:val="00407C51"/>
    <w:rsid w:val="00407FE5"/>
    <w:rsid w:val="004101B0"/>
    <w:rsid w:val="00410326"/>
    <w:rsid w:val="0041059B"/>
    <w:rsid w:val="004105AB"/>
    <w:rsid w:val="00410708"/>
    <w:rsid w:val="00410EC7"/>
    <w:rsid w:val="004113C6"/>
    <w:rsid w:val="0041193F"/>
    <w:rsid w:val="00411B39"/>
    <w:rsid w:val="004127A7"/>
    <w:rsid w:val="00413A1E"/>
    <w:rsid w:val="00413FCE"/>
    <w:rsid w:val="0041401B"/>
    <w:rsid w:val="00414476"/>
    <w:rsid w:val="00414807"/>
    <w:rsid w:val="00414C2E"/>
    <w:rsid w:val="004151CF"/>
    <w:rsid w:val="004152D5"/>
    <w:rsid w:val="00415AF3"/>
    <w:rsid w:val="00415B19"/>
    <w:rsid w:val="00416364"/>
    <w:rsid w:val="00416B29"/>
    <w:rsid w:val="00417451"/>
    <w:rsid w:val="00417502"/>
    <w:rsid w:val="0042047F"/>
    <w:rsid w:val="004206ED"/>
    <w:rsid w:val="00420AA6"/>
    <w:rsid w:val="00420B9F"/>
    <w:rsid w:val="0042192C"/>
    <w:rsid w:val="00421A46"/>
    <w:rsid w:val="00421EA7"/>
    <w:rsid w:val="00421EAE"/>
    <w:rsid w:val="00422260"/>
    <w:rsid w:val="00422EA5"/>
    <w:rsid w:val="00423585"/>
    <w:rsid w:val="0042413F"/>
    <w:rsid w:val="00425365"/>
    <w:rsid w:val="00425988"/>
    <w:rsid w:val="00427717"/>
    <w:rsid w:val="00427BD4"/>
    <w:rsid w:val="004319F8"/>
    <w:rsid w:val="00431DEC"/>
    <w:rsid w:val="00431E55"/>
    <w:rsid w:val="004321F6"/>
    <w:rsid w:val="00432E4C"/>
    <w:rsid w:val="00433044"/>
    <w:rsid w:val="004330D8"/>
    <w:rsid w:val="00433707"/>
    <w:rsid w:val="00433764"/>
    <w:rsid w:val="00433A9B"/>
    <w:rsid w:val="00433FA6"/>
    <w:rsid w:val="00433FE8"/>
    <w:rsid w:val="00434088"/>
    <w:rsid w:val="004340FE"/>
    <w:rsid w:val="004351E1"/>
    <w:rsid w:val="00435E67"/>
    <w:rsid w:val="00435F9C"/>
    <w:rsid w:val="004375B9"/>
    <w:rsid w:val="00437A7D"/>
    <w:rsid w:val="00440151"/>
    <w:rsid w:val="00441029"/>
    <w:rsid w:val="00441773"/>
    <w:rsid w:val="004427A4"/>
    <w:rsid w:val="004428D0"/>
    <w:rsid w:val="00442A0B"/>
    <w:rsid w:val="0044305F"/>
    <w:rsid w:val="00444185"/>
    <w:rsid w:val="004443A7"/>
    <w:rsid w:val="0044442C"/>
    <w:rsid w:val="00444767"/>
    <w:rsid w:val="00445941"/>
    <w:rsid w:val="004464EB"/>
    <w:rsid w:val="0044673B"/>
    <w:rsid w:val="00446D9F"/>
    <w:rsid w:val="00447D26"/>
    <w:rsid w:val="00447DFC"/>
    <w:rsid w:val="00450081"/>
    <w:rsid w:val="004503B7"/>
    <w:rsid w:val="00450CF2"/>
    <w:rsid w:val="00451708"/>
    <w:rsid w:val="004519B5"/>
    <w:rsid w:val="00452796"/>
    <w:rsid w:val="00453392"/>
    <w:rsid w:val="00453FA4"/>
    <w:rsid w:val="004544E8"/>
    <w:rsid w:val="00454BB3"/>
    <w:rsid w:val="00454BFE"/>
    <w:rsid w:val="0045533D"/>
    <w:rsid w:val="00455D45"/>
    <w:rsid w:val="004560CE"/>
    <w:rsid w:val="00456275"/>
    <w:rsid w:val="004567AC"/>
    <w:rsid w:val="004568EE"/>
    <w:rsid w:val="004609FC"/>
    <w:rsid w:val="0046123F"/>
    <w:rsid w:val="004622F6"/>
    <w:rsid w:val="00464051"/>
    <w:rsid w:val="00464595"/>
    <w:rsid w:val="004658B5"/>
    <w:rsid w:val="00467922"/>
    <w:rsid w:val="004715EE"/>
    <w:rsid w:val="00471EA5"/>
    <w:rsid w:val="004722BB"/>
    <w:rsid w:val="0047267F"/>
    <w:rsid w:val="00472A79"/>
    <w:rsid w:val="00472D72"/>
    <w:rsid w:val="00473F19"/>
    <w:rsid w:val="004741E5"/>
    <w:rsid w:val="004758A6"/>
    <w:rsid w:val="00475AED"/>
    <w:rsid w:val="00475B0C"/>
    <w:rsid w:val="00475E22"/>
    <w:rsid w:val="0047666F"/>
    <w:rsid w:val="004770B5"/>
    <w:rsid w:val="00477B99"/>
    <w:rsid w:val="00477F9B"/>
    <w:rsid w:val="0048088E"/>
    <w:rsid w:val="00480F2B"/>
    <w:rsid w:val="00481AA0"/>
    <w:rsid w:val="00481B10"/>
    <w:rsid w:val="00482720"/>
    <w:rsid w:val="00482ED5"/>
    <w:rsid w:val="00483031"/>
    <w:rsid w:val="004834CE"/>
    <w:rsid w:val="004835B9"/>
    <w:rsid w:val="004835E7"/>
    <w:rsid w:val="004835F1"/>
    <w:rsid w:val="00483C87"/>
    <w:rsid w:val="00484F3F"/>
    <w:rsid w:val="0048594C"/>
    <w:rsid w:val="004859E1"/>
    <w:rsid w:val="0048610A"/>
    <w:rsid w:val="004867E2"/>
    <w:rsid w:val="00490604"/>
    <w:rsid w:val="004906DA"/>
    <w:rsid w:val="004908F8"/>
    <w:rsid w:val="00490B17"/>
    <w:rsid w:val="00490FA5"/>
    <w:rsid w:val="00491B3A"/>
    <w:rsid w:val="00491C94"/>
    <w:rsid w:val="00492418"/>
    <w:rsid w:val="00492CFD"/>
    <w:rsid w:val="004935F8"/>
    <w:rsid w:val="00493EF3"/>
    <w:rsid w:val="00494207"/>
    <w:rsid w:val="0049482B"/>
    <w:rsid w:val="00494DD5"/>
    <w:rsid w:val="004953A1"/>
    <w:rsid w:val="00495540"/>
    <w:rsid w:val="004962D2"/>
    <w:rsid w:val="0049705C"/>
    <w:rsid w:val="004A0DA1"/>
    <w:rsid w:val="004A13D6"/>
    <w:rsid w:val="004A1A36"/>
    <w:rsid w:val="004A451E"/>
    <w:rsid w:val="004A4EF0"/>
    <w:rsid w:val="004A52E9"/>
    <w:rsid w:val="004A6040"/>
    <w:rsid w:val="004A6597"/>
    <w:rsid w:val="004A7848"/>
    <w:rsid w:val="004A7882"/>
    <w:rsid w:val="004A793B"/>
    <w:rsid w:val="004B1CB4"/>
    <w:rsid w:val="004B2F18"/>
    <w:rsid w:val="004B3DDB"/>
    <w:rsid w:val="004B44FD"/>
    <w:rsid w:val="004B529E"/>
    <w:rsid w:val="004B57ED"/>
    <w:rsid w:val="004B58E2"/>
    <w:rsid w:val="004B5CFC"/>
    <w:rsid w:val="004B6832"/>
    <w:rsid w:val="004B6BE7"/>
    <w:rsid w:val="004B6F79"/>
    <w:rsid w:val="004B70C3"/>
    <w:rsid w:val="004B774D"/>
    <w:rsid w:val="004B7ACB"/>
    <w:rsid w:val="004C056D"/>
    <w:rsid w:val="004C0881"/>
    <w:rsid w:val="004C0970"/>
    <w:rsid w:val="004C0C53"/>
    <w:rsid w:val="004C111A"/>
    <w:rsid w:val="004C2062"/>
    <w:rsid w:val="004C2AC2"/>
    <w:rsid w:val="004C3176"/>
    <w:rsid w:val="004C3A20"/>
    <w:rsid w:val="004C3B02"/>
    <w:rsid w:val="004C4AED"/>
    <w:rsid w:val="004C5E90"/>
    <w:rsid w:val="004C6B3A"/>
    <w:rsid w:val="004D023C"/>
    <w:rsid w:val="004D0ACD"/>
    <w:rsid w:val="004D0EBE"/>
    <w:rsid w:val="004D12FE"/>
    <w:rsid w:val="004D2C2D"/>
    <w:rsid w:val="004D48A5"/>
    <w:rsid w:val="004D5690"/>
    <w:rsid w:val="004D575E"/>
    <w:rsid w:val="004D69B5"/>
    <w:rsid w:val="004D7017"/>
    <w:rsid w:val="004D7227"/>
    <w:rsid w:val="004D7A01"/>
    <w:rsid w:val="004D7B5E"/>
    <w:rsid w:val="004E02B7"/>
    <w:rsid w:val="004E0E7F"/>
    <w:rsid w:val="004E0EB8"/>
    <w:rsid w:val="004E110C"/>
    <w:rsid w:val="004E117A"/>
    <w:rsid w:val="004E1849"/>
    <w:rsid w:val="004E18E9"/>
    <w:rsid w:val="004E2ADC"/>
    <w:rsid w:val="004E3D96"/>
    <w:rsid w:val="004E3F7A"/>
    <w:rsid w:val="004E43B2"/>
    <w:rsid w:val="004E659E"/>
    <w:rsid w:val="004E6694"/>
    <w:rsid w:val="004E690F"/>
    <w:rsid w:val="004E75E0"/>
    <w:rsid w:val="004F1454"/>
    <w:rsid w:val="004F1D02"/>
    <w:rsid w:val="004F2679"/>
    <w:rsid w:val="004F2F21"/>
    <w:rsid w:val="004F37CD"/>
    <w:rsid w:val="004F3DE5"/>
    <w:rsid w:val="004F3FD0"/>
    <w:rsid w:val="004F3FE2"/>
    <w:rsid w:val="004F6913"/>
    <w:rsid w:val="004F782D"/>
    <w:rsid w:val="004F7865"/>
    <w:rsid w:val="005000D3"/>
    <w:rsid w:val="0050174E"/>
    <w:rsid w:val="00501854"/>
    <w:rsid w:val="0050219B"/>
    <w:rsid w:val="00502B49"/>
    <w:rsid w:val="0050304E"/>
    <w:rsid w:val="00503CF4"/>
    <w:rsid w:val="00503F17"/>
    <w:rsid w:val="00503F3A"/>
    <w:rsid w:val="00504C4C"/>
    <w:rsid w:val="00505AF4"/>
    <w:rsid w:val="00505CB6"/>
    <w:rsid w:val="00506928"/>
    <w:rsid w:val="00507294"/>
    <w:rsid w:val="005074F3"/>
    <w:rsid w:val="005076D5"/>
    <w:rsid w:val="005077EF"/>
    <w:rsid w:val="005105F4"/>
    <w:rsid w:val="00511487"/>
    <w:rsid w:val="00511AD5"/>
    <w:rsid w:val="00511DC7"/>
    <w:rsid w:val="0051335B"/>
    <w:rsid w:val="00513894"/>
    <w:rsid w:val="005142C5"/>
    <w:rsid w:val="0051501B"/>
    <w:rsid w:val="005152B5"/>
    <w:rsid w:val="005154D8"/>
    <w:rsid w:val="00515886"/>
    <w:rsid w:val="00516A63"/>
    <w:rsid w:val="00516A81"/>
    <w:rsid w:val="00516BB4"/>
    <w:rsid w:val="00517708"/>
    <w:rsid w:val="0052056F"/>
    <w:rsid w:val="00520A4B"/>
    <w:rsid w:val="00520FF5"/>
    <w:rsid w:val="0052123C"/>
    <w:rsid w:val="00521319"/>
    <w:rsid w:val="00522BC8"/>
    <w:rsid w:val="00523C28"/>
    <w:rsid w:val="00523D56"/>
    <w:rsid w:val="0052558C"/>
    <w:rsid w:val="0052595F"/>
    <w:rsid w:val="00525F87"/>
    <w:rsid w:val="00527440"/>
    <w:rsid w:val="00527C8D"/>
    <w:rsid w:val="00530299"/>
    <w:rsid w:val="0053085A"/>
    <w:rsid w:val="0053176B"/>
    <w:rsid w:val="00531D41"/>
    <w:rsid w:val="005322CD"/>
    <w:rsid w:val="00532F98"/>
    <w:rsid w:val="005334A3"/>
    <w:rsid w:val="005341B3"/>
    <w:rsid w:val="005346F2"/>
    <w:rsid w:val="00535A16"/>
    <w:rsid w:val="00536481"/>
    <w:rsid w:val="00536F42"/>
    <w:rsid w:val="00537182"/>
    <w:rsid w:val="00537475"/>
    <w:rsid w:val="00541A1F"/>
    <w:rsid w:val="00541EDD"/>
    <w:rsid w:val="00542743"/>
    <w:rsid w:val="00542C2D"/>
    <w:rsid w:val="005437B4"/>
    <w:rsid w:val="005437F7"/>
    <w:rsid w:val="005461B9"/>
    <w:rsid w:val="00546386"/>
    <w:rsid w:val="005478BD"/>
    <w:rsid w:val="005479E3"/>
    <w:rsid w:val="005516AB"/>
    <w:rsid w:val="005517E0"/>
    <w:rsid w:val="00551967"/>
    <w:rsid w:val="00551985"/>
    <w:rsid w:val="00551F66"/>
    <w:rsid w:val="00552BB7"/>
    <w:rsid w:val="00552BD3"/>
    <w:rsid w:val="005532A0"/>
    <w:rsid w:val="00554534"/>
    <w:rsid w:val="00555109"/>
    <w:rsid w:val="005551DD"/>
    <w:rsid w:val="00555327"/>
    <w:rsid w:val="005555AA"/>
    <w:rsid w:val="00555F07"/>
    <w:rsid w:val="00556B35"/>
    <w:rsid w:val="0055741A"/>
    <w:rsid w:val="005611B7"/>
    <w:rsid w:val="005618D4"/>
    <w:rsid w:val="00561ED7"/>
    <w:rsid w:val="005628EB"/>
    <w:rsid w:val="005630E6"/>
    <w:rsid w:val="00563FE1"/>
    <w:rsid w:val="00564867"/>
    <w:rsid w:val="00565C79"/>
    <w:rsid w:val="00565DF0"/>
    <w:rsid w:val="00565FEB"/>
    <w:rsid w:val="0056696F"/>
    <w:rsid w:val="0056700A"/>
    <w:rsid w:val="00567398"/>
    <w:rsid w:val="005678B7"/>
    <w:rsid w:val="00567C66"/>
    <w:rsid w:val="00571534"/>
    <w:rsid w:val="00571C5A"/>
    <w:rsid w:val="00571FF5"/>
    <w:rsid w:val="00572269"/>
    <w:rsid w:val="0057244A"/>
    <w:rsid w:val="00572B39"/>
    <w:rsid w:val="00572F26"/>
    <w:rsid w:val="00573390"/>
    <w:rsid w:val="005750C5"/>
    <w:rsid w:val="005752DE"/>
    <w:rsid w:val="00575ACC"/>
    <w:rsid w:val="00575D60"/>
    <w:rsid w:val="00575D8D"/>
    <w:rsid w:val="00576972"/>
    <w:rsid w:val="00577248"/>
    <w:rsid w:val="00577D2E"/>
    <w:rsid w:val="00580AB3"/>
    <w:rsid w:val="005810BF"/>
    <w:rsid w:val="005814A3"/>
    <w:rsid w:val="00581D7F"/>
    <w:rsid w:val="005832F8"/>
    <w:rsid w:val="00583699"/>
    <w:rsid w:val="00583C46"/>
    <w:rsid w:val="00584C7A"/>
    <w:rsid w:val="00585CDD"/>
    <w:rsid w:val="00586041"/>
    <w:rsid w:val="00586755"/>
    <w:rsid w:val="00587058"/>
    <w:rsid w:val="00591957"/>
    <w:rsid w:val="005923DA"/>
    <w:rsid w:val="00592FD4"/>
    <w:rsid w:val="0059318A"/>
    <w:rsid w:val="00593195"/>
    <w:rsid w:val="00593DFA"/>
    <w:rsid w:val="00594074"/>
    <w:rsid w:val="0059409E"/>
    <w:rsid w:val="00594A39"/>
    <w:rsid w:val="00594D10"/>
    <w:rsid w:val="00595AB3"/>
    <w:rsid w:val="00595F45"/>
    <w:rsid w:val="00597804"/>
    <w:rsid w:val="00597BF9"/>
    <w:rsid w:val="005A0C11"/>
    <w:rsid w:val="005A1628"/>
    <w:rsid w:val="005A18AF"/>
    <w:rsid w:val="005A309A"/>
    <w:rsid w:val="005A362E"/>
    <w:rsid w:val="005A373D"/>
    <w:rsid w:val="005A50ED"/>
    <w:rsid w:val="005A6293"/>
    <w:rsid w:val="005A6A11"/>
    <w:rsid w:val="005A7987"/>
    <w:rsid w:val="005B0851"/>
    <w:rsid w:val="005B0B58"/>
    <w:rsid w:val="005B1BB4"/>
    <w:rsid w:val="005B2675"/>
    <w:rsid w:val="005B2F3E"/>
    <w:rsid w:val="005B2FBB"/>
    <w:rsid w:val="005B30A5"/>
    <w:rsid w:val="005B348A"/>
    <w:rsid w:val="005B4AB8"/>
    <w:rsid w:val="005B4E53"/>
    <w:rsid w:val="005B5857"/>
    <w:rsid w:val="005B60F3"/>
    <w:rsid w:val="005C074B"/>
    <w:rsid w:val="005C1158"/>
    <w:rsid w:val="005C13A7"/>
    <w:rsid w:val="005C177B"/>
    <w:rsid w:val="005C19C4"/>
    <w:rsid w:val="005C1B83"/>
    <w:rsid w:val="005C25FF"/>
    <w:rsid w:val="005C298D"/>
    <w:rsid w:val="005C2C1D"/>
    <w:rsid w:val="005C2D55"/>
    <w:rsid w:val="005C346B"/>
    <w:rsid w:val="005C5ABC"/>
    <w:rsid w:val="005C60D3"/>
    <w:rsid w:val="005C6BC7"/>
    <w:rsid w:val="005C7A42"/>
    <w:rsid w:val="005C7E0E"/>
    <w:rsid w:val="005D044D"/>
    <w:rsid w:val="005D07C5"/>
    <w:rsid w:val="005D0ABD"/>
    <w:rsid w:val="005D18AD"/>
    <w:rsid w:val="005D26B4"/>
    <w:rsid w:val="005D2F46"/>
    <w:rsid w:val="005D78E2"/>
    <w:rsid w:val="005D7FE0"/>
    <w:rsid w:val="005E03C6"/>
    <w:rsid w:val="005E1995"/>
    <w:rsid w:val="005E50BC"/>
    <w:rsid w:val="005E50EA"/>
    <w:rsid w:val="005E5698"/>
    <w:rsid w:val="005E6CBC"/>
    <w:rsid w:val="005E72FF"/>
    <w:rsid w:val="005E73C0"/>
    <w:rsid w:val="005E7897"/>
    <w:rsid w:val="005E7B8C"/>
    <w:rsid w:val="005E7CD8"/>
    <w:rsid w:val="005E7F1A"/>
    <w:rsid w:val="005F07ED"/>
    <w:rsid w:val="005F0C4E"/>
    <w:rsid w:val="005F125C"/>
    <w:rsid w:val="005F1617"/>
    <w:rsid w:val="005F2165"/>
    <w:rsid w:val="005F2706"/>
    <w:rsid w:val="005F4052"/>
    <w:rsid w:val="005F4E29"/>
    <w:rsid w:val="005F6A8F"/>
    <w:rsid w:val="005F6BB7"/>
    <w:rsid w:val="005F6C99"/>
    <w:rsid w:val="005F6EF5"/>
    <w:rsid w:val="005F7588"/>
    <w:rsid w:val="0060110F"/>
    <w:rsid w:val="006017EB"/>
    <w:rsid w:val="006028D3"/>
    <w:rsid w:val="00602EC7"/>
    <w:rsid w:val="00603456"/>
    <w:rsid w:val="00603DB9"/>
    <w:rsid w:val="00603FF0"/>
    <w:rsid w:val="0060458C"/>
    <w:rsid w:val="00604A65"/>
    <w:rsid w:val="00605BD6"/>
    <w:rsid w:val="0060603E"/>
    <w:rsid w:val="00606191"/>
    <w:rsid w:val="00606706"/>
    <w:rsid w:val="00606C32"/>
    <w:rsid w:val="00606C34"/>
    <w:rsid w:val="00606FBA"/>
    <w:rsid w:val="00607669"/>
    <w:rsid w:val="006076F4"/>
    <w:rsid w:val="00607AFD"/>
    <w:rsid w:val="00610C48"/>
    <w:rsid w:val="00611B12"/>
    <w:rsid w:val="00612F97"/>
    <w:rsid w:val="00613404"/>
    <w:rsid w:val="0061345D"/>
    <w:rsid w:val="00614CC2"/>
    <w:rsid w:val="00614F64"/>
    <w:rsid w:val="006151C7"/>
    <w:rsid w:val="0061549B"/>
    <w:rsid w:val="00615D31"/>
    <w:rsid w:val="00616802"/>
    <w:rsid w:val="00616E73"/>
    <w:rsid w:val="006170FF"/>
    <w:rsid w:val="00617310"/>
    <w:rsid w:val="00617E12"/>
    <w:rsid w:val="00620C25"/>
    <w:rsid w:val="00621477"/>
    <w:rsid w:val="006214F8"/>
    <w:rsid w:val="00621ADA"/>
    <w:rsid w:val="0062270C"/>
    <w:rsid w:val="006239CB"/>
    <w:rsid w:val="00623D52"/>
    <w:rsid w:val="00623F7B"/>
    <w:rsid w:val="00624BD4"/>
    <w:rsid w:val="006256BC"/>
    <w:rsid w:val="0062587C"/>
    <w:rsid w:val="00625AA9"/>
    <w:rsid w:val="006275D0"/>
    <w:rsid w:val="00630A5A"/>
    <w:rsid w:val="0063158F"/>
    <w:rsid w:val="00631C0C"/>
    <w:rsid w:val="00631D6B"/>
    <w:rsid w:val="00632183"/>
    <w:rsid w:val="0063236A"/>
    <w:rsid w:val="00632BBB"/>
    <w:rsid w:val="006330A1"/>
    <w:rsid w:val="00633DC4"/>
    <w:rsid w:val="0063479F"/>
    <w:rsid w:val="00634CB0"/>
    <w:rsid w:val="006353F0"/>
    <w:rsid w:val="006354D9"/>
    <w:rsid w:val="006357B5"/>
    <w:rsid w:val="00635A0E"/>
    <w:rsid w:val="006361A2"/>
    <w:rsid w:val="00636414"/>
    <w:rsid w:val="006364A1"/>
    <w:rsid w:val="00636538"/>
    <w:rsid w:val="0063678E"/>
    <w:rsid w:val="00636CFD"/>
    <w:rsid w:val="00637BFD"/>
    <w:rsid w:val="00637C5C"/>
    <w:rsid w:val="00641AE3"/>
    <w:rsid w:val="00641BDE"/>
    <w:rsid w:val="00641C4E"/>
    <w:rsid w:val="00641FB3"/>
    <w:rsid w:val="0064434C"/>
    <w:rsid w:val="0064480F"/>
    <w:rsid w:val="006448C2"/>
    <w:rsid w:val="00645970"/>
    <w:rsid w:val="006471CC"/>
    <w:rsid w:val="006472FE"/>
    <w:rsid w:val="00647A29"/>
    <w:rsid w:val="0065079F"/>
    <w:rsid w:val="00651CC3"/>
    <w:rsid w:val="006524D6"/>
    <w:rsid w:val="00652A28"/>
    <w:rsid w:val="006531FE"/>
    <w:rsid w:val="0065379D"/>
    <w:rsid w:val="0065379F"/>
    <w:rsid w:val="00654617"/>
    <w:rsid w:val="00654BE8"/>
    <w:rsid w:val="00655F32"/>
    <w:rsid w:val="00656188"/>
    <w:rsid w:val="00656305"/>
    <w:rsid w:val="00657110"/>
    <w:rsid w:val="0065715A"/>
    <w:rsid w:val="00657B21"/>
    <w:rsid w:val="0066047F"/>
    <w:rsid w:val="006604AC"/>
    <w:rsid w:val="0066079A"/>
    <w:rsid w:val="006610F1"/>
    <w:rsid w:val="0066153D"/>
    <w:rsid w:val="00661C6B"/>
    <w:rsid w:val="00661D23"/>
    <w:rsid w:val="00662D3E"/>
    <w:rsid w:val="006630D5"/>
    <w:rsid w:val="00663495"/>
    <w:rsid w:val="0066402F"/>
    <w:rsid w:val="0066432D"/>
    <w:rsid w:val="00664AE2"/>
    <w:rsid w:val="00664BB4"/>
    <w:rsid w:val="00665A16"/>
    <w:rsid w:val="00666DBE"/>
    <w:rsid w:val="00667BE3"/>
    <w:rsid w:val="00670372"/>
    <w:rsid w:val="00670923"/>
    <w:rsid w:val="00671004"/>
    <w:rsid w:val="00671139"/>
    <w:rsid w:val="00672646"/>
    <w:rsid w:val="00672A65"/>
    <w:rsid w:val="0067391B"/>
    <w:rsid w:val="00673AF1"/>
    <w:rsid w:val="00673DCA"/>
    <w:rsid w:val="006749D2"/>
    <w:rsid w:val="00674E42"/>
    <w:rsid w:val="006756D0"/>
    <w:rsid w:val="006757A6"/>
    <w:rsid w:val="006761B4"/>
    <w:rsid w:val="006761B6"/>
    <w:rsid w:val="00676453"/>
    <w:rsid w:val="00676563"/>
    <w:rsid w:val="00677F6A"/>
    <w:rsid w:val="006813F8"/>
    <w:rsid w:val="00681CD2"/>
    <w:rsid w:val="00681D78"/>
    <w:rsid w:val="00682112"/>
    <w:rsid w:val="00682BA6"/>
    <w:rsid w:val="006848B5"/>
    <w:rsid w:val="006851A1"/>
    <w:rsid w:val="006857ED"/>
    <w:rsid w:val="00685B36"/>
    <w:rsid w:val="00685E5B"/>
    <w:rsid w:val="00686957"/>
    <w:rsid w:val="006872BA"/>
    <w:rsid w:val="00687E28"/>
    <w:rsid w:val="0069045C"/>
    <w:rsid w:val="00690795"/>
    <w:rsid w:val="00691648"/>
    <w:rsid w:val="006917D7"/>
    <w:rsid w:val="0069228B"/>
    <w:rsid w:val="00694091"/>
    <w:rsid w:val="0069434C"/>
    <w:rsid w:val="00694F44"/>
    <w:rsid w:val="006955D5"/>
    <w:rsid w:val="0069633C"/>
    <w:rsid w:val="00696B1A"/>
    <w:rsid w:val="00696EF9"/>
    <w:rsid w:val="00696F51"/>
    <w:rsid w:val="006979A5"/>
    <w:rsid w:val="00697FE6"/>
    <w:rsid w:val="006A016F"/>
    <w:rsid w:val="006A0B3E"/>
    <w:rsid w:val="006A0DF7"/>
    <w:rsid w:val="006A11C1"/>
    <w:rsid w:val="006A3032"/>
    <w:rsid w:val="006A324C"/>
    <w:rsid w:val="006A4235"/>
    <w:rsid w:val="006A4321"/>
    <w:rsid w:val="006A438D"/>
    <w:rsid w:val="006A43D9"/>
    <w:rsid w:val="006A5907"/>
    <w:rsid w:val="006A6295"/>
    <w:rsid w:val="006A6AC3"/>
    <w:rsid w:val="006A6B99"/>
    <w:rsid w:val="006A7AD4"/>
    <w:rsid w:val="006A7E5F"/>
    <w:rsid w:val="006B05F8"/>
    <w:rsid w:val="006B0C59"/>
    <w:rsid w:val="006B0D75"/>
    <w:rsid w:val="006B1F4B"/>
    <w:rsid w:val="006B261B"/>
    <w:rsid w:val="006B2C90"/>
    <w:rsid w:val="006B35E6"/>
    <w:rsid w:val="006B3D26"/>
    <w:rsid w:val="006B4376"/>
    <w:rsid w:val="006B454F"/>
    <w:rsid w:val="006B465A"/>
    <w:rsid w:val="006B4BC4"/>
    <w:rsid w:val="006B4F9B"/>
    <w:rsid w:val="006B5A53"/>
    <w:rsid w:val="006B5B39"/>
    <w:rsid w:val="006B614D"/>
    <w:rsid w:val="006B6808"/>
    <w:rsid w:val="006B6DD0"/>
    <w:rsid w:val="006B710F"/>
    <w:rsid w:val="006B7256"/>
    <w:rsid w:val="006C0141"/>
    <w:rsid w:val="006C0399"/>
    <w:rsid w:val="006C0426"/>
    <w:rsid w:val="006C0B0D"/>
    <w:rsid w:val="006C29B2"/>
    <w:rsid w:val="006C2A8E"/>
    <w:rsid w:val="006C3255"/>
    <w:rsid w:val="006C38EB"/>
    <w:rsid w:val="006C38F5"/>
    <w:rsid w:val="006C3F26"/>
    <w:rsid w:val="006C43EA"/>
    <w:rsid w:val="006C4DDF"/>
    <w:rsid w:val="006C6028"/>
    <w:rsid w:val="006C7973"/>
    <w:rsid w:val="006C7BDF"/>
    <w:rsid w:val="006C7FF5"/>
    <w:rsid w:val="006D035B"/>
    <w:rsid w:val="006D0D17"/>
    <w:rsid w:val="006D241F"/>
    <w:rsid w:val="006D2BDF"/>
    <w:rsid w:val="006D3C7D"/>
    <w:rsid w:val="006D4659"/>
    <w:rsid w:val="006D5D5F"/>
    <w:rsid w:val="006D68FB"/>
    <w:rsid w:val="006D794B"/>
    <w:rsid w:val="006D7C69"/>
    <w:rsid w:val="006E055A"/>
    <w:rsid w:val="006E173B"/>
    <w:rsid w:val="006E19B4"/>
    <w:rsid w:val="006E1AE8"/>
    <w:rsid w:val="006E25EA"/>
    <w:rsid w:val="006E2868"/>
    <w:rsid w:val="006E2A3C"/>
    <w:rsid w:val="006E4122"/>
    <w:rsid w:val="006E6168"/>
    <w:rsid w:val="006E6577"/>
    <w:rsid w:val="006E7476"/>
    <w:rsid w:val="006E79B2"/>
    <w:rsid w:val="006E7E70"/>
    <w:rsid w:val="006F02C9"/>
    <w:rsid w:val="006F20DC"/>
    <w:rsid w:val="006F2B94"/>
    <w:rsid w:val="006F306C"/>
    <w:rsid w:val="006F4E5C"/>
    <w:rsid w:val="006F5BDA"/>
    <w:rsid w:val="006F5BFD"/>
    <w:rsid w:val="006F63A5"/>
    <w:rsid w:val="006F7C53"/>
    <w:rsid w:val="00700836"/>
    <w:rsid w:val="0070142B"/>
    <w:rsid w:val="00701545"/>
    <w:rsid w:val="007020E5"/>
    <w:rsid w:val="00702154"/>
    <w:rsid w:val="007025C3"/>
    <w:rsid w:val="0070276E"/>
    <w:rsid w:val="007029C4"/>
    <w:rsid w:val="00702E55"/>
    <w:rsid w:val="00702F8F"/>
    <w:rsid w:val="00703AD9"/>
    <w:rsid w:val="00704BED"/>
    <w:rsid w:val="007059F0"/>
    <w:rsid w:val="007063C5"/>
    <w:rsid w:val="007074C5"/>
    <w:rsid w:val="007079FC"/>
    <w:rsid w:val="00707D20"/>
    <w:rsid w:val="00707F30"/>
    <w:rsid w:val="00710360"/>
    <w:rsid w:val="0071075A"/>
    <w:rsid w:val="007107A1"/>
    <w:rsid w:val="00710806"/>
    <w:rsid w:val="00711419"/>
    <w:rsid w:val="00711654"/>
    <w:rsid w:val="00711A36"/>
    <w:rsid w:val="00711F1D"/>
    <w:rsid w:val="00712511"/>
    <w:rsid w:val="007125B6"/>
    <w:rsid w:val="007125D3"/>
    <w:rsid w:val="0071283A"/>
    <w:rsid w:val="00712FB7"/>
    <w:rsid w:val="007131A9"/>
    <w:rsid w:val="00714C26"/>
    <w:rsid w:val="007151CE"/>
    <w:rsid w:val="0071529C"/>
    <w:rsid w:val="00715ADF"/>
    <w:rsid w:val="0071648D"/>
    <w:rsid w:val="007166C1"/>
    <w:rsid w:val="0071681C"/>
    <w:rsid w:val="00716AFF"/>
    <w:rsid w:val="00716D7A"/>
    <w:rsid w:val="007170DA"/>
    <w:rsid w:val="00717238"/>
    <w:rsid w:val="007172AD"/>
    <w:rsid w:val="00717546"/>
    <w:rsid w:val="007204AF"/>
    <w:rsid w:val="00720801"/>
    <w:rsid w:val="00722B1B"/>
    <w:rsid w:val="00723271"/>
    <w:rsid w:val="00723A0F"/>
    <w:rsid w:val="0072416F"/>
    <w:rsid w:val="007255D0"/>
    <w:rsid w:val="00727C94"/>
    <w:rsid w:val="00730F2C"/>
    <w:rsid w:val="00731B0A"/>
    <w:rsid w:val="00731EAE"/>
    <w:rsid w:val="00732C51"/>
    <w:rsid w:val="00733073"/>
    <w:rsid w:val="00734C40"/>
    <w:rsid w:val="00734F6B"/>
    <w:rsid w:val="00735033"/>
    <w:rsid w:val="00735328"/>
    <w:rsid w:val="007360CD"/>
    <w:rsid w:val="0073685B"/>
    <w:rsid w:val="00736C69"/>
    <w:rsid w:val="00736ED4"/>
    <w:rsid w:val="007406C9"/>
    <w:rsid w:val="007421A4"/>
    <w:rsid w:val="007424E9"/>
    <w:rsid w:val="007442EE"/>
    <w:rsid w:val="007449BF"/>
    <w:rsid w:val="00744AE4"/>
    <w:rsid w:val="007455E2"/>
    <w:rsid w:val="00745C6B"/>
    <w:rsid w:val="00745DD3"/>
    <w:rsid w:val="007463FE"/>
    <w:rsid w:val="00746BC0"/>
    <w:rsid w:val="0074765C"/>
    <w:rsid w:val="00747F52"/>
    <w:rsid w:val="00750DE6"/>
    <w:rsid w:val="007510B4"/>
    <w:rsid w:val="00751FFE"/>
    <w:rsid w:val="00752142"/>
    <w:rsid w:val="007523F9"/>
    <w:rsid w:val="0075357E"/>
    <w:rsid w:val="00753B29"/>
    <w:rsid w:val="00753BED"/>
    <w:rsid w:val="007546AD"/>
    <w:rsid w:val="00755630"/>
    <w:rsid w:val="00756CC4"/>
    <w:rsid w:val="00757235"/>
    <w:rsid w:val="007573E8"/>
    <w:rsid w:val="007600B1"/>
    <w:rsid w:val="0076050C"/>
    <w:rsid w:val="00760C4E"/>
    <w:rsid w:val="00760F9E"/>
    <w:rsid w:val="007616E6"/>
    <w:rsid w:val="00761A15"/>
    <w:rsid w:val="007621A4"/>
    <w:rsid w:val="0076234A"/>
    <w:rsid w:val="00762670"/>
    <w:rsid w:val="007627BE"/>
    <w:rsid w:val="00763268"/>
    <w:rsid w:val="00763582"/>
    <w:rsid w:val="00763710"/>
    <w:rsid w:val="00763A08"/>
    <w:rsid w:val="00764178"/>
    <w:rsid w:val="00764F03"/>
    <w:rsid w:val="0076555A"/>
    <w:rsid w:val="00765B1A"/>
    <w:rsid w:val="00765DC1"/>
    <w:rsid w:val="007675AF"/>
    <w:rsid w:val="00767984"/>
    <w:rsid w:val="00770391"/>
    <w:rsid w:val="007715B2"/>
    <w:rsid w:val="00771F90"/>
    <w:rsid w:val="00772883"/>
    <w:rsid w:val="007730C4"/>
    <w:rsid w:val="00773B9B"/>
    <w:rsid w:val="007748C1"/>
    <w:rsid w:val="00774F51"/>
    <w:rsid w:val="0077649D"/>
    <w:rsid w:val="00776A29"/>
    <w:rsid w:val="00777335"/>
    <w:rsid w:val="00777385"/>
    <w:rsid w:val="0077789A"/>
    <w:rsid w:val="00780F20"/>
    <w:rsid w:val="007813EC"/>
    <w:rsid w:val="0078165A"/>
    <w:rsid w:val="007821EB"/>
    <w:rsid w:val="007843F2"/>
    <w:rsid w:val="007846FA"/>
    <w:rsid w:val="00785A9F"/>
    <w:rsid w:val="00786CB1"/>
    <w:rsid w:val="007870C7"/>
    <w:rsid w:val="0078742B"/>
    <w:rsid w:val="00787AFC"/>
    <w:rsid w:val="00787B95"/>
    <w:rsid w:val="00787D62"/>
    <w:rsid w:val="00790133"/>
    <w:rsid w:val="007903AB"/>
    <w:rsid w:val="00790DCA"/>
    <w:rsid w:val="00790DD2"/>
    <w:rsid w:val="007925DF"/>
    <w:rsid w:val="00792B95"/>
    <w:rsid w:val="00792C90"/>
    <w:rsid w:val="00793D60"/>
    <w:rsid w:val="00795134"/>
    <w:rsid w:val="00795B88"/>
    <w:rsid w:val="00795F99"/>
    <w:rsid w:val="007962ED"/>
    <w:rsid w:val="007974A6"/>
    <w:rsid w:val="007977D8"/>
    <w:rsid w:val="007A08AA"/>
    <w:rsid w:val="007A0A12"/>
    <w:rsid w:val="007A132D"/>
    <w:rsid w:val="007A1345"/>
    <w:rsid w:val="007A1C4A"/>
    <w:rsid w:val="007A1F19"/>
    <w:rsid w:val="007A2DDB"/>
    <w:rsid w:val="007A3CFB"/>
    <w:rsid w:val="007A40AC"/>
    <w:rsid w:val="007A4624"/>
    <w:rsid w:val="007A4E19"/>
    <w:rsid w:val="007A70BA"/>
    <w:rsid w:val="007A70BD"/>
    <w:rsid w:val="007B037A"/>
    <w:rsid w:val="007B0388"/>
    <w:rsid w:val="007B0D68"/>
    <w:rsid w:val="007B12E3"/>
    <w:rsid w:val="007B251D"/>
    <w:rsid w:val="007B2ADE"/>
    <w:rsid w:val="007B3533"/>
    <w:rsid w:val="007B48C7"/>
    <w:rsid w:val="007B4F58"/>
    <w:rsid w:val="007B528D"/>
    <w:rsid w:val="007B55B6"/>
    <w:rsid w:val="007B63CA"/>
    <w:rsid w:val="007B6DD0"/>
    <w:rsid w:val="007B7343"/>
    <w:rsid w:val="007B77D1"/>
    <w:rsid w:val="007B7CF7"/>
    <w:rsid w:val="007C03AA"/>
    <w:rsid w:val="007C03AB"/>
    <w:rsid w:val="007C07C7"/>
    <w:rsid w:val="007C0C09"/>
    <w:rsid w:val="007C1CD9"/>
    <w:rsid w:val="007C32EF"/>
    <w:rsid w:val="007C361D"/>
    <w:rsid w:val="007C4B84"/>
    <w:rsid w:val="007C5045"/>
    <w:rsid w:val="007C54C6"/>
    <w:rsid w:val="007C612F"/>
    <w:rsid w:val="007C65AA"/>
    <w:rsid w:val="007C6A25"/>
    <w:rsid w:val="007C70FF"/>
    <w:rsid w:val="007C7C25"/>
    <w:rsid w:val="007D004F"/>
    <w:rsid w:val="007D035F"/>
    <w:rsid w:val="007D06B2"/>
    <w:rsid w:val="007D0B38"/>
    <w:rsid w:val="007D2CF5"/>
    <w:rsid w:val="007D3C61"/>
    <w:rsid w:val="007D429E"/>
    <w:rsid w:val="007D42A2"/>
    <w:rsid w:val="007D4A35"/>
    <w:rsid w:val="007D5440"/>
    <w:rsid w:val="007D649B"/>
    <w:rsid w:val="007D6700"/>
    <w:rsid w:val="007D69EB"/>
    <w:rsid w:val="007D6D3F"/>
    <w:rsid w:val="007E0AD6"/>
    <w:rsid w:val="007E128F"/>
    <w:rsid w:val="007E52E4"/>
    <w:rsid w:val="007E5985"/>
    <w:rsid w:val="007F0BC2"/>
    <w:rsid w:val="007F1017"/>
    <w:rsid w:val="007F11AD"/>
    <w:rsid w:val="007F18C3"/>
    <w:rsid w:val="007F1BA2"/>
    <w:rsid w:val="007F1E8A"/>
    <w:rsid w:val="007F2249"/>
    <w:rsid w:val="007F3115"/>
    <w:rsid w:val="007F33DD"/>
    <w:rsid w:val="007F3AB5"/>
    <w:rsid w:val="007F4A3F"/>
    <w:rsid w:val="007F4A61"/>
    <w:rsid w:val="007F5255"/>
    <w:rsid w:val="007F56CC"/>
    <w:rsid w:val="007F5794"/>
    <w:rsid w:val="007F61C2"/>
    <w:rsid w:val="00801589"/>
    <w:rsid w:val="00801659"/>
    <w:rsid w:val="0080220F"/>
    <w:rsid w:val="00802402"/>
    <w:rsid w:val="0080251C"/>
    <w:rsid w:val="008028C6"/>
    <w:rsid w:val="00805142"/>
    <w:rsid w:val="0080519F"/>
    <w:rsid w:val="00805623"/>
    <w:rsid w:val="0080566B"/>
    <w:rsid w:val="00805FCE"/>
    <w:rsid w:val="008071BA"/>
    <w:rsid w:val="00807A8B"/>
    <w:rsid w:val="00810695"/>
    <w:rsid w:val="00811383"/>
    <w:rsid w:val="00811B4C"/>
    <w:rsid w:val="00812149"/>
    <w:rsid w:val="00812CAC"/>
    <w:rsid w:val="00813425"/>
    <w:rsid w:val="00814D49"/>
    <w:rsid w:val="00816361"/>
    <w:rsid w:val="008166EF"/>
    <w:rsid w:val="008169EF"/>
    <w:rsid w:val="00816FEF"/>
    <w:rsid w:val="00820350"/>
    <w:rsid w:val="00820533"/>
    <w:rsid w:val="00820A8C"/>
    <w:rsid w:val="008215FB"/>
    <w:rsid w:val="008220CC"/>
    <w:rsid w:val="00822784"/>
    <w:rsid w:val="0082301E"/>
    <w:rsid w:val="00823174"/>
    <w:rsid w:val="008234C3"/>
    <w:rsid w:val="00823E2D"/>
    <w:rsid w:val="00824814"/>
    <w:rsid w:val="00824A70"/>
    <w:rsid w:val="0082508F"/>
    <w:rsid w:val="00825751"/>
    <w:rsid w:val="008264EB"/>
    <w:rsid w:val="008268CE"/>
    <w:rsid w:val="00827C23"/>
    <w:rsid w:val="00830057"/>
    <w:rsid w:val="00830C73"/>
    <w:rsid w:val="00830D44"/>
    <w:rsid w:val="00830E33"/>
    <w:rsid w:val="00831005"/>
    <w:rsid w:val="00831AC0"/>
    <w:rsid w:val="00831E23"/>
    <w:rsid w:val="00831F54"/>
    <w:rsid w:val="00832505"/>
    <w:rsid w:val="00833703"/>
    <w:rsid w:val="008338A6"/>
    <w:rsid w:val="00833B05"/>
    <w:rsid w:val="0083450F"/>
    <w:rsid w:val="008360EF"/>
    <w:rsid w:val="008362B4"/>
    <w:rsid w:val="00837097"/>
    <w:rsid w:val="008407CF"/>
    <w:rsid w:val="00840CA2"/>
    <w:rsid w:val="0084223B"/>
    <w:rsid w:val="008433D3"/>
    <w:rsid w:val="0084374F"/>
    <w:rsid w:val="00843C0D"/>
    <w:rsid w:val="00843EB5"/>
    <w:rsid w:val="008444F1"/>
    <w:rsid w:val="0084476B"/>
    <w:rsid w:val="00844A22"/>
    <w:rsid w:val="00844B28"/>
    <w:rsid w:val="00845530"/>
    <w:rsid w:val="008459F8"/>
    <w:rsid w:val="00845E02"/>
    <w:rsid w:val="008473CD"/>
    <w:rsid w:val="00847703"/>
    <w:rsid w:val="00847DF5"/>
    <w:rsid w:val="008521AF"/>
    <w:rsid w:val="00852880"/>
    <w:rsid w:val="0085309D"/>
    <w:rsid w:val="008535E6"/>
    <w:rsid w:val="008536C8"/>
    <w:rsid w:val="008538BD"/>
    <w:rsid w:val="00855325"/>
    <w:rsid w:val="00855460"/>
    <w:rsid w:val="00855DAD"/>
    <w:rsid w:val="00856897"/>
    <w:rsid w:val="00856E9A"/>
    <w:rsid w:val="0085797B"/>
    <w:rsid w:val="00860715"/>
    <w:rsid w:val="0086075D"/>
    <w:rsid w:val="00861CD2"/>
    <w:rsid w:val="00862502"/>
    <w:rsid w:val="00862A20"/>
    <w:rsid w:val="00862C35"/>
    <w:rsid w:val="00862CC1"/>
    <w:rsid w:val="008632CB"/>
    <w:rsid w:val="00863685"/>
    <w:rsid w:val="00863C7F"/>
    <w:rsid w:val="008642A7"/>
    <w:rsid w:val="008646A7"/>
    <w:rsid w:val="00864C5F"/>
    <w:rsid w:val="00864F7E"/>
    <w:rsid w:val="008660D4"/>
    <w:rsid w:val="008667FF"/>
    <w:rsid w:val="00867B93"/>
    <w:rsid w:val="00870B0C"/>
    <w:rsid w:val="00870FD7"/>
    <w:rsid w:val="0087112C"/>
    <w:rsid w:val="008717CE"/>
    <w:rsid w:val="00871FA9"/>
    <w:rsid w:val="008728E9"/>
    <w:rsid w:val="00873745"/>
    <w:rsid w:val="00873CA4"/>
    <w:rsid w:val="00874A5E"/>
    <w:rsid w:val="00875D1B"/>
    <w:rsid w:val="008768A0"/>
    <w:rsid w:val="0087716F"/>
    <w:rsid w:val="0088059F"/>
    <w:rsid w:val="008805E1"/>
    <w:rsid w:val="00880F91"/>
    <w:rsid w:val="0088121B"/>
    <w:rsid w:val="00881A76"/>
    <w:rsid w:val="0088252F"/>
    <w:rsid w:val="00882874"/>
    <w:rsid w:val="00882E3C"/>
    <w:rsid w:val="0088308A"/>
    <w:rsid w:val="0088317B"/>
    <w:rsid w:val="00883615"/>
    <w:rsid w:val="00883787"/>
    <w:rsid w:val="008842FF"/>
    <w:rsid w:val="008855E4"/>
    <w:rsid w:val="00885A9D"/>
    <w:rsid w:val="00886BFD"/>
    <w:rsid w:val="00886CD2"/>
    <w:rsid w:val="008871BC"/>
    <w:rsid w:val="00887202"/>
    <w:rsid w:val="0088747D"/>
    <w:rsid w:val="00887F2B"/>
    <w:rsid w:val="008909F3"/>
    <w:rsid w:val="00890B44"/>
    <w:rsid w:val="00891439"/>
    <w:rsid w:val="00891E6F"/>
    <w:rsid w:val="00891F5C"/>
    <w:rsid w:val="008920FC"/>
    <w:rsid w:val="0089223F"/>
    <w:rsid w:val="0089275D"/>
    <w:rsid w:val="00892A36"/>
    <w:rsid w:val="00893239"/>
    <w:rsid w:val="00893553"/>
    <w:rsid w:val="00893A2B"/>
    <w:rsid w:val="0089420E"/>
    <w:rsid w:val="00894489"/>
    <w:rsid w:val="00894CD6"/>
    <w:rsid w:val="008963A5"/>
    <w:rsid w:val="0089640E"/>
    <w:rsid w:val="00896AEC"/>
    <w:rsid w:val="00896D5D"/>
    <w:rsid w:val="008A2B3F"/>
    <w:rsid w:val="008A3158"/>
    <w:rsid w:val="008A3363"/>
    <w:rsid w:val="008A3371"/>
    <w:rsid w:val="008A3468"/>
    <w:rsid w:val="008A35A9"/>
    <w:rsid w:val="008A3C3E"/>
    <w:rsid w:val="008A5332"/>
    <w:rsid w:val="008A5649"/>
    <w:rsid w:val="008A6EE7"/>
    <w:rsid w:val="008A713C"/>
    <w:rsid w:val="008A7522"/>
    <w:rsid w:val="008A79DE"/>
    <w:rsid w:val="008A7F87"/>
    <w:rsid w:val="008B12F8"/>
    <w:rsid w:val="008B1757"/>
    <w:rsid w:val="008B1C33"/>
    <w:rsid w:val="008B299C"/>
    <w:rsid w:val="008B2BF3"/>
    <w:rsid w:val="008B2C00"/>
    <w:rsid w:val="008B3B89"/>
    <w:rsid w:val="008B3B97"/>
    <w:rsid w:val="008B3ED2"/>
    <w:rsid w:val="008B3F1C"/>
    <w:rsid w:val="008B4479"/>
    <w:rsid w:val="008B4516"/>
    <w:rsid w:val="008B49BD"/>
    <w:rsid w:val="008B4A9D"/>
    <w:rsid w:val="008B4AC7"/>
    <w:rsid w:val="008B4B6F"/>
    <w:rsid w:val="008B524F"/>
    <w:rsid w:val="008B5399"/>
    <w:rsid w:val="008B576D"/>
    <w:rsid w:val="008B7658"/>
    <w:rsid w:val="008B7992"/>
    <w:rsid w:val="008B7D7E"/>
    <w:rsid w:val="008C0658"/>
    <w:rsid w:val="008C0A92"/>
    <w:rsid w:val="008C0AEE"/>
    <w:rsid w:val="008C0B9B"/>
    <w:rsid w:val="008C0C14"/>
    <w:rsid w:val="008C1936"/>
    <w:rsid w:val="008C1AE6"/>
    <w:rsid w:val="008C4F0B"/>
    <w:rsid w:val="008C5610"/>
    <w:rsid w:val="008C5739"/>
    <w:rsid w:val="008C5EAB"/>
    <w:rsid w:val="008C7282"/>
    <w:rsid w:val="008C72E6"/>
    <w:rsid w:val="008C7342"/>
    <w:rsid w:val="008C7ECB"/>
    <w:rsid w:val="008D3B86"/>
    <w:rsid w:val="008D43FD"/>
    <w:rsid w:val="008D4755"/>
    <w:rsid w:val="008D4C3D"/>
    <w:rsid w:val="008D5CF1"/>
    <w:rsid w:val="008D673D"/>
    <w:rsid w:val="008D6815"/>
    <w:rsid w:val="008D6974"/>
    <w:rsid w:val="008D7026"/>
    <w:rsid w:val="008D743C"/>
    <w:rsid w:val="008E0D3C"/>
    <w:rsid w:val="008E0EAB"/>
    <w:rsid w:val="008E0EBB"/>
    <w:rsid w:val="008E1B9E"/>
    <w:rsid w:val="008E1D89"/>
    <w:rsid w:val="008E2659"/>
    <w:rsid w:val="008E2958"/>
    <w:rsid w:val="008E3270"/>
    <w:rsid w:val="008E42D4"/>
    <w:rsid w:val="008E5173"/>
    <w:rsid w:val="008E52B6"/>
    <w:rsid w:val="008E55AB"/>
    <w:rsid w:val="008E5A03"/>
    <w:rsid w:val="008F03A0"/>
    <w:rsid w:val="008F05A7"/>
    <w:rsid w:val="008F120A"/>
    <w:rsid w:val="008F2463"/>
    <w:rsid w:val="008F27E0"/>
    <w:rsid w:val="008F2B6C"/>
    <w:rsid w:val="008F35DD"/>
    <w:rsid w:val="008F484B"/>
    <w:rsid w:val="008F48EB"/>
    <w:rsid w:val="008F4F0B"/>
    <w:rsid w:val="008F5495"/>
    <w:rsid w:val="008F5EF4"/>
    <w:rsid w:val="008F6027"/>
    <w:rsid w:val="008F65F8"/>
    <w:rsid w:val="008F691E"/>
    <w:rsid w:val="008F6D0C"/>
    <w:rsid w:val="008F7564"/>
    <w:rsid w:val="009004AB"/>
    <w:rsid w:val="00901179"/>
    <w:rsid w:val="009013E9"/>
    <w:rsid w:val="00902195"/>
    <w:rsid w:val="00902717"/>
    <w:rsid w:val="0090399B"/>
    <w:rsid w:val="00903A4E"/>
    <w:rsid w:val="009045A5"/>
    <w:rsid w:val="009046C4"/>
    <w:rsid w:val="00905B14"/>
    <w:rsid w:val="0090603C"/>
    <w:rsid w:val="009062A5"/>
    <w:rsid w:val="00907699"/>
    <w:rsid w:val="00907FC7"/>
    <w:rsid w:val="00910244"/>
    <w:rsid w:val="00910A48"/>
    <w:rsid w:val="00910C4C"/>
    <w:rsid w:val="00910ECE"/>
    <w:rsid w:val="00910FA7"/>
    <w:rsid w:val="00911272"/>
    <w:rsid w:val="0091127C"/>
    <w:rsid w:val="00911339"/>
    <w:rsid w:val="00911F67"/>
    <w:rsid w:val="00912341"/>
    <w:rsid w:val="0091267F"/>
    <w:rsid w:val="009135D6"/>
    <w:rsid w:val="00914964"/>
    <w:rsid w:val="00914C77"/>
    <w:rsid w:val="00915905"/>
    <w:rsid w:val="009160CC"/>
    <w:rsid w:val="00917B4D"/>
    <w:rsid w:val="00920C68"/>
    <w:rsid w:val="009218B5"/>
    <w:rsid w:val="00921ACB"/>
    <w:rsid w:val="00921AFB"/>
    <w:rsid w:val="00921EE5"/>
    <w:rsid w:val="00922247"/>
    <w:rsid w:val="0092369B"/>
    <w:rsid w:val="0092369E"/>
    <w:rsid w:val="00924498"/>
    <w:rsid w:val="00924D1C"/>
    <w:rsid w:val="0092625D"/>
    <w:rsid w:val="00926311"/>
    <w:rsid w:val="00926440"/>
    <w:rsid w:val="009272AC"/>
    <w:rsid w:val="00927CCC"/>
    <w:rsid w:val="00930908"/>
    <w:rsid w:val="00933087"/>
    <w:rsid w:val="00934988"/>
    <w:rsid w:val="009350F0"/>
    <w:rsid w:val="00935A52"/>
    <w:rsid w:val="00935C92"/>
    <w:rsid w:val="00937089"/>
    <w:rsid w:val="009400CA"/>
    <w:rsid w:val="009402ED"/>
    <w:rsid w:val="00940C56"/>
    <w:rsid w:val="00941042"/>
    <w:rsid w:val="00943F37"/>
    <w:rsid w:val="00944F8A"/>
    <w:rsid w:val="00945ADD"/>
    <w:rsid w:val="009465F7"/>
    <w:rsid w:val="0094681C"/>
    <w:rsid w:val="009469B2"/>
    <w:rsid w:val="00947309"/>
    <w:rsid w:val="009510A2"/>
    <w:rsid w:val="00953257"/>
    <w:rsid w:val="0095377A"/>
    <w:rsid w:val="009539F1"/>
    <w:rsid w:val="00953B44"/>
    <w:rsid w:val="00953D6D"/>
    <w:rsid w:val="0095474C"/>
    <w:rsid w:val="00955027"/>
    <w:rsid w:val="00955E8B"/>
    <w:rsid w:val="009564DD"/>
    <w:rsid w:val="0095763B"/>
    <w:rsid w:val="009578D7"/>
    <w:rsid w:val="00957D92"/>
    <w:rsid w:val="009603FE"/>
    <w:rsid w:val="00960BA6"/>
    <w:rsid w:val="00960F21"/>
    <w:rsid w:val="00960FBA"/>
    <w:rsid w:val="00962373"/>
    <w:rsid w:val="00962CB9"/>
    <w:rsid w:val="00962E12"/>
    <w:rsid w:val="00963141"/>
    <w:rsid w:val="009636D0"/>
    <w:rsid w:val="00963799"/>
    <w:rsid w:val="00963891"/>
    <w:rsid w:val="00964312"/>
    <w:rsid w:val="00964632"/>
    <w:rsid w:val="009652A3"/>
    <w:rsid w:val="009659C2"/>
    <w:rsid w:val="009659F7"/>
    <w:rsid w:val="00965B8A"/>
    <w:rsid w:val="009702EC"/>
    <w:rsid w:val="0097071F"/>
    <w:rsid w:val="009717AC"/>
    <w:rsid w:val="00972710"/>
    <w:rsid w:val="0097310A"/>
    <w:rsid w:val="00973B2E"/>
    <w:rsid w:val="009751C1"/>
    <w:rsid w:val="0097559D"/>
    <w:rsid w:val="0097560F"/>
    <w:rsid w:val="0097564C"/>
    <w:rsid w:val="009756F5"/>
    <w:rsid w:val="00975721"/>
    <w:rsid w:val="009776FA"/>
    <w:rsid w:val="00980BF4"/>
    <w:rsid w:val="009811F1"/>
    <w:rsid w:val="00981AEA"/>
    <w:rsid w:val="00982235"/>
    <w:rsid w:val="0098262F"/>
    <w:rsid w:val="00983CE3"/>
    <w:rsid w:val="00983E57"/>
    <w:rsid w:val="0098426A"/>
    <w:rsid w:val="009845C3"/>
    <w:rsid w:val="00985287"/>
    <w:rsid w:val="00985998"/>
    <w:rsid w:val="00985DE2"/>
    <w:rsid w:val="00986660"/>
    <w:rsid w:val="0098675D"/>
    <w:rsid w:val="0098779C"/>
    <w:rsid w:val="00987BA4"/>
    <w:rsid w:val="00990182"/>
    <w:rsid w:val="00990439"/>
    <w:rsid w:val="00990581"/>
    <w:rsid w:val="00990816"/>
    <w:rsid w:val="00991094"/>
    <w:rsid w:val="009926E0"/>
    <w:rsid w:val="00993E1B"/>
    <w:rsid w:val="0099451E"/>
    <w:rsid w:val="00994BA0"/>
    <w:rsid w:val="00995C1B"/>
    <w:rsid w:val="00996B1A"/>
    <w:rsid w:val="009A1275"/>
    <w:rsid w:val="009A15BA"/>
    <w:rsid w:val="009A18F6"/>
    <w:rsid w:val="009A1D7F"/>
    <w:rsid w:val="009A2DCC"/>
    <w:rsid w:val="009A38DD"/>
    <w:rsid w:val="009A3A0D"/>
    <w:rsid w:val="009A45A8"/>
    <w:rsid w:val="009A49D1"/>
    <w:rsid w:val="009A4FD9"/>
    <w:rsid w:val="009A5ABC"/>
    <w:rsid w:val="009A6977"/>
    <w:rsid w:val="009A7399"/>
    <w:rsid w:val="009A766E"/>
    <w:rsid w:val="009A7F10"/>
    <w:rsid w:val="009B0213"/>
    <w:rsid w:val="009B0D0D"/>
    <w:rsid w:val="009B147F"/>
    <w:rsid w:val="009B1956"/>
    <w:rsid w:val="009B2243"/>
    <w:rsid w:val="009B2874"/>
    <w:rsid w:val="009B3E26"/>
    <w:rsid w:val="009B4371"/>
    <w:rsid w:val="009B4930"/>
    <w:rsid w:val="009B4B28"/>
    <w:rsid w:val="009B579A"/>
    <w:rsid w:val="009B65BB"/>
    <w:rsid w:val="009B6926"/>
    <w:rsid w:val="009B708E"/>
    <w:rsid w:val="009B7602"/>
    <w:rsid w:val="009B7A91"/>
    <w:rsid w:val="009B7B4E"/>
    <w:rsid w:val="009C104F"/>
    <w:rsid w:val="009C1271"/>
    <w:rsid w:val="009C1589"/>
    <w:rsid w:val="009C24BB"/>
    <w:rsid w:val="009C3706"/>
    <w:rsid w:val="009C3A3A"/>
    <w:rsid w:val="009C426B"/>
    <w:rsid w:val="009C6038"/>
    <w:rsid w:val="009C6CEA"/>
    <w:rsid w:val="009C70DF"/>
    <w:rsid w:val="009C79D2"/>
    <w:rsid w:val="009C7B85"/>
    <w:rsid w:val="009C7C71"/>
    <w:rsid w:val="009D0254"/>
    <w:rsid w:val="009D0335"/>
    <w:rsid w:val="009D18E4"/>
    <w:rsid w:val="009D1A64"/>
    <w:rsid w:val="009D44A8"/>
    <w:rsid w:val="009D45BD"/>
    <w:rsid w:val="009D5B91"/>
    <w:rsid w:val="009D5DB8"/>
    <w:rsid w:val="009D663A"/>
    <w:rsid w:val="009D792E"/>
    <w:rsid w:val="009E0DFE"/>
    <w:rsid w:val="009E1BAA"/>
    <w:rsid w:val="009E31F6"/>
    <w:rsid w:val="009E3263"/>
    <w:rsid w:val="009E4264"/>
    <w:rsid w:val="009E48E1"/>
    <w:rsid w:val="009E4C07"/>
    <w:rsid w:val="009E54A1"/>
    <w:rsid w:val="009E5958"/>
    <w:rsid w:val="009E68B3"/>
    <w:rsid w:val="009E777F"/>
    <w:rsid w:val="009E7C14"/>
    <w:rsid w:val="009E7C7A"/>
    <w:rsid w:val="009F3A79"/>
    <w:rsid w:val="009F3D89"/>
    <w:rsid w:val="009F401E"/>
    <w:rsid w:val="009F4027"/>
    <w:rsid w:val="009F4B13"/>
    <w:rsid w:val="009F5127"/>
    <w:rsid w:val="009F6120"/>
    <w:rsid w:val="00A00D76"/>
    <w:rsid w:val="00A00E94"/>
    <w:rsid w:val="00A01184"/>
    <w:rsid w:val="00A01449"/>
    <w:rsid w:val="00A03168"/>
    <w:rsid w:val="00A037C2"/>
    <w:rsid w:val="00A03D04"/>
    <w:rsid w:val="00A03D43"/>
    <w:rsid w:val="00A04380"/>
    <w:rsid w:val="00A04786"/>
    <w:rsid w:val="00A05472"/>
    <w:rsid w:val="00A05C32"/>
    <w:rsid w:val="00A0653F"/>
    <w:rsid w:val="00A07B5A"/>
    <w:rsid w:val="00A07C62"/>
    <w:rsid w:val="00A100C9"/>
    <w:rsid w:val="00A10AE1"/>
    <w:rsid w:val="00A10C79"/>
    <w:rsid w:val="00A11076"/>
    <w:rsid w:val="00A11A5F"/>
    <w:rsid w:val="00A11CD0"/>
    <w:rsid w:val="00A122B9"/>
    <w:rsid w:val="00A1267A"/>
    <w:rsid w:val="00A133E1"/>
    <w:rsid w:val="00A13651"/>
    <w:rsid w:val="00A13948"/>
    <w:rsid w:val="00A13EE5"/>
    <w:rsid w:val="00A14622"/>
    <w:rsid w:val="00A14840"/>
    <w:rsid w:val="00A1555B"/>
    <w:rsid w:val="00A155C5"/>
    <w:rsid w:val="00A16134"/>
    <w:rsid w:val="00A16AD8"/>
    <w:rsid w:val="00A16E70"/>
    <w:rsid w:val="00A174E5"/>
    <w:rsid w:val="00A17D17"/>
    <w:rsid w:val="00A2021E"/>
    <w:rsid w:val="00A2075B"/>
    <w:rsid w:val="00A21C95"/>
    <w:rsid w:val="00A21CF3"/>
    <w:rsid w:val="00A22830"/>
    <w:rsid w:val="00A24813"/>
    <w:rsid w:val="00A25ED5"/>
    <w:rsid w:val="00A2690E"/>
    <w:rsid w:val="00A276F9"/>
    <w:rsid w:val="00A27752"/>
    <w:rsid w:val="00A27AEC"/>
    <w:rsid w:val="00A30C65"/>
    <w:rsid w:val="00A320DB"/>
    <w:rsid w:val="00A329E3"/>
    <w:rsid w:val="00A34DD4"/>
    <w:rsid w:val="00A35D16"/>
    <w:rsid w:val="00A35EB9"/>
    <w:rsid w:val="00A37099"/>
    <w:rsid w:val="00A3766E"/>
    <w:rsid w:val="00A3776F"/>
    <w:rsid w:val="00A37BCD"/>
    <w:rsid w:val="00A40554"/>
    <w:rsid w:val="00A40E45"/>
    <w:rsid w:val="00A41689"/>
    <w:rsid w:val="00A42592"/>
    <w:rsid w:val="00A42806"/>
    <w:rsid w:val="00A42ACA"/>
    <w:rsid w:val="00A43652"/>
    <w:rsid w:val="00A43C59"/>
    <w:rsid w:val="00A44C5F"/>
    <w:rsid w:val="00A4518A"/>
    <w:rsid w:val="00A46462"/>
    <w:rsid w:val="00A50516"/>
    <w:rsid w:val="00A50ECD"/>
    <w:rsid w:val="00A518F3"/>
    <w:rsid w:val="00A51D0E"/>
    <w:rsid w:val="00A52729"/>
    <w:rsid w:val="00A5346A"/>
    <w:rsid w:val="00A53675"/>
    <w:rsid w:val="00A53CC7"/>
    <w:rsid w:val="00A546CB"/>
    <w:rsid w:val="00A564D7"/>
    <w:rsid w:val="00A56A04"/>
    <w:rsid w:val="00A56B6A"/>
    <w:rsid w:val="00A56F5D"/>
    <w:rsid w:val="00A5738D"/>
    <w:rsid w:val="00A576CC"/>
    <w:rsid w:val="00A578DC"/>
    <w:rsid w:val="00A57F9F"/>
    <w:rsid w:val="00A57FE0"/>
    <w:rsid w:val="00A611A2"/>
    <w:rsid w:val="00A62562"/>
    <w:rsid w:val="00A62AF8"/>
    <w:rsid w:val="00A62E79"/>
    <w:rsid w:val="00A62EED"/>
    <w:rsid w:val="00A63012"/>
    <w:rsid w:val="00A63BC6"/>
    <w:rsid w:val="00A640E2"/>
    <w:rsid w:val="00A64BD5"/>
    <w:rsid w:val="00A64D65"/>
    <w:rsid w:val="00A65F7A"/>
    <w:rsid w:val="00A669B3"/>
    <w:rsid w:val="00A6725B"/>
    <w:rsid w:val="00A67931"/>
    <w:rsid w:val="00A70605"/>
    <w:rsid w:val="00A708B8"/>
    <w:rsid w:val="00A70A71"/>
    <w:rsid w:val="00A70ED7"/>
    <w:rsid w:val="00A73134"/>
    <w:rsid w:val="00A7365A"/>
    <w:rsid w:val="00A73D77"/>
    <w:rsid w:val="00A756E0"/>
    <w:rsid w:val="00A76001"/>
    <w:rsid w:val="00A76425"/>
    <w:rsid w:val="00A76B04"/>
    <w:rsid w:val="00A76B67"/>
    <w:rsid w:val="00A777B2"/>
    <w:rsid w:val="00A77CB6"/>
    <w:rsid w:val="00A80483"/>
    <w:rsid w:val="00A80549"/>
    <w:rsid w:val="00A80779"/>
    <w:rsid w:val="00A80C08"/>
    <w:rsid w:val="00A81DD1"/>
    <w:rsid w:val="00A81EF1"/>
    <w:rsid w:val="00A81F92"/>
    <w:rsid w:val="00A825D4"/>
    <w:rsid w:val="00A826BB"/>
    <w:rsid w:val="00A828F6"/>
    <w:rsid w:val="00A82B73"/>
    <w:rsid w:val="00A836DF"/>
    <w:rsid w:val="00A8598C"/>
    <w:rsid w:val="00A86E8B"/>
    <w:rsid w:val="00A87164"/>
    <w:rsid w:val="00A871A9"/>
    <w:rsid w:val="00A87894"/>
    <w:rsid w:val="00A909D1"/>
    <w:rsid w:val="00A90C58"/>
    <w:rsid w:val="00A92ACA"/>
    <w:rsid w:val="00A93072"/>
    <w:rsid w:val="00A937F9"/>
    <w:rsid w:val="00A938BD"/>
    <w:rsid w:val="00A93953"/>
    <w:rsid w:val="00A9410A"/>
    <w:rsid w:val="00A9446A"/>
    <w:rsid w:val="00A947BE"/>
    <w:rsid w:val="00A9575E"/>
    <w:rsid w:val="00A959D8"/>
    <w:rsid w:val="00A95CE1"/>
    <w:rsid w:val="00A95FFA"/>
    <w:rsid w:val="00AA0CAB"/>
    <w:rsid w:val="00AA113D"/>
    <w:rsid w:val="00AA17C5"/>
    <w:rsid w:val="00AA17D6"/>
    <w:rsid w:val="00AA1AA4"/>
    <w:rsid w:val="00AA2B46"/>
    <w:rsid w:val="00AA3394"/>
    <w:rsid w:val="00AA370E"/>
    <w:rsid w:val="00AA4290"/>
    <w:rsid w:val="00AA5B75"/>
    <w:rsid w:val="00AA65E4"/>
    <w:rsid w:val="00AA6749"/>
    <w:rsid w:val="00AA6BD5"/>
    <w:rsid w:val="00AA6BD8"/>
    <w:rsid w:val="00AA6C7D"/>
    <w:rsid w:val="00AA6E1F"/>
    <w:rsid w:val="00AA7FD6"/>
    <w:rsid w:val="00AB042A"/>
    <w:rsid w:val="00AB0640"/>
    <w:rsid w:val="00AB11AD"/>
    <w:rsid w:val="00AB19EF"/>
    <w:rsid w:val="00AB2495"/>
    <w:rsid w:val="00AB2B91"/>
    <w:rsid w:val="00AB2D34"/>
    <w:rsid w:val="00AB30C5"/>
    <w:rsid w:val="00AB3430"/>
    <w:rsid w:val="00AB37B9"/>
    <w:rsid w:val="00AB40E0"/>
    <w:rsid w:val="00AB41C1"/>
    <w:rsid w:val="00AB4AD1"/>
    <w:rsid w:val="00AB5607"/>
    <w:rsid w:val="00AB5E07"/>
    <w:rsid w:val="00AB7CFA"/>
    <w:rsid w:val="00AC33D6"/>
    <w:rsid w:val="00AC4599"/>
    <w:rsid w:val="00AC47DE"/>
    <w:rsid w:val="00AC484B"/>
    <w:rsid w:val="00AC50A1"/>
    <w:rsid w:val="00AC5B42"/>
    <w:rsid w:val="00AC5B48"/>
    <w:rsid w:val="00AC6D1C"/>
    <w:rsid w:val="00AC777B"/>
    <w:rsid w:val="00AD076A"/>
    <w:rsid w:val="00AD0CAA"/>
    <w:rsid w:val="00AD10D1"/>
    <w:rsid w:val="00AD1450"/>
    <w:rsid w:val="00AD15E8"/>
    <w:rsid w:val="00AD1F31"/>
    <w:rsid w:val="00AD287D"/>
    <w:rsid w:val="00AD2D20"/>
    <w:rsid w:val="00AD356D"/>
    <w:rsid w:val="00AD3D41"/>
    <w:rsid w:val="00AD3EA3"/>
    <w:rsid w:val="00AD45EA"/>
    <w:rsid w:val="00AD5BA6"/>
    <w:rsid w:val="00AD6502"/>
    <w:rsid w:val="00AD6D70"/>
    <w:rsid w:val="00AD769D"/>
    <w:rsid w:val="00AD7EE3"/>
    <w:rsid w:val="00AE0265"/>
    <w:rsid w:val="00AE0695"/>
    <w:rsid w:val="00AE0CD8"/>
    <w:rsid w:val="00AE222C"/>
    <w:rsid w:val="00AE25E3"/>
    <w:rsid w:val="00AE26CD"/>
    <w:rsid w:val="00AE2BAE"/>
    <w:rsid w:val="00AE3432"/>
    <w:rsid w:val="00AE3E7E"/>
    <w:rsid w:val="00AE44E7"/>
    <w:rsid w:val="00AE645C"/>
    <w:rsid w:val="00AE65CE"/>
    <w:rsid w:val="00AE67F7"/>
    <w:rsid w:val="00AE6DCB"/>
    <w:rsid w:val="00AE77E3"/>
    <w:rsid w:val="00AE7A27"/>
    <w:rsid w:val="00AE7E53"/>
    <w:rsid w:val="00AF09D6"/>
    <w:rsid w:val="00AF1315"/>
    <w:rsid w:val="00AF19BF"/>
    <w:rsid w:val="00AF1DA9"/>
    <w:rsid w:val="00AF1DDE"/>
    <w:rsid w:val="00AF2033"/>
    <w:rsid w:val="00AF2DC3"/>
    <w:rsid w:val="00AF34E7"/>
    <w:rsid w:val="00AF3A1B"/>
    <w:rsid w:val="00AF41C7"/>
    <w:rsid w:val="00AF48AA"/>
    <w:rsid w:val="00AF57D3"/>
    <w:rsid w:val="00AF5A51"/>
    <w:rsid w:val="00AF5AD8"/>
    <w:rsid w:val="00AF6185"/>
    <w:rsid w:val="00AF7413"/>
    <w:rsid w:val="00AF7DEA"/>
    <w:rsid w:val="00B00BA6"/>
    <w:rsid w:val="00B0117E"/>
    <w:rsid w:val="00B017F1"/>
    <w:rsid w:val="00B0305C"/>
    <w:rsid w:val="00B033E5"/>
    <w:rsid w:val="00B0364F"/>
    <w:rsid w:val="00B03A63"/>
    <w:rsid w:val="00B040CA"/>
    <w:rsid w:val="00B0557B"/>
    <w:rsid w:val="00B05D44"/>
    <w:rsid w:val="00B07139"/>
    <w:rsid w:val="00B11101"/>
    <w:rsid w:val="00B129A4"/>
    <w:rsid w:val="00B148D7"/>
    <w:rsid w:val="00B14AD5"/>
    <w:rsid w:val="00B168C9"/>
    <w:rsid w:val="00B16F13"/>
    <w:rsid w:val="00B201A4"/>
    <w:rsid w:val="00B201D1"/>
    <w:rsid w:val="00B208F0"/>
    <w:rsid w:val="00B20F90"/>
    <w:rsid w:val="00B21261"/>
    <w:rsid w:val="00B213A6"/>
    <w:rsid w:val="00B235B0"/>
    <w:rsid w:val="00B24DBF"/>
    <w:rsid w:val="00B24DF6"/>
    <w:rsid w:val="00B25904"/>
    <w:rsid w:val="00B2596F"/>
    <w:rsid w:val="00B26BD8"/>
    <w:rsid w:val="00B27427"/>
    <w:rsid w:val="00B27A61"/>
    <w:rsid w:val="00B27EE8"/>
    <w:rsid w:val="00B3114A"/>
    <w:rsid w:val="00B3327D"/>
    <w:rsid w:val="00B33BEB"/>
    <w:rsid w:val="00B342EB"/>
    <w:rsid w:val="00B34FE2"/>
    <w:rsid w:val="00B35166"/>
    <w:rsid w:val="00B357D8"/>
    <w:rsid w:val="00B35C88"/>
    <w:rsid w:val="00B360F4"/>
    <w:rsid w:val="00B36A00"/>
    <w:rsid w:val="00B37249"/>
    <w:rsid w:val="00B37294"/>
    <w:rsid w:val="00B3792B"/>
    <w:rsid w:val="00B37BFC"/>
    <w:rsid w:val="00B40059"/>
    <w:rsid w:val="00B40358"/>
    <w:rsid w:val="00B404EC"/>
    <w:rsid w:val="00B40FB0"/>
    <w:rsid w:val="00B41614"/>
    <w:rsid w:val="00B41DD6"/>
    <w:rsid w:val="00B4258B"/>
    <w:rsid w:val="00B42851"/>
    <w:rsid w:val="00B42CB6"/>
    <w:rsid w:val="00B42CCA"/>
    <w:rsid w:val="00B42F80"/>
    <w:rsid w:val="00B435CB"/>
    <w:rsid w:val="00B43BF6"/>
    <w:rsid w:val="00B43FB0"/>
    <w:rsid w:val="00B44E3C"/>
    <w:rsid w:val="00B460E2"/>
    <w:rsid w:val="00B465EC"/>
    <w:rsid w:val="00B4694E"/>
    <w:rsid w:val="00B47164"/>
    <w:rsid w:val="00B47214"/>
    <w:rsid w:val="00B502AE"/>
    <w:rsid w:val="00B505C8"/>
    <w:rsid w:val="00B50DB8"/>
    <w:rsid w:val="00B51723"/>
    <w:rsid w:val="00B526D9"/>
    <w:rsid w:val="00B53654"/>
    <w:rsid w:val="00B53905"/>
    <w:rsid w:val="00B54038"/>
    <w:rsid w:val="00B546DB"/>
    <w:rsid w:val="00B54B5B"/>
    <w:rsid w:val="00B5562E"/>
    <w:rsid w:val="00B55862"/>
    <w:rsid w:val="00B55B33"/>
    <w:rsid w:val="00B55D65"/>
    <w:rsid w:val="00B56305"/>
    <w:rsid w:val="00B56CAA"/>
    <w:rsid w:val="00B57000"/>
    <w:rsid w:val="00B57D54"/>
    <w:rsid w:val="00B60939"/>
    <w:rsid w:val="00B60AFD"/>
    <w:rsid w:val="00B615DD"/>
    <w:rsid w:val="00B61903"/>
    <w:rsid w:val="00B6207D"/>
    <w:rsid w:val="00B620CB"/>
    <w:rsid w:val="00B62715"/>
    <w:rsid w:val="00B62A27"/>
    <w:rsid w:val="00B6387D"/>
    <w:rsid w:val="00B64045"/>
    <w:rsid w:val="00B65611"/>
    <w:rsid w:val="00B65D9E"/>
    <w:rsid w:val="00B666DE"/>
    <w:rsid w:val="00B66774"/>
    <w:rsid w:val="00B70334"/>
    <w:rsid w:val="00B703D2"/>
    <w:rsid w:val="00B70E8E"/>
    <w:rsid w:val="00B717F3"/>
    <w:rsid w:val="00B71AA6"/>
    <w:rsid w:val="00B7242F"/>
    <w:rsid w:val="00B75BD4"/>
    <w:rsid w:val="00B76227"/>
    <w:rsid w:val="00B76410"/>
    <w:rsid w:val="00B76C92"/>
    <w:rsid w:val="00B76D77"/>
    <w:rsid w:val="00B77310"/>
    <w:rsid w:val="00B7749C"/>
    <w:rsid w:val="00B7796C"/>
    <w:rsid w:val="00B80A4D"/>
    <w:rsid w:val="00B80EFD"/>
    <w:rsid w:val="00B815F2"/>
    <w:rsid w:val="00B818A4"/>
    <w:rsid w:val="00B82518"/>
    <w:rsid w:val="00B82FE0"/>
    <w:rsid w:val="00B830C1"/>
    <w:rsid w:val="00B836F7"/>
    <w:rsid w:val="00B83739"/>
    <w:rsid w:val="00B84117"/>
    <w:rsid w:val="00B8520F"/>
    <w:rsid w:val="00B852DF"/>
    <w:rsid w:val="00B858F0"/>
    <w:rsid w:val="00B85AA2"/>
    <w:rsid w:val="00B85F92"/>
    <w:rsid w:val="00B8649C"/>
    <w:rsid w:val="00B8695D"/>
    <w:rsid w:val="00B87F0A"/>
    <w:rsid w:val="00B90354"/>
    <w:rsid w:val="00B90539"/>
    <w:rsid w:val="00B92D0B"/>
    <w:rsid w:val="00B9310E"/>
    <w:rsid w:val="00B93773"/>
    <w:rsid w:val="00B93B7B"/>
    <w:rsid w:val="00B94945"/>
    <w:rsid w:val="00B94DD6"/>
    <w:rsid w:val="00B96F96"/>
    <w:rsid w:val="00BA0155"/>
    <w:rsid w:val="00BA322D"/>
    <w:rsid w:val="00BA4275"/>
    <w:rsid w:val="00BA4594"/>
    <w:rsid w:val="00BA4C7B"/>
    <w:rsid w:val="00BA63FA"/>
    <w:rsid w:val="00BA6932"/>
    <w:rsid w:val="00BA6BB8"/>
    <w:rsid w:val="00BA7010"/>
    <w:rsid w:val="00BB00B3"/>
    <w:rsid w:val="00BB0BDD"/>
    <w:rsid w:val="00BB16EF"/>
    <w:rsid w:val="00BB176C"/>
    <w:rsid w:val="00BB2325"/>
    <w:rsid w:val="00BB2548"/>
    <w:rsid w:val="00BB2A73"/>
    <w:rsid w:val="00BB3A45"/>
    <w:rsid w:val="00BB3A73"/>
    <w:rsid w:val="00BB4ACC"/>
    <w:rsid w:val="00BB53EC"/>
    <w:rsid w:val="00BB544A"/>
    <w:rsid w:val="00BB6531"/>
    <w:rsid w:val="00BB6B67"/>
    <w:rsid w:val="00BB703E"/>
    <w:rsid w:val="00BB732D"/>
    <w:rsid w:val="00BB7405"/>
    <w:rsid w:val="00BB74BE"/>
    <w:rsid w:val="00BB7644"/>
    <w:rsid w:val="00BC150D"/>
    <w:rsid w:val="00BC1888"/>
    <w:rsid w:val="00BC24DF"/>
    <w:rsid w:val="00BC2623"/>
    <w:rsid w:val="00BC2A7E"/>
    <w:rsid w:val="00BC3001"/>
    <w:rsid w:val="00BC3471"/>
    <w:rsid w:val="00BC3631"/>
    <w:rsid w:val="00BC38CE"/>
    <w:rsid w:val="00BC591F"/>
    <w:rsid w:val="00BC7D6D"/>
    <w:rsid w:val="00BD2108"/>
    <w:rsid w:val="00BD227D"/>
    <w:rsid w:val="00BD2AF5"/>
    <w:rsid w:val="00BD35F2"/>
    <w:rsid w:val="00BD5424"/>
    <w:rsid w:val="00BD6329"/>
    <w:rsid w:val="00BD68A3"/>
    <w:rsid w:val="00BD6938"/>
    <w:rsid w:val="00BD6CF3"/>
    <w:rsid w:val="00BD6D20"/>
    <w:rsid w:val="00BD7F72"/>
    <w:rsid w:val="00BE0ECA"/>
    <w:rsid w:val="00BE2180"/>
    <w:rsid w:val="00BE21F2"/>
    <w:rsid w:val="00BE4275"/>
    <w:rsid w:val="00BE4DAC"/>
    <w:rsid w:val="00BE6222"/>
    <w:rsid w:val="00BE65A5"/>
    <w:rsid w:val="00BE7375"/>
    <w:rsid w:val="00BF0410"/>
    <w:rsid w:val="00BF06AE"/>
    <w:rsid w:val="00BF0F95"/>
    <w:rsid w:val="00BF1554"/>
    <w:rsid w:val="00BF1765"/>
    <w:rsid w:val="00BF2433"/>
    <w:rsid w:val="00BF2964"/>
    <w:rsid w:val="00BF2E6E"/>
    <w:rsid w:val="00BF3C6C"/>
    <w:rsid w:val="00BF3D8B"/>
    <w:rsid w:val="00BF4028"/>
    <w:rsid w:val="00BF4756"/>
    <w:rsid w:val="00BF4A51"/>
    <w:rsid w:val="00BF5DD2"/>
    <w:rsid w:val="00BF61C9"/>
    <w:rsid w:val="00BF6429"/>
    <w:rsid w:val="00BF65C1"/>
    <w:rsid w:val="00BF6751"/>
    <w:rsid w:val="00BF6C94"/>
    <w:rsid w:val="00BF73D6"/>
    <w:rsid w:val="00BF7AF1"/>
    <w:rsid w:val="00C00424"/>
    <w:rsid w:val="00C00573"/>
    <w:rsid w:val="00C00BB0"/>
    <w:rsid w:val="00C01BEB"/>
    <w:rsid w:val="00C01C01"/>
    <w:rsid w:val="00C01F66"/>
    <w:rsid w:val="00C0204E"/>
    <w:rsid w:val="00C0233F"/>
    <w:rsid w:val="00C026E6"/>
    <w:rsid w:val="00C02EC0"/>
    <w:rsid w:val="00C03588"/>
    <w:rsid w:val="00C04818"/>
    <w:rsid w:val="00C065EC"/>
    <w:rsid w:val="00C06B2C"/>
    <w:rsid w:val="00C106D0"/>
    <w:rsid w:val="00C1079D"/>
    <w:rsid w:val="00C1179F"/>
    <w:rsid w:val="00C1186C"/>
    <w:rsid w:val="00C127B9"/>
    <w:rsid w:val="00C128FA"/>
    <w:rsid w:val="00C12C14"/>
    <w:rsid w:val="00C12DBD"/>
    <w:rsid w:val="00C13947"/>
    <w:rsid w:val="00C13C4B"/>
    <w:rsid w:val="00C15C76"/>
    <w:rsid w:val="00C15F04"/>
    <w:rsid w:val="00C1692D"/>
    <w:rsid w:val="00C1705E"/>
    <w:rsid w:val="00C17548"/>
    <w:rsid w:val="00C175B4"/>
    <w:rsid w:val="00C179B3"/>
    <w:rsid w:val="00C17E3F"/>
    <w:rsid w:val="00C200AA"/>
    <w:rsid w:val="00C20A5F"/>
    <w:rsid w:val="00C21A20"/>
    <w:rsid w:val="00C21B56"/>
    <w:rsid w:val="00C21E7E"/>
    <w:rsid w:val="00C229E7"/>
    <w:rsid w:val="00C237ED"/>
    <w:rsid w:val="00C24632"/>
    <w:rsid w:val="00C247FF"/>
    <w:rsid w:val="00C24A50"/>
    <w:rsid w:val="00C24A6D"/>
    <w:rsid w:val="00C24C9B"/>
    <w:rsid w:val="00C25418"/>
    <w:rsid w:val="00C25CBC"/>
    <w:rsid w:val="00C25D9C"/>
    <w:rsid w:val="00C2778B"/>
    <w:rsid w:val="00C3099F"/>
    <w:rsid w:val="00C30F3A"/>
    <w:rsid w:val="00C31259"/>
    <w:rsid w:val="00C315EC"/>
    <w:rsid w:val="00C31649"/>
    <w:rsid w:val="00C33136"/>
    <w:rsid w:val="00C33493"/>
    <w:rsid w:val="00C33706"/>
    <w:rsid w:val="00C342FF"/>
    <w:rsid w:val="00C3434C"/>
    <w:rsid w:val="00C343D2"/>
    <w:rsid w:val="00C34F69"/>
    <w:rsid w:val="00C35612"/>
    <w:rsid w:val="00C35C52"/>
    <w:rsid w:val="00C37AA0"/>
    <w:rsid w:val="00C40385"/>
    <w:rsid w:val="00C41673"/>
    <w:rsid w:val="00C41768"/>
    <w:rsid w:val="00C41E51"/>
    <w:rsid w:val="00C422FD"/>
    <w:rsid w:val="00C43E59"/>
    <w:rsid w:val="00C44245"/>
    <w:rsid w:val="00C44A76"/>
    <w:rsid w:val="00C44E4D"/>
    <w:rsid w:val="00C45441"/>
    <w:rsid w:val="00C4605D"/>
    <w:rsid w:val="00C46737"/>
    <w:rsid w:val="00C467CB"/>
    <w:rsid w:val="00C46EE7"/>
    <w:rsid w:val="00C475AA"/>
    <w:rsid w:val="00C47FE0"/>
    <w:rsid w:val="00C5011E"/>
    <w:rsid w:val="00C5055A"/>
    <w:rsid w:val="00C50C2A"/>
    <w:rsid w:val="00C50CD5"/>
    <w:rsid w:val="00C527C7"/>
    <w:rsid w:val="00C5348D"/>
    <w:rsid w:val="00C53788"/>
    <w:rsid w:val="00C538B4"/>
    <w:rsid w:val="00C53C98"/>
    <w:rsid w:val="00C543EB"/>
    <w:rsid w:val="00C551BA"/>
    <w:rsid w:val="00C55548"/>
    <w:rsid w:val="00C569B2"/>
    <w:rsid w:val="00C569F4"/>
    <w:rsid w:val="00C56D8D"/>
    <w:rsid w:val="00C56FCF"/>
    <w:rsid w:val="00C572F6"/>
    <w:rsid w:val="00C57933"/>
    <w:rsid w:val="00C57957"/>
    <w:rsid w:val="00C57B6C"/>
    <w:rsid w:val="00C57C2F"/>
    <w:rsid w:val="00C60830"/>
    <w:rsid w:val="00C60B2E"/>
    <w:rsid w:val="00C61237"/>
    <w:rsid w:val="00C61A59"/>
    <w:rsid w:val="00C628A6"/>
    <w:rsid w:val="00C64344"/>
    <w:rsid w:val="00C64B85"/>
    <w:rsid w:val="00C64EE8"/>
    <w:rsid w:val="00C65108"/>
    <w:rsid w:val="00C65576"/>
    <w:rsid w:val="00C65FBB"/>
    <w:rsid w:val="00C66165"/>
    <w:rsid w:val="00C66567"/>
    <w:rsid w:val="00C67D89"/>
    <w:rsid w:val="00C7060A"/>
    <w:rsid w:val="00C714BD"/>
    <w:rsid w:val="00C7151A"/>
    <w:rsid w:val="00C717E3"/>
    <w:rsid w:val="00C71F60"/>
    <w:rsid w:val="00C72241"/>
    <w:rsid w:val="00C72D30"/>
    <w:rsid w:val="00C73C78"/>
    <w:rsid w:val="00C74ABB"/>
    <w:rsid w:val="00C74FBB"/>
    <w:rsid w:val="00C750C8"/>
    <w:rsid w:val="00C7560F"/>
    <w:rsid w:val="00C75E5E"/>
    <w:rsid w:val="00C76A5E"/>
    <w:rsid w:val="00C76C0C"/>
    <w:rsid w:val="00C7727C"/>
    <w:rsid w:val="00C77B07"/>
    <w:rsid w:val="00C80A0E"/>
    <w:rsid w:val="00C80FF3"/>
    <w:rsid w:val="00C813F3"/>
    <w:rsid w:val="00C8213F"/>
    <w:rsid w:val="00C82589"/>
    <w:rsid w:val="00C82606"/>
    <w:rsid w:val="00C82AE2"/>
    <w:rsid w:val="00C82F7C"/>
    <w:rsid w:val="00C8303F"/>
    <w:rsid w:val="00C831DF"/>
    <w:rsid w:val="00C83B20"/>
    <w:rsid w:val="00C8412B"/>
    <w:rsid w:val="00C84960"/>
    <w:rsid w:val="00C85154"/>
    <w:rsid w:val="00C85475"/>
    <w:rsid w:val="00C8570B"/>
    <w:rsid w:val="00C859F3"/>
    <w:rsid w:val="00C85A70"/>
    <w:rsid w:val="00C8730C"/>
    <w:rsid w:val="00C8793B"/>
    <w:rsid w:val="00C8797A"/>
    <w:rsid w:val="00C87B6D"/>
    <w:rsid w:val="00C900B8"/>
    <w:rsid w:val="00C90197"/>
    <w:rsid w:val="00C90C71"/>
    <w:rsid w:val="00C91754"/>
    <w:rsid w:val="00C919AF"/>
    <w:rsid w:val="00C91F7F"/>
    <w:rsid w:val="00C91FD1"/>
    <w:rsid w:val="00C92882"/>
    <w:rsid w:val="00C931CF"/>
    <w:rsid w:val="00C938CF"/>
    <w:rsid w:val="00C93D4A"/>
    <w:rsid w:val="00C94053"/>
    <w:rsid w:val="00C94220"/>
    <w:rsid w:val="00C94AFC"/>
    <w:rsid w:val="00C9624D"/>
    <w:rsid w:val="00C968DD"/>
    <w:rsid w:val="00C969DA"/>
    <w:rsid w:val="00C96D6A"/>
    <w:rsid w:val="00C9737A"/>
    <w:rsid w:val="00C97752"/>
    <w:rsid w:val="00CA13E0"/>
    <w:rsid w:val="00CA2C77"/>
    <w:rsid w:val="00CA345A"/>
    <w:rsid w:val="00CA3661"/>
    <w:rsid w:val="00CA4189"/>
    <w:rsid w:val="00CA444F"/>
    <w:rsid w:val="00CA5092"/>
    <w:rsid w:val="00CA5245"/>
    <w:rsid w:val="00CA5B9B"/>
    <w:rsid w:val="00CA63BF"/>
    <w:rsid w:val="00CA6DCA"/>
    <w:rsid w:val="00CA71F4"/>
    <w:rsid w:val="00CA76F2"/>
    <w:rsid w:val="00CA7A58"/>
    <w:rsid w:val="00CA7B09"/>
    <w:rsid w:val="00CB0641"/>
    <w:rsid w:val="00CB0C5F"/>
    <w:rsid w:val="00CB102D"/>
    <w:rsid w:val="00CB12A5"/>
    <w:rsid w:val="00CB1880"/>
    <w:rsid w:val="00CB19CE"/>
    <w:rsid w:val="00CB1CAC"/>
    <w:rsid w:val="00CB2F2A"/>
    <w:rsid w:val="00CB3416"/>
    <w:rsid w:val="00CB3DDB"/>
    <w:rsid w:val="00CB58AD"/>
    <w:rsid w:val="00CB5B1A"/>
    <w:rsid w:val="00CB6B22"/>
    <w:rsid w:val="00CB6F9E"/>
    <w:rsid w:val="00CB7F5F"/>
    <w:rsid w:val="00CC0097"/>
    <w:rsid w:val="00CC1B39"/>
    <w:rsid w:val="00CC1BFA"/>
    <w:rsid w:val="00CC227D"/>
    <w:rsid w:val="00CC273E"/>
    <w:rsid w:val="00CC2E9F"/>
    <w:rsid w:val="00CC3236"/>
    <w:rsid w:val="00CC35EA"/>
    <w:rsid w:val="00CC3848"/>
    <w:rsid w:val="00CC3DC3"/>
    <w:rsid w:val="00CC4E1C"/>
    <w:rsid w:val="00CC5BED"/>
    <w:rsid w:val="00CC5E33"/>
    <w:rsid w:val="00CC6573"/>
    <w:rsid w:val="00CC67A4"/>
    <w:rsid w:val="00CC6D5E"/>
    <w:rsid w:val="00CC786F"/>
    <w:rsid w:val="00CD0066"/>
    <w:rsid w:val="00CD0200"/>
    <w:rsid w:val="00CD1DC3"/>
    <w:rsid w:val="00CD2699"/>
    <w:rsid w:val="00CD3555"/>
    <w:rsid w:val="00CD3D5D"/>
    <w:rsid w:val="00CD3E2C"/>
    <w:rsid w:val="00CD3F00"/>
    <w:rsid w:val="00CD3F77"/>
    <w:rsid w:val="00CD4198"/>
    <w:rsid w:val="00CD459D"/>
    <w:rsid w:val="00CD5B63"/>
    <w:rsid w:val="00CD6081"/>
    <w:rsid w:val="00CD6ADC"/>
    <w:rsid w:val="00CD7193"/>
    <w:rsid w:val="00CD763B"/>
    <w:rsid w:val="00CE169D"/>
    <w:rsid w:val="00CE18E1"/>
    <w:rsid w:val="00CE38C8"/>
    <w:rsid w:val="00CE3CAA"/>
    <w:rsid w:val="00CE513A"/>
    <w:rsid w:val="00CE524F"/>
    <w:rsid w:val="00CE58CC"/>
    <w:rsid w:val="00CE6274"/>
    <w:rsid w:val="00CE6B53"/>
    <w:rsid w:val="00CE6EE3"/>
    <w:rsid w:val="00CE77B6"/>
    <w:rsid w:val="00CE7A7A"/>
    <w:rsid w:val="00CF0193"/>
    <w:rsid w:val="00CF171C"/>
    <w:rsid w:val="00CF191C"/>
    <w:rsid w:val="00CF2B8D"/>
    <w:rsid w:val="00CF3835"/>
    <w:rsid w:val="00CF3A1B"/>
    <w:rsid w:val="00CF456B"/>
    <w:rsid w:val="00CF49CC"/>
    <w:rsid w:val="00CF532D"/>
    <w:rsid w:val="00CF5A22"/>
    <w:rsid w:val="00CF5D0F"/>
    <w:rsid w:val="00CF65C5"/>
    <w:rsid w:val="00CF7007"/>
    <w:rsid w:val="00CF7141"/>
    <w:rsid w:val="00D01391"/>
    <w:rsid w:val="00D01E2F"/>
    <w:rsid w:val="00D0262E"/>
    <w:rsid w:val="00D02E61"/>
    <w:rsid w:val="00D02F4C"/>
    <w:rsid w:val="00D03679"/>
    <w:rsid w:val="00D03AA4"/>
    <w:rsid w:val="00D03BB9"/>
    <w:rsid w:val="00D03DBC"/>
    <w:rsid w:val="00D040CC"/>
    <w:rsid w:val="00D0417B"/>
    <w:rsid w:val="00D04954"/>
    <w:rsid w:val="00D05E3D"/>
    <w:rsid w:val="00D06139"/>
    <w:rsid w:val="00D06EF2"/>
    <w:rsid w:val="00D1070C"/>
    <w:rsid w:val="00D110BD"/>
    <w:rsid w:val="00D1172D"/>
    <w:rsid w:val="00D12030"/>
    <w:rsid w:val="00D120CF"/>
    <w:rsid w:val="00D1241A"/>
    <w:rsid w:val="00D13146"/>
    <w:rsid w:val="00D13482"/>
    <w:rsid w:val="00D13675"/>
    <w:rsid w:val="00D141E1"/>
    <w:rsid w:val="00D14264"/>
    <w:rsid w:val="00D14321"/>
    <w:rsid w:val="00D14BF0"/>
    <w:rsid w:val="00D15275"/>
    <w:rsid w:val="00D15314"/>
    <w:rsid w:val="00D15B48"/>
    <w:rsid w:val="00D17620"/>
    <w:rsid w:val="00D177D8"/>
    <w:rsid w:val="00D17882"/>
    <w:rsid w:val="00D17B97"/>
    <w:rsid w:val="00D17D6C"/>
    <w:rsid w:val="00D20F92"/>
    <w:rsid w:val="00D2138E"/>
    <w:rsid w:val="00D2155B"/>
    <w:rsid w:val="00D21E43"/>
    <w:rsid w:val="00D223E6"/>
    <w:rsid w:val="00D233C0"/>
    <w:rsid w:val="00D23D11"/>
    <w:rsid w:val="00D244B6"/>
    <w:rsid w:val="00D25F27"/>
    <w:rsid w:val="00D26095"/>
    <w:rsid w:val="00D2669F"/>
    <w:rsid w:val="00D26DE8"/>
    <w:rsid w:val="00D2754D"/>
    <w:rsid w:val="00D2782E"/>
    <w:rsid w:val="00D27B27"/>
    <w:rsid w:val="00D30D5B"/>
    <w:rsid w:val="00D3248D"/>
    <w:rsid w:val="00D324A4"/>
    <w:rsid w:val="00D32B9F"/>
    <w:rsid w:val="00D3343B"/>
    <w:rsid w:val="00D33BE9"/>
    <w:rsid w:val="00D33F93"/>
    <w:rsid w:val="00D34505"/>
    <w:rsid w:val="00D357FF"/>
    <w:rsid w:val="00D35F14"/>
    <w:rsid w:val="00D3601B"/>
    <w:rsid w:val="00D366AA"/>
    <w:rsid w:val="00D374C9"/>
    <w:rsid w:val="00D37805"/>
    <w:rsid w:val="00D40C08"/>
    <w:rsid w:val="00D40DC0"/>
    <w:rsid w:val="00D40EA9"/>
    <w:rsid w:val="00D41A44"/>
    <w:rsid w:val="00D424C7"/>
    <w:rsid w:val="00D42A83"/>
    <w:rsid w:val="00D42CC9"/>
    <w:rsid w:val="00D43B2A"/>
    <w:rsid w:val="00D43CF1"/>
    <w:rsid w:val="00D43D83"/>
    <w:rsid w:val="00D448D6"/>
    <w:rsid w:val="00D46B1E"/>
    <w:rsid w:val="00D46BE4"/>
    <w:rsid w:val="00D47575"/>
    <w:rsid w:val="00D4773E"/>
    <w:rsid w:val="00D50E22"/>
    <w:rsid w:val="00D5243B"/>
    <w:rsid w:val="00D52FE6"/>
    <w:rsid w:val="00D533EC"/>
    <w:rsid w:val="00D53653"/>
    <w:rsid w:val="00D5373C"/>
    <w:rsid w:val="00D54915"/>
    <w:rsid w:val="00D56A95"/>
    <w:rsid w:val="00D6076E"/>
    <w:rsid w:val="00D608FC"/>
    <w:rsid w:val="00D60DC6"/>
    <w:rsid w:val="00D61E59"/>
    <w:rsid w:val="00D633BF"/>
    <w:rsid w:val="00D65388"/>
    <w:rsid w:val="00D65782"/>
    <w:rsid w:val="00D66123"/>
    <w:rsid w:val="00D67ADE"/>
    <w:rsid w:val="00D70F16"/>
    <w:rsid w:val="00D72617"/>
    <w:rsid w:val="00D72F57"/>
    <w:rsid w:val="00D73C04"/>
    <w:rsid w:val="00D7465D"/>
    <w:rsid w:val="00D74AE7"/>
    <w:rsid w:val="00D74F01"/>
    <w:rsid w:val="00D74F35"/>
    <w:rsid w:val="00D75AF2"/>
    <w:rsid w:val="00D76786"/>
    <w:rsid w:val="00D767AE"/>
    <w:rsid w:val="00D76A44"/>
    <w:rsid w:val="00D777DA"/>
    <w:rsid w:val="00D77FAD"/>
    <w:rsid w:val="00D80E38"/>
    <w:rsid w:val="00D814DA"/>
    <w:rsid w:val="00D815EF"/>
    <w:rsid w:val="00D81949"/>
    <w:rsid w:val="00D81F26"/>
    <w:rsid w:val="00D822E2"/>
    <w:rsid w:val="00D8281E"/>
    <w:rsid w:val="00D84005"/>
    <w:rsid w:val="00D843F2"/>
    <w:rsid w:val="00D84EAB"/>
    <w:rsid w:val="00D85D8A"/>
    <w:rsid w:val="00D86231"/>
    <w:rsid w:val="00D86D87"/>
    <w:rsid w:val="00D87443"/>
    <w:rsid w:val="00D879D6"/>
    <w:rsid w:val="00D9027A"/>
    <w:rsid w:val="00D90733"/>
    <w:rsid w:val="00D9090C"/>
    <w:rsid w:val="00D90E1C"/>
    <w:rsid w:val="00D912AB"/>
    <w:rsid w:val="00D91923"/>
    <w:rsid w:val="00D91D17"/>
    <w:rsid w:val="00D92D9D"/>
    <w:rsid w:val="00D93241"/>
    <w:rsid w:val="00D93753"/>
    <w:rsid w:val="00D95A7E"/>
    <w:rsid w:val="00D95DFC"/>
    <w:rsid w:val="00D965C4"/>
    <w:rsid w:val="00D965CE"/>
    <w:rsid w:val="00D97200"/>
    <w:rsid w:val="00D979DD"/>
    <w:rsid w:val="00D97AA6"/>
    <w:rsid w:val="00DA0392"/>
    <w:rsid w:val="00DA0844"/>
    <w:rsid w:val="00DA10C4"/>
    <w:rsid w:val="00DA1392"/>
    <w:rsid w:val="00DA1BC3"/>
    <w:rsid w:val="00DA2ED5"/>
    <w:rsid w:val="00DA3167"/>
    <w:rsid w:val="00DA3A33"/>
    <w:rsid w:val="00DA4DC3"/>
    <w:rsid w:val="00DA504D"/>
    <w:rsid w:val="00DA50D1"/>
    <w:rsid w:val="00DA57A5"/>
    <w:rsid w:val="00DA77A5"/>
    <w:rsid w:val="00DA7AFA"/>
    <w:rsid w:val="00DB0E36"/>
    <w:rsid w:val="00DB12E5"/>
    <w:rsid w:val="00DB1B7B"/>
    <w:rsid w:val="00DB2723"/>
    <w:rsid w:val="00DB3BC2"/>
    <w:rsid w:val="00DB3DBF"/>
    <w:rsid w:val="00DB4571"/>
    <w:rsid w:val="00DB484F"/>
    <w:rsid w:val="00DB4BAE"/>
    <w:rsid w:val="00DB56DF"/>
    <w:rsid w:val="00DB65A7"/>
    <w:rsid w:val="00DB6C6C"/>
    <w:rsid w:val="00DC027D"/>
    <w:rsid w:val="00DC04F6"/>
    <w:rsid w:val="00DC0690"/>
    <w:rsid w:val="00DC084A"/>
    <w:rsid w:val="00DC0AA3"/>
    <w:rsid w:val="00DC0F22"/>
    <w:rsid w:val="00DC1D65"/>
    <w:rsid w:val="00DC3C57"/>
    <w:rsid w:val="00DC5501"/>
    <w:rsid w:val="00DC5AE7"/>
    <w:rsid w:val="00DC5D2A"/>
    <w:rsid w:val="00DC5DE4"/>
    <w:rsid w:val="00DC6601"/>
    <w:rsid w:val="00DC6A0A"/>
    <w:rsid w:val="00DC7026"/>
    <w:rsid w:val="00DC7154"/>
    <w:rsid w:val="00DC7D56"/>
    <w:rsid w:val="00DC7E8A"/>
    <w:rsid w:val="00DD0F78"/>
    <w:rsid w:val="00DD130A"/>
    <w:rsid w:val="00DD1993"/>
    <w:rsid w:val="00DD273C"/>
    <w:rsid w:val="00DD3C20"/>
    <w:rsid w:val="00DD3F28"/>
    <w:rsid w:val="00DD3F2A"/>
    <w:rsid w:val="00DD4446"/>
    <w:rsid w:val="00DD4537"/>
    <w:rsid w:val="00DD4A3F"/>
    <w:rsid w:val="00DD4E15"/>
    <w:rsid w:val="00DD5F43"/>
    <w:rsid w:val="00DD7147"/>
    <w:rsid w:val="00DD7E05"/>
    <w:rsid w:val="00DE12A3"/>
    <w:rsid w:val="00DE1858"/>
    <w:rsid w:val="00DE1DAB"/>
    <w:rsid w:val="00DE1F66"/>
    <w:rsid w:val="00DE1FE9"/>
    <w:rsid w:val="00DE2304"/>
    <w:rsid w:val="00DE25C0"/>
    <w:rsid w:val="00DE30AB"/>
    <w:rsid w:val="00DE3138"/>
    <w:rsid w:val="00DE3477"/>
    <w:rsid w:val="00DE37CC"/>
    <w:rsid w:val="00DE37F8"/>
    <w:rsid w:val="00DE3C82"/>
    <w:rsid w:val="00DE3F31"/>
    <w:rsid w:val="00DE4273"/>
    <w:rsid w:val="00DE4FCB"/>
    <w:rsid w:val="00DE505D"/>
    <w:rsid w:val="00DE5589"/>
    <w:rsid w:val="00DE5D07"/>
    <w:rsid w:val="00DE646B"/>
    <w:rsid w:val="00DE6874"/>
    <w:rsid w:val="00DE72A7"/>
    <w:rsid w:val="00DE7832"/>
    <w:rsid w:val="00DF033A"/>
    <w:rsid w:val="00DF0389"/>
    <w:rsid w:val="00DF0CFC"/>
    <w:rsid w:val="00DF0E97"/>
    <w:rsid w:val="00DF18FC"/>
    <w:rsid w:val="00DF1947"/>
    <w:rsid w:val="00DF19DC"/>
    <w:rsid w:val="00DF2574"/>
    <w:rsid w:val="00DF421D"/>
    <w:rsid w:val="00DF4606"/>
    <w:rsid w:val="00DF4620"/>
    <w:rsid w:val="00DF4A27"/>
    <w:rsid w:val="00DF5524"/>
    <w:rsid w:val="00DF5D2B"/>
    <w:rsid w:val="00DF5D7C"/>
    <w:rsid w:val="00DF62EF"/>
    <w:rsid w:val="00DF6341"/>
    <w:rsid w:val="00DF6581"/>
    <w:rsid w:val="00DF682E"/>
    <w:rsid w:val="00DF682F"/>
    <w:rsid w:val="00DF686B"/>
    <w:rsid w:val="00DF68F4"/>
    <w:rsid w:val="00DF6BB0"/>
    <w:rsid w:val="00DF6D78"/>
    <w:rsid w:val="00DF6F58"/>
    <w:rsid w:val="00DF7524"/>
    <w:rsid w:val="00DF7B54"/>
    <w:rsid w:val="00E00E8E"/>
    <w:rsid w:val="00E03304"/>
    <w:rsid w:val="00E03778"/>
    <w:rsid w:val="00E043AE"/>
    <w:rsid w:val="00E05630"/>
    <w:rsid w:val="00E056AF"/>
    <w:rsid w:val="00E066FC"/>
    <w:rsid w:val="00E06BFB"/>
    <w:rsid w:val="00E06DBB"/>
    <w:rsid w:val="00E10149"/>
    <w:rsid w:val="00E11340"/>
    <w:rsid w:val="00E1140C"/>
    <w:rsid w:val="00E11CD7"/>
    <w:rsid w:val="00E11D67"/>
    <w:rsid w:val="00E122A1"/>
    <w:rsid w:val="00E1324A"/>
    <w:rsid w:val="00E1332A"/>
    <w:rsid w:val="00E139D4"/>
    <w:rsid w:val="00E13F93"/>
    <w:rsid w:val="00E14165"/>
    <w:rsid w:val="00E1574C"/>
    <w:rsid w:val="00E16372"/>
    <w:rsid w:val="00E16AD8"/>
    <w:rsid w:val="00E17CF6"/>
    <w:rsid w:val="00E17F46"/>
    <w:rsid w:val="00E17FFA"/>
    <w:rsid w:val="00E200BB"/>
    <w:rsid w:val="00E20E4D"/>
    <w:rsid w:val="00E20ED6"/>
    <w:rsid w:val="00E21358"/>
    <w:rsid w:val="00E21D7A"/>
    <w:rsid w:val="00E2249B"/>
    <w:rsid w:val="00E22A0D"/>
    <w:rsid w:val="00E23B24"/>
    <w:rsid w:val="00E23BB8"/>
    <w:rsid w:val="00E244F6"/>
    <w:rsid w:val="00E24A58"/>
    <w:rsid w:val="00E24C44"/>
    <w:rsid w:val="00E258DB"/>
    <w:rsid w:val="00E25B83"/>
    <w:rsid w:val="00E25E69"/>
    <w:rsid w:val="00E25E74"/>
    <w:rsid w:val="00E26225"/>
    <w:rsid w:val="00E268D1"/>
    <w:rsid w:val="00E268FD"/>
    <w:rsid w:val="00E26FE0"/>
    <w:rsid w:val="00E2771E"/>
    <w:rsid w:val="00E27D09"/>
    <w:rsid w:val="00E311EF"/>
    <w:rsid w:val="00E32180"/>
    <w:rsid w:val="00E32DDC"/>
    <w:rsid w:val="00E332AE"/>
    <w:rsid w:val="00E33A07"/>
    <w:rsid w:val="00E34019"/>
    <w:rsid w:val="00E34838"/>
    <w:rsid w:val="00E34948"/>
    <w:rsid w:val="00E35DC0"/>
    <w:rsid w:val="00E35FC4"/>
    <w:rsid w:val="00E36987"/>
    <w:rsid w:val="00E36FEA"/>
    <w:rsid w:val="00E37569"/>
    <w:rsid w:val="00E401B2"/>
    <w:rsid w:val="00E41E30"/>
    <w:rsid w:val="00E42AB2"/>
    <w:rsid w:val="00E42F73"/>
    <w:rsid w:val="00E43D70"/>
    <w:rsid w:val="00E43F24"/>
    <w:rsid w:val="00E4419B"/>
    <w:rsid w:val="00E443B5"/>
    <w:rsid w:val="00E44D25"/>
    <w:rsid w:val="00E44D2A"/>
    <w:rsid w:val="00E4582A"/>
    <w:rsid w:val="00E466F3"/>
    <w:rsid w:val="00E4767B"/>
    <w:rsid w:val="00E47B2C"/>
    <w:rsid w:val="00E50816"/>
    <w:rsid w:val="00E50DC4"/>
    <w:rsid w:val="00E511BC"/>
    <w:rsid w:val="00E51560"/>
    <w:rsid w:val="00E51821"/>
    <w:rsid w:val="00E519CA"/>
    <w:rsid w:val="00E51A9C"/>
    <w:rsid w:val="00E51D80"/>
    <w:rsid w:val="00E5251E"/>
    <w:rsid w:val="00E530E7"/>
    <w:rsid w:val="00E53A7C"/>
    <w:rsid w:val="00E53FC8"/>
    <w:rsid w:val="00E54125"/>
    <w:rsid w:val="00E54347"/>
    <w:rsid w:val="00E552CB"/>
    <w:rsid w:val="00E55424"/>
    <w:rsid w:val="00E55519"/>
    <w:rsid w:val="00E55915"/>
    <w:rsid w:val="00E55BB5"/>
    <w:rsid w:val="00E55E63"/>
    <w:rsid w:val="00E5648D"/>
    <w:rsid w:val="00E57133"/>
    <w:rsid w:val="00E57AA7"/>
    <w:rsid w:val="00E603CD"/>
    <w:rsid w:val="00E604DB"/>
    <w:rsid w:val="00E611DF"/>
    <w:rsid w:val="00E644E7"/>
    <w:rsid w:val="00E65E79"/>
    <w:rsid w:val="00E65FF5"/>
    <w:rsid w:val="00E662DE"/>
    <w:rsid w:val="00E6638D"/>
    <w:rsid w:val="00E66BA2"/>
    <w:rsid w:val="00E67416"/>
    <w:rsid w:val="00E67B60"/>
    <w:rsid w:val="00E70D5F"/>
    <w:rsid w:val="00E71845"/>
    <w:rsid w:val="00E718B6"/>
    <w:rsid w:val="00E71EF2"/>
    <w:rsid w:val="00E723BA"/>
    <w:rsid w:val="00E724A0"/>
    <w:rsid w:val="00E72719"/>
    <w:rsid w:val="00E727E6"/>
    <w:rsid w:val="00E72D54"/>
    <w:rsid w:val="00E7302A"/>
    <w:rsid w:val="00E73581"/>
    <w:rsid w:val="00E739D4"/>
    <w:rsid w:val="00E740F3"/>
    <w:rsid w:val="00E741E8"/>
    <w:rsid w:val="00E74EBB"/>
    <w:rsid w:val="00E75143"/>
    <w:rsid w:val="00E755AE"/>
    <w:rsid w:val="00E75725"/>
    <w:rsid w:val="00E75799"/>
    <w:rsid w:val="00E771BF"/>
    <w:rsid w:val="00E77DD6"/>
    <w:rsid w:val="00E8179E"/>
    <w:rsid w:val="00E81DBB"/>
    <w:rsid w:val="00E82D68"/>
    <w:rsid w:val="00E833F7"/>
    <w:rsid w:val="00E83BDF"/>
    <w:rsid w:val="00E8461B"/>
    <w:rsid w:val="00E85511"/>
    <w:rsid w:val="00E85947"/>
    <w:rsid w:val="00E86810"/>
    <w:rsid w:val="00E86B0E"/>
    <w:rsid w:val="00E86FCC"/>
    <w:rsid w:val="00E86FE2"/>
    <w:rsid w:val="00E8760D"/>
    <w:rsid w:val="00E87A1D"/>
    <w:rsid w:val="00E9094A"/>
    <w:rsid w:val="00E91713"/>
    <w:rsid w:val="00E91D35"/>
    <w:rsid w:val="00E91F80"/>
    <w:rsid w:val="00E926A5"/>
    <w:rsid w:val="00E93517"/>
    <w:rsid w:val="00E93E70"/>
    <w:rsid w:val="00E9493A"/>
    <w:rsid w:val="00E951CF"/>
    <w:rsid w:val="00E962CC"/>
    <w:rsid w:val="00E97110"/>
    <w:rsid w:val="00EA016B"/>
    <w:rsid w:val="00EA0453"/>
    <w:rsid w:val="00EA17C3"/>
    <w:rsid w:val="00EA2CAA"/>
    <w:rsid w:val="00EA33BC"/>
    <w:rsid w:val="00EA35D7"/>
    <w:rsid w:val="00EA3864"/>
    <w:rsid w:val="00EA5146"/>
    <w:rsid w:val="00EA51B0"/>
    <w:rsid w:val="00EA6A34"/>
    <w:rsid w:val="00EA7DC4"/>
    <w:rsid w:val="00EA7F1C"/>
    <w:rsid w:val="00EB15B6"/>
    <w:rsid w:val="00EB39F1"/>
    <w:rsid w:val="00EB3D06"/>
    <w:rsid w:val="00EB4771"/>
    <w:rsid w:val="00EB4916"/>
    <w:rsid w:val="00EB4B02"/>
    <w:rsid w:val="00EB7208"/>
    <w:rsid w:val="00EC00C9"/>
    <w:rsid w:val="00EC0DD9"/>
    <w:rsid w:val="00EC13E6"/>
    <w:rsid w:val="00EC19D7"/>
    <w:rsid w:val="00EC2569"/>
    <w:rsid w:val="00EC2649"/>
    <w:rsid w:val="00EC31C6"/>
    <w:rsid w:val="00EC31ED"/>
    <w:rsid w:val="00EC35DF"/>
    <w:rsid w:val="00EC4DE6"/>
    <w:rsid w:val="00EC5697"/>
    <w:rsid w:val="00EC5836"/>
    <w:rsid w:val="00EC688C"/>
    <w:rsid w:val="00EC6F94"/>
    <w:rsid w:val="00EC701E"/>
    <w:rsid w:val="00ED0437"/>
    <w:rsid w:val="00ED0CBB"/>
    <w:rsid w:val="00ED12E3"/>
    <w:rsid w:val="00ED1560"/>
    <w:rsid w:val="00ED3AFA"/>
    <w:rsid w:val="00ED4057"/>
    <w:rsid w:val="00ED4B04"/>
    <w:rsid w:val="00ED5146"/>
    <w:rsid w:val="00ED575B"/>
    <w:rsid w:val="00ED57EA"/>
    <w:rsid w:val="00ED5BD4"/>
    <w:rsid w:val="00ED612C"/>
    <w:rsid w:val="00ED6810"/>
    <w:rsid w:val="00ED7154"/>
    <w:rsid w:val="00ED7329"/>
    <w:rsid w:val="00ED7ED2"/>
    <w:rsid w:val="00EE0243"/>
    <w:rsid w:val="00EE0270"/>
    <w:rsid w:val="00EE07D3"/>
    <w:rsid w:val="00EE12AC"/>
    <w:rsid w:val="00EE1579"/>
    <w:rsid w:val="00EE1996"/>
    <w:rsid w:val="00EE1C01"/>
    <w:rsid w:val="00EE1DAF"/>
    <w:rsid w:val="00EE211B"/>
    <w:rsid w:val="00EE22AF"/>
    <w:rsid w:val="00EE31B9"/>
    <w:rsid w:val="00EE3AAA"/>
    <w:rsid w:val="00EE63D6"/>
    <w:rsid w:val="00EE68A0"/>
    <w:rsid w:val="00EF0023"/>
    <w:rsid w:val="00EF0171"/>
    <w:rsid w:val="00EF07BB"/>
    <w:rsid w:val="00EF1228"/>
    <w:rsid w:val="00EF122E"/>
    <w:rsid w:val="00EF17C0"/>
    <w:rsid w:val="00EF19B4"/>
    <w:rsid w:val="00EF1B25"/>
    <w:rsid w:val="00EF1DA0"/>
    <w:rsid w:val="00EF20AA"/>
    <w:rsid w:val="00EF4747"/>
    <w:rsid w:val="00EF4A4D"/>
    <w:rsid w:val="00EF4BF8"/>
    <w:rsid w:val="00EF4CC6"/>
    <w:rsid w:val="00EF500C"/>
    <w:rsid w:val="00EF5067"/>
    <w:rsid w:val="00EF5BFD"/>
    <w:rsid w:val="00EF6806"/>
    <w:rsid w:val="00EF6B9E"/>
    <w:rsid w:val="00F00639"/>
    <w:rsid w:val="00F00B71"/>
    <w:rsid w:val="00F00FDB"/>
    <w:rsid w:val="00F02253"/>
    <w:rsid w:val="00F03C2E"/>
    <w:rsid w:val="00F04A66"/>
    <w:rsid w:val="00F04B4B"/>
    <w:rsid w:val="00F04DC5"/>
    <w:rsid w:val="00F0516C"/>
    <w:rsid w:val="00F05F8E"/>
    <w:rsid w:val="00F06556"/>
    <w:rsid w:val="00F067A2"/>
    <w:rsid w:val="00F07B9E"/>
    <w:rsid w:val="00F1116F"/>
    <w:rsid w:val="00F113A6"/>
    <w:rsid w:val="00F1173D"/>
    <w:rsid w:val="00F11BD0"/>
    <w:rsid w:val="00F1263A"/>
    <w:rsid w:val="00F139C5"/>
    <w:rsid w:val="00F15628"/>
    <w:rsid w:val="00F15B77"/>
    <w:rsid w:val="00F16FFE"/>
    <w:rsid w:val="00F20BE8"/>
    <w:rsid w:val="00F20C79"/>
    <w:rsid w:val="00F21236"/>
    <w:rsid w:val="00F232ED"/>
    <w:rsid w:val="00F239C2"/>
    <w:rsid w:val="00F239DF"/>
    <w:rsid w:val="00F241D3"/>
    <w:rsid w:val="00F246BF"/>
    <w:rsid w:val="00F24837"/>
    <w:rsid w:val="00F2575F"/>
    <w:rsid w:val="00F25996"/>
    <w:rsid w:val="00F27565"/>
    <w:rsid w:val="00F30333"/>
    <w:rsid w:val="00F31015"/>
    <w:rsid w:val="00F310D4"/>
    <w:rsid w:val="00F3141C"/>
    <w:rsid w:val="00F3163C"/>
    <w:rsid w:val="00F316B0"/>
    <w:rsid w:val="00F31D5A"/>
    <w:rsid w:val="00F335C2"/>
    <w:rsid w:val="00F33975"/>
    <w:rsid w:val="00F33DE9"/>
    <w:rsid w:val="00F35D8B"/>
    <w:rsid w:val="00F35E6D"/>
    <w:rsid w:val="00F3619A"/>
    <w:rsid w:val="00F36740"/>
    <w:rsid w:val="00F373E1"/>
    <w:rsid w:val="00F40AAA"/>
    <w:rsid w:val="00F40BA7"/>
    <w:rsid w:val="00F40F9D"/>
    <w:rsid w:val="00F41ACD"/>
    <w:rsid w:val="00F41EB6"/>
    <w:rsid w:val="00F42282"/>
    <w:rsid w:val="00F45849"/>
    <w:rsid w:val="00F46CB6"/>
    <w:rsid w:val="00F47382"/>
    <w:rsid w:val="00F4756D"/>
    <w:rsid w:val="00F47DE8"/>
    <w:rsid w:val="00F5161C"/>
    <w:rsid w:val="00F52BB5"/>
    <w:rsid w:val="00F5317F"/>
    <w:rsid w:val="00F53615"/>
    <w:rsid w:val="00F53637"/>
    <w:rsid w:val="00F542C1"/>
    <w:rsid w:val="00F550E3"/>
    <w:rsid w:val="00F55E73"/>
    <w:rsid w:val="00F55EDA"/>
    <w:rsid w:val="00F565D4"/>
    <w:rsid w:val="00F56C0F"/>
    <w:rsid w:val="00F56C80"/>
    <w:rsid w:val="00F56F7B"/>
    <w:rsid w:val="00F57E28"/>
    <w:rsid w:val="00F60092"/>
    <w:rsid w:val="00F6073A"/>
    <w:rsid w:val="00F6097D"/>
    <w:rsid w:val="00F6107F"/>
    <w:rsid w:val="00F61C18"/>
    <w:rsid w:val="00F622D5"/>
    <w:rsid w:val="00F62A0E"/>
    <w:rsid w:val="00F62B69"/>
    <w:rsid w:val="00F630C8"/>
    <w:rsid w:val="00F63991"/>
    <w:rsid w:val="00F63D32"/>
    <w:rsid w:val="00F64475"/>
    <w:rsid w:val="00F65F4B"/>
    <w:rsid w:val="00F6631B"/>
    <w:rsid w:val="00F67A69"/>
    <w:rsid w:val="00F70BFF"/>
    <w:rsid w:val="00F70C9D"/>
    <w:rsid w:val="00F71FD2"/>
    <w:rsid w:val="00F73018"/>
    <w:rsid w:val="00F73E08"/>
    <w:rsid w:val="00F74CD9"/>
    <w:rsid w:val="00F76067"/>
    <w:rsid w:val="00F76344"/>
    <w:rsid w:val="00F76BAE"/>
    <w:rsid w:val="00F770A1"/>
    <w:rsid w:val="00F80A7B"/>
    <w:rsid w:val="00F80CE6"/>
    <w:rsid w:val="00F80E5D"/>
    <w:rsid w:val="00F81E78"/>
    <w:rsid w:val="00F82387"/>
    <w:rsid w:val="00F83916"/>
    <w:rsid w:val="00F84A05"/>
    <w:rsid w:val="00F84E30"/>
    <w:rsid w:val="00F850C4"/>
    <w:rsid w:val="00F851CE"/>
    <w:rsid w:val="00F85C7A"/>
    <w:rsid w:val="00F863F4"/>
    <w:rsid w:val="00F87099"/>
    <w:rsid w:val="00F87B71"/>
    <w:rsid w:val="00F87BB1"/>
    <w:rsid w:val="00F87F83"/>
    <w:rsid w:val="00F905D0"/>
    <w:rsid w:val="00F90829"/>
    <w:rsid w:val="00F90B5E"/>
    <w:rsid w:val="00F91219"/>
    <w:rsid w:val="00F92444"/>
    <w:rsid w:val="00F9293F"/>
    <w:rsid w:val="00F92C40"/>
    <w:rsid w:val="00F932EE"/>
    <w:rsid w:val="00F9333F"/>
    <w:rsid w:val="00F93532"/>
    <w:rsid w:val="00F9393E"/>
    <w:rsid w:val="00F94392"/>
    <w:rsid w:val="00F94828"/>
    <w:rsid w:val="00F94E62"/>
    <w:rsid w:val="00F94EEB"/>
    <w:rsid w:val="00F96D1D"/>
    <w:rsid w:val="00F96D44"/>
    <w:rsid w:val="00F96FD0"/>
    <w:rsid w:val="00F97080"/>
    <w:rsid w:val="00F97A78"/>
    <w:rsid w:val="00FA0AD7"/>
    <w:rsid w:val="00FA0B20"/>
    <w:rsid w:val="00FA244F"/>
    <w:rsid w:val="00FA24E7"/>
    <w:rsid w:val="00FA2D19"/>
    <w:rsid w:val="00FA4624"/>
    <w:rsid w:val="00FA4DD1"/>
    <w:rsid w:val="00FA5EE6"/>
    <w:rsid w:val="00FA5FF3"/>
    <w:rsid w:val="00FA7720"/>
    <w:rsid w:val="00FA7956"/>
    <w:rsid w:val="00FB0824"/>
    <w:rsid w:val="00FB0A18"/>
    <w:rsid w:val="00FB0D05"/>
    <w:rsid w:val="00FB1E73"/>
    <w:rsid w:val="00FB2D78"/>
    <w:rsid w:val="00FB2FCB"/>
    <w:rsid w:val="00FB3238"/>
    <w:rsid w:val="00FB32D3"/>
    <w:rsid w:val="00FB4549"/>
    <w:rsid w:val="00FB4C9C"/>
    <w:rsid w:val="00FB51E2"/>
    <w:rsid w:val="00FB5596"/>
    <w:rsid w:val="00FB6E23"/>
    <w:rsid w:val="00FB7C55"/>
    <w:rsid w:val="00FB7D00"/>
    <w:rsid w:val="00FB7E1C"/>
    <w:rsid w:val="00FC1074"/>
    <w:rsid w:val="00FC1884"/>
    <w:rsid w:val="00FC371D"/>
    <w:rsid w:val="00FC38CB"/>
    <w:rsid w:val="00FC3B2B"/>
    <w:rsid w:val="00FC49B6"/>
    <w:rsid w:val="00FC4AA2"/>
    <w:rsid w:val="00FC4EB0"/>
    <w:rsid w:val="00FC5205"/>
    <w:rsid w:val="00FC54ED"/>
    <w:rsid w:val="00FC5F0B"/>
    <w:rsid w:val="00FC5F95"/>
    <w:rsid w:val="00FC6A79"/>
    <w:rsid w:val="00FC7214"/>
    <w:rsid w:val="00FD0183"/>
    <w:rsid w:val="00FD1A58"/>
    <w:rsid w:val="00FD2100"/>
    <w:rsid w:val="00FD436C"/>
    <w:rsid w:val="00FD446D"/>
    <w:rsid w:val="00FD4F2C"/>
    <w:rsid w:val="00FD6394"/>
    <w:rsid w:val="00FD64B9"/>
    <w:rsid w:val="00FE0013"/>
    <w:rsid w:val="00FE0E6C"/>
    <w:rsid w:val="00FE11D0"/>
    <w:rsid w:val="00FE14EF"/>
    <w:rsid w:val="00FE166C"/>
    <w:rsid w:val="00FE1CDC"/>
    <w:rsid w:val="00FE1FDF"/>
    <w:rsid w:val="00FE3070"/>
    <w:rsid w:val="00FE3CA4"/>
    <w:rsid w:val="00FE40ED"/>
    <w:rsid w:val="00FE447E"/>
    <w:rsid w:val="00FE44E7"/>
    <w:rsid w:val="00FE4647"/>
    <w:rsid w:val="00FE555D"/>
    <w:rsid w:val="00FE5AB3"/>
    <w:rsid w:val="00FE6A26"/>
    <w:rsid w:val="00FE6C64"/>
    <w:rsid w:val="00FE70C3"/>
    <w:rsid w:val="00FF0304"/>
    <w:rsid w:val="00FF05E1"/>
    <w:rsid w:val="00FF132C"/>
    <w:rsid w:val="00FF1A8B"/>
    <w:rsid w:val="00FF2AD9"/>
    <w:rsid w:val="00FF311F"/>
    <w:rsid w:val="00FF359F"/>
    <w:rsid w:val="00FF3809"/>
    <w:rsid w:val="00FF3DCF"/>
    <w:rsid w:val="00FF492C"/>
    <w:rsid w:val="00FF4A21"/>
    <w:rsid w:val="00FF5AA3"/>
    <w:rsid w:val="00FF5AD8"/>
    <w:rsid w:val="00FF6D88"/>
    <w:rsid w:val="2A33F06F"/>
    <w:rsid w:val="2D28B400"/>
    <w:rsid w:val="2D661915"/>
    <w:rsid w:val="2D869F89"/>
    <w:rsid w:val="38E709C5"/>
    <w:rsid w:val="3F8D5A38"/>
    <w:rsid w:val="4974B17B"/>
    <w:rsid w:val="4BA194F5"/>
    <w:rsid w:val="5F23EA82"/>
    <w:rsid w:val="76F0D63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L"/>
    <w:link w:val="ListParagraphChar"/>
    <w:uiPriority w:val="34"/>
    <w:qFormat/>
    <w:rsid w:val="004C3B02"/>
    <w:pPr>
      <w:numPr>
        <w:numId w:val="7"/>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L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RTI AMCP Table,new style,PBAC table,HTAtableplain,MSD Table Grid,Dossier table,Section 3- footnotes,Header Table,NICE instructions,Source table_,HealthConsult,Lash Style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Table HEADER PBAC,-H18,Annotationmark"/>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8"/>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8"/>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6"/>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EA5146"/>
    <w:pPr>
      <w:keepLines/>
      <w:spacing w:after="300"/>
      <w:contextualSpacing/>
    </w:pPr>
    <w:rPr>
      <w:rFonts w:ascii="Arial Narrow" w:hAnsi="Arial Narrow"/>
      <w:snapToGrid w:val="0"/>
      <w:sz w:val="18"/>
      <w:szCs w:val="22"/>
    </w:rPr>
  </w:style>
  <w:style w:type="character" w:customStyle="1" w:styleId="TableFigureFooterChar">
    <w:name w:val="Table/Figure Footer Char"/>
    <w:link w:val="TableFigureFooter"/>
    <w:rsid w:val="00EA5146"/>
    <w:rPr>
      <w:rFonts w:ascii="Arial Narrow" w:hAnsi="Arial Narrow" w:cs="Arial"/>
      <w:snapToGrid w:val="0"/>
      <w:sz w:val="18"/>
      <w:szCs w:val="22"/>
    </w:rPr>
  </w:style>
  <w:style w:type="paragraph" w:styleId="FootnoteText">
    <w:name w:val="footnote text"/>
    <w:aliases w:val="Char"/>
    <w:basedOn w:val="Normal"/>
    <w:link w:val="FootnoteTextChar"/>
    <w:unhideWhenUsed/>
    <w:rsid w:val="00960FBA"/>
    <w:rPr>
      <w:sz w:val="20"/>
      <w:szCs w:val="20"/>
    </w:rPr>
  </w:style>
  <w:style w:type="character" w:customStyle="1" w:styleId="FootnoteTextChar">
    <w:name w:val="Footnote Text Char"/>
    <w:aliases w:val="Char Char"/>
    <w:basedOn w:val="DefaultParagraphFont"/>
    <w:link w:val="FootnoteText"/>
    <w:rsid w:val="00960FBA"/>
    <w:rPr>
      <w:rFonts w:ascii="Calibri" w:hAnsi="Calibri" w:cs="Arial"/>
    </w:rPr>
  </w:style>
  <w:style w:type="character" w:styleId="FootnoteReference">
    <w:name w:val="footnote reference"/>
    <w:basedOn w:val="DefaultParagraphFont"/>
    <w:unhideWhenUsed/>
    <w:rsid w:val="00960FBA"/>
    <w:rPr>
      <w:vertAlign w:val="superscript"/>
    </w:rPr>
  </w:style>
  <w:style w:type="paragraph" w:customStyle="1" w:styleId="PBACTabletext">
    <w:name w:val="PBAC Table text"/>
    <w:link w:val="PBACTabletextChar"/>
    <w:qFormat/>
    <w:rsid w:val="00DC027D"/>
    <w:pPr>
      <w:keepNext/>
      <w:keepLines/>
      <w:suppressLineNumbers/>
      <w:spacing w:before="20" w:after="20"/>
      <w:ind w:right="57"/>
      <w:textboxTightWrap w:val="allLines"/>
    </w:pPr>
    <w:rPr>
      <w:rFonts w:ascii="Arial Narrow" w:hAnsi="Arial Narrow" w:cstheme="minorHAnsi"/>
      <w:lang w:eastAsia="en-GB"/>
    </w:rPr>
  </w:style>
  <w:style w:type="character" w:customStyle="1" w:styleId="PBACTabletextChar">
    <w:name w:val="PBAC Table text Char"/>
    <w:basedOn w:val="DefaultParagraphFont"/>
    <w:link w:val="PBACTabletext"/>
    <w:rsid w:val="00DC027D"/>
    <w:rPr>
      <w:rFonts w:ascii="Arial Narrow" w:hAnsi="Arial Narrow" w:cstheme="minorHAnsi"/>
      <w:lang w:eastAsia="en-GB"/>
    </w:rPr>
  </w:style>
  <w:style w:type="paragraph" w:customStyle="1" w:styleId="PBACTableText0">
    <w:name w:val="PBAC Table Text"/>
    <w:basedOn w:val="Normal"/>
    <w:link w:val="PBACTableTextChar0"/>
    <w:qFormat/>
    <w:rsid w:val="00D67ADE"/>
    <w:pPr>
      <w:spacing w:before="40" w:after="40"/>
      <w:jc w:val="left"/>
    </w:pPr>
    <w:rPr>
      <w:rFonts w:ascii="Arial Narrow" w:hAnsi="Arial Narrow" w:cstheme="minorHAnsi"/>
      <w:sz w:val="20"/>
      <w:szCs w:val="20"/>
      <w:lang w:eastAsia="en-US"/>
    </w:rPr>
  </w:style>
  <w:style w:type="character" w:customStyle="1" w:styleId="PBACTableTextChar0">
    <w:name w:val="PBAC Table Text Char"/>
    <w:basedOn w:val="DefaultParagraphFont"/>
    <w:link w:val="PBACTableText0"/>
    <w:rsid w:val="00D67ADE"/>
    <w:rPr>
      <w:rFonts w:ascii="Arial Narrow" w:hAnsi="Arial Narrow" w:cstheme="minorHAnsi"/>
      <w:lang w:eastAsia="en-US"/>
    </w:rPr>
  </w:style>
  <w:style w:type="paragraph" w:customStyle="1" w:styleId="PBACTblFignote">
    <w:name w:val="PBAC Tbl/Fig note"/>
    <w:qFormat/>
    <w:rsid w:val="00162D16"/>
    <w:pPr>
      <w:keepNext/>
      <w:keepLines/>
      <w:spacing w:before="40"/>
      <w:textboxTightWrap w:val="allLines"/>
    </w:pPr>
    <w:rPr>
      <w:rFonts w:ascii="Arial Narrow" w:hAnsi="Arial Narrow" w:cs="Arial"/>
      <w:sz w:val="18"/>
      <w:szCs w:val="24"/>
      <w:lang w:eastAsia="en-GB"/>
    </w:rPr>
  </w:style>
  <w:style w:type="paragraph" w:customStyle="1" w:styleId="TableText1">
    <w:name w:val="Table Text 1"/>
    <w:basedOn w:val="Normal"/>
    <w:qFormat/>
    <w:rsid w:val="0074765C"/>
    <w:pPr>
      <w:spacing w:after="240"/>
      <w:jc w:val="left"/>
    </w:pPr>
    <w:rPr>
      <w:rFonts w:ascii="Arial Narrow" w:eastAsiaTheme="minorHAnsi" w:hAnsi="Arial Narrow" w:cstheme="minorBidi"/>
      <w:sz w:val="20"/>
      <w:szCs w:val="20"/>
      <w:lang w:eastAsia="en-US"/>
    </w:rPr>
  </w:style>
  <w:style w:type="character" w:styleId="UnresolvedMention">
    <w:name w:val="Unresolved Mention"/>
    <w:basedOn w:val="DefaultParagraphFont"/>
    <w:uiPriority w:val="99"/>
    <w:unhideWhenUsed/>
    <w:rsid w:val="004B58E2"/>
    <w:rPr>
      <w:color w:val="605E5C"/>
      <w:shd w:val="clear" w:color="auto" w:fill="E1DFDD"/>
    </w:rPr>
  </w:style>
  <w:style w:type="table" w:customStyle="1" w:styleId="Submissionstandard1">
    <w:name w:val="Submission standard1"/>
    <w:basedOn w:val="TableNormal"/>
    <w:uiPriority w:val="99"/>
    <w:qFormat/>
    <w:rsid w:val="000279DB"/>
    <w:rPr>
      <w:rFonts w:ascii="Arial Narrow" w:eastAsiaTheme="majorEastAsia" w:hAnsi="Arial Narrow" w:cstheme="maj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Trebuchet MS" w:hAnsi="Trebuchet MS" w:cstheme="majorBidi"/>
        <w:b/>
        <w:sz w:val="20"/>
      </w:rPr>
      <w:tblPr/>
      <w:tcPr>
        <w:shd w:val="clear" w:color="auto" w:fill="BFBFBF" w:themeFill="background1" w:themeFillShade="BF"/>
      </w:tcPr>
    </w:tblStylePr>
  </w:style>
  <w:style w:type="paragraph" w:customStyle="1" w:styleId="EndNoteBibliographyTitle">
    <w:name w:val="EndNote Bibliography Title"/>
    <w:basedOn w:val="Normal"/>
    <w:link w:val="EndNoteBibliographyTitleChar"/>
    <w:rsid w:val="00C33493"/>
    <w:pPr>
      <w:jc w:val="center"/>
    </w:pPr>
    <w:rPr>
      <w:rFonts w:cs="Calibri"/>
      <w:noProof/>
    </w:rPr>
  </w:style>
  <w:style w:type="character" w:customStyle="1" w:styleId="EndNoteBibliographyTitleChar">
    <w:name w:val="EndNote Bibliography Title Char"/>
    <w:basedOn w:val="DefaultParagraphFont"/>
    <w:link w:val="EndNoteBibliographyTitle"/>
    <w:rsid w:val="00C33493"/>
    <w:rPr>
      <w:rFonts w:ascii="Calibri" w:hAnsi="Calibri" w:cs="Calibri"/>
      <w:noProof/>
      <w:sz w:val="24"/>
      <w:szCs w:val="24"/>
    </w:rPr>
  </w:style>
  <w:style w:type="paragraph" w:customStyle="1" w:styleId="EndNoteBibliography">
    <w:name w:val="EndNote Bibliography"/>
    <w:basedOn w:val="Normal"/>
    <w:link w:val="EndNoteBibliographyChar"/>
    <w:rsid w:val="00C33493"/>
    <w:rPr>
      <w:rFonts w:cs="Calibri"/>
      <w:noProof/>
    </w:rPr>
  </w:style>
  <w:style w:type="character" w:customStyle="1" w:styleId="EndNoteBibliographyChar">
    <w:name w:val="EndNote Bibliography Char"/>
    <w:basedOn w:val="DefaultParagraphFont"/>
    <w:link w:val="EndNoteBibliography"/>
    <w:rsid w:val="00C33493"/>
    <w:rPr>
      <w:rFonts w:ascii="Calibri" w:hAnsi="Calibri" w:cs="Calibri"/>
      <w:noProof/>
      <w:sz w:val="24"/>
      <w:szCs w:val="24"/>
    </w:rPr>
  </w:style>
  <w:style w:type="paragraph" w:customStyle="1" w:styleId="pf0">
    <w:name w:val="pf0"/>
    <w:basedOn w:val="Normal"/>
    <w:rsid w:val="00D0417B"/>
    <w:pPr>
      <w:spacing w:before="100" w:beforeAutospacing="1" w:after="100" w:afterAutospacing="1"/>
      <w:jc w:val="left"/>
    </w:pPr>
    <w:rPr>
      <w:rFonts w:ascii="Times New Roman" w:hAnsi="Times New Roman" w:cs="Times New Roman"/>
    </w:rPr>
  </w:style>
  <w:style w:type="paragraph" w:styleId="PlainText">
    <w:name w:val="Plain Text"/>
    <w:basedOn w:val="Normal"/>
    <w:link w:val="PlainTextChar"/>
    <w:uiPriority w:val="99"/>
    <w:rsid w:val="00E75799"/>
    <w:pPr>
      <w:jc w:val="left"/>
    </w:pPr>
    <w:rPr>
      <w:rFonts w:ascii="Courier New" w:hAnsi="Courier New" w:cs="Times New Roman"/>
      <w:sz w:val="20"/>
      <w:szCs w:val="20"/>
    </w:rPr>
  </w:style>
  <w:style w:type="character" w:customStyle="1" w:styleId="PlainTextChar">
    <w:name w:val="Plain Text Char"/>
    <w:basedOn w:val="DefaultParagraphFont"/>
    <w:link w:val="PlainText"/>
    <w:uiPriority w:val="99"/>
    <w:rsid w:val="00E75799"/>
    <w:rPr>
      <w:rFonts w:ascii="Courier New" w:hAnsi="Courier New"/>
    </w:rPr>
  </w:style>
  <w:style w:type="paragraph" w:customStyle="1" w:styleId="3-SubsectionHeading">
    <w:name w:val="3-Subsection Heading"/>
    <w:basedOn w:val="Heading2"/>
    <w:next w:val="Normal"/>
    <w:link w:val="3-SubsectionHeadingChar"/>
    <w:qFormat/>
    <w:rsid w:val="00774F51"/>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774F51"/>
    <w:rPr>
      <w:rFonts w:asciiTheme="minorHAnsi" w:eastAsiaTheme="majorEastAsia" w:hAnsiTheme="minorHAnsi" w:cstheme="majorBidi"/>
      <w:b/>
      <w:i/>
      <w:snapToGrid/>
      <w:spacing w:val="5"/>
      <w:kern w:val="28"/>
      <w:sz w:val="28"/>
      <w:szCs w:val="36"/>
      <w:lang w:eastAsia="en-US"/>
    </w:rPr>
  </w:style>
  <w:style w:type="paragraph" w:customStyle="1" w:styleId="paragraph">
    <w:name w:val="paragraph"/>
    <w:basedOn w:val="Normal"/>
    <w:rsid w:val="00184691"/>
    <w:pPr>
      <w:spacing w:before="100" w:beforeAutospacing="1" w:after="100" w:afterAutospacing="1"/>
      <w:jc w:val="left"/>
    </w:pPr>
    <w:rPr>
      <w:rFonts w:ascii="Times New Roman" w:hAnsi="Times New Roman" w:cs="Times New Roman"/>
    </w:rPr>
  </w:style>
  <w:style w:type="character" w:customStyle="1" w:styleId="normaltextrun">
    <w:name w:val="normaltextrun"/>
    <w:basedOn w:val="DefaultParagraphFont"/>
    <w:rsid w:val="00184691"/>
  </w:style>
  <w:style w:type="character" w:customStyle="1" w:styleId="eop">
    <w:name w:val="eop"/>
    <w:basedOn w:val="DefaultParagraphFont"/>
    <w:rsid w:val="00184691"/>
  </w:style>
  <w:style w:type="character" w:styleId="Mention">
    <w:name w:val="Mention"/>
    <w:basedOn w:val="DefaultParagraphFont"/>
    <w:uiPriority w:val="99"/>
    <w:unhideWhenUsed/>
    <w:rsid w:val="004410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448">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56045214">
      <w:bodyDiv w:val="1"/>
      <w:marLeft w:val="0"/>
      <w:marRight w:val="0"/>
      <w:marTop w:val="0"/>
      <w:marBottom w:val="0"/>
      <w:divBdr>
        <w:top w:val="none" w:sz="0" w:space="0" w:color="auto"/>
        <w:left w:val="none" w:sz="0" w:space="0" w:color="auto"/>
        <w:bottom w:val="none" w:sz="0" w:space="0" w:color="auto"/>
        <w:right w:val="none" w:sz="0" w:space="0" w:color="auto"/>
      </w:divBdr>
    </w:div>
    <w:div w:id="207576100">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62904022">
      <w:bodyDiv w:val="1"/>
      <w:marLeft w:val="0"/>
      <w:marRight w:val="0"/>
      <w:marTop w:val="0"/>
      <w:marBottom w:val="0"/>
      <w:divBdr>
        <w:top w:val="none" w:sz="0" w:space="0" w:color="auto"/>
        <w:left w:val="none" w:sz="0" w:space="0" w:color="auto"/>
        <w:bottom w:val="none" w:sz="0" w:space="0" w:color="auto"/>
        <w:right w:val="none" w:sz="0" w:space="0" w:color="auto"/>
      </w:divBdr>
      <w:divsChild>
        <w:div w:id="64035679">
          <w:marLeft w:val="0"/>
          <w:marRight w:val="0"/>
          <w:marTop w:val="0"/>
          <w:marBottom w:val="0"/>
          <w:divBdr>
            <w:top w:val="none" w:sz="0" w:space="0" w:color="auto"/>
            <w:left w:val="none" w:sz="0" w:space="0" w:color="auto"/>
            <w:bottom w:val="none" w:sz="0" w:space="0" w:color="auto"/>
            <w:right w:val="none" w:sz="0" w:space="0" w:color="auto"/>
          </w:divBdr>
        </w:div>
        <w:div w:id="335349399">
          <w:marLeft w:val="0"/>
          <w:marRight w:val="0"/>
          <w:marTop w:val="0"/>
          <w:marBottom w:val="0"/>
          <w:divBdr>
            <w:top w:val="none" w:sz="0" w:space="0" w:color="auto"/>
            <w:left w:val="none" w:sz="0" w:space="0" w:color="auto"/>
            <w:bottom w:val="none" w:sz="0" w:space="0" w:color="auto"/>
            <w:right w:val="none" w:sz="0" w:space="0" w:color="auto"/>
          </w:divBdr>
        </w:div>
        <w:div w:id="1582175207">
          <w:marLeft w:val="0"/>
          <w:marRight w:val="0"/>
          <w:marTop w:val="0"/>
          <w:marBottom w:val="0"/>
          <w:divBdr>
            <w:top w:val="none" w:sz="0" w:space="0" w:color="auto"/>
            <w:left w:val="none" w:sz="0" w:space="0" w:color="auto"/>
            <w:bottom w:val="none" w:sz="0" w:space="0" w:color="auto"/>
            <w:right w:val="none" w:sz="0" w:space="0" w:color="auto"/>
          </w:divBdr>
        </w:div>
      </w:divsChild>
    </w:div>
    <w:div w:id="370540866">
      <w:bodyDiv w:val="1"/>
      <w:marLeft w:val="0"/>
      <w:marRight w:val="0"/>
      <w:marTop w:val="0"/>
      <w:marBottom w:val="0"/>
      <w:divBdr>
        <w:top w:val="none" w:sz="0" w:space="0" w:color="auto"/>
        <w:left w:val="none" w:sz="0" w:space="0" w:color="auto"/>
        <w:bottom w:val="none" w:sz="0" w:space="0" w:color="auto"/>
        <w:right w:val="none" w:sz="0" w:space="0" w:color="auto"/>
      </w:divBdr>
    </w:div>
    <w:div w:id="383330424">
      <w:bodyDiv w:val="1"/>
      <w:marLeft w:val="0"/>
      <w:marRight w:val="0"/>
      <w:marTop w:val="0"/>
      <w:marBottom w:val="0"/>
      <w:divBdr>
        <w:top w:val="none" w:sz="0" w:space="0" w:color="auto"/>
        <w:left w:val="none" w:sz="0" w:space="0" w:color="auto"/>
        <w:bottom w:val="none" w:sz="0" w:space="0" w:color="auto"/>
        <w:right w:val="none" w:sz="0" w:space="0" w:color="auto"/>
      </w:divBdr>
      <w:divsChild>
        <w:div w:id="386883351">
          <w:marLeft w:val="0"/>
          <w:marRight w:val="0"/>
          <w:marTop w:val="0"/>
          <w:marBottom w:val="0"/>
          <w:divBdr>
            <w:top w:val="none" w:sz="0" w:space="0" w:color="auto"/>
            <w:left w:val="none" w:sz="0" w:space="0" w:color="auto"/>
            <w:bottom w:val="none" w:sz="0" w:space="0" w:color="auto"/>
            <w:right w:val="none" w:sz="0" w:space="0" w:color="auto"/>
          </w:divBdr>
        </w:div>
        <w:div w:id="735864078">
          <w:marLeft w:val="0"/>
          <w:marRight w:val="0"/>
          <w:marTop w:val="0"/>
          <w:marBottom w:val="0"/>
          <w:divBdr>
            <w:top w:val="none" w:sz="0" w:space="0" w:color="auto"/>
            <w:left w:val="none" w:sz="0" w:space="0" w:color="auto"/>
            <w:bottom w:val="none" w:sz="0" w:space="0" w:color="auto"/>
            <w:right w:val="none" w:sz="0" w:space="0" w:color="auto"/>
          </w:divBdr>
        </w:div>
        <w:div w:id="1912613181">
          <w:marLeft w:val="0"/>
          <w:marRight w:val="0"/>
          <w:marTop w:val="0"/>
          <w:marBottom w:val="0"/>
          <w:divBdr>
            <w:top w:val="none" w:sz="0" w:space="0" w:color="auto"/>
            <w:left w:val="none" w:sz="0" w:space="0" w:color="auto"/>
            <w:bottom w:val="none" w:sz="0" w:space="0" w:color="auto"/>
            <w:right w:val="none" w:sz="0" w:space="0" w:color="auto"/>
          </w:divBdr>
        </w:div>
      </w:divsChild>
    </w:div>
    <w:div w:id="623274776">
      <w:bodyDiv w:val="1"/>
      <w:marLeft w:val="0"/>
      <w:marRight w:val="0"/>
      <w:marTop w:val="0"/>
      <w:marBottom w:val="0"/>
      <w:divBdr>
        <w:top w:val="none" w:sz="0" w:space="0" w:color="auto"/>
        <w:left w:val="none" w:sz="0" w:space="0" w:color="auto"/>
        <w:bottom w:val="none" w:sz="0" w:space="0" w:color="auto"/>
        <w:right w:val="none" w:sz="0" w:space="0" w:color="auto"/>
      </w:divBdr>
    </w:div>
    <w:div w:id="705567080">
      <w:bodyDiv w:val="1"/>
      <w:marLeft w:val="0"/>
      <w:marRight w:val="0"/>
      <w:marTop w:val="0"/>
      <w:marBottom w:val="0"/>
      <w:divBdr>
        <w:top w:val="none" w:sz="0" w:space="0" w:color="auto"/>
        <w:left w:val="none" w:sz="0" w:space="0" w:color="auto"/>
        <w:bottom w:val="none" w:sz="0" w:space="0" w:color="auto"/>
        <w:right w:val="none" w:sz="0" w:space="0" w:color="auto"/>
      </w:divBdr>
    </w:div>
    <w:div w:id="764155012">
      <w:bodyDiv w:val="1"/>
      <w:marLeft w:val="0"/>
      <w:marRight w:val="0"/>
      <w:marTop w:val="0"/>
      <w:marBottom w:val="0"/>
      <w:divBdr>
        <w:top w:val="none" w:sz="0" w:space="0" w:color="auto"/>
        <w:left w:val="none" w:sz="0" w:space="0" w:color="auto"/>
        <w:bottom w:val="none" w:sz="0" w:space="0" w:color="auto"/>
        <w:right w:val="none" w:sz="0" w:space="0" w:color="auto"/>
      </w:divBdr>
      <w:divsChild>
        <w:div w:id="620303563">
          <w:marLeft w:val="0"/>
          <w:marRight w:val="0"/>
          <w:marTop w:val="0"/>
          <w:marBottom w:val="0"/>
          <w:divBdr>
            <w:top w:val="none" w:sz="0" w:space="0" w:color="auto"/>
            <w:left w:val="none" w:sz="0" w:space="0" w:color="auto"/>
            <w:bottom w:val="none" w:sz="0" w:space="0" w:color="auto"/>
            <w:right w:val="none" w:sz="0" w:space="0" w:color="auto"/>
          </w:divBdr>
        </w:div>
        <w:div w:id="1044217055">
          <w:marLeft w:val="0"/>
          <w:marRight w:val="0"/>
          <w:marTop w:val="0"/>
          <w:marBottom w:val="0"/>
          <w:divBdr>
            <w:top w:val="none" w:sz="0" w:space="0" w:color="auto"/>
            <w:left w:val="none" w:sz="0" w:space="0" w:color="auto"/>
            <w:bottom w:val="none" w:sz="0" w:space="0" w:color="auto"/>
            <w:right w:val="none" w:sz="0" w:space="0" w:color="auto"/>
          </w:divBdr>
        </w:div>
        <w:div w:id="1691712669">
          <w:marLeft w:val="0"/>
          <w:marRight w:val="0"/>
          <w:marTop w:val="0"/>
          <w:marBottom w:val="0"/>
          <w:divBdr>
            <w:top w:val="none" w:sz="0" w:space="0" w:color="auto"/>
            <w:left w:val="none" w:sz="0" w:space="0" w:color="auto"/>
            <w:bottom w:val="none" w:sz="0" w:space="0" w:color="auto"/>
            <w:right w:val="none" w:sz="0" w:space="0" w:color="auto"/>
          </w:divBdr>
        </w:div>
      </w:divsChild>
    </w:div>
    <w:div w:id="769356320">
      <w:bodyDiv w:val="1"/>
      <w:marLeft w:val="0"/>
      <w:marRight w:val="0"/>
      <w:marTop w:val="0"/>
      <w:marBottom w:val="0"/>
      <w:divBdr>
        <w:top w:val="none" w:sz="0" w:space="0" w:color="auto"/>
        <w:left w:val="none" w:sz="0" w:space="0" w:color="auto"/>
        <w:bottom w:val="none" w:sz="0" w:space="0" w:color="auto"/>
        <w:right w:val="none" w:sz="0" w:space="0" w:color="auto"/>
      </w:divBdr>
      <w:divsChild>
        <w:div w:id="329842779">
          <w:marLeft w:val="0"/>
          <w:marRight w:val="0"/>
          <w:marTop w:val="0"/>
          <w:marBottom w:val="0"/>
          <w:divBdr>
            <w:top w:val="none" w:sz="0" w:space="0" w:color="auto"/>
            <w:left w:val="none" w:sz="0" w:space="0" w:color="auto"/>
            <w:bottom w:val="none" w:sz="0" w:space="0" w:color="auto"/>
            <w:right w:val="none" w:sz="0" w:space="0" w:color="auto"/>
          </w:divBdr>
        </w:div>
        <w:div w:id="667753781">
          <w:marLeft w:val="0"/>
          <w:marRight w:val="0"/>
          <w:marTop w:val="0"/>
          <w:marBottom w:val="0"/>
          <w:divBdr>
            <w:top w:val="none" w:sz="0" w:space="0" w:color="auto"/>
            <w:left w:val="none" w:sz="0" w:space="0" w:color="auto"/>
            <w:bottom w:val="none" w:sz="0" w:space="0" w:color="auto"/>
            <w:right w:val="none" w:sz="0" w:space="0" w:color="auto"/>
          </w:divBdr>
        </w:div>
        <w:div w:id="2029790121">
          <w:marLeft w:val="0"/>
          <w:marRight w:val="0"/>
          <w:marTop w:val="0"/>
          <w:marBottom w:val="0"/>
          <w:divBdr>
            <w:top w:val="none" w:sz="0" w:space="0" w:color="auto"/>
            <w:left w:val="none" w:sz="0" w:space="0" w:color="auto"/>
            <w:bottom w:val="none" w:sz="0" w:space="0" w:color="auto"/>
            <w:right w:val="none" w:sz="0" w:space="0" w:color="auto"/>
          </w:divBdr>
        </w:div>
      </w:divsChild>
    </w:div>
    <w:div w:id="778568758">
      <w:bodyDiv w:val="1"/>
      <w:marLeft w:val="0"/>
      <w:marRight w:val="0"/>
      <w:marTop w:val="0"/>
      <w:marBottom w:val="0"/>
      <w:divBdr>
        <w:top w:val="none" w:sz="0" w:space="0" w:color="auto"/>
        <w:left w:val="none" w:sz="0" w:space="0" w:color="auto"/>
        <w:bottom w:val="none" w:sz="0" w:space="0" w:color="auto"/>
        <w:right w:val="none" w:sz="0" w:space="0" w:color="auto"/>
      </w:divBdr>
    </w:div>
    <w:div w:id="785193971">
      <w:bodyDiv w:val="1"/>
      <w:marLeft w:val="0"/>
      <w:marRight w:val="0"/>
      <w:marTop w:val="0"/>
      <w:marBottom w:val="0"/>
      <w:divBdr>
        <w:top w:val="none" w:sz="0" w:space="0" w:color="auto"/>
        <w:left w:val="none" w:sz="0" w:space="0" w:color="auto"/>
        <w:bottom w:val="none" w:sz="0" w:space="0" w:color="auto"/>
        <w:right w:val="none" w:sz="0" w:space="0" w:color="auto"/>
      </w:divBdr>
    </w:div>
    <w:div w:id="826283812">
      <w:bodyDiv w:val="1"/>
      <w:marLeft w:val="0"/>
      <w:marRight w:val="0"/>
      <w:marTop w:val="0"/>
      <w:marBottom w:val="0"/>
      <w:divBdr>
        <w:top w:val="none" w:sz="0" w:space="0" w:color="auto"/>
        <w:left w:val="none" w:sz="0" w:space="0" w:color="auto"/>
        <w:bottom w:val="none" w:sz="0" w:space="0" w:color="auto"/>
        <w:right w:val="none" w:sz="0" w:space="0" w:color="auto"/>
      </w:divBdr>
      <w:divsChild>
        <w:div w:id="115678627">
          <w:marLeft w:val="0"/>
          <w:marRight w:val="0"/>
          <w:marTop w:val="0"/>
          <w:marBottom w:val="0"/>
          <w:divBdr>
            <w:top w:val="none" w:sz="0" w:space="0" w:color="auto"/>
            <w:left w:val="none" w:sz="0" w:space="0" w:color="auto"/>
            <w:bottom w:val="none" w:sz="0" w:space="0" w:color="auto"/>
            <w:right w:val="none" w:sz="0" w:space="0" w:color="auto"/>
          </w:divBdr>
        </w:div>
        <w:div w:id="1624071753">
          <w:marLeft w:val="0"/>
          <w:marRight w:val="0"/>
          <w:marTop w:val="0"/>
          <w:marBottom w:val="0"/>
          <w:divBdr>
            <w:top w:val="none" w:sz="0" w:space="0" w:color="auto"/>
            <w:left w:val="none" w:sz="0" w:space="0" w:color="auto"/>
            <w:bottom w:val="none" w:sz="0" w:space="0" w:color="auto"/>
            <w:right w:val="none" w:sz="0" w:space="0" w:color="auto"/>
          </w:divBdr>
        </w:div>
        <w:div w:id="2049180311">
          <w:marLeft w:val="0"/>
          <w:marRight w:val="0"/>
          <w:marTop w:val="0"/>
          <w:marBottom w:val="0"/>
          <w:divBdr>
            <w:top w:val="none" w:sz="0" w:space="0" w:color="auto"/>
            <w:left w:val="none" w:sz="0" w:space="0" w:color="auto"/>
            <w:bottom w:val="none" w:sz="0" w:space="0" w:color="auto"/>
            <w:right w:val="none" w:sz="0" w:space="0" w:color="auto"/>
          </w:divBdr>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92615911">
      <w:bodyDiv w:val="1"/>
      <w:marLeft w:val="0"/>
      <w:marRight w:val="0"/>
      <w:marTop w:val="0"/>
      <w:marBottom w:val="0"/>
      <w:divBdr>
        <w:top w:val="none" w:sz="0" w:space="0" w:color="auto"/>
        <w:left w:val="none" w:sz="0" w:space="0" w:color="auto"/>
        <w:bottom w:val="none" w:sz="0" w:space="0" w:color="auto"/>
        <w:right w:val="none" w:sz="0" w:space="0" w:color="auto"/>
      </w:divBdr>
    </w:div>
    <w:div w:id="981273880">
      <w:bodyDiv w:val="1"/>
      <w:marLeft w:val="0"/>
      <w:marRight w:val="0"/>
      <w:marTop w:val="0"/>
      <w:marBottom w:val="0"/>
      <w:divBdr>
        <w:top w:val="none" w:sz="0" w:space="0" w:color="auto"/>
        <w:left w:val="none" w:sz="0" w:space="0" w:color="auto"/>
        <w:bottom w:val="none" w:sz="0" w:space="0" w:color="auto"/>
        <w:right w:val="none" w:sz="0" w:space="0" w:color="auto"/>
      </w:divBdr>
    </w:div>
    <w:div w:id="999120454">
      <w:bodyDiv w:val="1"/>
      <w:marLeft w:val="0"/>
      <w:marRight w:val="0"/>
      <w:marTop w:val="0"/>
      <w:marBottom w:val="0"/>
      <w:divBdr>
        <w:top w:val="none" w:sz="0" w:space="0" w:color="auto"/>
        <w:left w:val="none" w:sz="0" w:space="0" w:color="auto"/>
        <w:bottom w:val="none" w:sz="0" w:space="0" w:color="auto"/>
        <w:right w:val="none" w:sz="0" w:space="0" w:color="auto"/>
      </w:divBdr>
      <w:divsChild>
        <w:div w:id="931468835">
          <w:marLeft w:val="0"/>
          <w:marRight w:val="0"/>
          <w:marTop w:val="0"/>
          <w:marBottom w:val="0"/>
          <w:divBdr>
            <w:top w:val="none" w:sz="0" w:space="0" w:color="auto"/>
            <w:left w:val="none" w:sz="0" w:space="0" w:color="auto"/>
            <w:bottom w:val="none" w:sz="0" w:space="0" w:color="auto"/>
            <w:right w:val="none" w:sz="0" w:space="0" w:color="auto"/>
          </w:divBdr>
        </w:div>
        <w:div w:id="1128350707">
          <w:marLeft w:val="0"/>
          <w:marRight w:val="0"/>
          <w:marTop w:val="0"/>
          <w:marBottom w:val="0"/>
          <w:divBdr>
            <w:top w:val="none" w:sz="0" w:space="0" w:color="auto"/>
            <w:left w:val="none" w:sz="0" w:space="0" w:color="auto"/>
            <w:bottom w:val="none" w:sz="0" w:space="0" w:color="auto"/>
            <w:right w:val="none" w:sz="0" w:space="0" w:color="auto"/>
          </w:divBdr>
        </w:div>
        <w:div w:id="1755590357">
          <w:marLeft w:val="0"/>
          <w:marRight w:val="0"/>
          <w:marTop w:val="0"/>
          <w:marBottom w:val="0"/>
          <w:divBdr>
            <w:top w:val="none" w:sz="0" w:space="0" w:color="auto"/>
            <w:left w:val="none" w:sz="0" w:space="0" w:color="auto"/>
            <w:bottom w:val="none" w:sz="0" w:space="0" w:color="auto"/>
            <w:right w:val="none" w:sz="0" w:space="0" w:color="auto"/>
          </w:divBdr>
        </w:div>
      </w:divsChild>
    </w:div>
    <w:div w:id="1046837487">
      <w:bodyDiv w:val="1"/>
      <w:marLeft w:val="0"/>
      <w:marRight w:val="0"/>
      <w:marTop w:val="0"/>
      <w:marBottom w:val="0"/>
      <w:divBdr>
        <w:top w:val="none" w:sz="0" w:space="0" w:color="auto"/>
        <w:left w:val="none" w:sz="0" w:space="0" w:color="auto"/>
        <w:bottom w:val="none" w:sz="0" w:space="0" w:color="auto"/>
        <w:right w:val="none" w:sz="0" w:space="0" w:color="auto"/>
      </w:divBdr>
    </w:div>
    <w:div w:id="1059131155">
      <w:bodyDiv w:val="1"/>
      <w:marLeft w:val="0"/>
      <w:marRight w:val="0"/>
      <w:marTop w:val="0"/>
      <w:marBottom w:val="0"/>
      <w:divBdr>
        <w:top w:val="none" w:sz="0" w:space="0" w:color="auto"/>
        <w:left w:val="none" w:sz="0" w:space="0" w:color="auto"/>
        <w:bottom w:val="none" w:sz="0" w:space="0" w:color="auto"/>
        <w:right w:val="none" w:sz="0" w:space="0" w:color="auto"/>
      </w:divBdr>
    </w:div>
    <w:div w:id="1088236655">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445035022">
      <w:bodyDiv w:val="1"/>
      <w:marLeft w:val="0"/>
      <w:marRight w:val="0"/>
      <w:marTop w:val="0"/>
      <w:marBottom w:val="0"/>
      <w:divBdr>
        <w:top w:val="none" w:sz="0" w:space="0" w:color="auto"/>
        <w:left w:val="none" w:sz="0" w:space="0" w:color="auto"/>
        <w:bottom w:val="none" w:sz="0" w:space="0" w:color="auto"/>
        <w:right w:val="none" w:sz="0" w:space="0" w:color="auto"/>
      </w:divBdr>
    </w:div>
    <w:div w:id="1483038910">
      <w:bodyDiv w:val="1"/>
      <w:marLeft w:val="0"/>
      <w:marRight w:val="0"/>
      <w:marTop w:val="0"/>
      <w:marBottom w:val="0"/>
      <w:divBdr>
        <w:top w:val="none" w:sz="0" w:space="0" w:color="auto"/>
        <w:left w:val="none" w:sz="0" w:space="0" w:color="auto"/>
        <w:bottom w:val="none" w:sz="0" w:space="0" w:color="auto"/>
        <w:right w:val="none" w:sz="0" w:space="0" w:color="auto"/>
      </w:divBdr>
    </w:div>
    <w:div w:id="1488474353">
      <w:bodyDiv w:val="1"/>
      <w:marLeft w:val="0"/>
      <w:marRight w:val="0"/>
      <w:marTop w:val="0"/>
      <w:marBottom w:val="0"/>
      <w:divBdr>
        <w:top w:val="none" w:sz="0" w:space="0" w:color="auto"/>
        <w:left w:val="none" w:sz="0" w:space="0" w:color="auto"/>
        <w:bottom w:val="none" w:sz="0" w:space="0" w:color="auto"/>
        <w:right w:val="none" w:sz="0" w:space="0" w:color="auto"/>
      </w:divBdr>
    </w:div>
    <w:div w:id="1511021689">
      <w:bodyDiv w:val="1"/>
      <w:marLeft w:val="0"/>
      <w:marRight w:val="0"/>
      <w:marTop w:val="0"/>
      <w:marBottom w:val="0"/>
      <w:divBdr>
        <w:top w:val="none" w:sz="0" w:space="0" w:color="auto"/>
        <w:left w:val="none" w:sz="0" w:space="0" w:color="auto"/>
        <w:bottom w:val="none" w:sz="0" w:space="0" w:color="auto"/>
        <w:right w:val="none" w:sz="0" w:space="0" w:color="auto"/>
      </w:divBdr>
    </w:div>
    <w:div w:id="1552961819">
      <w:bodyDiv w:val="1"/>
      <w:marLeft w:val="0"/>
      <w:marRight w:val="0"/>
      <w:marTop w:val="0"/>
      <w:marBottom w:val="0"/>
      <w:divBdr>
        <w:top w:val="none" w:sz="0" w:space="0" w:color="auto"/>
        <w:left w:val="none" w:sz="0" w:space="0" w:color="auto"/>
        <w:bottom w:val="none" w:sz="0" w:space="0" w:color="auto"/>
        <w:right w:val="none" w:sz="0" w:space="0" w:color="auto"/>
      </w:divBdr>
    </w:div>
    <w:div w:id="1620843848">
      <w:bodyDiv w:val="1"/>
      <w:marLeft w:val="0"/>
      <w:marRight w:val="0"/>
      <w:marTop w:val="0"/>
      <w:marBottom w:val="0"/>
      <w:divBdr>
        <w:top w:val="none" w:sz="0" w:space="0" w:color="auto"/>
        <w:left w:val="none" w:sz="0" w:space="0" w:color="auto"/>
        <w:bottom w:val="none" w:sz="0" w:space="0" w:color="auto"/>
        <w:right w:val="none" w:sz="0" w:space="0" w:color="auto"/>
      </w:divBdr>
    </w:div>
    <w:div w:id="1641032718">
      <w:bodyDiv w:val="1"/>
      <w:marLeft w:val="0"/>
      <w:marRight w:val="0"/>
      <w:marTop w:val="0"/>
      <w:marBottom w:val="0"/>
      <w:divBdr>
        <w:top w:val="none" w:sz="0" w:space="0" w:color="auto"/>
        <w:left w:val="none" w:sz="0" w:space="0" w:color="auto"/>
        <w:bottom w:val="none" w:sz="0" w:space="0" w:color="auto"/>
        <w:right w:val="none" w:sz="0" w:space="0" w:color="auto"/>
      </w:divBdr>
    </w:div>
    <w:div w:id="1647517005">
      <w:bodyDiv w:val="1"/>
      <w:marLeft w:val="0"/>
      <w:marRight w:val="0"/>
      <w:marTop w:val="0"/>
      <w:marBottom w:val="0"/>
      <w:divBdr>
        <w:top w:val="none" w:sz="0" w:space="0" w:color="auto"/>
        <w:left w:val="none" w:sz="0" w:space="0" w:color="auto"/>
        <w:bottom w:val="none" w:sz="0" w:space="0" w:color="auto"/>
        <w:right w:val="none" w:sz="0" w:space="0" w:color="auto"/>
      </w:divBdr>
    </w:div>
    <w:div w:id="1682587986">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111923986">
      <w:bodyDiv w:val="1"/>
      <w:marLeft w:val="0"/>
      <w:marRight w:val="0"/>
      <w:marTop w:val="0"/>
      <w:marBottom w:val="0"/>
      <w:divBdr>
        <w:top w:val="none" w:sz="0" w:space="0" w:color="auto"/>
        <w:left w:val="none" w:sz="0" w:space="0" w:color="auto"/>
        <w:bottom w:val="none" w:sz="0" w:space="0" w:color="auto"/>
        <w:right w:val="none" w:sz="0" w:space="0" w:color="auto"/>
      </w:divBdr>
    </w:div>
    <w:div w:id="2123189674">
      <w:bodyDiv w:val="1"/>
      <w:marLeft w:val="0"/>
      <w:marRight w:val="0"/>
      <w:marTop w:val="0"/>
      <w:marBottom w:val="0"/>
      <w:divBdr>
        <w:top w:val="none" w:sz="0" w:space="0" w:color="auto"/>
        <w:left w:val="none" w:sz="0" w:space="0" w:color="auto"/>
        <w:bottom w:val="none" w:sz="0" w:space="0" w:color="auto"/>
        <w:right w:val="none" w:sz="0" w:space="0" w:color="auto"/>
      </w:divBdr>
    </w:div>
    <w:div w:id="2126383453">
      <w:bodyDiv w:val="1"/>
      <w:marLeft w:val="0"/>
      <w:marRight w:val="0"/>
      <w:marTop w:val="0"/>
      <w:marBottom w:val="0"/>
      <w:divBdr>
        <w:top w:val="none" w:sz="0" w:space="0" w:color="auto"/>
        <w:left w:val="none" w:sz="0" w:space="0" w:color="auto"/>
        <w:bottom w:val="none" w:sz="0" w:space="0" w:color="auto"/>
        <w:right w:val="none" w:sz="0" w:space="0" w:color="auto"/>
      </w:divBdr>
    </w:div>
    <w:div w:id="213143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Props1.xml><?xml version="1.0" encoding="utf-8"?>
<ds:datastoreItem xmlns:ds="http://schemas.openxmlformats.org/officeDocument/2006/customXml" ds:itemID="{3364572E-9AB1-49FB-B6D3-7EC25DB55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3.xml><?xml version="1.0" encoding="utf-8"?>
<ds:datastoreItem xmlns:ds="http://schemas.openxmlformats.org/officeDocument/2006/customXml" ds:itemID="{3A687AAD-2C8B-42B8-B291-194DF9B13CDA}">
  <ds:schemaRefs>
    <ds:schemaRef ds:uri="http://schemas.microsoft.com/sharepoint/v3/contenttype/forms"/>
  </ds:schemaRefs>
</ds:datastoreItem>
</file>

<file path=customXml/itemProps4.xml><?xml version="1.0" encoding="utf-8"?>
<ds:datastoreItem xmlns:ds="http://schemas.openxmlformats.org/officeDocument/2006/customXml" ds:itemID="{D7908095-5518-4843-80C3-61F5380BEA8B}">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 id="{d28e349f-c68d-46ce-94ba-6d0e8d23db64}" enabled="1" method="Standard" siteId="{7b7466bb-fe1d-47a0-b943-8ded565c8e5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45</Pages>
  <Words>17988</Words>
  <Characters>98398</Characters>
  <Application>Microsoft Office Word</Application>
  <DocSecurity>0</DocSecurity>
  <Lines>2589</Lines>
  <Paragraphs>1662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2026-03-02T03:39:00Z</dcterms:created>
  <dcterms:modified xsi:type="dcterms:W3CDTF">2026-03-02T03:39:00Z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34b6c608,784ca2d,3491debd</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312dc7b0,941b5f3,3279501f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2025-11-27T00:48:25Z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a0b06d05-fcbe-4e0d-aace-442a8771bc89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ediaServiceImageTags">
    <vt:lpwstr/>
  </property>
  <property fmtid="{D5CDD505-2E9C-101B-9397-08002B2CF9AE}" pid="18" name="ContentTypeId">
    <vt:lpwstr>0x0101007FED174C5281F747A8037A05221D6DBD</vt:lpwstr>
  </property>
  <property fmtid="{D5CDD505-2E9C-101B-9397-08002B2CF9AE}" pid="19" name="docLang">
    <vt:lpwstr>en</vt:lpwstr>
  </property>
  <property fmtid="{D5CDD505-2E9C-101B-9397-08002B2CF9AE}" pid="20" name="MSIP_Label_7cd3e8b9-ffed-43a8-b7f4-cc2fa0382d36_Extended_MSFT_Method">
    <vt:lpwstr>Standard</vt:lpwstr>
  </property>
  <property fmtid="{D5CDD505-2E9C-101B-9397-08002B2CF9AE}" pid="21" name="Sensitivity">
    <vt:lpwstr>OFFICIAL</vt:lpwstr>
  </property>
</Properties>
</file>